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2CDFB" w14:textId="77777777" w:rsidR="006903EF" w:rsidRDefault="006903EF" w:rsidP="00D73ED6">
      <w:pPr>
        <w:spacing w:line="360" w:lineRule="auto"/>
        <w:jc w:val="center"/>
        <w:rPr>
          <w:b/>
          <w:bCs/>
          <w:sz w:val="48"/>
          <w:szCs w:val="48"/>
        </w:rPr>
      </w:pPr>
      <w:r w:rsidRPr="006903EF">
        <w:rPr>
          <w:b/>
          <w:bCs/>
          <w:sz w:val="48"/>
          <w:szCs w:val="48"/>
        </w:rPr>
        <w:t>NAME :  CHINAEMEREM IHENACHO</w:t>
      </w:r>
    </w:p>
    <w:p w14:paraId="0A4236C4" w14:textId="77777777" w:rsidR="006903EF" w:rsidRPr="006903EF" w:rsidRDefault="006903EF" w:rsidP="00D73ED6">
      <w:pPr>
        <w:spacing w:line="360" w:lineRule="auto"/>
        <w:jc w:val="center"/>
        <w:rPr>
          <w:b/>
          <w:bCs/>
          <w:sz w:val="48"/>
          <w:szCs w:val="48"/>
        </w:rPr>
      </w:pPr>
    </w:p>
    <w:p w14:paraId="20DF0E9A" w14:textId="77777777" w:rsidR="006903EF" w:rsidRDefault="006903EF" w:rsidP="00D73ED6">
      <w:pPr>
        <w:spacing w:line="360" w:lineRule="auto"/>
        <w:jc w:val="center"/>
        <w:rPr>
          <w:b/>
          <w:bCs/>
          <w:sz w:val="48"/>
          <w:szCs w:val="48"/>
        </w:rPr>
      </w:pPr>
      <w:r w:rsidRPr="006903EF">
        <w:rPr>
          <w:b/>
          <w:bCs/>
          <w:sz w:val="48"/>
          <w:szCs w:val="48"/>
        </w:rPr>
        <w:t>S/N : 2311669</w:t>
      </w:r>
    </w:p>
    <w:p w14:paraId="7400FD58" w14:textId="77777777" w:rsidR="006903EF" w:rsidRPr="006903EF" w:rsidRDefault="006903EF" w:rsidP="00D73ED6">
      <w:pPr>
        <w:spacing w:line="360" w:lineRule="auto"/>
        <w:jc w:val="center"/>
        <w:rPr>
          <w:b/>
          <w:bCs/>
          <w:sz w:val="48"/>
          <w:szCs w:val="48"/>
        </w:rPr>
      </w:pPr>
    </w:p>
    <w:p w14:paraId="069C05B1" w14:textId="1152299E" w:rsidR="006903EF" w:rsidRDefault="006903EF" w:rsidP="006903EF">
      <w:pPr>
        <w:spacing w:line="360" w:lineRule="auto"/>
        <w:jc w:val="center"/>
        <w:rPr>
          <w:b/>
          <w:bCs/>
          <w:sz w:val="48"/>
          <w:szCs w:val="48"/>
        </w:rPr>
      </w:pPr>
      <w:r w:rsidRPr="006903EF">
        <w:rPr>
          <w:b/>
          <w:bCs/>
          <w:sz w:val="48"/>
          <w:szCs w:val="48"/>
        </w:rPr>
        <w:t>COURSE :  DIGITAL TRANSFORMATION IN THE HEALTH AND CARE PROFESSIONS</w:t>
      </w:r>
    </w:p>
    <w:p w14:paraId="0A9C48F5" w14:textId="77777777" w:rsidR="006903EF" w:rsidRPr="006903EF" w:rsidRDefault="006903EF" w:rsidP="006903EF">
      <w:pPr>
        <w:spacing w:line="360" w:lineRule="auto"/>
        <w:jc w:val="center"/>
        <w:rPr>
          <w:b/>
          <w:bCs/>
          <w:sz w:val="48"/>
          <w:szCs w:val="48"/>
        </w:rPr>
      </w:pPr>
    </w:p>
    <w:p w14:paraId="29ADBA7F" w14:textId="567B2348" w:rsidR="006903EF" w:rsidRDefault="006903EF" w:rsidP="006903EF">
      <w:pPr>
        <w:spacing w:line="360" w:lineRule="auto"/>
        <w:jc w:val="center"/>
        <w:rPr>
          <w:b/>
          <w:bCs/>
          <w:sz w:val="48"/>
          <w:szCs w:val="48"/>
        </w:rPr>
      </w:pPr>
      <w:r w:rsidRPr="006903EF">
        <w:rPr>
          <w:b/>
          <w:bCs/>
          <w:sz w:val="48"/>
          <w:szCs w:val="48"/>
        </w:rPr>
        <w:t>COURSE CODE : BMHP6026</w:t>
      </w:r>
    </w:p>
    <w:p w14:paraId="4021250E" w14:textId="77777777" w:rsidR="006903EF" w:rsidRPr="006903EF" w:rsidRDefault="006903EF" w:rsidP="006903EF">
      <w:pPr>
        <w:spacing w:line="360" w:lineRule="auto"/>
        <w:jc w:val="center"/>
        <w:rPr>
          <w:b/>
          <w:bCs/>
          <w:sz w:val="48"/>
          <w:szCs w:val="48"/>
        </w:rPr>
      </w:pPr>
    </w:p>
    <w:p w14:paraId="64DC33A3" w14:textId="0458EAA3" w:rsidR="006903EF" w:rsidRPr="006903EF" w:rsidRDefault="006903EF" w:rsidP="006903EF">
      <w:pPr>
        <w:spacing w:line="360" w:lineRule="auto"/>
        <w:jc w:val="center"/>
        <w:rPr>
          <w:b/>
          <w:bCs/>
          <w:sz w:val="48"/>
          <w:szCs w:val="48"/>
        </w:rPr>
      </w:pPr>
      <w:r w:rsidRPr="006903EF">
        <w:rPr>
          <w:b/>
          <w:bCs/>
          <w:sz w:val="48"/>
          <w:szCs w:val="48"/>
        </w:rPr>
        <w:t>LECTURER : TOMY ADATTU CHACKO</w:t>
      </w:r>
    </w:p>
    <w:p w14:paraId="36DC8F01" w14:textId="77777777" w:rsidR="006903EF" w:rsidRPr="006903EF" w:rsidRDefault="006903EF" w:rsidP="006903EF">
      <w:pPr>
        <w:spacing w:line="360" w:lineRule="auto"/>
        <w:jc w:val="center"/>
        <w:rPr>
          <w:b/>
          <w:bCs/>
          <w:sz w:val="48"/>
          <w:szCs w:val="48"/>
        </w:rPr>
      </w:pPr>
    </w:p>
    <w:p w14:paraId="7564D0E1" w14:textId="77777777" w:rsidR="006903EF" w:rsidRDefault="006903EF" w:rsidP="006903EF">
      <w:pPr>
        <w:spacing w:line="360" w:lineRule="auto"/>
        <w:jc w:val="center"/>
        <w:rPr>
          <w:b/>
          <w:bCs/>
        </w:rPr>
      </w:pPr>
    </w:p>
    <w:p w14:paraId="345856E2" w14:textId="77777777" w:rsidR="006903EF" w:rsidRDefault="006903EF" w:rsidP="006903EF">
      <w:pPr>
        <w:spacing w:line="360" w:lineRule="auto"/>
        <w:jc w:val="center"/>
        <w:rPr>
          <w:b/>
          <w:bCs/>
        </w:rPr>
      </w:pPr>
    </w:p>
    <w:p w14:paraId="62053490" w14:textId="77777777" w:rsidR="006903EF" w:rsidRDefault="006903EF" w:rsidP="006903EF">
      <w:pPr>
        <w:spacing w:line="360" w:lineRule="auto"/>
        <w:jc w:val="center"/>
        <w:rPr>
          <w:b/>
          <w:bCs/>
        </w:rPr>
      </w:pPr>
    </w:p>
    <w:p w14:paraId="2D624855" w14:textId="77777777" w:rsidR="006903EF" w:rsidRDefault="006903EF" w:rsidP="006903EF">
      <w:pPr>
        <w:spacing w:line="360" w:lineRule="auto"/>
        <w:jc w:val="center"/>
        <w:rPr>
          <w:b/>
          <w:bCs/>
        </w:rPr>
      </w:pPr>
    </w:p>
    <w:p w14:paraId="25C31048" w14:textId="77777777" w:rsidR="006903EF" w:rsidRDefault="006903EF" w:rsidP="006903EF">
      <w:pPr>
        <w:spacing w:line="360" w:lineRule="auto"/>
        <w:jc w:val="center"/>
        <w:rPr>
          <w:b/>
          <w:bCs/>
        </w:rPr>
      </w:pPr>
    </w:p>
    <w:p w14:paraId="0A3E39FD" w14:textId="77777777" w:rsidR="006903EF" w:rsidRDefault="006903EF" w:rsidP="006903EF">
      <w:pPr>
        <w:spacing w:line="360" w:lineRule="auto"/>
        <w:jc w:val="center"/>
        <w:rPr>
          <w:b/>
          <w:bCs/>
        </w:rPr>
      </w:pPr>
    </w:p>
    <w:p w14:paraId="044054AC" w14:textId="77777777" w:rsidR="006903EF" w:rsidRDefault="006903EF" w:rsidP="006903EF">
      <w:pPr>
        <w:spacing w:line="360" w:lineRule="auto"/>
        <w:jc w:val="center"/>
        <w:rPr>
          <w:b/>
          <w:bCs/>
        </w:rPr>
      </w:pPr>
    </w:p>
    <w:p w14:paraId="2E3A5CF4" w14:textId="77777777" w:rsidR="006903EF" w:rsidRDefault="006903EF" w:rsidP="006903EF">
      <w:pPr>
        <w:spacing w:line="360" w:lineRule="auto"/>
        <w:jc w:val="center"/>
        <w:rPr>
          <w:b/>
          <w:bCs/>
        </w:rPr>
      </w:pPr>
    </w:p>
    <w:p w14:paraId="57F479B3" w14:textId="77777777" w:rsidR="006903EF" w:rsidRDefault="006903EF" w:rsidP="006903EF">
      <w:pPr>
        <w:spacing w:line="360" w:lineRule="auto"/>
        <w:jc w:val="center"/>
        <w:rPr>
          <w:b/>
          <w:bCs/>
        </w:rPr>
      </w:pPr>
    </w:p>
    <w:p w14:paraId="3019CB4E" w14:textId="77777777" w:rsidR="006903EF" w:rsidRDefault="006903EF" w:rsidP="006903EF">
      <w:pPr>
        <w:spacing w:line="360" w:lineRule="auto"/>
        <w:jc w:val="center"/>
        <w:rPr>
          <w:b/>
          <w:bCs/>
        </w:rPr>
      </w:pPr>
    </w:p>
    <w:p w14:paraId="57BC4182" w14:textId="77777777" w:rsidR="006903EF" w:rsidRDefault="006903EF" w:rsidP="006903EF">
      <w:pPr>
        <w:spacing w:line="360" w:lineRule="auto"/>
        <w:jc w:val="center"/>
        <w:rPr>
          <w:b/>
          <w:bCs/>
        </w:rPr>
      </w:pPr>
    </w:p>
    <w:p w14:paraId="1FE20BBB" w14:textId="77777777" w:rsidR="006903EF" w:rsidRDefault="006903EF" w:rsidP="006903EF">
      <w:pPr>
        <w:spacing w:line="360" w:lineRule="auto"/>
        <w:jc w:val="center"/>
        <w:rPr>
          <w:b/>
          <w:bCs/>
        </w:rPr>
      </w:pPr>
    </w:p>
    <w:p w14:paraId="252DD7DA" w14:textId="77777777" w:rsidR="006903EF" w:rsidRDefault="006903EF" w:rsidP="006903EF">
      <w:pPr>
        <w:spacing w:line="360" w:lineRule="auto"/>
        <w:jc w:val="center"/>
        <w:rPr>
          <w:b/>
          <w:bCs/>
        </w:rPr>
      </w:pPr>
    </w:p>
    <w:p w14:paraId="2A87B38D" w14:textId="77777777" w:rsidR="006903EF" w:rsidRDefault="006903EF" w:rsidP="006903EF">
      <w:pPr>
        <w:spacing w:line="360" w:lineRule="auto"/>
        <w:jc w:val="center"/>
        <w:rPr>
          <w:b/>
          <w:bCs/>
        </w:rPr>
      </w:pPr>
    </w:p>
    <w:p w14:paraId="20BE041C" w14:textId="77777777" w:rsidR="006903EF" w:rsidRDefault="006903EF" w:rsidP="006903EF">
      <w:pPr>
        <w:spacing w:line="360" w:lineRule="auto"/>
        <w:jc w:val="center"/>
        <w:rPr>
          <w:b/>
          <w:bCs/>
        </w:rPr>
      </w:pPr>
    </w:p>
    <w:p w14:paraId="6F0CA8B6" w14:textId="77777777" w:rsidR="006903EF" w:rsidRDefault="006903EF" w:rsidP="006903EF">
      <w:pPr>
        <w:spacing w:line="360" w:lineRule="auto"/>
        <w:jc w:val="center"/>
        <w:rPr>
          <w:b/>
          <w:bCs/>
        </w:rPr>
      </w:pPr>
    </w:p>
    <w:p w14:paraId="533BFB5D" w14:textId="77777777" w:rsidR="006903EF" w:rsidRDefault="006903EF" w:rsidP="006903EF">
      <w:pPr>
        <w:spacing w:line="360" w:lineRule="auto"/>
        <w:jc w:val="center"/>
        <w:rPr>
          <w:b/>
          <w:bCs/>
        </w:rPr>
      </w:pPr>
    </w:p>
    <w:p w14:paraId="57086DAE" w14:textId="77777777" w:rsidR="006903EF" w:rsidRDefault="006903EF" w:rsidP="006903EF">
      <w:pPr>
        <w:spacing w:line="360" w:lineRule="auto"/>
        <w:jc w:val="center"/>
        <w:rPr>
          <w:b/>
          <w:bCs/>
        </w:rPr>
      </w:pPr>
    </w:p>
    <w:p w14:paraId="2406A966" w14:textId="77777777" w:rsidR="006903EF" w:rsidRDefault="006903EF" w:rsidP="006903EF">
      <w:pPr>
        <w:spacing w:line="360" w:lineRule="auto"/>
        <w:jc w:val="center"/>
        <w:rPr>
          <w:b/>
          <w:bCs/>
        </w:rPr>
      </w:pPr>
    </w:p>
    <w:p w14:paraId="6C173200" w14:textId="77777777" w:rsidR="006903EF" w:rsidRDefault="006903EF" w:rsidP="006903EF">
      <w:pPr>
        <w:spacing w:line="360" w:lineRule="auto"/>
        <w:jc w:val="center"/>
        <w:rPr>
          <w:b/>
          <w:bCs/>
        </w:rPr>
      </w:pPr>
    </w:p>
    <w:p w14:paraId="25A0C4A9" w14:textId="77777777" w:rsidR="006903EF" w:rsidRDefault="006903EF" w:rsidP="006903EF">
      <w:pPr>
        <w:spacing w:line="360" w:lineRule="auto"/>
        <w:jc w:val="center"/>
        <w:rPr>
          <w:b/>
          <w:bCs/>
        </w:rPr>
      </w:pPr>
    </w:p>
    <w:p w14:paraId="1922FCE5" w14:textId="77777777" w:rsidR="006903EF" w:rsidRDefault="006903EF" w:rsidP="006903EF">
      <w:pPr>
        <w:spacing w:line="360" w:lineRule="auto"/>
        <w:jc w:val="center"/>
        <w:rPr>
          <w:b/>
          <w:bCs/>
        </w:rPr>
      </w:pPr>
    </w:p>
    <w:p w14:paraId="0DF73806" w14:textId="77777777" w:rsidR="006903EF" w:rsidRDefault="006903EF" w:rsidP="006903EF">
      <w:pPr>
        <w:spacing w:line="360" w:lineRule="auto"/>
        <w:jc w:val="center"/>
        <w:rPr>
          <w:b/>
          <w:bCs/>
        </w:rPr>
      </w:pPr>
    </w:p>
    <w:p w14:paraId="38EEB84E" w14:textId="77777777" w:rsidR="006903EF" w:rsidRDefault="006903EF" w:rsidP="006903EF">
      <w:pPr>
        <w:spacing w:line="360" w:lineRule="auto"/>
        <w:jc w:val="center"/>
        <w:rPr>
          <w:b/>
          <w:bCs/>
        </w:rPr>
      </w:pPr>
    </w:p>
    <w:p w14:paraId="5008324C" w14:textId="77777777" w:rsidR="006903EF" w:rsidRDefault="006903EF" w:rsidP="006903EF">
      <w:pPr>
        <w:spacing w:line="360" w:lineRule="auto"/>
        <w:jc w:val="center"/>
        <w:rPr>
          <w:b/>
          <w:bCs/>
        </w:rPr>
      </w:pPr>
    </w:p>
    <w:p w14:paraId="3C8A4181" w14:textId="77777777" w:rsidR="006903EF" w:rsidRDefault="006903EF" w:rsidP="006903EF">
      <w:pPr>
        <w:spacing w:line="360" w:lineRule="auto"/>
        <w:jc w:val="center"/>
        <w:rPr>
          <w:b/>
          <w:bCs/>
        </w:rPr>
      </w:pPr>
    </w:p>
    <w:p w14:paraId="53622AA7" w14:textId="77777777" w:rsidR="006903EF" w:rsidRDefault="006903EF" w:rsidP="006903EF">
      <w:pPr>
        <w:spacing w:line="360" w:lineRule="auto"/>
        <w:jc w:val="center"/>
        <w:rPr>
          <w:b/>
          <w:bCs/>
        </w:rPr>
      </w:pPr>
    </w:p>
    <w:p w14:paraId="5E8DE304" w14:textId="77777777" w:rsidR="006903EF" w:rsidRDefault="006903EF" w:rsidP="006903EF">
      <w:pPr>
        <w:spacing w:line="360" w:lineRule="auto"/>
        <w:jc w:val="center"/>
        <w:rPr>
          <w:b/>
          <w:bCs/>
        </w:rPr>
      </w:pPr>
    </w:p>
    <w:p w14:paraId="4D71DE39" w14:textId="77777777" w:rsidR="006903EF" w:rsidRDefault="006903EF" w:rsidP="006903EF">
      <w:pPr>
        <w:spacing w:line="360" w:lineRule="auto"/>
        <w:jc w:val="center"/>
        <w:rPr>
          <w:b/>
          <w:bCs/>
        </w:rPr>
      </w:pPr>
    </w:p>
    <w:p w14:paraId="687ECA24" w14:textId="77777777" w:rsidR="006903EF" w:rsidRDefault="006903EF" w:rsidP="00D73ED6">
      <w:pPr>
        <w:spacing w:line="360" w:lineRule="auto"/>
        <w:jc w:val="center"/>
        <w:rPr>
          <w:b/>
          <w:bCs/>
        </w:rPr>
      </w:pPr>
    </w:p>
    <w:p w14:paraId="00000001" w14:textId="42739DF0" w:rsidR="004D738F" w:rsidRPr="000F01D0" w:rsidRDefault="00321123" w:rsidP="00D73ED6">
      <w:pPr>
        <w:spacing w:line="360" w:lineRule="auto"/>
        <w:jc w:val="center"/>
        <w:rPr>
          <w:b/>
          <w:bCs/>
        </w:rPr>
      </w:pPr>
      <w:r w:rsidRPr="000F01D0">
        <w:rPr>
          <w:b/>
          <w:bCs/>
        </w:rPr>
        <w:t>A Critical Evaluation of the Implementation of the Epic Electronic Patient Record System (HIVE) at Manchester University NHS Foundation Trust</w:t>
      </w:r>
    </w:p>
    <w:p w14:paraId="00000002" w14:textId="77777777" w:rsidR="004D738F" w:rsidRDefault="00321123" w:rsidP="00E93341">
      <w:pPr>
        <w:spacing w:line="360" w:lineRule="auto"/>
        <w:jc w:val="both"/>
      </w:pPr>
      <w:r>
        <w:t> </w:t>
      </w:r>
    </w:p>
    <w:p w14:paraId="2135C332" w14:textId="66185655" w:rsidR="000F01D0" w:rsidRPr="000F01D0" w:rsidRDefault="00321123" w:rsidP="000F01D0">
      <w:pPr>
        <w:pStyle w:val="ListParagraph"/>
        <w:numPr>
          <w:ilvl w:val="0"/>
          <w:numId w:val="1"/>
        </w:numPr>
        <w:spacing w:line="360" w:lineRule="auto"/>
        <w:jc w:val="both"/>
        <w:rPr>
          <w:b/>
          <w:bCs/>
        </w:rPr>
      </w:pPr>
      <w:r w:rsidRPr="000F01D0">
        <w:rPr>
          <w:b/>
          <w:bCs/>
        </w:rPr>
        <w:t>Introduction</w:t>
      </w:r>
    </w:p>
    <w:p w14:paraId="00000004" w14:textId="77777777" w:rsidR="004D738F" w:rsidRDefault="00321123" w:rsidP="00E93341">
      <w:pPr>
        <w:spacing w:line="360" w:lineRule="auto"/>
        <w:jc w:val="both"/>
      </w:pPr>
      <w:r>
        <w:t>Electronic patient records (EPRs) have become an integral feature of the NHS digital transformation, offering opportunities for the improvement of productivity and reshaping care, including benefits fundamental for achieving the UK Government’s three shifts – from analogue to digital, sickness to prevention and hospital to home (Lawrence et al., 2025). Across the NHS in England, EPR systems have been widely adopted; as of May 2025, 91% of secondary care NHS trusts have an EPR system (THF, 2025).</w:t>
      </w:r>
    </w:p>
    <w:p w14:paraId="00000005" w14:textId="77777777" w:rsidR="004D738F" w:rsidRDefault="00321123" w:rsidP="00E93341">
      <w:pPr>
        <w:spacing w:line="360" w:lineRule="auto"/>
        <w:jc w:val="both"/>
      </w:pPr>
      <w:r>
        <w:t xml:space="preserve">The Manchester University National Health Service (NHS) Foundation Trust (MFT) is one of the largest NHS Trusts in England. The Trust previously operated a hybrid medical records system across 10 hospitals, two community care organisations and 3000 beds (Manchester University NHS Foundation Trust, 2023) that included traditional paper health records, “paper-light” or scanned (digitised) records, or both, and a partial EPR, none of which had the full functionality of an integrated electronic patient record (NHS, 2026). This record system was problematic because it was inadequate for providing comprehensive clinical histories for </w:t>
      </w:r>
      <w:r>
        <w:lastRenderedPageBreak/>
        <w:t xml:space="preserve">patient interactions, ensuring the availability of necessary data, and accurate reporting across multiple systems (Burns, 2024). Within this context, MFT implemented HIVE in September 2022, a Trust-wide EPR known as “Go Live” with a vision to meet the Trust’s complex and specialist needs and improve patient care in Greater Manchester (Burns, 2024). </w:t>
      </w:r>
    </w:p>
    <w:p w14:paraId="00000006" w14:textId="77777777" w:rsidR="004D738F" w:rsidRDefault="00321123" w:rsidP="00E93341">
      <w:pPr>
        <w:spacing w:line="360" w:lineRule="auto"/>
        <w:jc w:val="both"/>
      </w:pPr>
      <w:r>
        <w:t xml:space="preserve">This report therefore critically evaluates HIVE implementation across four key areas: workforce, service delivery, patient/service user experience, and community impact. </w:t>
      </w:r>
    </w:p>
    <w:p w14:paraId="00000007" w14:textId="77777777" w:rsidR="004D738F" w:rsidRDefault="004D738F" w:rsidP="00E93341">
      <w:pPr>
        <w:spacing w:line="360" w:lineRule="auto"/>
        <w:jc w:val="both"/>
      </w:pPr>
    </w:p>
    <w:p w14:paraId="0B319E6F" w14:textId="4C81A44E" w:rsidR="000F01D0" w:rsidRPr="000F01D0" w:rsidRDefault="00321123" w:rsidP="000F01D0">
      <w:pPr>
        <w:pStyle w:val="ListParagraph"/>
        <w:numPr>
          <w:ilvl w:val="0"/>
          <w:numId w:val="1"/>
        </w:numPr>
        <w:spacing w:line="360" w:lineRule="auto"/>
        <w:jc w:val="both"/>
        <w:rPr>
          <w:b/>
          <w:bCs/>
        </w:rPr>
      </w:pPr>
      <w:r w:rsidRPr="000F01D0">
        <w:rPr>
          <w:b/>
          <w:bCs/>
        </w:rPr>
        <w:t>Workforce</w:t>
      </w:r>
    </w:p>
    <w:p w14:paraId="00000009" w14:textId="77777777" w:rsidR="004D738F" w:rsidRDefault="00321123" w:rsidP="00E93341">
      <w:pPr>
        <w:spacing w:line="360" w:lineRule="auto"/>
        <w:jc w:val="both"/>
      </w:pPr>
      <w:r>
        <w:t>Implementing HIVE at MFT involved considerable changes across several work components, particularly in health information management (HIM). According to Burns (2024), implementing HIVE required a transition from managing over 1,000 traditional systems to operating a single EPR, prompting MFT to complete a 2-year readiness program to prepare workers. This included technical readiness, software development and migration planning. Additionally, further skills development training was offered after an individual training needs analysis of all staff (NHS, 2026) and staff were allowed to repeat HIVE training multiple times ahead of the launch of Go Live.</w:t>
      </w:r>
    </w:p>
    <w:p w14:paraId="0000000A" w14:textId="77777777" w:rsidR="004D738F" w:rsidRDefault="00321123" w:rsidP="00E93341">
      <w:pPr>
        <w:spacing w:line="360" w:lineRule="auto"/>
        <w:jc w:val="both"/>
      </w:pPr>
      <w:r>
        <w:t xml:space="preserve">This has significantly impacted job roles and staff competency at MFT. For instance, implementing HIVE changed clinical coding workflows by shifting staff from tasks dependent on physical case notes to a digital work queue that identified discharged patients (Burns, 2024). Additionally, since implementing HIVE, the MFT team reduced routine case-note requests from 192 services before Go-Live to 130 at Go-Live. The Clinical Coding Team also indicated that integrating a single EPR system at MFT enabled coding to be completed on the first attempt because all required information was in one location, reducing the need for partial coding or pauses while awaiting information (Burns, 2024). Burns (2024) further noted that HIVE has significantly improved the efficiency and accuracy of clinical coders at MFT by facilitating the shift from reading and interpreting handwritten notes to typed ones. This operational efficiency is supported by the reported coding figures, which show that primary and secondary diagnoses increased from 76% to 78% and from 71.62% to 77.41%, respectively (Burns, 2024). These figures indicate that coding performance improved significantly after implementing HIVE. </w:t>
      </w:r>
    </w:p>
    <w:p w14:paraId="0000000B" w14:textId="77777777" w:rsidR="004D738F" w:rsidRDefault="00321123" w:rsidP="00E93341">
      <w:pPr>
        <w:spacing w:line="360" w:lineRule="auto"/>
        <w:jc w:val="both"/>
      </w:pPr>
      <w:r>
        <w:t>Implementing HIVE has also enabled routine monitoring of clinical coder productivity and the contributions of consultants supporting clinical coding improvement within the Trust (Burns, 2024). This improved functionality has also standardised clinical audits across MFT sites, enabling seamless comparisons (NHS, 2022). The improved audit processes have, in turn, facilitated knowledge sharing across staff and supported them in gaining experience in all areas without physically moving between sites (Burns, 2024). Evidence further indicates that improved knowledge sharing can enable healthcare organisations and staff to provide high-</w:t>
      </w:r>
      <w:r>
        <w:lastRenderedPageBreak/>
        <w:t xml:space="preserve">quality services and ensure adequate delivery of medical care, including patient admission, diagnosis and treatment (Maru et al., 2022). </w:t>
      </w:r>
    </w:p>
    <w:p w14:paraId="0000000C" w14:textId="77777777" w:rsidR="004D738F" w:rsidRDefault="00321123" w:rsidP="00E93341">
      <w:pPr>
        <w:spacing w:line="360" w:lineRule="auto"/>
        <w:jc w:val="both"/>
      </w:pPr>
      <w:r>
        <w:t xml:space="preserve">However, HIVE’s implementation also presented initial challenges related to clinical coding practice. Burns (2024) noted that the system’s reporting functionality was initially inadequate to meet clinical coding requirements, affecting staff's ability to perform their duties competently. Additionally, primary and secondary procedure coding accuracy fell from 91.43% to 62% and from 79.55% to 55.56%, respectively, falling below mandatory targets (Burns, 2024). </w:t>
      </w:r>
    </w:p>
    <w:p w14:paraId="3CD2E4F3" w14:textId="11D543CB" w:rsidR="000F01D0" w:rsidRDefault="000F01D0" w:rsidP="000F01D0">
      <w:pPr>
        <w:spacing w:line="360" w:lineRule="auto"/>
        <w:jc w:val="center"/>
      </w:pPr>
      <w:r w:rsidRPr="00E74180">
        <w:rPr>
          <w:noProof/>
        </w:rPr>
        <w:drawing>
          <wp:inline distT="0" distB="0" distL="0" distR="0" wp14:anchorId="3D967C5E" wp14:editId="512DEFC6">
            <wp:extent cx="4514850" cy="4392552"/>
            <wp:effectExtent l="0" t="0" r="0" b="8255"/>
            <wp:docPr id="177130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06817" name=""/>
                    <pic:cNvPicPr/>
                  </pic:nvPicPr>
                  <pic:blipFill rotWithShape="1">
                    <a:blip r:embed="rId7"/>
                    <a:srcRect l="41513" t="22306" r="21879" b="14352"/>
                    <a:stretch>
                      <a:fillRect/>
                    </a:stretch>
                  </pic:blipFill>
                  <pic:spPr bwMode="auto">
                    <a:xfrm>
                      <a:off x="0" y="0"/>
                      <a:ext cx="4538294" cy="4415361"/>
                    </a:xfrm>
                    <a:prstGeom prst="rect">
                      <a:avLst/>
                    </a:prstGeom>
                    <a:ln>
                      <a:noFill/>
                    </a:ln>
                    <a:extLst>
                      <a:ext uri="{53640926-AAD7-44D8-BBD7-CCE9431645EC}">
                        <a14:shadowObscured xmlns:a14="http://schemas.microsoft.com/office/drawing/2010/main"/>
                      </a:ext>
                    </a:extLst>
                  </pic:spPr>
                </pic:pic>
              </a:graphicData>
            </a:graphic>
          </wp:inline>
        </w:drawing>
      </w:r>
    </w:p>
    <w:p w14:paraId="0000000D" w14:textId="77777777" w:rsidR="004D738F" w:rsidRDefault="00321123" w:rsidP="00E93341">
      <w:pPr>
        <w:spacing w:line="360" w:lineRule="auto"/>
        <w:jc w:val="both"/>
      </w:pPr>
      <w:r>
        <w:t xml:space="preserve"> </w:t>
      </w:r>
    </w:p>
    <w:p w14:paraId="0000000E" w14:textId="77777777" w:rsidR="004D738F" w:rsidRPr="000F01D0" w:rsidRDefault="00321123" w:rsidP="00E93341">
      <w:pPr>
        <w:spacing w:line="360" w:lineRule="auto"/>
        <w:jc w:val="both"/>
        <w:rPr>
          <w:b/>
          <w:bCs/>
        </w:rPr>
      </w:pPr>
      <w:r w:rsidRPr="000F01D0">
        <w:rPr>
          <w:b/>
          <w:bCs/>
        </w:rPr>
        <w:t>Figure 1: Productivity in clinical coding before and after HIVE Go Live</w:t>
      </w:r>
    </w:p>
    <w:p w14:paraId="0000000F" w14:textId="77777777" w:rsidR="004D738F" w:rsidRDefault="004D738F" w:rsidP="00E93341">
      <w:pPr>
        <w:spacing w:line="360" w:lineRule="auto"/>
        <w:jc w:val="both"/>
      </w:pPr>
    </w:p>
    <w:p w14:paraId="5AF27CF5" w14:textId="17F2C43F" w:rsidR="000F01D0" w:rsidRPr="000F01D0" w:rsidRDefault="00321123" w:rsidP="000F01D0">
      <w:pPr>
        <w:pStyle w:val="ListParagraph"/>
        <w:numPr>
          <w:ilvl w:val="0"/>
          <w:numId w:val="1"/>
        </w:numPr>
        <w:spacing w:line="360" w:lineRule="auto"/>
        <w:jc w:val="both"/>
        <w:rPr>
          <w:b/>
          <w:bCs/>
        </w:rPr>
      </w:pPr>
      <w:r w:rsidRPr="000F01D0">
        <w:rPr>
          <w:b/>
          <w:bCs/>
        </w:rPr>
        <w:t>Service delivery</w:t>
      </w:r>
    </w:p>
    <w:p w14:paraId="00000011" w14:textId="77777777" w:rsidR="004D738F" w:rsidRDefault="00321123" w:rsidP="00E93341">
      <w:pPr>
        <w:spacing w:line="360" w:lineRule="auto"/>
        <w:jc w:val="both"/>
      </w:pPr>
      <w:r>
        <w:t xml:space="preserve">Implementing HIVE at Manchester University NHS Foundation Trust (MFT) significantly improved service delivery. Burns (2024) reported that MFT consolidated over 1,000 systems into a single record using HIVE across MFT’s hospital sites, improving functionality by standardising clinical audits across sites and enabling seamless comparisons and knowledge sharing among staff. This centralisation was facilitated by integrating the Epic EPR with Hyland’s OnBase enterprise content management platform, providing centralised access to </w:t>
      </w:r>
      <w:r>
        <w:lastRenderedPageBreak/>
        <w:t xml:space="preserve">patient medical records, referrals, previous visits, tests, images and clinical documentation across all sites and departments, as well as streamlining workflows and eliminating data silos (Hyland, 2026). According to Burns (2024), the improved administrative and coding functions have, in turn, enhanced data accessibility and organisational coordination. </w:t>
      </w:r>
    </w:p>
    <w:p w14:paraId="00000012" w14:textId="77777777" w:rsidR="004D738F" w:rsidRDefault="00321123" w:rsidP="00E93341">
      <w:pPr>
        <w:spacing w:line="360" w:lineRule="auto"/>
        <w:jc w:val="both"/>
      </w:pPr>
      <w:r>
        <w:t xml:space="preserve">Additionally, by providing seamless access to patient information, the Epic EPR and OnBase systems allows for faster and informed decision-making during multidisciplinary team (MDT) meetings, as all relevant information is readily available, saving time and maximising the impact of high-value clinical discussions (Hyland, 2026). This aligns with Burns (2024), which reported that implementing HIVE at MFT improved functionality, enabling routine monitoring of clinical coder productivity and individual consultant activities. As a result, service delivery is improved, as staff across all MFT sites work from a single, standardised process, leading to reduced inefficiencies and improved patient care (NHS, 2026). </w:t>
      </w:r>
    </w:p>
    <w:p w14:paraId="00000013" w14:textId="77777777" w:rsidR="004D738F" w:rsidRDefault="00321123" w:rsidP="00E93341">
      <w:pPr>
        <w:spacing w:line="360" w:lineRule="auto"/>
        <w:jc w:val="both"/>
      </w:pPr>
      <w:r>
        <w:t xml:space="preserve">However, MFT reported temporary disruptions to service delivery after implementing HIVE, as staff could not access health records on HIVE (Burns, 2024). The downtime, which lasted about 24 hours, forced staff to revert to paper records that eventually had to be scanned into HIVE after access was restored, disrupting record management and adding administrative tasks. This is strikingly similar to the report from King’s College Hospital NHS Foundation Trust, which introduced Epic in October 2023 and experienced the Trust falling from being ranked 11th-best nationally for diagnostic waits to 11th from the bottom (King’s College Hospital NHS Foundation Trust, 2026). This indicates that while EPIC’s EPR can improve service delivery, it can also disrupt it, leading to poor patient outcomes. </w:t>
      </w:r>
    </w:p>
    <w:p w14:paraId="3CAAF522" w14:textId="77777777" w:rsidR="00E72EB5" w:rsidRDefault="00E72EB5" w:rsidP="00E93341">
      <w:pPr>
        <w:spacing w:line="360" w:lineRule="auto"/>
        <w:jc w:val="both"/>
      </w:pPr>
    </w:p>
    <w:p w14:paraId="03379225" w14:textId="61823882" w:rsidR="000F01D0" w:rsidRPr="000F01D0" w:rsidRDefault="00321123" w:rsidP="000F01D0">
      <w:pPr>
        <w:pStyle w:val="ListParagraph"/>
        <w:numPr>
          <w:ilvl w:val="0"/>
          <w:numId w:val="1"/>
        </w:numPr>
        <w:spacing w:line="360" w:lineRule="auto"/>
        <w:jc w:val="both"/>
        <w:rPr>
          <w:b/>
          <w:bCs/>
        </w:rPr>
      </w:pPr>
      <w:r w:rsidRPr="000F01D0">
        <w:rPr>
          <w:b/>
          <w:bCs/>
        </w:rPr>
        <w:t>Patient/Service User</w:t>
      </w:r>
    </w:p>
    <w:p w14:paraId="00000015" w14:textId="77777777" w:rsidR="004D738F" w:rsidRDefault="00321123" w:rsidP="00E93341">
      <w:pPr>
        <w:spacing w:line="360" w:lineRule="auto"/>
        <w:jc w:val="both"/>
      </w:pPr>
      <w:r>
        <w:t xml:space="preserve">By consolidating all of MFT’s previous IT and patient record systems, HIVE offers patients a more cohesive healthcare experience. After implementing HIVE, evidence shows improved service standards, as staff can access individual patients’ records across the Trust at their fingertips, allowing them to spend more time caring for patients (MFT, 2026). This benefits patients because they no longer have to repeat the same information to different staff members and can receive the best possible care at all times (MFT, 2026). Burns (2024) corroborates this by reporting that HIVE introduced bespoke urgent care workflows that improve patient transfers between Urgent and Emergency Care services, offering patients a more joined-up healthcare experience wherever they are treated. </w:t>
      </w:r>
    </w:p>
    <w:p w14:paraId="00000016" w14:textId="77777777" w:rsidR="004D738F" w:rsidRDefault="00321123" w:rsidP="00E93341">
      <w:pPr>
        <w:spacing w:line="360" w:lineRule="auto"/>
        <w:jc w:val="both"/>
      </w:pPr>
      <w:r>
        <w:t xml:space="preserve">Additionally, the patient-facing MyMFT portal (a new online web portal and mobile app connecting patients to their MFT information) launched together with HIVE enables patients to access aspects of their digital record such as appointment information, clinical letters, test results and other health information, participate in video consultations and complete pre-appointment questionnaires, as well as request a copy of their full health record easily (Burns, </w:t>
      </w:r>
      <w:r>
        <w:lastRenderedPageBreak/>
        <w:t xml:space="preserve">2024; MFT, 2026). Also, the ‘Fast Pass’ function on the portal identifies last-minute cancellations and offers these slots to patients with later appointment date, allowing them to be seen an average of 10 days sooner (MFT, 2023). These factors have improved patient convenience, autonomy, and control over their healthcare and health information (NHS, 2022). </w:t>
      </w:r>
    </w:p>
    <w:p w14:paraId="00000017" w14:textId="77777777" w:rsidR="004D738F" w:rsidRDefault="00321123" w:rsidP="00E93341">
      <w:pPr>
        <w:spacing w:line="360" w:lineRule="auto"/>
        <w:jc w:val="both"/>
      </w:pPr>
      <w:r>
        <w:t xml:space="preserve">One year after implementing HIVE, more than 260,000 patients were using MyMFT, indicating substantial uptake and empowering them to take greater control of their healthcare (MFT, 2023). Early evaluation by MFT reveals positive patient experiences. A patient survey found that 95% of portal users utilised the messenger function instead of making a phone call to the trust; 61% reported sending messages instead of attending an in-person appointment; and 7-10% of portal users were less likely to schedule an office visit compared to non-users (MFT, 2022). Another survey found that 73% of clinicians at MFT agreed that introducing HIVE and the MyMFT portal improved patient/clinician communication (MFT, 2026). These findings suggest that the digital convenience provided by HIVE and the MyMFT portal improves patient access to care and reduces some access barriers. This is supported by evidence-based findings indicating that digital health solutions play a pivotal role in streamlining healthcare processes and overcoming barriers to healthcare delivery by reducing waiting times and enhancing the quality, accessibility, and efficiency of medical services (Silva et al., 2025; Adebiyi and Olayinka, 2026). However, the survey population consisted strictly of portal users and may therefore not reflect the experience of patients who faced barriers to digital engagement. </w:t>
      </w:r>
    </w:p>
    <w:p w14:paraId="00000018" w14:textId="77777777" w:rsidR="004D738F" w:rsidRDefault="00321123" w:rsidP="00E93341">
      <w:pPr>
        <w:spacing w:line="360" w:lineRule="auto"/>
        <w:jc w:val="both"/>
      </w:pPr>
      <w:r>
        <w:t xml:space="preserve">Conversely, digitalisation can also create barriers for disadvantaged groups and service users with diverse needs. Recognising this risk, MFT retained non-digital alternatives integrated into HIVE for patients who have difficulty accessing the MyMFT portal and introduced a proxy access feature that allows patients to consent to family members or caregivers managing their healthcare needs (NHS, 2022). </w:t>
      </w:r>
    </w:p>
    <w:p w14:paraId="3D899D05" w14:textId="77777777" w:rsidR="00E72EB5" w:rsidRDefault="00E72EB5" w:rsidP="00E93341">
      <w:pPr>
        <w:spacing w:line="360" w:lineRule="auto"/>
        <w:jc w:val="both"/>
      </w:pPr>
    </w:p>
    <w:p w14:paraId="3F1BBEAA" w14:textId="1BF3F074" w:rsidR="000F01D0" w:rsidRPr="000F01D0" w:rsidRDefault="00321123" w:rsidP="000F01D0">
      <w:pPr>
        <w:pStyle w:val="ListParagraph"/>
        <w:numPr>
          <w:ilvl w:val="0"/>
          <w:numId w:val="1"/>
        </w:numPr>
        <w:spacing w:line="360" w:lineRule="auto"/>
        <w:jc w:val="both"/>
        <w:rPr>
          <w:b/>
          <w:bCs/>
        </w:rPr>
      </w:pPr>
      <w:r w:rsidRPr="000F01D0">
        <w:rPr>
          <w:b/>
          <w:bCs/>
        </w:rPr>
        <w:t>Community</w:t>
      </w:r>
    </w:p>
    <w:p w14:paraId="0000001A" w14:textId="77777777" w:rsidR="004D738F" w:rsidRDefault="00321123" w:rsidP="00E93341">
      <w:pPr>
        <w:spacing w:line="360" w:lineRule="auto"/>
        <w:jc w:val="both"/>
      </w:pPr>
      <w:r>
        <w:t xml:space="preserve">Geographic Reach: Burns (2024) reported that MFT implemented HIVE across all ten hospital sites, facilitating care across these sites. MFT describes itself as the main provider of hospital care to about 750,000 people in Manchester and Trafford, the single biggest provider of specialised services in the North West of England and the lead provider of several specialised services such as breast, vascular, cardiac, respiratory and cancer care (MFT, 2018). This wide geographic coverage is critical, as HIVE ensures patients in any part of these communities can receive effective care at any MFT site. The single Trust-wide EPR not only ensures patient records can be accessed across MFT locations but also reduces the need for patients to repeat the same information to different staff members (MFT, 2026). However, this benefit is </w:t>
      </w:r>
      <w:r>
        <w:lastRenderedPageBreak/>
        <w:t>primarily within the Trust and does not demonstrate HIVE's geographic reach as an integrated health care record across Greater Manchester.</w:t>
      </w:r>
    </w:p>
    <w:p w14:paraId="0000001B" w14:textId="77777777" w:rsidR="004D738F" w:rsidRDefault="00321123" w:rsidP="00E93341">
      <w:pPr>
        <w:spacing w:line="360" w:lineRule="auto"/>
        <w:jc w:val="both"/>
      </w:pPr>
      <w:r>
        <w:t>Care-System Integration: A key benefit of implementing HIVE was that it addressed fragmented records between MFT’s hospital systems, particularly as records indicate that Manchester and Trafford local care organisation services had not been integrated into acute services before HIVE (Burns, 2024). MFT subsequently noted that the new ways of working enabled by HIVE will provide a foundation for integration with community services, GPs, and all of Greater Manchester (NHS, 2022). Therefore, HIVE can not be considered to have integrated the care system in the wider community using a single-record EPR; rather, it has enhanced information continuity within the Trust while laying the foundation for community-wide integration.</w:t>
      </w:r>
    </w:p>
    <w:p w14:paraId="0000001C" w14:textId="77777777" w:rsidR="004D738F" w:rsidRDefault="00321123" w:rsidP="00E93341">
      <w:pPr>
        <w:spacing w:line="360" w:lineRule="auto"/>
        <w:jc w:val="both"/>
      </w:pPr>
      <w:r>
        <w:t xml:space="preserve">Digital Inclusion: To ensure appropriateness and inclusiveness, MFT retained and integrated non-digital alternatives, including paper appointment letters and discharge summaries, into HIVE and made the MyMFT portal available in English and Arabic (NHS, 2022). However, there is limited evidence of the impact of HIVE in directly improving access to care services to disadvantaged groups. Consequently, while HIVE can potentially enhance joined-up care and patient participation, its technological capabilities do not provide direct evidence of its impact on public health and the wider community. </w:t>
      </w:r>
    </w:p>
    <w:p w14:paraId="0000001D" w14:textId="77777777" w:rsidR="004D738F" w:rsidRDefault="00321123" w:rsidP="00E93341">
      <w:pPr>
        <w:spacing w:line="360" w:lineRule="auto"/>
        <w:jc w:val="both"/>
      </w:pPr>
      <w:r>
        <w:t xml:space="preserve">Family and co-production: Nevertheless, implementing HIVE has led to significant improvements in the wider care network, especially through the MyMFT portal. The proxy access feature in MyMFT enables patients to authorise family members or caregivers to manage their healthcare if needed (NHS, 2022). This is particularly beneficial for patients who depend on others to coordinate care, including managing appointments, viewing relevant information and results, and supporting healthcare management. There is also evidence of co-production in the development of the MyMFT portal. MFT reports that to ensure MyMFT met patients’ needs, it was designed collaboratively with a dedicated ‘Patient Experience’ Rapid Decision Group, ensuring that the portal’s final design reflects input from clinical and non-clinical professionals and patient group leaders (Bridgewater and Eddleston, 2023). </w:t>
      </w:r>
    </w:p>
    <w:p w14:paraId="7D5ADFE3" w14:textId="77777777" w:rsidR="00E72EB5" w:rsidRDefault="00E72EB5" w:rsidP="00E93341">
      <w:pPr>
        <w:spacing w:line="360" w:lineRule="auto"/>
        <w:jc w:val="both"/>
      </w:pPr>
    </w:p>
    <w:p w14:paraId="07016EE9" w14:textId="76F78D35" w:rsidR="000F01D0" w:rsidRPr="000F01D0" w:rsidRDefault="00321123" w:rsidP="000F01D0">
      <w:pPr>
        <w:pStyle w:val="ListParagraph"/>
        <w:numPr>
          <w:ilvl w:val="0"/>
          <w:numId w:val="1"/>
        </w:numPr>
        <w:spacing w:line="360" w:lineRule="auto"/>
        <w:jc w:val="both"/>
        <w:rPr>
          <w:b/>
          <w:bCs/>
        </w:rPr>
      </w:pPr>
      <w:r w:rsidRPr="000F01D0">
        <w:rPr>
          <w:b/>
          <w:bCs/>
        </w:rPr>
        <w:t xml:space="preserve">Conclusion </w:t>
      </w:r>
    </w:p>
    <w:p w14:paraId="0000001F" w14:textId="77777777" w:rsidR="004D738F" w:rsidRDefault="00321123" w:rsidP="00E93341">
      <w:pPr>
        <w:spacing w:line="360" w:lineRule="auto"/>
        <w:jc w:val="both"/>
      </w:pPr>
      <w:r>
        <w:t xml:space="preserve">Implementing HIVE at Manchester University NHS Foundation Trust represents a significant change in how the Trust records, accesses and shares patient information across its ten hospital sites. The Trust had previously operated using a mixed clinical record-keeping system that lacked the full functionality of an integrated electronic patient record. Additionally, because some of these systems were old and limited in functionality, they were inadequate to provide comprehensive clinical histories for patient interactions, ensure necessary data were available, or support accurate reporting. However, by replacing these fragmented legacy </w:t>
      </w:r>
      <w:r>
        <w:lastRenderedPageBreak/>
        <w:t xml:space="preserve">systems with a Trust-wide EPR, HIVE has facilitated improved access to patient information and standardised clinical processes across the Trust. This has also standardised workflows, facilitated knowledge sharing, and improved results management. For patients, the MyMFT portal, a new functionality within HIVE, allows patients to access parts of their digital record and seamlessly request a copy of their full health record. </w:t>
      </w:r>
    </w:p>
    <w:p w14:paraId="00000020" w14:textId="77777777" w:rsidR="004D738F" w:rsidRDefault="00321123" w:rsidP="00E93341">
      <w:pPr>
        <w:spacing w:line="360" w:lineRule="auto"/>
        <w:jc w:val="both"/>
      </w:pPr>
      <w:r>
        <w:t xml:space="preserve">Despite these benefits, evidence reports implementation challenges and potential digital exclusion of disadvantaged groups if not implemented properly, which cautions against assuming that HIVE automatically improves service quality and patients' experience. Similarly, while HIVE contributes to community integration, its contribution is limited to the hospitals within the Trust, as there is limited evidence of wider primary and community care integration in the Greater Manchester area. </w:t>
      </w:r>
    </w:p>
    <w:p w14:paraId="00000021" w14:textId="77777777" w:rsidR="004D738F" w:rsidRDefault="00321123" w:rsidP="00E93341">
      <w:pPr>
        <w:spacing w:line="360" w:lineRule="auto"/>
        <w:jc w:val="both"/>
      </w:pPr>
      <w:r>
        <w:t xml:space="preserve">Overall, HIVE demonstrates how an integrated electronic patient record can potentially improve workforce competency, knowledge sharing, information access and coordination, simplify tasks and reduce errors, improve service delivery, standardise workflows and processes, improve patients’ access to their health records and enable them to participate in their own care, as well as enhance co-production and public health. However, it is critical to evaluate its impact through outcome data over time and the varying experiences of clinicians and patients. </w:t>
      </w:r>
    </w:p>
    <w:p w14:paraId="00000022" w14:textId="77777777" w:rsidR="004D738F" w:rsidRDefault="00321123" w:rsidP="00E93341">
      <w:pPr>
        <w:spacing w:line="360" w:lineRule="auto"/>
        <w:jc w:val="both"/>
      </w:pPr>
      <w:r>
        <w:t> </w:t>
      </w:r>
    </w:p>
    <w:p w14:paraId="6AF6C7D5" w14:textId="77777777" w:rsidR="000F01D0" w:rsidRDefault="000F01D0">
      <w:r>
        <w:br w:type="page"/>
      </w:r>
    </w:p>
    <w:p w14:paraId="00000023" w14:textId="11F123CA" w:rsidR="004D738F" w:rsidRPr="000F01D0" w:rsidRDefault="00321123" w:rsidP="00E93341">
      <w:pPr>
        <w:spacing w:line="360" w:lineRule="auto"/>
        <w:jc w:val="both"/>
        <w:rPr>
          <w:b/>
          <w:bCs/>
        </w:rPr>
      </w:pPr>
      <w:r w:rsidRPr="000F01D0">
        <w:rPr>
          <w:b/>
          <w:bCs/>
        </w:rPr>
        <w:lastRenderedPageBreak/>
        <w:t xml:space="preserve">References </w:t>
      </w:r>
    </w:p>
    <w:p w14:paraId="5477BD8C" w14:textId="77777777" w:rsidR="000F01D0" w:rsidRPr="00E74180" w:rsidRDefault="000F01D0" w:rsidP="000F01D0">
      <w:pPr>
        <w:spacing w:line="360" w:lineRule="auto"/>
        <w:jc w:val="both"/>
      </w:pPr>
      <w:r w:rsidRPr="00E74180">
        <w:t xml:space="preserve">Adebiyi, B.O. and Olayinka, I. (2026) ‘Leveraging digital innovation to advance universal health coverage in Africa: Opportunities and challenges,’ </w:t>
      </w:r>
      <w:r w:rsidRPr="00E74180">
        <w:rPr>
          <w:i/>
          <w:iCs/>
        </w:rPr>
        <w:t>SSM - Health Systems</w:t>
      </w:r>
      <w:r w:rsidRPr="00E74180">
        <w:t xml:space="preserve">, [online] 7, p.100230. Available at: </w:t>
      </w:r>
      <w:hyperlink r:id="rId8" w:history="1">
        <w:r w:rsidRPr="00E74180">
          <w:rPr>
            <w:rStyle w:val="Hyperlink"/>
          </w:rPr>
          <w:t>https://www.sciencedirect.com/science/article/pii/S2949856226000644</w:t>
        </w:r>
      </w:hyperlink>
      <w:r w:rsidRPr="00E74180">
        <w:t xml:space="preserve"> </w:t>
      </w:r>
    </w:p>
    <w:p w14:paraId="10AF8019" w14:textId="77777777" w:rsidR="000F01D0" w:rsidRPr="00E74180" w:rsidRDefault="000F01D0" w:rsidP="000F01D0">
      <w:pPr>
        <w:spacing w:line="360" w:lineRule="auto"/>
        <w:jc w:val="both"/>
      </w:pPr>
      <w:r w:rsidRPr="00E74180">
        <w:t xml:space="preserve">Bridgewater, J. and Eddleston, J. (2023) </w:t>
      </w:r>
      <w:r w:rsidRPr="00E74180">
        <w:rPr>
          <w:i/>
          <w:iCs/>
        </w:rPr>
        <w:t>Hive Powered by Epic EPR Insights and Benefits.</w:t>
      </w:r>
      <w:r w:rsidRPr="00E74180">
        <w:t xml:space="preserve"> [Online] Available at: </w:t>
      </w:r>
      <w:hyperlink r:id="rId9" w:history="1">
        <w:r w:rsidRPr="00E74180">
          <w:rPr>
            <w:rStyle w:val="Hyperlink"/>
          </w:rPr>
          <w:t>https://mft.nhs.uk/app/uploads/2023/12/Hive-Insights-and-benefits-Report-FINAL.pdf</w:t>
        </w:r>
      </w:hyperlink>
      <w:r w:rsidRPr="00E74180">
        <w:t xml:space="preserve"> (Accessed 24 September 2026)</w:t>
      </w:r>
    </w:p>
    <w:p w14:paraId="37D20990" w14:textId="77777777" w:rsidR="000F01D0" w:rsidRPr="00E74180" w:rsidRDefault="000F01D0" w:rsidP="000F01D0">
      <w:pPr>
        <w:spacing w:line="360" w:lineRule="auto"/>
        <w:jc w:val="both"/>
      </w:pPr>
      <w:r w:rsidRPr="00E74180">
        <w:t xml:space="preserve">Burns, M. (2024) </w:t>
      </w:r>
      <w:r w:rsidRPr="00E74180">
        <w:rPr>
          <w:i/>
          <w:iCs/>
        </w:rPr>
        <w:t>Challenges and successes in implementing an integrated electronic patient record (HIVE) at the Manchester University National Health Service Foundation Trust, England: 1000+ legacy systems, 10 hospitals, one electronic patient record</w:t>
      </w:r>
      <w:r w:rsidRPr="00E74180">
        <w:t xml:space="preserve">. </w:t>
      </w:r>
      <w:r w:rsidRPr="00E74180">
        <w:rPr>
          <w:i/>
          <w:iCs/>
        </w:rPr>
        <w:t>Health information management: journal of the Health Information Management Association of Australia</w:t>
      </w:r>
      <w:r w:rsidRPr="00E74180">
        <w:t xml:space="preserve">. Available at: </w:t>
      </w:r>
      <w:hyperlink r:id="rId10" w:history="1">
        <w:r w:rsidRPr="00E74180">
          <w:rPr>
            <w:rStyle w:val="Hyperlink"/>
          </w:rPr>
          <w:t>https://pubmed.ncbi.nlm.nih.gov/37846824/</w:t>
        </w:r>
      </w:hyperlink>
      <w:r w:rsidRPr="00E74180">
        <w:t xml:space="preserve"> (Accessed: 21 September 2026)</w:t>
      </w:r>
    </w:p>
    <w:p w14:paraId="0FC5A1EC" w14:textId="77777777" w:rsidR="000F01D0" w:rsidRPr="00E74180" w:rsidRDefault="000F01D0" w:rsidP="000F01D0">
      <w:pPr>
        <w:spacing w:line="360" w:lineRule="auto"/>
        <w:jc w:val="both"/>
      </w:pPr>
      <w:r w:rsidRPr="00E74180">
        <w:t xml:space="preserve">Hyland Software, Inc. (2026) </w:t>
      </w:r>
      <w:r w:rsidRPr="00E74180">
        <w:rPr>
          <w:i/>
          <w:iCs/>
        </w:rPr>
        <w:t>Manchester University NHS Foundation Trust Case Study | Hyland</w:t>
      </w:r>
      <w:r w:rsidRPr="00E74180">
        <w:t xml:space="preserve">. [online] Available at: </w:t>
      </w:r>
      <w:hyperlink r:id="rId11" w:history="1">
        <w:r w:rsidRPr="00E74180">
          <w:rPr>
            <w:rStyle w:val="Hyperlink"/>
          </w:rPr>
          <w:t>https://www.hyland.com/en/customers/mft</w:t>
        </w:r>
      </w:hyperlink>
      <w:r w:rsidRPr="00E74180">
        <w:t xml:space="preserve"> (Accessed: 23 September 2026)</w:t>
      </w:r>
    </w:p>
    <w:p w14:paraId="2BE18E96" w14:textId="77777777" w:rsidR="000F01D0" w:rsidRPr="00E74180" w:rsidRDefault="000F01D0" w:rsidP="000F01D0">
      <w:pPr>
        <w:spacing w:line="360" w:lineRule="auto"/>
        <w:jc w:val="both"/>
      </w:pPr>
      <w:r w:rsidRPr="00E74180">
        <w:t xml:space="preserve">King’s College Hospital NHS Foundation Trust. (2026) </w:t>
      </w:r>
      <w:r w:rsidRPr="00E74180">
        <w:rPr>
          <w:i/>
          <w:iCs/>
        </w:rPr>
        <w:t>Epic - our new Electronic Health Record</w:t>
      </w:r>
      <w:r w:rsidRPr="00E74180">
        <w:t xml:space="preserve">. [online] Available at: </w:t>
      </w:r>
      <w:hyperlink r:id="rId12" w:history="1">
        <w:r w:rsidRPr="00E74180">
          <w:rPr>
            <w:rStyle w:val="Hyperlink"/>
          </w:rPr>
          <w:t>https://www.kch.nhs.uk/about/electronic-health-record/</w:t>
        </w:r>
      </w:hyperlink>
      <w:r w:rsidRPr="00E74180">
        <w:t xml:space="preserve"> (Accessed 23 Sept. 2026)</w:t>
      </w:r>
    </w:p>
    <w:p w14:paraId="0727DEA5" w14:textId="77777777" w:rsidR="000F01D0" w:rsidRPr="00E74180" w:rsidRDefault="000F01D0" w:rsidP="000F01D0">
      <w:pPr>
        <w:spacing w:line="360" w:lineRule="auto"/>
        <w:jc w:val="both"/>
      </w:pPr>
      <w:r w:rsidRPr="00E74180">
        <w:t xml:space="preserve">Lawrence, A., Krelle, H., Horton, T and Gerhold, M. (2025) </w:t>
      </w:r>
      <w:r w:rsidRPr="00E74180">
        <w:rPr>
          <w:i/>
          <w:iCs/>
        </w:rPr>
        <w:t xml:space="preserve">Electronic patient records: why the NHS urgently needs a strategy to reap the benefits. </w:t>
      </w:r>
      <w:r w:rsidRPr="00E74180">
        <w:t xml:space="preserve">Available at: </w:t>
      </w:r>
      <w:hyperlink r:id="rId13" w:history="1">
        <w:r w:rsidRPr="00E74180">
          <w:rPr>
            <w:rStyle w:val="Hyperlink"/>
          </w:rPr>
          <w:t>https://www.health.org.uk/reports-and-analysis/analysis/electronic-patient-records-nhs-strategy</w:t>
        </w:r>
      </w:hyperlink>
      <w:r w:rsidRPr="00E74180">
        <w:t xml:space="preserve"> (Accessed: 20 September 2026)</w:t>
      </w:r>
    </w:p>
    <w:p w14:paraId="1F9524BA" w14:textId="77777777" w:rsidR="000F01D0" w:rsidRPr="00E74180" w:rsidRDefault="000F01D0" w:rsidP="000F01D0">
      <w:pPr>
        <w:spacing w:line="360" w:lineRule="auto"/>
        <w:jc w:val="both"/>
      </w:pPr>
      <w:r w:rsidRPr="00E74180">
        <w:t xml:space="preserve">Manchester University NHS Foundation Trust (2023) </w:t>
      </w:r>
      <w:r w:rsidRPr="00E74180">
        <w:rPr>
          <w:i/>
          <w:iCs/>
        </w:rPr>
        <w:t>The Trust</w:t>
      </w:r>
      <w:r w:rsidRPr="00E74180">
        <w:t xml:space="preserve">. Available at: </w:t>
      </w:r>
      <w:hyperlink r:id="rId14" w:history="1">
        <w:r w:rsidRPr="00E74180">
          <w:rPr>
            <w:rStyle w:val="Hyperlink"/>
          </w:rPr>
          <w:t>https://mft.nhs.uk/the-trust/</w:t>
        </w:r>
      </w:hyperlink>
      <w:r w:rsidRPr="00E74180">
        <w:t xml:space="preserve"> (Accessed: 21 September 2026)</w:t>
      </w:r>
    </w:p>
    <w:p w14:paraId="37AEC3AB" w14:textId="77777777" w:rsidR="000F01D0" w:rsidRPr="00E74180" w:rsidRDefault="000F01D0" w:rsidP="000F01D0">
      <w:pPr>
        <w:spacing w:line="360" w:lineRule="auto"/>
        <w:jc w:val="both"/>
      </w:pPr>
      <w:r w:rsidRPr="00E74180">
        <w:t xml:space="preserve">Manchester University NHS Foundation Trust. (2026) </w:t>
      </w:r>
      <w:r w:rsidRPr="00E74180">
        <w:rPr>
          <w:i/>
          <w:iCs/>
        </w:rPr>
        <w:t>Hive EPR</w:t>
      </w:r>
      <w:r w:rsidRPr="00E74180">
        <w:t xml:space="preserve">. [online] Available at: </w:t>
      </w:r>
      <w:hyperlink r:id="rId15" w:history="1">
        <w:r w:rsidRPr="00E74180">
          <w:rPr>
            <w:rStyle w:val="Hyperlink"/>
          </w:rPr>
          <w:t>https://mft.nhs.uk/hive-epr/</w:t>
        </w:r>
      </w:hyperlink>
      <w:r w:rsidRPr="00E74180">
        <w:t xml:space="preserve"> (Accessed: 22 September 2026)</w:t>
      </w:r>
    </w:p>
    <w:p w14:paraId="469557A1" w14:textId="77777777" w:rsidR="000F01D0" w:rsidRPr="00E74180" w:rsidRDefault="000F01D0" w:rsidP="000F01D0">
      <w:pPr>
        <w:spacing w:line="360" w:lineRule="auto"/>
        <w:jc w:val="both"/>
      </w:pPr>
      <w:r w:rsidRPr="00E74180">
        <w:t xml:space="preserve">Manchester University NHS Foundation Trust. (2026) </w:t>
      </w:r>
      <w:r w:rsidRPr="00E74180">
        <w:rPr>
          <w:i/>
          <w:iCs/>
        </w:rPr>
        <w:t>Hive EPR</w:t>
      </w:r>
      <w:r w:rsidRPr="00E74180">
        <w:t xml:space="preserve">. [online] Available at: </w:t>
      </w:r>
      <w:hyperlink r:id="rId16" w:history="1">
        <w:r w:rsidRPr="00E74180">
          <w:rPr>
            <w:rStyle w:val="Hyperlink"/>
          </w:rPr>
          <w:t>https://mft.nhs.uk/hive-epr/</w:t>
        </w:r>
      </w:hyperlink>
      <w:r w:rsidRPr="00E74180">
        <w:t xml:space="preserve"> (Accessed 24 September 2026)</w:t>
      </w:r>
    </w:p>
    <w:p w14:paraId="6A4F9387" w14:textId="77777777" w:rsidR="000F01D0" w:rsidRPr="00E74180" w:rsidRDefault="000F01D0" w:rsidP="000F01D0">
      <w:pPr>
        <w:spacing w:line="360" w:lineRule="auto"/>
        <w:jc w:val="both"/>
      </w:pPr>
      <w:r w:rsidRPr="00E74180">
        <w:t xml:space="preserve">Maru, W., Derese, T.M., Sharew, M.M., Damtew, W.A. and Demsash, A. (2022) ‘Knowledge sharing practice and its associated factors among health professionals in Ethiopia: Systematic review and meta-analysis,’ </w:t>
      </w:r>
      <w:r w:rsidRPr="00E74180">
        <w:rPr>
          <w:i/>
          <w:iCs/>
        </w:rPr>
        <w:t>Informatics in Medicine Unlocked</w:t>
      </w:r>
      <w:r w:rsidRPr="00E74180">
        <w:t xml:space="preserve">, [online] 31, p.100967. Available at: </w:t>
      </w:r>
      <w:hyperlink r:id="rId17" w:history="1">
        <w:r w:rsidRPr="00E74180">
          <w:rPr>
            <w:rStyle w:val="Hyperlink"/>
          </w:rPr>
          <w:t>https://www.sciencedirect.com/science/article/pii/S2352914822001137</w:t>
        </w:r>
      </w:hyperlink>
      <w:r w:rsidRPr="00E74180">
        <w:t xml:space="preserve"> </w:t>
      </w:r>
    </w:p>
    <w:p w14:paraId="09DB8C4B" w14:textId="77777777" w:rsidR="000F01D0" w:rsidRPr="00E74180" w:rsidRDefault="000F01D0" w:rsidP="000F01D0">
      <w:pPr>
        <w:spacing w:line="360" w:lineRule="auto"/>
        <w:jc w:val="both"/>
      </w:pPr>
      <w:r w:rsidRPr="00E74180">
        <w:t xml:space="preserve">MFT (2018) </w:t>
      </w:r>
      <w:r w:rsidRPr="00E74180">
        <w:rPr>
          <w:i/>
          <w:iCs/>
        </w:rPr>
        <w:t>The Trust - Manchester University NHS Foundation Trust</w:t>
      </w:r>
      <w:r w:rsidRPr="00E74180">
        <w:t xml:space="preserve">. [online] Manchester University NHS Foundation Trust. Available at: </w:t>
      </w:r>
      <w:hyperlink r:id="rId18" w:history="1">
        <w:r w:rsidRPr="00E74180">
          <w:rPr>
            <w:rStyle w:val="Hyperlink"/>
          </w:rPr>
          <w:t>https://mft.nhs.uk/the-trust/</w:t>
        </w:r>
      </w:hyperlink>
      <w:r w:rsidRPr="00E74180">
        <w:t xml:space="preserve"> (Accessed 24 September 2026)</w:t>
      </w:r>
    </w:p>
    <w:p w14:paraId="46A1E273" w14:textId="77777777" w:rsidR="000F01D0" w:rsidRPr="00E74180" w:rsidRDefault="000F01D0" w:rsidP="000F01D0">
      <w:pPr>
        <w:spacing w:line="360" w:lineRule="auto"/>
        <w:jc w:val="both"/>
      </w:pPr>
      <w:r w:rsidRPr="00E74180">
        <w:lastRenderedPageBreak/>
        <w:t xml:space="preserve">NHS. (2022) </w:t>
      </w:r>
      <w:r w:rsidRPr="00E74180">
        <w:rPr>
          <w:i/>
          <w:iCs/>
        </w:rPr>
        <w:t xml:space="preserve">Equality, Diversity and Inclusion Annual Report. </w:t>
      </w:r>
      <w:r w:rsidRPr="00E74180">
        <w:t xml:space="preserve">[Online] Available at: </w:t>
      </w:r>
      <w:hyperlink r:id="rId19" w:history="1">
        <w:r w:rsidRPr="00E74180">
          <w:rPr>
            <w:rStyle w:val="Hyperlink"/>
          </w:rPr>
          <w:t>https://mft.nhs.uk/app/uploads/2023/03/Equality-Diversity-and-Inclusion-Annual-Report-2022.pdf</w:t>
        </w:r>
      </w:hyperlink>
      <w:r w:rsidRPr="00E74180">
        <w:t xml:space="preserve"> (Accessed 24 September 2026)</w:t>
      </w:r>
    </w:p>
    <w:p w14:paraId="4B794160" w14:textId="77777777" w:rsidR="000F01D0" w:rsidRPr="00E74180" w:rsidRDefault="000F01D0" w:rsidP="000F01D0">
      <w:pPr>
        <w:spacing w:line="360" w:lineRule="auto"/>
        <w:jc w:val="both"/>
      </w:pPr>
      <w:r w:rsidRPr="00E74180">
        <w:t xml:space="preserve">NHS. (2022) </w:t>
      </w:r>
      <w:r w:rsidRPr="00E74180">
        <w:rPr>
          <w:i/>
          <w:iCs/>
        </w:rPr>
        <w:t>Hive goes live – New patient record system launches at MFT</w:t>
      </w:r>
      <w:r w:rsidRPr="00E74180">
        <w:t xml:space="preserve">. [online] Manchester University NHS Foundation Trust. Available at: </w:t>
      </w:r>
      <w:hyperlink r:id="rId20" w:history="1">
        <w:r w:rsidRPr="00E74180">
          <w:rPr>
            <w:rStyle w:val="Hyperlink"/>
          </w:rPr>
          <w:t>https://mft.nhs.uk/2022/09/08/hive-goes-live-new-patient-record-system-launches-at-mft/</w:t>
        </w:r>
      </w:hyperlink>
      <w:r w:rsidRPr="00E74180">
        <w:t xml:space="preserve"> (Accessed: 23 September 2026)</w:t>
      </w:r>
    </w:p>
    <w:p w14:paraId="05CDD36D" w14:textId="77777777" w:rsidR="000F01D0" w:rsidRPr="00E74180" w:rsidRDefault="000F01D0" w:rsidP="000F01D0">
      <w:pPr>
        <w:spacing w:line="360" w:lineRule="auto"/>
        <w:jc w:val="both"/>
      </w:pPr>
      <w:r w:rsidRPr="00E74180">
        <w:t xml:space="preserve">Silva, J.B. da, Marti, M., Báscolo, E., Fitzgerald, J., Valdez, M.L., Sealey-Thomas, R., Richards, L., Saiso, S.G., Riviere-Cinnamond, A., Morales, A., Treasure, A., Farias, M., Haddad, A., Galiano, S., Houghton, N. and D’Agostino, M. (2025) ‘Digital transformation to overcoming access barriers,’ </w:t>
      </w:r>
      <w:r w:rsidRPr="00E74180">
        <w:rPr>
          <w:i/>
          <w:iCs/>
        </w:rPr>
        <w:t>Revista Panamericana de Salud Pública</w:t>
      </w:r>
      <w:r w:rsidRPr="00E74180">
        <w:t xml:space="preserve">, [online] 49, p.1. Available at: </w:t>
      </w:r>
      <w:hyperlink r:id="rId21" w:history="1">
        <w:r w:rsidRPr="00E74180">
          <w:rPr>
            <w:rStyle w:val="Hyperlink"/>
          </w:rPr>
          <w:t>https://pmc.ncbi.nlm.nih.gov/articles/PMC12606510/</w:t>
        </w:r>
      </w:hyperlink>
      <w:r w:rsidRPr="00E74180">
        <w:t xml:space="preserve"> </w:t>
      </w:r>
    </w:p>
    <w:p w14:paraId="00000032" w14:textId="5C891761" w:rsidR="004D738F" w:rsidRDefault="000F01D0" w:rsidP="000F01D0">
      <w:pPr>
        <w:spacing w:line="360" w:lineRule="auto"/>
        <w:jc w:val="both"/>
      </w:pPr>
      <w:r w:rsidRPr="00E74180">
        <w:t xml:space="preserve">The Health Foundation. (2024) </w:t>
      </w:r>
      <w:r w:rsidRPr="00E74180">
        <w:rPr>
          <w:i/>
          <w:iCs/>
        </w:rPr>
        <w:t>Electronic patient record systems in England: what do NHS staff think?</w:t>
      </w:r>
      <w:r w:rsidRPr="00E74180">
        <w:t xml:space="preserve"> [online] Available at: </w:t>
      </w:r>
      <w:hyperlink r:id="rId22" w:history="1">
        <w:r w:rsidRPr="00E74180">
          <w:rPr>
            <w:rStyle w:val="Hyperlink"/>
          </w:rPr>
          <w:t>https://www.health.org.uk/reports-and-analysis/analysis/electronic-patient-record-systems-in-england-what-do-nhs-staff-think</w:t>
        </w:r>
      </w:hyperlink>
      <w:r w:rsidRPr="00E74180">
        <w:t xml:space="preserve"> (Accessed: 21 September 2026)</w:t>
      </w:r>
      <w:r>
        <w:t xml:space="preserve"> </w:t>
      </w:r>
    </w:p>
    <w:sectPr w:rsidR="004D738F">
      <w:headerReference w:type="even" r:id="rId23"/>
      <w:headerReference w:type="default" r:id="rId24"/>
      <w:footerReference w:type="even" r:id="rId25"/>
      <w:footerReference w:type="default" r:id="rId26"/>
      <w:headerReference w:type="first" r:id="rId27"/>
      <w:footerReference w:type="firs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31E4E" w14:textId="77777777" w:rsidR="00055C0C" w:rsidRDefault="00055C0C" w:rsidP="004D160B">
      <w:pPr>
        <w:spacing w:line="240" w:lineRule="auto"/>
      </w:pPr>
      <w:r>
        <w:separator/>
      </w:r>
    </w:p>
  </w:endnote>
  <w:endnote w:type="continuationSeparator" w:id="0">
    <w:p w14:paraId="618A7E35" w14:textId="77777777" w:rsidR="00055C0C" w:rsidRDefault="00055C0C" w:rsidP="004D16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BB5ADD-55F1-4A9A-BC8D-C98452C5667C}"/>
  </w:font>
  <w:font w:name="Cambria">
    <w:panose1 w:val="02040503050406030204"/>
    <w:charset w:val="00"/>
    <w:family w:val="roman"/>
    <w:pitch w:val="variable"/>
    <w:sig w:usb0="E00006FF" w:usb1="420024FF" w:usb2="02000000" w:usb3="00000000" w:csb0="0000019F" w:csb1="00000000"/>
    <w:embedRegular r:id="rId2" w:fontKey="{E1261464-8107-4C1C-B884-8BE3AEA5BA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C2089" w14:textId="77777777" w:rsidR="009E75E1" w:rsidRDefault="009E7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919679"/>
      <w:docPartObj>
        <w:docPartGallery w:val="Page Numbers (Bottom of Page)"/>
        <w:docPartUnique/>
      </w:docPartObj>
    </w:sdtPr>
    <w:sdtContent>
      <w:p w14:paraId="2F0B4CE3" w14:textId="628458CD" w:rsidR="009E75E1" w:rsidRDefault="009E75E1">
        <w:pPr>
          <w:pStyle w:val="Footer"/>
          <w:jc w:val="center"/>
        </w:pPr>
        <w:r>
          <w:fldChar w:fldCharType="begin"/>
        </w:r>
        <w:r>
          <w:instrText>PAGE   \* MERGEFORMAT</w:instrText>
        </w:r>
        <w:r>
          <w:fldChar w:fldCharType="separate"/>
        </w:r>
        <w:r>
          <w:t>2</w:t>
        </w:r>
        <w:r>
          <w:fldChar w:fldCharType="end"/>
        </w:r>
      </w:p>
    </w:sdtContent>
  </w:sdt>
  <w:p w14:paraId="1E00F051" w14:textId="77777777" w:rsidR="001C78E0" w:rsidRDefault="001C78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CD907" w14:textId="77777777" w:rsidR="009E75E1" w:rsidRDefault="009E7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80444" w14:textId="77777777" w:rsidR="00055C0C" w:rsidRDefault="00055C0C" w:rsidP="004D160B">
      <w:pPr>
        <w:spacing w:line="240" w:lineRule="auto"/>
      </w:pPr>
      <w:r>
        <w:separator/>
      </w:r>
    </w:p>
  </w:footnote>
  <w:footnote w:type="continuationSeparator" w:id="0">
    <w:p w14:paraId="3648880C" w14:textId="77777777" w:rsidR="00055C0C" w:rsidRDefault="00055C0C" w:rsidP="004D16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3071" w14:textId="77777777" w:rsidR="009E75E1" w:rsidRDefault="009E7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9E381" w14:textId="77777777" w:rsidR="009E75E1" w:rsidRDefault="009E75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DBEF0" w14:textId="77777777" w:rsidR="009E75E1" w:rsidRDefault="009E7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22B08"/>
    <w:multiLevelType w:val="hybridMultilevel"/>
    <w:tmpl w:val="A2E47AD2"/>
    <w:lvl w:ilvl="0" w:tplc="FD3ED7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1989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8F"/>
    <w:rsid w:val="00055C0C"/>
    <w:rsid w:val="000965AB"/>
    <w:rsid w:val="000F01D0"/>
    <w:rsid w:val="001C78E0"/>
    <w:rsid w:val="00224462"/>
    <w:rsid w:val="00321123"/>
    <w:rsid w:val="004D160B"/>
    <w:rsid w:val="004D738F"/>
    <w:rsid w:val="005A6F01"/>
    <w:rsid w:val="006903EF"/>
    <w:rsid w:val="00826AA6"/>
    <w:rsid w:val="009E75E1"/>
    <w:rsid w:val="00BA5B86"/>
    <w:rsid w:val="00D72492"/>
    <w:rsid w:val="00D73ED6"/>
    <w:rsid w:val="00E72EB5"/>
    <w:rsid w:val="00E93341"/>
    <w:rsid w:val="00F8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A74AA"/>
  <w15:docId w15:val="{0B9F9DB4-09C4-45BE-A666-7A9A38CDC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F01D0"/>
    <w:pPr>
      <w:ind w:left="720"/>
      <w:contextualSpacing/>
    </w:pPr>
  </w:style>
  <w:style w:type="character" w:styleId="Hyperlink">
    <w:name w:val="Hyperlink"/>
    <w:basedOn w:val="DefaultParagraphFont"/>
    <w:uiPriority w:val="99"/>
    <w:unhideWhenUsed/>
    <w:rsid w:val="000F01D0"/>
    <w:rPr>
      <w:color w:val="0000FF" w:themeColor="hyperlink"/>
      <w:u w:val="single"/>
    </w:rPr>
  </w:style>
  <w:style w:type="paragraph" w:styleId="Header">
    <w:name w:val="header"/>
    <w:basedOn w:val="Normal"/>
    <w:link w:val="HeaderChar"/>
    <w:uiPriority w:val="99"/>
    <w:unhideWhenUsed/>
    <w:rsid w:val="004D160B"/>
    <w:pPr>
      <w:tabs>
        <w:tab w:val="center" w:pos="4513"/>
        <w:tab w:val="right" w:pos="9026"/>
      </w:tabs>
      <w:spacing w:line="240" w:lineRule="auto"/>
    </w:pPr>
  </w:style>
  <w:style w:type="character" w:customStyle="1" w:styleId="HeaderChar">
    <w:name w:val="Header Char"/>
    <w:basedOn w:val="DefaultParagraphFont"/>
    <w:link w:val="Header"/>
    <w:uiPriority w:val="99"/>
    <w:rsid w:val="004D160B"/>
  </w:style>
  <w:style w:type="paragraph" w:styleId="Footer">
    <w:name w:val="footer"/>
    <w:basedOn w:val="Normal"/>
    <w:link w:val="FooterChar"/>
    <w:uiPriority w:val="99"/>
    <w:unhideWhenUsed/>
    <w:rsid w:val="004D160B"/>
    <w:pPr>
      <w:tabs>
        <w:tab w:val="center" w:pos="4513"/>
        <w:tab w:val="right" w:pos="9026"/>
      </w:tabs>
      <w:spacing w:line="240" w:lineRule="auto"/>
    </w:pPr>
  </w:style>
  <w:style w:type="character" w:customStyle="1" w:styleId="FooterChar">
    <w:name w:val="Footer Char"/>
    <w:basedOn w:val="DefaultParagraphFont"/>
    <w:link w:val="Footer"/>
    <w:uiPriority w:val="99"/>
    <w:rsid w:val="004D1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949856226000644" TargetMode="External"/><Relationship Id="rId13" Type="http://schemas.openxmlformats.org/officeDocument/2006/relationships/hyperlink" Target="https://www.health.org.uk/reports-and-analysis/analysis/electronic-patient-records-nhs-strategy" TargetMode="External"/><Relationship Id="rId18" Type="http://schemas.openxmlformats.org/officeDocument/2006/relationships/hyperlink" Target="https://mft.nhs.uk/the-trust/"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pmc.ncbi.nlm.nih.gov/articles/PMC12606510/" TargetMode="External"/><Relationship Id="rId7" Type="http://schemas.openxmlformats.org/officeDocument/2006/relationships/image" Target="media/image1.png"/><Relationship Id="rId12" Type="http://schemas.openxmlformats.org/officeDocument/2006/relationships/hyperlink" Target="https://www.kch.nhs.uk/about/electronic-health-record/" TargetMode="External"/><Relationship Id="rId17" Type="http://schemas.openxmlformats.org/officeDocument/2006/relationships/hyperlink" Target="https://www.sciencedirect.com/science/article/pii/S235291482200113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ft.nhs.uk/hive-epr/" TargetMode="External"/><Relationship Id="rId20" Type="http://schemas.openxmlformats.org/officeDocument/2006/relationships/hyperlink" Target="https://mft.nhs.uk/2022/09/08/hive-goes-live-new-patient-record-system-launches-at-mf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yland.com/en/customers/mft"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mft.nhs.uk/hive-ep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pubmed.ncbi.nlm.nih.gov/37846824/" TargetMode="External"/><Relationship Id="rId19" Type="http://schemas.openxmlformats.org/officeDocument/2006/relationships/hyperlink" Target="https://mft.nhs.uk/app/uploads/2023/03/Equality-Diversity-and-Inclusion-Annual-Report-2022.pdf" TargetMode="External"/><Relationship Id="rId4" Type="http://schemas.openxmlformats.org/officeDocument/2006/relationships/webSettings" Target="webSettings.xml"/><Relationship Id="rId9" Type="http://schemas.openxmlformats.org/officeDocument/2006/relationships/hyperlink" Target="https://mft.nhs.uk/app/uploads/2023/12/Hive-Insights-and-benefits-Report-FINAL.pdf" TargetMode="External"/><Relationship Id="rId14" Type="http://schemas.openxmlformats.org/officeDocument/2006/relationships/hyperlink" Target="https://mft.nhs.uk/the-trust/" TargetMode="External"/><Relationship Id="rId22" Type="http://schemas.openxmlformats.org/officeDocument/2006/relationships/hyperlink" Target="https://www.health.org.uk/reports-and-analysis/analysis/electronic-patient-record-systems-in-england-what-do-nhs-staff-think" TargetMode="External"/><Relationship Id="rId27" Type="http://schemas.openxmlformats.org/officeDocument/2006/relationships/header" Target="header3.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3172</Words>
  <Characters>18083</Characters>
  <Application>Microsoft Office Word</Application>
  <DocSecurity>0</DocSecurity>
  <Lines>150</Lines>
  <Paragraphs>42</Paragraphs>
  <ScaleCrop>false</ScaleCrop>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Chinaemerem Ihenacho</cp:lastModifiedBy>
  <cp:revision>3</cp:revision>
  <dcterms:created xsi:type="dcterms:W3CDTF">2026-10-19T06:04:00Z</dcterms:created>
  <dcterms:modified xsi:type="dcterms:W3CDTF">2026-10-19T06:32:00Z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b8a5e724-c5bf-4110-b19f-c30177b0d45c</vt:lpwstr>
  </property>
</Properties>
</file>