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35569335"/>
        <w:docPartObj>
          <w:docPartGallery w:val="Cover Pages"/>
          <w:docPartUnique/>
        </w:docPartObj>
      </w:sdtPr>
      <w:sdtEndPr>
        <w:rPr>
          <w:rFonts w:ascii="Arial" w:eastAsiaTheme="minorHAnsi" w:hAnsi="Arial" w:cs="Arial"/>
        </w:rPr>
      </w:sdtEndPr>
      <w:sdtContent>
        <w:p w14:paraId="54C6F23C" w14:textId="5CC1509C" w:rsidR="00263170" w:rsidRDefault="00263170">
          <w:pPr>
            <w:pStyle w:val="NoSpacing"/>
          </w:pPr>
          <w:r>
            <w:rPr>
              <w:noProof/>
            </w:rPr>
            <mc:AlternateContent>
              <mc:Choice Requires="wpg">
                <w:drawing>
                  <wp:anchor distT="0" distB="0" distL="114300" distR="114300" simplePos="0" relativeHeight="251659264" behindDoc="1" locked="0" layoutInCell="1" allowOverlap="1" wp14:anchorId="6F47DD0F" wp14:editId="32F86C8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11-25T00:00:00Z">
                                      <w:dateFormat w:val="M/d/yyyy"/>
                                      <w:lid w:val="en-US"/>
                                      <w:storeMappedDataAs w:val="dateTime"/>
                                      <w:calendar w:val="gregorian"/>
                                    </w:date>
                                  </w:sdtPr>
                                  <w:sdtContent>
                                    <w:p w14:paraId="6FFEB449" w14:textId="35F58804" w:rsidR="00263170" w:rsidRDefault="00263170">
                                      <w:pPr>
                                        <w:pStyle w:val="NoSpacing"/>
                                        <w:jc w:val="right"/>
                                        <w:rPr>
                                          <w:color w:val="FFFFFF" w:themeColor="background1"/>
                                          <w:sz w:val="28"/>
                                          <w:szCs w:val="28"/>
                                        </w:rPr>
                                      </w:pPr>
                                      <w:r>
                                        <w:rPr>
                                          <w:color w:val="FFFFFF" w:themeColor="background1"/>
                                          <w:sz w:val="28"/>
                                          <w:szCs w:val="28"/>
                                        </w:rPr>
                                        <w:t>11/25/2022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F47DD0F"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11-25T00:00:00Z">
                                <w:dateFormat w:val="M/d/yyyy"/>
                                <w:lid w:val="en-US"/>
                                <w:storeMappedDataAs w:val="dateTime"/>
                                <w:calendar w:val="gregorian"/>
                              </w:date>
                            </w:sdtPr>
                            <w:sdtContent>
                              <w:p w14:paraId="6FFEB449" w14:textId="35F58804" w:rsidR="00263170" w:rsidRDefault="00263170">
                                <w:pPr>
                                  <w:pStyle w:val="NoSpacing"/>
                                  <w:jc w:val="right"/>
                                  <w:rPr>
                                    <w:color w:val="FFFFFF" w:themeColor="background1"/>
                                    <w:sz w:val="28"/>
                                    <w:szCs w:val="28"/>
                                  </w:rPr>
                                </w:pPr>
                                <w:r>
                                  <w:rPr>
                                    <w:color w:val="FFFFFF" w:themeColor="background1"/>
                                    <w:sz w:val="28"/>
                                    <w:szCs w:val="28"/>
                                  </w:rPr>
                                  <w:t>11/25/2022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576461B" w14:textId="7F3E6987" w:rsidR="00263170" w:rsidRDefault="00B73A1B">
          <w:pPr>
            <w:rPr>
              <w:rFonts w:ascii="Arial" w:hAnsi="Arial" w:cs="Arial"/>
            </w:rPr>
          </w:pPr>
          <w:r>
            <w:rPr>
              <w:noProof/>
            </w:rPr>
            <mc:AlternateContent>
              <mc:Choice Requires="wps">
                <w:drawing>
                  <wp:anchor distT="0" distB="0" distL="114300" distR="114300" simplePos="0" relativeHeight="251661312" behindDoc="0" locked="0" layoutInCell="1" allowOverlap="1" wp14:anchorId="7F6950D5" wp14:editId="4174796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975100" cy="1047750"/>
                    <wp:effectExtent l="0" t="0" r="6350" b="0"/>
                    <wp:wrapNone/>
                    <wp:docPr id="32" name="Text Box 32"/>
                    <wp:cNvGraphicFramePr/>
                    <a:graphic xmlns:a="http://schemas.openxmlformats.org/drawingml/2006/main">
                      <a:graphicData uri="http://schemas.microsoft.com/office/word/2010/wordprocessingShape">
                        <wps:wsp>
                          <wps:cNvSpPr txBox="1"/>
                          <wps:spPr>
                            <a:xfrm>
                              <a:off x="0" y="0"/>
                              <a:ext cx="3975100" cy="1047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A299B0" w14:textId="6B7D0CA2" w:rsidR="00263170" w:rsidRDefault="00263170">
                                <w:pPr>
                                  <w:pStyle w:val="NoSpacing"/>
                                  <w:rPr>
                                    <w:color w:val="4472C4" w:themeColor="accent1"/>
                                    <w:sz w:val="26"/>
                                    <w:szCs w:val="26"/>
                                  </w:rPr>
                                </w:pPr>
                                <w:sdt>
                                  <w:sdtPr>
                                    <w:rPr>
                                      <w:color w:val="4472C4"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B73A1B">
                                      <w:rPr>
                                        <w:color w:val="4472C4" w:themeColor="accent1"/>
                                        <w:sz w:val="26"/>
                                        <w:szCs w:val="26"/>
                                      </w:rPr>
                                      <w:t xml:space="preserve">     </w:t>
                                    </w:r>
                                  </w:sdtContent>
                                </w:sdt>
                              </w:p>
                              <w:p w14:paraId="72EEBD51" w14:textId="2BC96828" w:rsidR="00263170" w:rsidRDefault="00B73A1B" w:rsidP="00B73A1B">
                                <w:pPr>
                                  <w:pStyle w:val="NoSpacing"/>
                                  <w:rPr>
                                    <w:color w:val="595959" w:themeColor="text1" w:themeTint="A6"/>
                                    <w:sz w:val="20"/>
                                    <w:szCs w:val="20"/>
                                  </w:rPr>
                                </w:pPr>
                                <w:sdt>
                                  <w:sdtPr>
                                    <w:rPr>
                                      <w:rFonts w:ascii="Arial" w:eastAsiaTheme="minorHAnsi" w:hAnsi="Arial" w:cs="Arial"/>
                                    </w:rPr>
                                    <w:alias w:val="Company"/>
                                    <w:tag w:val=""/>
                                    <w:id w:val="1558814826"/>
                                    <w:dataBinding w:prefixMappings="xmlns:ns0='http://schemas.openxmlformats.org/officeDocument/2006/extended-properties' " w:xpath="/ns0:Properties[1]/ns0:Company[1]" w:storeItemID="{6668398D-A668-4E3E-A5EB-62B293D839F1}"/>
                                    <w:text/>
                                  </w:sdtPr>
                                  <w:sdtContent>
                                    <w:r w:rsidRPr="00B73A1B">
                                      <w:rPr>
                                        <w:rFonts w:ascii="Arial" w:eastAsiaTheme="minorHAnsi" w:hAnsi="Arial" w:cs="Arial"/>
                                      </w:rPr>
                                      <w:t>Course: Community Engagement</w:t>
                                    </w:r>
                                    <w:r>
                                      <w:rPr>
                                        <w:rFonts w:ascii="Arial" w:eastAsiaTheme="minorHAnsi" w:hAnsi="Arial" w:cs="Arial"/>
                                      </w:rPr>
                                      <w:t xml:space="preserve">                                  </w:t>
                                    </w:r>
                                    <w:r w:rsidRPr="00B73A1B">
                                      <w:rPr>
                                        <w:rFonts w:ascii="Arial" w:eastAsiaTheme="minorHAnsi" w:hAnsi="Arial" w:cs="Arial"/>
                                      </w:rPr>
                                      <w:t>Professor:</w:t>
                                    </w:r>
                                    <w:r>
                                      <w:rPr>
                                        <w:rFonts w:ascii="Arial" w:eastAsiaTheme="minorHAnsi" w:hAnsi="Arial" w:cs="Arial"/>
                                      </w:rPr>
                                      <w:t xml:space="preserve"> </w:t>
                                    </w:r>
                                    <w:r w:rsidRPr="00B73A1B">
                                      <w:rPr>
                                        <w:rFonts w:ascii="Arial" w:eastAsiaTheme="minorHAnsi" w:hAnsi="Arial" w:cs="Arial"/>
                                      </w:rPr>
                                      <w:t xml:space="preserve">Zahra </w:t>
                                    </w:r>
                                    <w:proofErr w:type="spellStart"/>
                                    <w:r w:rsidRPr="00B73A1B">
                                      <w:rPr>
                                        <w:rFonts w:ascii="Arial" w:eastAsiaTheme="minorHAnsi" w:hAnsi="Arial" w:cs="Arial"/>
                                      </w:rPr>
                                      <w:t>Mohammadnazari</w:t>
                                    </w:r>
                                    <w:proofErr w:type="spellEnd"/>
                                    <w:r>
                                      <w:rPr>
                                        <w:rFonts w:ascii="Arial" w:eastAsiaTheme="minorHAnsi" w:hAnsi="Arial" w:cs="Arial"/>
                                      </w:rPr>
                                      <w:t xml:space="preserve">                                               </w:t>
                                    </w:r>
                                    <w:r w:rsidRPr="00B73A1B">
                                      <w:rPr>
                                        <w:rFonts w:ascii="Arial" w:eastAsiaTheme="minorHAnsi" w:hAnsi="Arial" w:cs="Arial"/>
                                      </w:rPr>
                                      <w:t>Institution:</w:t>
                                    </w:r>
                                    <w:r>
                                      <w:rPr>
                                        <w:rFonts w:ascii="Arial" w:eastAsiaTheme="minorHAnsi" w:hAnsi="Arial" w:cs="Arial"/>
                                      </w:rPr>
                                      <w:t xml:space="preserve"> </w:t>
                                    </w:r>
                                    <w:r w:rsidRPr="00B73A1B">
                                      <w:rPr>
                                        <w:rFonts w:ascii="Arial" w:eastAsiaTheme="minorHAnsi" w:hAnsi="Arial" w:cs="Arial"/>
                                      </w:rPr>
                                      <w:t>University of Wales Trinity Saint David</w:t>
                                    </w:r>
                                    <w:r>
                                      <w:rPr>
                                        <w:rFonts w:ascii="Arial" w:eastAsiaTheme="minorHAnsi" w:hAnsi="Arial" w:cs="Arial"/>
                                      </w:rPr>
                                      <w:t xml:space="preserve">                 </w:t>
                                    </w:r>
                                    <w:r w:rsidRPr="00B73A1B">
                                      <w:rPr>
                                        <w:rFonts w:ascii="Arial" w:eastAsiaTheme="minorHAnsi" w:hAnsi="Arial" w:cs="Arial"/>
                                      </w:rPr>
                                      <w:t>City: Birmingham</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F6950D5" id="_x0000_t202" coordsize="21600,21600" o:spt="202" path="m,l,21600r21600,l21600,xe">
                    <v:stroke joinstyle="miter"/>
                    <v:path gradientshapeok="t" o:connecttype="rect"/>
                  </v:shapetype>
                  <v:shape id="Text Box 32" o:spid="_x0000_s1055" type="#_x0000_t202" style="position:absolute;margin-left:0;margin-top:0;width:313pt;height:82.5pt;z-index:251661312;visibility:visible;mso-wrap-style:square;mso-width-percent:0;mso-height-percent:0;mso-left-percent:420;mso-top-percent:880;mso-wrap-distance-left:9pt;mso-wrap-distance-top:0;mso-wrap-distance-right:9pt;mso-wrap-distance-bottom:0;mso-position-horizontal-relative:page;mso-position-vertical-relative:page;mso-width-percent: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" filled="f" stroked="f" strokeweight=".5pt">
                    <v:textbox inset="0,0,0,0">
                      <w:txbxContent>
                        <w:p w14:paraId="42A299B0" w14:textId="6B7D0CA2" w:rsidR="00263170" w:rsidRDefault="00263170">
                          <w:pPr>
                            <w:pStyle w:val="NoSpacing"/>
                            <w:rPr>
                              <w:color w:val="4472C4" w:themeColor="accent1"/>
                              <w:sz w:val="26"/>
                              <w:szCs w:val="26"/>
                            </w:rPr>
                          </w:pPr>
                          <w:sdt>
                            <w:sdtPr>
                              <w:rPr>
                                <w:color w:val="4472C4"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B73A1B">
                                <w:rPr>
                                  <w:color w:val="4472C4" w:themeColor="accent1"/>
                                  <w:sz w:val="26"/>
                                  <w:szCs w:val="26"/>
                                </w:rPr>
                                <w:t xml:space="preserve">     </w:t>
                              </w:r>
                            </w:sdtContent>
                          </w:sdt>
                        </w:p>
                        <w:p w14:paraId="72EEBD51" w14:textId="2BC96828" w:rsidR="00263170" w:rsidRDefault="00B73A1B" w:rsidP="00B73A1B">
                          <w:pPr>
                            <w:pStyle w:val="NoSpacing"/>
                            <w:rPr>
                              <w:color w:val="595959" w:themeColor="text1" w:themeTint="A6"/>
                              <w:sz w:val="20"/>
                              <w:szCs w:val="20"/>
                            </w:rPr>
                          </w:pPr>
                          <w:sdt>
                            <w:sdtPr>
                              <w:rPr>
                                <w:rFonts w:ascii="Arial" w:eastAsiaTheme="minorHAnsi" w:hAnsi="Arial" w:cs="Arial"/>
                              </w:rPr>
                              <w:alias w:val="Company"/>
                              <w:tag w:val=""/>
                              <w:id w:val="1558814826"/>
                              <w:dataBinding w:prefixMappings="xmlns:ns0='http://schemas.openxmlformats.org/officeDocument/2006/extended-properties' " w:xpath="/ns0:Properties[1]/ns0:Company[1]" w:storeItemID="{6668398D-A668-4E3E-A5EB-62B293D839F1}"/>
                              <w:text/>
                            </w:sdtPr>
                            <w:sdtContent>
                              <w:r w:rsidRPr="00B73A1B">
                                <w:rPr>
                                  <w:rFonts w:ascii="Arial" w:eastAsiaTheme="minorHAnsi" w:hAnsi="Arial" w:cs="Arial"/>
                                </w:rPr>
                                <w:t>Course: Community Engagement</w:t>
                              </w:r>
                              <w:r>
                                <w:rPr>
                                  <w:rFonts w:ascii="Arial" w:eastAsiaTheme="minorHAnsi" w:hAnsi="Arial" w:cs="Arial"/>
                                </w:rPr>
                                <w:t xml:space="preserve">                                  </w:t>
                              </w:r>
                              <w:r w:rsidRPr="00B73A1B">
                                <w:rPr>
                                  <w:rFonts w:ascii="Arial" w:eastAsiaTheme="minorHAnsi" w:hAnsi="Arial" w:cs="Arial"/>
                                </w:rPr>
                                <w:t>Professor:</w:t>
                              </w:r>
                              <w:r>
                                <w:rPr>
                                  <w:rFonts w:ascii="Arial" w:eastAsiaTheme="minorHAnsi" w:hAnsi="Arial" w:cs="Arial"/>
                                </w:rPr>
                                <w:t xml:space="preserve"> </w:t>
                              </w:r>
                              <w:r w:rsidRPr="00B73A1B">
                                <w:rPr>
                                  <w:rFonts w:ascii="Arial" w:eastAsiaTheme="minorHAnsi" w:hAnsi="Arial" w:cs="Arial"/>
                                </w:rPr>
                                <w:t xml:space="preserve">Zahra </w:t>
                              </w:r>
                              <w:proofErr w:type="spellStart"/>
                              <w:r w:rsidRPr="00B73A1B">
                                <w:rPr>
                                  <w:rFonts w:ascii="Arial" w:eastAsiaTheme="minorHAnsi" w:hAnsi="Arial" w:cs="Arial"/>
                                </w:rPr>
                                <w:t>Mohammadnazari</w:t>
                              </w:r>
                              <w:proofErr w:type="spellEnd"/>
                              <w:r>
                                <w:rPr>
                                  <w:rFonts w:ascii="Arial" w:eastAsiaTheme="minorHAnsi" w:hAnsi="Arial" w:cs="Arial"/>
                                </w:rPr>
                                <w:t xml:space="preserve">                                               </w:t>
                              </w:r>
                              <w:r w:rsidRPr="00B73A1B">
                                <w:rPr>
                                  <w:rFonts w:ascii="Arial" w:eastAsiaTheme="minorHAnsi" w:hAnsi="Arial" w:cs="Arial"/>
                                </w:rPr>
                                <w:t>Institution:</w:t>
                              </w:r>
                              <w:r>
                                <w:rPr>
                                  <w:rFonts w:ascii="Arial" w:eastAsiaTheme="minorHAnsi" w:hAnsi="Arial" w:cs="Arial"/>
                                </w:rPr>
                                <w:t xml:space="preserve"> </w:t>
                              </w:r>
                              <w:r w:rsidRPr="00B73A1B">
                                <w:rPr>
                                  <w:rFonts w:ascii="Arial" w:eastAsiaTheme="minorHAnsi" w:hAnsi="Arial" w:cs="Arial"/>
                                </w:rPr>
                                <w:t>University of Wales Trinity Saint David</w:t>
                              </w:r>
                              <w:r>
                                <w:rPr>
                                  <w:rFonts w:ascii="Arial" w:eastAsiaTheme="minorHAnsi" w:hAnsi="Arial" w:cs="Arial"/>
                                </w:rPr>
                                <w:t xml:space="preserve">                 </w:t>
                              </w:r>
                              <w:r w:rsidRPr="00B73A1B">
                                <w:rPr>
                                  <w:rFonts w:ascii="Arial" w:eastAsiaTheme="minorHAnsi" w:hAnsi="Arial" w:cs="Arial"/>
                                </w:rPr>
                                <w:t>City: Birmingham</w:t>
                              </w:r>
                            </w:sdtContent>
                          </w:sdt>
                        </w:p>
                      </w:txbxContent>
                    </v:textbox>
                    <w10:wrap anchorx="page" anchory="page"/>
                  </v:shape>
                </w:pict>
              </mc:Fallback>
            </mc:AlternateContent>
          </w:r>
          <w:r w:rsidR="00263170">
            <w:rPr>
              <w:noProof/>
            </w:rPr>
            <mc:AlternateContent>
              <mc:Choice Requires="wps">
                <w:drawing>
                  <wp:anchor distT="0" distB="0" distL="114300" distR="114300" simplePos="0" relativeHeight="251660288" behindDoc="0" locked="0" layoutInCell="1" allowOverlap="1" wp14:anchorId="20A5E2FA" wp14:editId="2E8CCE37">
                    <wp:simplePos x="0" y="0"/>
                    <wp:positionH relativeFrom="page">
                      <wp:posOffset>2933700</wp:posOffset>
                    </wp:positionH>
                    <wp:positionV relativeFrom="page">
                      <wp:posOffset>1898166</wp:posOffset>
                    </wp:positionV>
                    <wp:extent cx="4406900" cy="1189990"/>
                    <wp:effectExtent l="0" t="0" r="12700" b="10160"/>
                    <wp:wrapNone/>
                    <wp:docPr id="1" name="Text Box 1"/>
                    <wp:cNvGraphicFramePr/>
                    <a:graphic xmlns:a="http://schemas.openxmlformats.org/drawingml/2006/main">
                      <a:graphicData uri="http://schemas.microsoft.com/office/word/2010/wordprocessingShape">
                        <wps:wsp>
                          <wps:cNvSpPr txBox="1"/>
                          <wps:spPr>
                            <a:xfrm>
                              <a:off x="0" y="0"/>
                              <a:ext cx="4406900" cy="1189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6071AC" w14:textId="22A51A90" w:rsidR="00263170" w:rsidRPr="00263170" w:rsidRDefault="00263170">
                                <w:pPr>
                                  <w:pStyle w:val="NoSpacing"/>
                                  <w:rPr>
                                    <w:rFonts w:asciiTheme="majorHAnsi" w:eastAsiaTheme="majorEastAsia" w:hAnsiTheme="majorHAnsi" w:cstheme="majorBidi"/>
                                    <w:color w:val="262626" w:themeColor="text1" w:themeTint="D9"/>
                                    <w:sz w:val="20"/>
                                    <w:szCs w:val="20"/>
                                  </w:rPr>
                                </w:pPr>
                                <w:sdt>
                                  <w:sdtPr>
                                    <w:rPr>
                                      <w:rFonts w:ascii="Arial" w:hAnsi="Arial" w:cs="Arial"/>
                                      <w:b/>
                                      <w:sz w:val="20"/>
                                      <w:szCs w:val="2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63170">
                                      <w:rPr>
                                        <w:rFonts w:ascii="Arial" w:hAnsi="Arial" w:cs="Arial"/>
                                        <w:b/>
                                        <w:sz w:val="20"/>
                                        <w:szCs w:val="20"/>
                                      </w:rPr>
                                      <w:t>COMMUNITY ENGAGEMENT ASSIGNMENT 2 – REFLECTIVE REPORT</w:t>
                                    </w:r>
                                  </w:sdtContent>
                                </w:sdt>
                              </w:p>
                              <w:p w14:paraId="67F59E1C" w14:textId="4E213075" w:rsidR="00263170" w:rsidRDefault="00263170">
                                <w:pPr>
                                  <w:spacing w:before="120"/>
                                  <w:rPr>
                                    <w:color w:val="404040" w:themeColor="text1" w:themeTint="BF"/>
                                    <w:sz w:val="36"/>
                                    <w:szCs w:val="36"/>
                                  </w:rPr>
                                </w:pPr>
                                <w:sdt>
                                  <w:sdtPr>
                                    <w:rPr>
                                      <w:rFonts w:ascii="Arial" w:hAnsi="Arial" w:cs="Arial"/>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263170">
                                      <w:rPr>
                                        <w:rFonts w:ascii="Arial" w:hAnsi="Arial" w:cs="Arial"/>
                                      </w:rPr>
                                      <w:t>Name: Ionica Toader</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0A5E2FA" id="Text Box 1" o:spid="_x0000_s1056" type="#_x0000_t202" style="position:absolute;margin-left:231pt;margin-top:149.45pt;width:347pt;height:93.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" filled="f" stroked="f" strokeweight=".5pt">
                    <v:textbox inset="0,0,0,0">
                      <w:txbxContent>
                        <w:p w14:paraId="2D6071AC" w14:textId="22A51A90" w:rsidR="00263170" w:rsidRPr="00263170" w:rsidRDefault="00263170">
                          <w:pPr>
                            <w:pStyle w:val="NoSpacing"/>
                            <w:rPr>
                              <w:rFonts w:asciiTheme="majorHAnsi" w:eastAsiaTheme="majorEastAsia" w:hAnsiTheme="majorHAnsi" w:cstheme="majorBidi"/>
                              <w:color w:val="262626" w:themeColor="text1" w:themeTint="D9"/>
                              <w:sz w:val="20"/>
                              <w:szCs w:val="20"/>
                            </w:rPr>
                          </w:pPr>
                          <w:sdt>
                            <w:sdtPr>
                              <w:rPr>
                                <w:rFonts w:ascii="Arial" w:hAnsi="Arial" w:cs="Arial"/>
                                <w:b/>
                                <w:sz w:val="20"/>
                                <w:szCs w:val="2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63170">
                                <w:rPr>
                                  <w:rFonts w:ascii="Arial" w:hAnsi="Arial" w:cs="Arial"/>
                                  <w:b/>
                                  <w:sz w:val="20"/>
                                  <w:szCs w:val="20"/>
                                </w:rPr>
                                <w:t>COMMUNITY ENGAGEMENT ASSIGNMENT 2 – REFLECTIVE REPORT</w:t>
                              </w:r>
                            </w:sdtContent>
                          </w:sdt>
                        </w:p>
                        <w:p w14:paraId="67F59E1C" w14:textId="4E213075" w:rsidR="00263170" w:rsidRDefault="00263170">
                          <w:pPr>
                            <w:spacing w:before="120"/>
                            <w:rPr>
                              <w:color w:val="404040" w:themeColor="text1" w:themeTint="BF"/>
                              <w:sz w:val="36"/>
                              <w:szCs w:val="36"/>
                            </w:rPr>
                          </w:pPr>
                          <w:sdt>
                            <w:sdtPr>
                              <w:rPr>
                                <w:rFonts w:ascii="Arial" w:hAnsi="Arial" w:cs="Arial"/>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263170">
                                <w:rPr>
                                  <w:rFonts w:ascii="Arial" w:hAnsi="Arial" w:cs="Arial"/>
                                </w:rPr>
                                <w:t>Name: Ionica Toader</w:t>
                              </w:r>
                            </w:sdtContent>
                          </w:sdt>
                        </w:p>
                      </w:txbxContent>
                    </v:textbox>
                    <w10:wrap anchorx="page" anchory="page"/>
                  </v:shape>
                </w:pict>
              </mc:Fallback>
            </mc:AlternateContent>
          </w:r>
          <w:r w:rsidR="00263170">
            <w:rPr>
              <w:rFonts w:ascii="Arial" w:hAnsi="Arial" w:cs="Arial"/>
            </w:rPr>
            <w:br w:type="page"/>
          </w:r>
        </w:p>
      </w:sdtContent>
    </w:sdt>
    <w:p w14:paraId="633D7053" w14:textId="0252C4D8" w:rsidR="00B93E27" w:rsidRPr="00A41DE6" w:rsidRDefault="00B93E27" w:rsidP="00B73A1B">
      <w:pPr>
        <w:spacing w:after="0" w:line="360" w:lineRule="auto"/>
        <w:rPr>
          <w:rFonts w:ascii="Arial" w:hAnsi="Arial" w:cs="Arial"/>
        </w:rPr>
      </w:pPr>
    </w:p>
    <w:p w14:paraId="365CD14F" w14:textId="77777777" w:rsidR="00E86F1F" w:rsidRDefault="00E86F1F" w:rsidP="00A41DE6">
      <w:pPr>
        <w:spacing w:after="0" w:line="360" w:lineRule="auto"/>
        <w:ind w:firstLine="720"/>
        <w:rPr>
          <w:rFonts w:ascii="Arial" w:hAnsi="Arial" w:cs="Arial"/>
        </w:rPr>
      </w:pPr>
    </w:p>
    <w:p w14:paraId="069A3CD2" w14:textId="68ADA10B" w:rsidR="00AC2A78" w:rsidRPr="00A41DE6" w:rsidRDefault="00AC2A78" w:rsidP="00B73A1B">
      <w:pPr>
        <w:spacing w:after="0" w:line="360" w:lineRule="auto"/>
        <w:rPr>
          <w:rFonts w:ascii="Arial" w:hAnsi="Arial" w:cs="Arial"/>
        </w:rPr>
      </w:pPr>
    </w:p>
    <w:p w14:paraId="70C0E2A5" w14:textId="16693313" w:rsidR="00E86F1F" w:rsidRPr="00E86F1F" w:rsidRDefault="00E86F1F" w:rsidP="00E86F1F">
      <w:pPr>
        <w:spacing w:after="5" w:line="250" w:lineRule="auto"/>
        <w:ind w:left="715" w:right="100"/>
        <w:jc w:val="center"/>
        <w:rPr>
          <w:rFonts w:ascii="Arial" w:hAnsi="Arial" w:cs="Arial"/>
          <w:b/>
          <w:bCs/>
        </w:rPr>
      </w:pPr>
      <w:r w:rsidRPr="00E86F1F">
        <w:rPr>
          <w:rFonts w:ascii="Arial" w:hAnsi="Arial" w:cs="Arial"/>
          <w:b/>
          <w:bCs/>
        </w:rPr>
        <w:t>Assessment Component 2</w:t>
      </w:r>
    </w:p>
    <w:p w14:paraId="19843B0A" w14:textId="77777777" w:rsidR="00E86F1F" w:rsidRDefault="00E86F1F" w:rsidP="00A41DE6">
      <w:pPr>
        <w:spacing w:after="0" w:line="360" w:lineRule="auto"/>
        <w:rPr>
          <w:rFonts w:ascii="Arial" w:hAnsi="Arial" w:cs="Arial"/>
          <w:b/>
          <w:bCs/>
        </w:rPr>
      </w:pPr>
    </w:p>
    <w:p w14:paraId="6472B68A" w14:textId="32F5C49B" w:rsidR="00AC2A78" w:rsidRPr="00A41DE6" w:rsidRDefault="00AC2A78" w:rsidP="00A41DE6">
      <w:pPr>
        <w:spacing w:after="0" w:line="360" w:lineRule="auto"/>
        <w:rPr>
          <w:rFonts w:ascii="Arial" w:hAnsi="Arial" w:cs="Arial"/>
          <w:b/>
          <w:bCs/>
        </w:rPr>
      </w:pPr>
      <w:r w:rsidRPr="00A41DE6">
        <w:rPr>
          <w:rFonts w:ascii="Arial" w:hAnsi="Arial" w:cs="Arial"/>
          <w:b/>
          <w:bCs/>
        </w:rPr>
        <w:t xml:space="preserve">Introduction </w:t>
      </w:r>
    </w:p>
    <w:p w14:paraId="5870FAE8" w14:textId="3464260D" w:rsidR="005775BB" w:rsidRPr="00A41DE6" w:rsidRDefault="007721A1" w:rsidP="00A41DE6">
      <w:pPr>
        <w:spacing w:after="0" w:line="360" w:lineRule="auto"/>
        <w:ind w:firstLine="720"/>
        <w:rPr>
          <w:rFonts w:ascii="Arial" w:hAnsi="Arial" w:cs="Arial"/>
        </w:rPr>
      </w:pPr>
      <w:r w:rsidRPr="00A41DE6">
        <w:rPr>
          <w:rFonts w:ascii="Arial" w:hAnsi="Arial" w:cs="Arial"/>
        </w:rPr>
        <w:t>Reflective practice is a key component of any professional development plan. It allows individuals to step back and critically analyze their performance to identify improvement areas. This self-evaluation process can be a powerful tool for personal and professional growth. There are many different ways to approach reflective practice. One common method is to keep a journal where you document your thoughts and experiences related to your work. This can be a helpful way to track your progress over time and to see patterns in your thinking and behavior. Another way to reflect on your work is to seek feedback from others. This can be done by asking for specific feedback from your supervisor or colleagues or participating in a 360-degree feedback process. Soliciting feedback from those around you can help you to gain a more well-rounded perspective on your performance. No matter what method you choose, the goal of reflective practice is to help you become more aware of your strengths and weaknesses to continue to grow and develop professionally.</w:t>
      </w:r>
      <w:r w:rsidR="00B845CF" w:rsidRPr="00A41DE6">
        <w:rPr>
          <w:rFonts w:ascii="Arial" w:hAnsi="Arial" w:cs="Arial"/>
        </w:rPr>
        <w:t xml:space="preserve"> This report will look at the development effective self-management, communication and interpersonal skills and engaging in reflective practice.  </w:t>
      </w:r>
    </w:p>
    <w:p w14:paraId="0114813D" w14:textId="28E04AB2" w:rsidR="00AC2A78" w:rsidRPr="00A41DE6" w:rsidRDefault="00AC2A78" w:rsidP="00A41DE6">
      <w:pPr>
        <w:spacing w:after="0" w:line="360" w:lineRule="auto"/>
        <w:jc w:val="both"/>
        <w:rPr>
          <w:rFonts w:ascii="Arial" w:hAnsi="Arial" w:cs="Arial"/>
          <w:b/>
          <w:bCs/>
        </w:rPr>
      </w:pPr>
      <w:r w:rsidRPr="00A41DE6">
        <w:rPr>
          <w:rFonts w:ascii="Arial" w:hAnsi="Arial" w:cs="Arial"/>
          <w:b/>
          <w:bCs/>
        </w:rPr>
        <w:t xml:space="preserve">Discussion and analysis </w:t>
      </w:r>
    </w:p>
    <w:p w14:paraId="01568328" w14:textId="5CBB294F" w:rsidR="00397E50" w:rsidRPr="00A41DE6" w:rsidRDefault="007721A1" w:rsidP="00A41DE6">
      <w:pPr>
        <w:spacing w:after="0" w:line="360" w:lineRule="auto"/>
        <w:ind w:firstLine="720"/>
        <w:rPr>
          <w:rFonts w:ascii="Arial" w:hAnsi="Arial" w:cs="Arial"/>
        </w:rPr>
      </w:pPr>
      <w:r w:rsidRPr="00A41DE6">
        <w:rPr>
          <w:rFonts w:ascii="Arial" w:hAnsi="Arial" w:cs="Arial"/>
        </w:rPr>
        <w:t>There are many benefits to engaging in reflective practice. It can help individuals become more self-aware and understand how their actions and behaviors impact others</w:t>
      </w:r>
      <w:r w:rsidR="00EF5625" w:rsidRPr="00A41DE6">
        <w:rPr>
          <w:rFonts w:ascii="Arial" w:hAnsi="Arial" w:cs="Arial"/>
        </w:rPr>
        <w:t xml:space="preserve"> (</w:t>
      </w:r>
      <w:proofErr w:type="spellStart"/>
      <w:r w:rsidR="00EF5625" w:rsidRPr="00A41DE6">
        <w:rPr>
          <w:rFonts w:ascii="Arial" w:hAnsi="Arial" w:cs="Arial"/>
          <w:color w:val="222222"/>
          <w:shd w:val="clear" w:color="auto" w:fill="FFFFFF"/>
        </w:rPr>
        <w:t>Amulya</w:t>
      </w:r>
      <w:proofErr w:type="spellEnd"/>
      <w:r w:rsidR="00EF5625" w:rsidRPr="00A41DE6">
        <w:rPr>
          <w:rFonts w:ascii="Arial" w:hAnsi="Arial" w:cs="Arial"/>
          <w:color w:val="222222"/>
          <w:shd w:val="clear" w:color="auto" w:fill="FFFFFF"/>
        </w:rPr>
        <w:t>, 2004).</w:t>
      </w:r>
      <w:r w:rsidRPr="00A41DE6">
        <w:rPr>
          <w:rFonts w:ascii="Arial" w:hAnsi="Arial" w:cs="Arial"/>
        </w:rPr>
        <w:t xml:space="preserve"> It can also help individuals to develop their critical thinking skills and to learn from their mistakes. Reflective practice can also lead to personal and professional growth, allowing individuals to reflect on their own values and beliefs and challenge them if necessary. There are some challenges to reflective practice, such as the time and effort required to engage in it properly. It can also be difficult, to be honest when reflecting on one's actions and behaviors. However, the benefits of reflective practice outweigh the challenges, and it is an important tool that can help individuals to improve their personal and professional practice. Reflective practice can also help practitioners to develop greater self-motivation. By reflecting on their past successes and failures, practitioners can develop a greater sense of motivation to achieve their goals</w:t>
      </w:r>
      <w:r w:rsidR="001C2D15" w:rsidRPr="00A41DE6">
        <w:rPr>
          <w:rFonts w:ascii="Arial" w:hAnsi="Arial" w:cs="Arial"/>
        </w:rPr>
        <w:t xml:space="preserve"> (</w:t>
      </w:r>
      <w:proofErr w:type="spellStart"/>
      <w:r w:rsidR="001C2D15" w:rsidRPr="00A41DE6">
        <w:rPr>
          <w:rFonts w:ascii="Arial" w:hAnsi="Arial" w:cs="Arial"/>
          <w:color w:val="222222"/>
          <w:shd w:val="clear" w:color="auto" w:fill="FFFFFF"/>
        </w:rPr>
        <w:t>Bassot</w:t>
      </w:r>
      <w:proofErr w:type="spellEnd"/>
      <w:r w:rsidR="001C2D15" w:rsidRPr="00A41DE6">
        <w:rPr>
          <w:rFonts w:ascii="Arial" w:hAnsi="Arial" w:cs="Arial"/>
          <w:color w:val="222222"/>
          <w:shd w:val="clear" w:color="auto" w:fill="FFFFFF"/>
        </w:rPr>
        <w:t>, 2015)</w:t>
      </w:r>
      <w:r w:rsidRPr="00A41DE6">
        <w:rPr>
          <w:rFonts w:ascii="Arial" w:hAnsi="Arial" w:cs="Arial"/>
        </w:rPr>
        <w:t>.</w:t>
      </w:r>
    </w:p>
    <w:p w14:paraId="5F778871" w14:textId="1DD7CEE6" w:rsidR="00C01564" w:rsidRPr="00A41DE6" w:rsidRDefault="007721A1" w:rsidP="00A41DE6">
      <w:pPr>
        <w:spacing w:after="0" w:line="360" w:lineRule="auto"/>
        <w:ind w:firstLine="720"/>
        <w:rPr>
          <w:rFonts w:ascii="Arial" w:hAnsi="Arial" w:cs="Arial"/>
        </w:rPr>
      </w:pPr>
      <w:r w:rsidRPr="00A41DE6">
        <w:rPr>
          <w:rFonts w:ascii="Arial" w:hAnsi="Arial" w:cs="Arial"/>
        </w:rPr>
        <w:t>Effective self-management is a key component of effective professional practice. It involves setting personal goals and taking responsibility for one's own learning and development</w:t>
      </w:r>
      <w:r w:rsidR="003D5633" w:rsidRPr="00A41DE6">
        <w:rPr>
          <w:rFonts w:ascii="Arial" w:hAnsi="Arial" w:cs="Arial"/>
        </w:rPr>
        <w:t xml:space="preserve"> (</w:t>
      </w:r>
      <w:r w:rsidR="003D5633" w:rsidRPr="00A41DE6">
        <w:rPr>
          <w:rFonts w:ascii="Arial" w:hAnsi="Arial" w:cs="Arial"/>
          <w:color w:val="222222"/>
          <w:shd w:val="clear" w:color="auto" w:fill="FFFFFF"/>
        </w:rPr>
        <w:t>Finlayson, 2016)</w:t>
      </w:r>
      <w:r w:rsidRPr="00A41DE6">
        <w:rPr>
          <w:rFonts w:ascii="Arial" w:hAnsi="Arial" w:cs="Arial"/>
        </w:rPr>
        <w:t xml:space="preserve">. Further, it involves effectively improving one's performance and managing time and resources. It is a lifelong learning process and is key to developing </w:t>
      </w:r>
      <w:r w:rsidRPr="00A41DE6">
        <w:rPr>
          <w:rFonts w:ascii="Arial" w:hAnsi="Arial" w:cs="Arial"/>
        </w:rPr>
        <w:lastRenderedPageBreak/>
        <w:t>reflective practice. It requires critical reflection on one's practice and a willingness to learn from experience. It also involves a commitment to continuous improvement and keeping up to date with new developments in one's field. The development of effective self-management skills is essential for all professionals. It is especially important for those who work in dynamic and fast-paced environments where constant change and the ability to adapt and learn quickly are essential.</w:t>
      </w:r>
    </w:p>
    <w:p w14:paraId="07BA4353" w14:textId="4BFB6724" w:rsidR="00C01564" w:rsidRPr="00A41DE6" w:rsidRDefault="007721A1" w:rsidP="00A41DE6">
      <w:pPr>
        <w:spacing w:after="0" w:line="360" w:lineRule="auto"/>
        <w:ind w:firstLine="720"/>
        <w:rPr>
          <w:rFonts w:ascii="Arial" w:hAnsi="Arial" w:cs="Arial"/>
        </w:rPr>
      </w:pPr>
      <w:r w:rsidRPr="00A41DE6">
        <w:rPr>
          <w:rFonts w:ascii="Arial" w:hAnsi="Arial" w:cs="Arial"/>
        </w:rPr>
        <w:t xml:space="preserve">There are </w:t>
      </w:r>
      <w:r w:rsidR="005A41E6" w:rsidRPr="00A41DE6">
        <w:rPr>
          <w:rFonts w:ascii="Arial" w:hAnsi="Arial" w:cs="Arial"/>
        </w:rPr>
        <w:t>several</w:t>
      </w:r>
      <w:r w:rsidRPr="00A41DE6">
        <w:rPr>
          <w:rFonts w:ascii="Arial" w:hAnsi="Arial" w:cs="Arial"/>
        </w:rPr>
        <w:t xml:space="preserve"> ways to develop self-management skills. Formal professional development programs can provide valuable opportunities to learn new skills and reflect on one's practice</w:t>
      </w:r>
      <w:r w:rsidR="009D006F" w:rsidRPr="00A41DE6">
        <w:rPr>
          <w:rFonts w:ascii="Arial" w:hAnsi="Arial" w:cs="Arial"/>
        </w:rPr>
        <w:t xml:space="preserve"> (</w:t>
      </w:r>
      <w:r w:rsidR="009D006F" w:rsidRPr="00A41DE6">
        <w:rPr>
          <w:rFonts w:ascii="Arial" w:hAnsi="Arial" w:cs="Arial"/>
          <w:color w:val="222222"/>
          <w:shd w:val="clear" w:color="auto" w:fill="FFFFFF"/>
        </w:rPr>
        <w:t>Finlayson, 2016).</w:t>
      </w:r>
      <w:r w:rsidRPr="00A41DE6">
        <w:rPr>
          <w:rFonts w:ascii="Arial" w:hAnsi="Arial" w:cs="Arial"/>
        </w:rPr>
        <w:t xml:space="preserve"> However, informal learning experiences such as reading professional journals, attending conferences, or participating in online learning communities can also develop self-management skills.</w:t>
      </w:r>
      <w:r w:rsidR="0083393B" w:rsidRPr="00A41DE6">
        <w:rPr>
          <w:rFonts w:ascii="Arial" w:hAnsi="Arial" w:cs="Arial"/>
        </w:rPr>
        <w:t xml:space="preserve"> </w:t>
      </w:r>
      <w:r w:rsidRPr="00A41DE6">
        <w:rPr>
          <w:rFonts w:ascii="Arial" w:hAnsi="Arial" w:cs="Arial"/>
        </w:rPr>
        <w:t>Whatever the method of development, self-management skills are essential for all professionals. Those who can effectively manage their learning and development will be better positioned to meet the challenges of a constantly changing world.</w:t>
      </w:r>
    </w:p>
    <w:p w14:paraId="42E304FE" w14:textId="310955A0" w:rsidR="00C1392F" w:rsidRPr="00A41DE6" w:rsidRDefault="007721A1" w:rsidP="00A41DE6">
      <w:pPr>
        <w:spacing w:after="0" w:line="360" w:lineRule="auto"/>
        <w:ind w:firstLine="720"/>
        <w:rPr>
          <w:rFonts w:ascii="Arial" w:hAnsi="Arial" w:cs="Arial"/>
        </w:rPr>
      </w:pPr>
      <w:r w:rsidRPr="00A41DE6">
        <w:rPr>
          <w:rFonts w:ascii="Arial" w:hAnsi="Arial" w:cs="Arial"/>
        </w:rPr>
        <w:t>Additionally, good communication involves more than simply conveying information. It also involves active listening, understanding the needs and perspectives of others, and tailoring messages to the audience</w:t>
      </w:r>
      <w:r w:rsidR="0056703F" w:rsidRPr="00A41DE6">
        <w:rPr>
          <w:rFonts w:ascii="Arial" w:hAnsi="Arial" w:cs="Arial"/>
        </w:rPr>
        <w:t xml:space="preserve"> (</w:t>
      </w:r>
      <w:r w:rsidR="0056703F" w:rsidRPr="00A41DE6">
        <w:rPr>
          <w:rFonts w:ascii="Arial" w:hAnsi="Arial" w:cs="Arial"/>
          <w:color w:val="222222"/>
          <w:shd w:val="clear" w:color="auto" w:fill="FFFFFF"/>
        </w:rPr>
        <w:t xml:space="preserve">Hilden and </w:t>
      </w:r>
      <w:proofErr w:type="spellStart"/>
      <w:r w:rsidR="0056703F" w:rsidRPr="00A41DE6">
        <w:rPr>
          <w:rFonts w:ascii="Arial" w:hAnsi="Arial" w:cs="Arial"/>
          <w:color w:val="222222"/>
          <w:shd w:val="clear" w:color="auto" w:fill="FFFFFF"/>
        </w:rPr>
        <w:t>Tikkamäki</w:t>
      </w:r>
      <w:proofErr w:type="spellEnd"/>
      <w:r w:rsidR="0056703F" w:rsidRPr="00A41DE6">
        <w:rPr>
          <w:rFonts w:ascii="Arial" w:hAnsi="Arial" w:cs="Arial"/>
          <w:color w:val="222222"/>
          <w:shd w:val="clear" w:color="auto" w:fill="FFFFFF"/>
        </w:rPr>
        <w:t>, 2013)</w:t>
      </w:r>
      <w:r w:rsidR="0056703F" w:rsidRPr="00A41DE6">
        <w:rPr>
          <w:rFonts w:ascii="Arial" w:hAnsi="Arial" w:cs="Arial"/>
        </w:rPr>
        <w:t>.</w:t>
      </w:r>
      <w:r w:rsidRPr="00A41DE6">
        <w:rPr>
          <w:rFonts w:ascii="Arial" w:hAnsi="Arial" w:cs="Arial"/>
        </w:rPr>
        <w:t xml:space="preserve"> Strong interpersonal skills are also important for building trust, resolving conflict, and creating a positive work environment. Professionals with strong self-management and communication skills are well-positioned to succeed in today’s fast-paced and ever-changing world.</w:t>
      </w:r>
    </w:p>
    <w:p w14:paraId="352EC7F0" w14:textId="7E468FCA" w:rsidR="00B845CF" w:rsidRPr="00A41DE6" w:rsidRDefault="00B845CF" w:rsidP="00A41DE6">
      <w:pPr>
        <w:spacing w:after="0" w:line="360" w:lineRule="auto"/>
        <w:ind w:firstLine="720"/>
        <w:rPr>
          <w:rFonts w:ascii="Arial" w:hAnsi="Arial" w:cs="Arial"/>
        </w:rPr>
      </w:pPr>
      <w:r w:rsidRPr="00A41DE6">
        <w:rPr>
          <w:rFonts w:ascii="Arial" w:hAnsi="Arial" w:cs="Arial"/>
        </w:rPr>
        <w:t>Reflective practice is used in an organizational environment to assist staff members in improving their practice and learning from their experiences</w:t>
      </w:r>
      <w:r w:rsidR="0056703F" w:rsidRPr="00A41DE6">
        <w:rPr>
          <w:rFonts w:ascii="Arial" w:hAnsi="Arial" w:cs="Arial"/>
        </w:rPr>
        <w:t xml:space="preserve"> (</w:t>
      </w:r>
      <w:r w:rsidR="0056703F" w:rsidRPr="00A41DE6">
        <w:rPr>
          <w:rFonts w:ascii="Arial" w:hAnsi="Arial" w:cs="Arial"/>
          <w:color w:val="222222"/>
          <w:shd w:val="clear" w:color="auto" w:fill="FFFFFF"/>
        </w:rPr>
        <w:t xml:space="preserve">Hilden and </w:t>
      </w:r>
      <w:proofErr w:type="spellStart"/>
      <w:r w:rsidR="0056703F" w:rsidRPr="00A41DE6">
        <w:rPr>
          <w:rFonts w:ascii="Arial" w:hAnsi="Arial" w:cs="Arial"/>
          <w:color w:val="222222"/>
          <w:shd w:val="clear" w:color="auto" w:fill="FFFFFF"/>
        </w:rPr>
        <w:t>Tikkamäki</w:t>
      </w:r>
      <w:proofErr w:type="spellEnd"/>
      <w:r w:rsidR="0056703F" w:rsidRPr="00A41DE6">
        <w:rPr>
          <w:rFonts w:ascii="Arial" w:hAnsi="Arial" w:cs="Arial"/>
          <w:color w:val="222222"/>
          <w:shd w:val="clear" w:color="auto" w:fill="FFFFFF"/>
        </w:rPr>
        <w:t>, 2013)</w:t>
      </w:r>
      <w:r w:rsidR="0056703F" w:rsidRPr="00A41DE6">
        <w:rPr>
          <w:rFonts w:ascii="Arial" w:hAnsi="Arial" w:cs="Arial"/>
        </w:rPr>
        <w:t>.</w:t>
      </w:r>
      <w:r w:rsidRPr="00A41DE6">
        <w:rPr>
          <w:rFonts w:ascii="Arial" w:hAnsi="Arial" w:cs="Arial"/>
        </w:rPr>
        <w:t xml:space="preserve"> Employees who engage in reflective practice may become more aware of their strengths and flaws and pinpoint opportunities for improvement. Employees may benefit from learning new abilities and applying their knowledge to their work. Enhanced self-awareness, a better understanding of one's strengths and shortcomings, identifying areas for progress, developing of new skills and knowledge, and improved performance are some advantages of reflective practice</w:t>
      </w:r>
      <w:r w:rsidR="00081536" w:rsidRPr="00A41DE6">
        <w:rPr>
          <w:rFonts w:ascii="Arial" w:hAnsi="Arial" w:cs="Arial"/>
        </w:rPr>
        <w:t xml:space="preserve"> (</w:t>
      </w:r>
      <w:proofErr w:type="spellStart"/>
      <w:r w:rsidR="00081536" w:rsidRPr="00A41DE6">
        <w:rPr>
          <w:rFonts w:ascii="Arial" w:hAnsi="Arial" w:cs="Arial"/>
          <w:color w:val="222222"/>
          <w:shd w:val="clear" w:color="auto" w:fill="FFFFFF"/>
        </w:rPr>
        <w:t>Bassot</w:t>
      </w:r>
      <w:proofErr w:type="spellEnd"/>
      <w:r w:rsidR="00081536" w:rsidRPr="00A41DE6">
        <w:rPr>
          <w:rFonts w:ascii="Arial" w:hAnsi="Arial" w:cs="Arial"/>
          <w:color w:val="222222"/>
          <w:shd w:val="clear" w:color="auto" w:fill="FFFFFF"/>
        </w:rPr>
        <w:t>, 2015)</w:t>
      </w:r>
      <w:r w:rsidRPr="00A41DE6">
        <w:rPr>
          <w:rFonts w:ascii="Arial" w:hAnsi="Arial" w:cs="Arial"/>
        </w:rPr>
        <w:t>.</w:t>
      </w:r>
    </w:p>
    <w:p w14:paraId="71DEF311" w14:textId="10F13575" w:rsidR="00C1392F" w:rsidRPr="00A41DE6" w:rsidRDefault="00B845CF" w:rsidP="00A41DE6">
      <w:pPr>
        <w:spacing w:after="0" w:line="360" w:lineRule="auto"/>
        <w:ind w:firstLine="720"/>
        <w:rPr>
          <w:rFonts w:ascii="Arial" w:hAnsi="Arial" w:cs="Arial"/>
        </w:rPr>
      </w:pPr>
      <w:r w:rsidRPr="00A41DE6">
        <w:rPr>
          <w:rFonts w:ascii="Arial" w:hAnsi="Arial" w:cs="Arial"/>
        </w:rPr>
        <w:t>It is impossible to overstate the value of reflective practice for improving interpersonal, communication, and self-management abilities</w:t>
      </w:r>
      <w:r w:rsidR="003D0C4C" w:rsidRPr="00A41DE6">
        <w:rPr>
          <w:rFonts w:ascii="Arial" w:hAnsi="Arial" w:cs="Arial"/>
        </w:rPr>
        <w:t xml:space="preserve"> (</w:t>
      </w:r>
      <w:proofErr w:type="spellStart"/>
      <w:r w:rsidR="003D0C4C" w:rsidRPr="00A41DE6">
        <w:rPr>
          <w:rFonts w:ascii="Arial" w:hAnsi="Arial" w:cs="Arial"/>
          <w:color w:val="222222"/>
          <w:shd w:val="clear" w:color="auto" w:fill="FFFFFF"/>
        </w:rPr>
        <w:t>Saunila</w:t>
      </w:r>
      <w:proofErr w:type="spellEnd"/>
      <w:r w:rsidR="003D0C4C" w:rsidRPr="00A41DE6">
        <w:rPr>
          <w:rFonts w:ascii="Arial" w:hAnsi="Arial" w:cs="Arial"/>
          <w:color w:val="222222"/>
          <w:shd w:val="clear" w:color="auto" w:fill="FFFFFF"/>
        </w:rPr>
        <w:t xml:space="preserve"> et al., 2015)</w:t>
      </w:r>
      <w:r w:rsidRPr="00A41DE6">
        <w:rPr>
          <w:rFonts w:ascii="Arial" w:hAnsi="Arial" w:cs="Arial"/>
        </w:rPr>
        <w:t>.</w:t>
      </w:r>
      <w:r w:rsidR="007721A1" w:rsidRPr="00A41DE6">
        <w:rPr>
          <w:rFonts w:ascii="Arial" w:hAnsi="Arial" w:cs="Arial"/>
        </w:rPr>
        <w:t xml:space="preserve"> Reflective practice helps employees develop these skills by allowing them to reflect on their own experiences and learn from them. These skills are essential for any employee who wants to be successful in their </w:t>
      </w:r>
      <w:r w:rsidR="00C85374" w:rsidRPr="00A41DE6">
        <w:rPr>
          <w:rFonts w:ascii="Arial" w:hAnsi="Arial" w:cs="Arial"/>
        </w:rPr>
        <w:t>career. One</w:t>
      </w:r>
      <w:r w:rsidR="007721A1" w:rsidRPr="00A41DE6">
        <w:rPr>
          <w:rFonts w:ascii="Arial" w:hAnsi="Arial" w:cs="Arial"/>
        </w:rPr>
        <w:t xml:space="preserve"> of the most important ways a reflective practice can help the development of effective self-management, communication, and interpersonal skills is by helping employees to </w:t>
      </w:r>
      <w:r w:rsidR="0083393B" w:rsidRPr="00A41DE6">
        <w:rPr>
          <w:rFonts w:ascii="Arial" w:hAnsi="Arial" w:cs="Arial"/>
        </w:rPr>
        <w:t>analyze</w:t>
      </w:r>
      <w:r w:rsidR="007721A1" w:rsidRPr="00A41DE6">
        <w:rPr>
          <w:rFonts w:ascii="Arial" w:hAnsi="Arial" w:cs="Arial"/>
        </w:rPr>
        <w:t xml:space="preserve"> and improve their practice constantly</w:t>
      </w:r>
      <w:r w:rsidR="00C85374" w:rsidRPr="00A41DE6">
        <w:rPr>
          <w:rFonts w:ascii="Arial" w:hAnsi="Arial" w:cs="Arial"/>
        </w:rPr>
        <w:t xml:space="preserve"> (</w:t>
      </w:r>
      <w:r w:rsidR="00C85374" w:rsidRPr="00A41DE6">
        <w:rPr>
          <w:rFonts w:ascii="Arial" w:hAnsi="Arial" w:cs="Arial"/>
          <w:color w:val="222222"/>
          <w:shd w:val="clear" w:color="auto" w:fill="FFFFFF"/>
        </w:rPr>
        <w:t xml:space="preserve">Hilden and </w:t>
      </w:r>
      <w:proofErr w:type="spellStart"/>
      <w:r w:rsidR="00C85374" w:rsidRPr="00A41DE6">
        <w:rPr>
          <w:rFonts w:ascii="Arial" w:hAnsi="Arial" w:cs="Arial"/>
          <w:color w:val="222222"/>
          <w:shd w:val="clear" w:color="auto" w:fill="FFFFFF"/>
        </w:rPr>
        <w:t>Tikkamäki</w:t>
      </w:r>
      <w:proofErr w:type="spellEnd"/>
      <w:r w:rsidR="00C85374" w:rsidRPr="00A41DE6">
        <w:rPr>
          <w:rFonts w:ascii="Arial" w:hAnsi="Arial" w:cs="Arial"/>
          <w:color w:val="222222"/>
          <w:shd w:val="clear" w:color="auto" w:fill="FFFFFF"/>
        </w:rPr>
        <w:t>, 2013)</w:t>
      </w:r>
      <w:r w:rsidR="007721A1" w:rsidRPr="00A41DE6">
        <w:rPr>
          <w:rFonts w:ascii="Arial" w:hAnsi="Arial" w:cs="Arial"/>
        </w:rPr>
        <w:t xml:space="preserve">. This process of reflection and analysis helps employees identify areas where they need to improve and make changes to their practice to improve service quality. </w:t>
      </w:r>
      <w:r w:rsidR="007721A1" w:rsidRPr="00A41DE6">
        <w:rPr>
          <w:rFonts w:ascii="Arial" w:hAnsi="Arial" w:cs="Arial"/>
        </w:rPr>
        <w:lastRenderedPageBreak/>
        <w:t>In addition, this process of reflection and analysis can also help to build team morale and cohesion, as it encourages employees to share their experiences and learn from each other.</w:t>
      </w:r>
    </w:p>
    <w:p w14:paraId="085CB745" w14:textId="3B2BE8CB" w:rsidR="00C1392F" w:rsidRPr="00A41DE6" w:rsidRDefault="007721A1" w:rsidP="00A41DE6">
      <w:pPr>
        <w:spacing w:after="0" w:line="360" w:lineRule="auto"/>
        <w:ind w:firstLine="720"/>
        <w:rPr>
          <w:rFonts w:ascii="Arial" w:hAnsi="Arial" w:cs="Arial"/>
        </w:rPr>
      </w:pPr>
      <w:r w:rsidRPr="00A41DE6">
        <w:rPr>
          <w:rFonts w:ascii="Arial" w:hAnsi="Arial" w:cs="Arial"/>
        </w:rPr>
        <w:t xml:space="preserve">Another way the reflective practice can help the development of effective self-management, communication, and interpersonal skills is by helping </w:t>
      </w:r>
      <w:r w:rsidR="0083393B" w:rsidRPr="00A41DE6">
        <w:rPr>
          <w:rFonts w:ascii="Arial" w:hAnsi="Arial" w:cs="Arial"/>
        </w:rPr>
        <w:t>organizations</w:t>
      </w:r>
      <w:r w:rsidRPr="00A41DE6">
        <w:rPr>
          <w:rFonts w:ascii="Arial" w:hAnsi="Arial" w:cs="Arial"/>
        </w:rPr>
        <w:t xml:space="preserve"> improve their service delivery. This is because the reflective practice can help identify areas where changes need to be made to improve the quality of the service provided. In addition, reflective practice can also help to build team morale and cohesion, as it encourages employees to share their experiences and learn from each other</w:t>
      </w:r>
      <w:r w:rsidR="00235423" w:rsidRPr="00A41DE6">
        <w:rPr>
          <w:rFonts w:ascii="Arial" w:hAnsi="Arial" w:cs="Arial"/>
        </w:rPr>
        <w:t xml:space="preserve"> (</w:t>
      </w:r>
      <w:r w:rsidR="00235423" w:rsidRPr="00A41DE6">
        <w:rPr>
          <w:rFonts w:ascii="Arial" w:hAnsi="Arial" w:cs="Arial"/>
          <w:color w:val="222222"/>
          <w:shd w:val="clear" w:color="auto" w:fill="FFFFFF"/>
        </w:rPr>
        <w:t xml:space="preserve">Hilden and </w:t>
      </w:r>
      <w:proofErr w:type="spellStart"/>
      <w:r w:rsidR="00235423" w:rsidRPr="00A41DE6">
        <w:rPr>
          <w:rFonts w:ascii="Arial" w:hAnsi="Arial" w:cs="Arial"/>
          <w:color w:val="222222"/>
          <w:shd w:val="clear" w:color="auto" w:fill="FFFFFF"/>
        </w:rPr>
        <w:t>Tikkamäki</w:t>
      </w:r>
      <w:proofErr w:type="spellEnd"/>
      <w:r w:rsidR="00235423" w:rsidRPr="00A41DE6">
        <w:rPr>
          <w:rFonts w:ascii="Arial" w:hAnsi="Arial" w:cs="Arial"/>
          <w:color w:val="222222"/>
          <w:shd w:val="clear" w:color="auto" w:fill="FFFFFF"/>
        </w:rPr>
        <w:t>, 2013)</w:t>
      </w:r>
      <w:r w:rsidR="00235423" w:rsidRPr="00A41DE6">
        <w:rPr>
          <w:rFonts w:ascii="Arial" w:hAnsi="Arial" w:cs="Arial"/>
        </w:rPr>
        <w:t>.</w:t>
      </w:r>
    </w:p>
    <w:p w14:paraId="67EF95F3" w14:textId="4610B2EF" w:rsidR="00C1392F" w:rsidRPr="00A41DE6" w:rsidRDefault="007721A1" w:rsidP="00A41DE6">
      <w:pPr>
        <w:spacing w:after="0" w:line="360" w:lineRule="auto"/>
        <w:ind w:firstLine="720"/>
        <w:rPr>
          <w:rFonts w:ascii="Arial" w:hAnsi="Arial" w:cs="Arial"/>
        </w:rPr>
      </w:pPr>
      <w:r w:rsidRPr="00A41DE6">
        <w:rPr>
          <w:rFonts w:ascii="Arial" w:hAnsi="Arial" w:cs="Arial"/>
        </w:rPr>
        <w:t xml:space="preserve">The benefits of reflective practice are numerous. It can help employees to identify areas where they need to improve and make changes to their practice to improve the quality of the service that they provide. Reflective practice can also help to build team morale and cohesion, as it encourages employees to share their experiences and learn from each other. In addition, reflective practice can also help </w:t>
      </w:r>
      <w:r w:rsidR="0083393B" w:rsidRPr="00A41DE6">
        <w:rPr>
          <w:rFonts w:ascii="Arial" w:hAnsi="Arial" w:cs="Arial"/>
        </w:rPr>
        <w:t>organizations</w:t>
      </w:r>
      <w:r w:rsidRPr="00A41DE6">
        <w:rPr>
          <w:rFonts w:ascii="Arial" w:hAnsi="Arial" w:cs="Arial"/>
        </w:rPr>
        <w:t xml:space="preserve"> to improve their service delivery by identifying areas where changes need to be made</w:t>
      </w:r>
      <w:r w:rsidR="00B65913" w:rsidRPr="00A41DE6">
        <w:rPr>
          <w:rFonts w:ascii="Arial" w:hAnsi="Arial" w:cs="Arial"/>
        </w:rPr>
        <w:t xml:space="preserve"> (</w:t>
      </w:r>
      <w:r w:rsidR="00B65913" w:rsidRPr="00A41DE6">
        <w:rPr>
          <w:rFonts w:ascii="Arial" w:hAnsi="Arial" w:cs="Arial"/>
          <w:color w:val="222222"/>
          <w:shd w:val="clear" w:color="auto" w:fill="FFFFFF"/>
        </w:rPr>
        <w:t>Pavlovich et al., 2009)</w:t>
      </w:r>
      <w:r w:rsidRPr="00A41DE6">
        <w:rPr>
          <w:rFonts w:ascii="Arial" w:hAnsi="Arial" w:cs="Arial"/>
        </w:rPr>
        <w:t>.</w:t>
      </w:r>
    </w:p>
    <w:p w14:paraId="6D587AD8" w14:textId="77777777" w:rsidR="000A33F1" w:rsidRPr="00A41DE6" w:rsidRDefault="007721A1" w:rsidP="00A41DE6">
      <w:pPr>
        <w:spacing w:after="0" w:line="360" w:lineRule="auto"/>
        <w:rPr>
          <w:rFonts w:ascii="Arial" w:hAnsi="Arial" w:cs="Arial"/>
          <w:b/>
          <w:bCs/>
        </w:rPr>
      </w:pPr>
      <w:r w:rsidRPr="00A41DE6">
        <w:rPr>
          <w:rFonts w:ascii="Arial" w:hAnsi="Arial" w:cs="Arial"/>
          <w:b/>
          <w:bCs/>
        </w:rPr>
        <w:t xml:space="preserve">Reflective practices </w:t>
      </w:r>
      <w:r w:rsidR="0083393B" w:rsidRPr="00A41DE6">
        <w:rPr>
          <w:rFonts w:ascii="Arial" w:hAnsi="Arial" w:cs="Arial"/>
          <w:b/>
          <w:bCs/>
        </w:rPr>
        <w:t>in Business</w:t>
      </w:r>
      <w:r w:rsidRPr="00A41DE6">
        <w:rPr>
          <w:rFonts w:ascii="Arial" w:hAnsi="Arial" w:cs="Arial"/>
          <w:b/>
          <w:bCs/>
        </w:rPr>
        <w:t xml:space="preserve"> management </w:t>
      </w:r>
    </w:p>
    <w:p w14:paraId="66090BB8" w14:textId="77C6CF89" w:rsidR="00DF25FE" w:rsidRPr="00A41DE6" w:rsidRDefault="007721A1" w:rsidP="00A41DE6">
      <w:pPr>
        <w:spacing w:after="0" w:line="360" w:lineRule="auto"/>
        <w:ind w:firstLine="720"/>
        <w:rPr>
          <w:rFonts w:ascii="Arial" w:hAnsi="Arial" w:cs="Arial"/>
        </w:rPr>
      </w:pPr>
      <w:r w:rsidRPr="00A41DE6">
        <w:rPr>
          <w:rFonts w:ascii="Arial" w:hAnsi="Arial" w:cs="Arial"/>
        </w:rPr>
        <w:t>There are many ways of enhancing reflective practices within business management. One way is to create a dedicated space and time for reflection within the work environment</w:t>
      </w:r>
      <w:r w:rsidR="00B65913" w:rsidRPr="00A41DE6">
        <w:rPr>
          <w:rFonts w:ascii="Arial" w:hAnsi="Arial" w:cs="Arial"/>
        </w:rPr>
        <w:t xml:space="preserve"> (</w:t>
      </w:r>
      <w:r w:rsidR="00B65913" w:rsidRPr="00A41DE6">
        <w:rPr>
          <w:rFonts w:ascii="Arial" w:hAnsi="Arial" w:cs="Arial"/>
          <w:color w:val="222222"/>
          <w:shd w:val="clear" w:color="auto" w:fill="FFFFFF"/>
        </w:rPr>
        <w:t>Pavlovich et al., 2009)</w:t>
      </w:r>
      <w:r w:rsidR="00B65913" w:rsidRPr="00A41DE6">
        <w:rPr>
          <w:rFonts w:ascii="Arial" w:hAnsi="Arial" w:cs="Arial"/>
        </w:rPr>
        <w:t>.</w:t>
      </w:r>
      <w:r w:rsidRPr="00A41DE6">
        <w:rPr>
          <w:rFonts w:ascii="Arial" w:hAnsi="Arial" w:cs="Arial"/>
        </w:rPr>
        <w:t xml:space="preserve"> This could be in the form of a weekly reflection session where employees are encouraged to reflect on their work experiences and share insights with their colleagues. Another way of enhancing reflective practices is to encourage employees to keep reflective journals where they document their thoughts and feelings on their work experiences. This can be a valuable way for employees to process their experiences and learn from them.</w:t>
      </w:r>
    </w:p>
    <w:p w14:paraId="7B24C711" w14:textId="68080D04" w:rsidR="00CB6686" w:rsidRDefault="00B845CF" w:rsidP="00A41DE6">
      <w:pPr>
        <w:spacing w:after="0" w:line="360" w:lineRule="auto"/>
        <w:ind w:firstLine="720"/>
        <w:rPr>
          <w:rFonts w:ascii="Arial" w:hAnsi="Arial" w:cs="Arial"/>
        </w:rPr>
      </w:pPr>
      <w:r w:rsidRPr="00A41DE6">
        <w:rPr>
          <w:rFonts w:ascii="Arial" w:hAnsi="Arial" w:cs="Arial"/>
        </w:rPr>
        <w:t>Giving staff training to reflect on their work experiences is another strategy to improve reflective habits</w:t>
      </w:r>
      <w:r w:rsidR="003D0C4C" w:rsidRPr="00A41DE6">
        <w:rPr>
          <w:rFonts w:ascii="Arial" w:hAnsi="Arial" w:cs="Arial"/>
        </w:rPr>
        <w:t xml:space="preserve"> (</w:t>
      </w:r>
      <w:r w:rsidR="003D0C4C" w:rsidRPr="00A41DE6">
        <w:rPr>
          <w:rFonts w:ascii="Arial" w:hAnsi="Arial" w:cs="Arial"/>
          <w:color w:val="222222"/>
          <w:shd w:val="clear" w:color="auto" w:fill="FFFFFF"/>
        </w:rPr>
        <w:t>Inglese et al., 2019)</w:t>
      </w:r>
      <w:r w:rsidR="003D0C4C" w:rsidRPr="00A41DE6">
        <w:rPr>
          <w:rFonts w:ascii="Arial" w:hAnsi="Arial" w:cs="Arial"/>
        </w:rPr>
        <w:t>.</w:t>
      </w:r>
      <w:r w:rsidRPr="00A41DE6">
        <w:rPr>
          <w:rFonts w:ascii="Arial" w:hAnsi="Arial" w:cs="Arial"/>
        </w:rPr>
        <w:t xml:space="preserve"> This can entail educating staff members on various reflective models and how to use them in the workplace. Additionally, it can entail giving staff members chances to practice reflecting in a secure setting.</w:t>
      </w:r>
      <w:r w:rsidR="00B65913" w:rsidRPr="00A41DE6">
        <w:rPr>
          <w:rFonts w:ascii="Arial" w:hAnsi="Arial" w:cs="Arial"/>
        </w:rPr>
        <w:t xml:space="preserve"> </w:t>
      </w:r>
      <w:r w:rsidRPr="00A41DE6">
        <w:rPr>
          <w:rFonts w:ascii="Arial" w:hAnsi="Arial" w:cs="Arial"/>
        </w:rPr>
        <w:t>In order to encourage people to reflect on their work, it is critical to foster an organizational culture that encourages reflection</w:t>
      </w:r>
      <w:r w:rsidR="00B65913" w:rsidRPr="00A41DE6">
        <w:rPr>
          <w:rFonts w:ascii="Arial" w:hAnsi="Arial" w:cs="Arial"/>
        </w:rPr>
        <w:t xml:space="preserve"> (</w:t>
      </w:r>
      <w:r w:rsidR="00B65913" w:rsidRPr="00A41DE6">
        <w:rPr>
          <w:rFonts w:ascii="Arial" w:hAnsi="Arial" w:cs="Arial"/>
          <w:color w:val="222222"/>
          <w:shd w:val="clear" w:color="auto" w:fill="FFFFFF"/>
        </w:rPr>
        <w:t>Serafini, 2002).</w:t>
      </w:r>
      <w:r w:rsidRPr="00A41DE6">
        <w:rPr>
          <w:rFonts w:ascii="Arial" w:hAnsi="Arial" w:cs="Arial"/>
        </w:rPr>
        <w:t xml:space="preserve"> This might entail organizational policies and procedures that promote reflection, such as giving staff time off to reflect or paying for the expenses related to reflective activities. Through organizational communication channels like newsletters or intranet sites, it could also encourage reflection. </w:t>
      </w:r>
      <w:r w:rsidR="00DF25FE" w:rsidRPr="00A41DE6">
        <w:rPr>
          <w:rFonts w:ascii="Arial" w:hAnsi="Arial" w:cs="Arial"/>
        </w:rPr>
        <w:t>By creating a supportive environment for reflection, organizations can help employees to enhance their reflective practices and improve their work performance.</w:t>
      </w:r>
    </w:p>
    <w:p w14:paraId="17E8537B" w14:textId="77777777" w:rsidR="00B73A1B" w:rsidRPr="00A41DE6" w:rsidRDefault="00B73A1B" w:rsidP="00A41DE6">
      <w:pPr>
        <w:spacing w:after="0" w:line="360" w:lineRule="auto"/>
        <w:ind w:firstLine="720"/>
        <w:rPr>
          <w:rFonts w:ascii="Arial" w:hAnsi="Arial" w:cs="Arial"/>
        </w:rPr>
      </w:pPr>
    </w:p>
    <w:p w14:paraId="4CF5CE89" w14:textId="01F15A69" w:rsidR="00CB6686" w:rsidRPr="00A41DE6" w:rsidRDefault="00AC2A78" w:rsidP="00A41DE6">
      <w:pPr>
        <w:spacing w:after="0" w:line="360" w:lineRule="auto"/>
        <w:rPr>
          <w:rFonts w:ascii="Arial" w:hAnsi="Arial" w:cs="Arial"/>
          <w:b/>
          <w:bCs/>
          <w:shd w:val="clear" w:color="auto" w:fill="FFFFFF"/>
        </w:rPr>
      </w:pPr>
      <w:r w:rsidRPr="00A41DE6">
        <w:rPr>
          <w:rFonts w:ascii="Arial" w:hAnsi="Arial" w:cs="Arial"/>
          <w:b/>
          <w:bCs/>
          <w:shd w:val="clear" w:color="auto" w:fill="FFFFFF"/>
        </w:rPr>
        <w:lastRenderedPageBreak/>
        <w:t>C</w:t>
      </w:r>
      <w:r w:rsidR="007721A1" w:rsidRPr="00A41DE6">
        <w:rPr>
          <w:rFonts w:ascii="Arial" w:hAnsi="Arial" w:cs="Arial"/>
          <w:b/>
          <w:bCs/>
          <w:shd w:val="clear" w:color="auto" w:fill="FFFFFF"/>
        </w:rPr>
        <w:t>oncepts of community and of personal development and ways of reviewing and extending interpersonal skills</w:t>
      </w:r>
    </w:p>
    <w:p w14:paraId="04CA55CF" w14:textId="114798CA" w:rsidR="00BC1793" w:rsidRPr="00A41DE6" w:rsidRDefault="007721A1" w:rsidP="00A41DE6">
      <w:pPr>
        <w:spacing w:after="0" w:line="360" w:lineRule="auto"/>
        <w:ind w:firstLine="720"/>
        <w:rPr>
          <w:rFonts w:ascii="Arial" w:hAnsi="Arial" w:cs="Arial"/>
        </w:rPr>
      </w:pPr>
      <w:r w:rsidRPr="00A41DE6">
        <w:rPr>
          <w:rFonts w:ascii="Arial" w:hAnsi="Arial" w:cs="Arial"/>
        </w:rPr>
        <w:t>The concept of community has been defined in many ways, but at its core, a community is a group of people who share a commonality</w:t>
      </w:r>
      <w:r w:rsidR="00B65913" w:rsidRPr="00A41DE6">
        <w:rPr>
          <w:rFonts w:ascii="Arial" w:hAnsi="Arial" w:cs="Arial"/>
        </w:rPr>
        <w:t xml:space="preserve"> (</w:t>
      </w:r>
      <w:r w:rsidR="00B65913" w:rsidRPr="00A41DE6">
        <w:rPr>
          <w:rFonts w:ascii="Arial" w:hAnsi="Arial" w:cs="Arial"/>
          <w:color w:val="222222"/>
          <w:shd w:val="clear" w:color="auto" w:fill="FFFFFF"/>
        </w:rPr>
        <w:t>Pavlovich et al., 2009)</w:t>
      </w:r>
      <w:r w:rsidR="00B65913" w:rsidRPr="00A41DE6">
        <w:rPr>
          <w:rFonts w:ascii="Arial" w:hAnsi="Arial" w:cs="Arial"/>
        </w:rPr>
        <w:t>.</w:t>
      </w:r>
      <w:r w:rsidRPr="00A41DE6">
        <w:rPr>
          <w:rFonts w:ascii="Arial" w:hAnsi="Arial" w:cs="Arial"/>
        </w:rPr>
        <w:t xml:space="preserve"> This can be something as simple as a shared interest or common goal. Communities can be small, like a book club, or large, like a city. Regardless of size, communities provide a sense of belonging and connection for their members. On the other hand, the concept of personal development is closely related to the concept of community. Personal development is the process of growing and improving oneself. This can be done through formal education, but it can also be done informally through experiences and self-reflection. Personal development is often tied to one's sense of identity and purpose in life.</w:t>
      </w:r>
    </w:p>
    <w:p w14:paraId="49E021B1" w14:textId="111DBD77" w:rsidR="00B845CF" w:rsidRPr="00A41DE6" w:rsidRDefault="00B845CF" w:rsidP="00A41DE6">
      <w:pPr>
        <w:spacing w:after="0" w:line="360" w:lineRule="auto"/>
        <w:ind w:firstLine="720"/>
        <w:rPr>
          <w:rFonts w:ascii="Arial" w:hAnsi="Arial" w:cs="Arial"/>
        </w:rPr>
      </w:pPr>
      <w:r w:rsidRPr="00A41DE6">
        <w:rPr>
          <w:rFonts w:ascii="Arial" w:hAnsi="Arial" w:cs="Arial"/>
        </w:rPr>
        <w:t>The skills we employ to engage with others are known as interpersonal skills. They include problem-solving, empathy, and communication</w:t>
      </w:r>
      <w:r w:rsidR="003D0C4C" w:rsidRPr="00A41DE6">
        <w:rPr>
          <w:rFonts w:ascii="Arial" w:hAnsi="Arial" w:cs="Arial"/>
        </w:rPr>
        <w:t xml:space="preserve"> (</w:t>
      </w:r>
      <w:r w:rsidR="003D0C4C" w:rsidRPr="00A41DE6">
        <w:rPr>
          <w:rFonts w:ascii="Arial" w:hAnsi="Arial" w:cs="Arial"/>
          <w:color w:val="222222"/>
          <w:shd w:val="clear" w:color="auto" w:fill="FFFFFF"/>
        </w:rPr>
        <w:t>Inglese et al., 2019)</w:t>
      </w:r>
      <w:r w:rsidR="003D0C4C" w:rsidRPr="00A41DE6">
        <w:rPr>
          <w:rFonts w:ascii="Arial" w:hAnsi="Arial" w:cs="Arial"/>
        </w:rPr>
        <w:t>.</w:t>
      </w:r>
      <w:r w:rsidRPr="00A41DE6">
        <w:rPr>
          <w:rFonts w:ascii="Arial" w:hAnsi="Arial" w:cs="Arial"/>
        </w:rPr>
        <w:t xml:space="preserve"> These abilities help us establish connections, settle disputes, and work together. Both personal and professional situations can benefit from reviewing and enhancing one's interpersonal abilities. One might find opportunities for growth by reflecting on their communication style, objectives, and relationships with others.</w:t>
      </w:r>
    </w:p>
    <w:p w14:paraId="087A368E" w14:textId="7CF7A215" w:rsidR="00BC1793" w:rsidRPr="00A41DE6" w:rsidRDefault="00B845CF" w:rsidP="00A41DE6">
      <w:pPr>
        <w:spacing w:after="0" w:line="360" w:lineRule="auto"/>
        <w:ind w:firstLine="720"/>
        <w:rPr>
          <w:rFonts w:ascii="Arial" w:hAnsi="Arial" w:cs="Arial"/>
        </w:rPr>
      </w:pPr>
      <w:r w:rsidRPr="00A41DE6">
        <w:rPr>
          <w:rFonts w:ascii="Arial" w:hAnsi="Arial" w:cs="Arial"/>
        </w:rPr>
        <w:t>Finding chances to practice and refine these abilities can also assist to increase one's proficiency and confidence in applying them. Active listening, nonverbal communication, and assertiveness are just a few strategies for enhancing communication abilities. Being attentive to what the other person is saying—both orally and nonverbally—requires the talent of active listening</w:t>
      </w:r>
      <w:r w:rsidR="009D006F" w:rsidRPr="00A41DE6">
        <w:rPr>
          <w:rFonts w:ascii="Arial" w:hAnsi="Arial" w:cs="Arial"/>
        </w:rPr>
        <w:t xml:space="preserve"> (</w:t>
      </w:r>
      <w:r w:rsidR="009D006F" w:rsidRPr="00A41DE6">
        <w:rPr>
          <w:rFonts w:ascii="Arial" w:hAnsi="Arial" w:cs="Arial"/>
          <w:color w:val="222222"/>
          <w:shd w:val="clear" w:color="auto" w:fill="FFFFFF"/>
        </w:rPr>
        <w:t>Finlayson, 2016)</w:t>
      </w:r>
      <w:r w:rsidRPr="00A41DE6">
        <w:rPr>
          <w:rFonts w:ascii="Arial" w:hAnsi="Arial" w:cs="Arial"/>
        </w:rPr>
        <w:t>.</w:t>
      </w:r>
      <w:r w:rsidR="00D91B83" w:rsidRPr="00A41DE6">
        <w:rPr>
          <w:rFonts w:ascii="Arial" w:hAnsi="Arial" w:cs="Arial"/>
        </w:rPr>
        <w:t xml:space="preserve"> </w:t>
      </w:r>
      <w:r w:rsidRPr="00A41DE6">
        <w:rPr>
          <w:rFonts w:ascii="Arial" w:hAnsi="Arial" w:cs="Arial"/>
        </w:rPr>
        <w:t xml:space="preserve">It is also crucial to maintain eye contact and refrain from distractions like checking your phone or daydreaming. Body language and facial emotions both fall under nonverbal communication. When </w:t>
      </w:r>
      <w:r w:rsidR="003D0C4C" w:rsidRPr="00A41DE6">
        <w:rPr>
          <w:rFonts w:ascii="Arial" w:hAnsi="Arial" w:cs="Arial"/>
        </w:rPr>
        <w:t>speaking with other people, it is</w:t>
      </w:r>
      <w:r w:rsidRPr="00A41DE6">
        <w:rPr>
          <w:rFonts w:ascii="Arial" w:hAnsi="Arial" w:cs="Arial"/>
        </w:rPr>
        <w:t xml:space="preserve"> critical to be mindful of these indications. The quality of assertiveness is the capacity to state one's demands, wants, and opinions in a straightforward and concise manner. Some individuals may find this challenging since it may come out as unpleasant or hostile. To get one's argument through and be heard, it's crucial to be aggressive</w:t>
      </w:r>
      <w:r w:rsidR="003D0C4C" w:rsidRPr="00A41DE6">
        <w:rPr>
          <w:rFonts w:ascii="Arial" w:hAnsi="Arial" w:cs="Arial"/>
        </w:rPr>
        <w:t xml:space="preserve"> (</w:t>
      </w:r>
      <w:r w:rsidR="003D0C4C" w:rsidRPr="00A41DE6">
        <w:rPr>
          <w:rFonts w:ascii="Arial" w:hAnsi="Arial" w:cs="Arial"/>
          <w:color w:val="222222"/>
          <w:shd w:val="clear" w:color="auto" w:fill="FFFFFF"/>
        </w:rPr>
        <w:t>Inglese et al., 2019)</w:t>
      </w:r>
      <w:r w:rsidR="003D0C4C" w:rsidRPr="00A41DE6">
        <w:rPr>
          <w:rFonts w:ascii="Arial" w:hAnsi="Arial" w:cs="Arial"/>
        </w:rPr>
        <w:t>.</w:t>
      </w:r>
    </w:p>
    <w:p w14:paraId="2D0E9166" w14:textId="634C78C6" w:rsidR="00D91B83" w:rsidRPr="00A41DE6" w:rsidRDefault="007721A1" w:rsidP="00A41DE6">
      <w:pPr>
        <w:spacing w:after="0" w:line="360" w:lineRule="auto"/>
        <w:rPr>
          <w:rFonts w:ascii="Arial" w:hAnsi="Arial" w:cs="Arial"/>
          <w:b/>
          <w:bCs/>
        </w:rPr>
      </w:pPr>
      <w:r w:rsidRPr="00A41DE6">
        <w:rPr>
          <w:rFonts w:ascii="Arial" w:hAnsi="Arial" w:cs="Arial"/>
          <w:b/>
          <w:bCs/>
        </w:rPr>
        <w:t>Reflective Model: The Reflective Cycle</w:t>
      </w:r>
    </w:p>
    <w:p w14:paraId="7257D134" w14:textId="21DD22BD" w:rsidR="00D91B83" w:rsidRPr="00A41DE6" w:rsidRDefault="007721A1" w:rsidP="00A41DE6">
      <w:pPr>
        <w:spacing w:after="0" w:line="360" w:lineRule="auto"/>
        <w:ind w:firstLine="720"/>
        <w:rPr>
          <w:rFonts w:ascii="Arial" w:hAnsi="Arial" w:cs="Arial"/>
        </w:rPr>
      </w:pPr>
      <w:r w:rsidRPr="00A41DE6">
        <w:rPr>
          <w:rFonts w:ascii="Arial" w:hAnsi="Arial" w:cs="Arial"/>
        </w:rPr>
        <w:t>The Reflective Cycle is a model of reflection that British educationalist David A. Kolb developed</w:t>
      </w:r>
      <w:r w:rsidR="003D0C4C" w:rsidRPr="00A41DE6">
        <w:rPr>
          <w:rFonts w:ascii="Arial" w:hAnsi="Arial" w:cs="Arial"/>
        </w:rPr>
        <w:t xml:space="preserve"> (</w:t>
      </w:r>
      <w:r w:rsidR="003D0C4C" w:rsidRPr="00A41DE6">
        <w:rPr>
          <w:rFonts w:ascii="Arial" w:hAnsi="Arial" w:cs="Arial"/>
          <w:color w:val="222222"/>
          <w:shd w:val="clear" w:color="auto" w:fill="FFFFFF"/>
        </w:rPr>
        <w:t>Inglese et al., 2019)</w:t>
      </w:r>
      <w:r w:rsidR="003D0C4C" w:rsidRPr="00A41DE6">
        <w:rPr>
          <w:rFonts w:ascii="Arial" w:hAnsi="Arial" w:cs="Arial"/>
        </w:rPr>
        <w:t>.</w:t>
      </w:r>
      <w:r w:rsidRPr="00A41DE6">
        <w:rPr>
          <w:rFonts w:ascii="Arial" w:hAnsi="Arial" w:cs="Arial"/>
        </w:rPr>
        <w:t xml:space="preserve"> It is a widely used model in education and is also known as experiential learning. The cycle has four main stages: concrete experience, observation and reflection, forming abstract concepts, and testing in new situations.</w:t>
      </w:r>
    </w:p>
    <w:p w14:paraId="2E01BCBD" w14:textId="736703A3" w:rsidR="00D91B83" w:rsidRPr="00A41DE6" w:rsidRDefault="007721A1" w:rsidP="00A41DE6">
      <w:pPr>
        <w:spacing w:after="0" w:line="360" w:lineRule="auto"/>
        <w:ind w:firstLine="720"/>
        <w:rPr>
          <w:rFonts w:ascii="Arial" w:hAnsi="Arial" w:cs="Arial"/>
        </w:rPr>
      </w:pPr>
      <w:r w:rsidRPr="00A41DE6">
        <w:rPr>
          <w:rFonts w:ascii="Arial" w:hAnsi="Arial" w:cs="Arial"/>
        </w:rPr>
        <w:t>The first stage, concrete experience, is where the learner is actively involved in a situation</w:t>
      </w:r>
      <w:r w:rsidR="003D0C4C" w:rsidRPr="00A41DE6">
        <w:rPr>
          <w:rFonts w:ascii="Arial" w:hAnsi="Arial" w:cs="Arial"/>
        </w:rPr>
        <w:t xml:space="preserve"> (</w:t>
      </w:r>
      <w:r w:rsidR="003D0C4C" w:rsidRPr="00A41DE6">
        <w:rPr>
          <w:rFonts w:ascii="Arial" w:hAnsi="Arial" w:cs="Arial"/>
          <w:color w:val="222222"/>
          <w:shd w:val="clear" w:color="auto" w:fill="FFFFFF"/>
        </w:rPr>
        <w:t>Kolb and Kolb, 2017)</w:t>
      </w:r>
      <w:r w:rsidRPr="00A41DE6">
        <w:rPr>
          <w:rFonts w:ascii="Arial" w:hAnsi="Arial" w:cs="Arial"/>
        </w:rPr>
        <w:t xml:space="preserve">. This could be a new or existing situation that the learner encounters for the first time. The second stage is observation and reflection, where the </w:t>
      </w:r>
      <w:r w:rsidRPr="00A41DE6">
        <w:rPr>
          <w:rFonts w:ascii="Arial" w:hAnsi="Arial" w:cs="Arial"/>
        </w:rPr>
        <w:lastRenderedPageBreak/>
        <w:t>learner observes and reflects on their experience. This could involve thinking about what happened, what was good and bad about the experience, and what could be done differently</w:t>
      </w:r>
      <w:r w:rsidR="003D0C4C" w:rsidRPr="00A41DE6">
        <w:rPr>
          <w:rFonts w:ascii="Arial" w:hAnsi="Arial" w:cs="Arial"/>
        </w:rPr>
        <w:t xml:space="preserve"> </w:t>
      </w:r>
      <w:r w:rsidR="003D0C4C" w:rsidRPr="00A41DE6">
        <w:rPr>
          <w:rFonts w:ascii="Arial" w:hAnsi="Arial" w:cs="Arial"/>
          <w:color w:val="222222"/>
          <w:shd w:val="clear" w:color="auto" w:fill="FFFFFF"/>
        </w:rPr>
        <w:t>(</w:t>
      </w:r>
      <w:proofErr w:type="spellStart"/>
      <w:r w:rsidR="003D0C4C" w:rsidRPr="00A41DE6">
        <w:rPr>
          <w:rFonts w:ascii="Arial" w:hAnsi="Arial" w:cs="Arial"/>
          <w:color w:val="222222"/>
          <w:shd w:val="clear" w:color="auto" w:fill="FFFFFF"/>
        </w:rPr>
        <w:t>Adeani</w:t>
      </w:r>
      <w:proofErr w:type="spellEnd"/>
      <w:r w:rsidR="003D0C4C" w:rsidRPr="00A41DE6">
        <w:rPr>
          <w:rFonts w:ascii="Arial" w:hAnsi="Arial" w:cs="Arial"/>
          <w:color w:val="222222"/>
          <w:shd w:val="clear" w:color="auto" w:fill="FFFFFF"/>
        </w:rPr>
        <w:t xml:space="preserve"> et al., 2020)</w:t>
      </w:r>
      <w:r w:rsidR="003D0C4C" w:rsidRPr="00A41DE6">
        <w:rPr>
          <w:rFonts w:ascii="Arial" w:hAnsi="Arial" w:cs="Arial"/>
        </w:rPr>
        <w:t>.</w:t>
      </w:r>
    </w:p>
    <w:p w14:paraId="13B27A73" w14:textId="77777777" w:rsidR="00D91B83" w:rsidRPr="00A41DE6" w:rsidRDefault="007721A1" w:rsidP="00A41DE6">
      <w:pPr>
        <w:spacing w:after="0" w:line="360" w:lineRule="auto"/>
        <w:ind w:firstLine="720"/>
        <w:rPr>
          <w:rFonts w:ascii="Arial" w:hAnsi="Arial" w:cs="Arial"/>
        </w:rPr>
      </w:pPr>
      <w:r w:rsidRPr="00A41DE6">
        <w:rPr>
          <w:rFonts w:ascii="Arial" w:hAnsi="Arial" w:cs="Arial"/>
        </w:rPr>
        <w:t xml:space="preserve">The third stage, forming abstract concepts, is where the learner starts to form concepts and </w:t>
      </w:r>
      <w:r w:rsidR="005965FE" w:rsidRPr="00A41DE6">
        <w:rPr>
          <w:rFonts w:ascii="Arial" w:hAnsi="Arial" w:cs="Arial"/>
        </w:rPr>
        <w:t>generalizations</w:t>
      </w:r>
      <w:r w:rsidRPr="00A41DE6">
        <w:rPr>
          <w:rFonts w:ascii="Arial" w:hAnsi="Arial" w:cs="Arial"/>
        </w:rPr>
        <w:t xml:space="preserve"> about their experience. This could involve thinking about the experience and what they can learn from it. The fourth stage, testing in new situations, is where the learner tests their concepts and ideas in new situations. This could involve trying out new approaches or strategies and seeing how they work in practice.</w:t>
      </w:r>
    </w:p>
    <w:p w14:paraId="2A926A88" w14:textId="55F8A61F" w:rsidR="002A09CE" w:rsidRPr="00A41DE6" w:rsidRDefault="007721A1" w:rsidP="00A41DE6">
      <w:pPr>
        <w:spacing w:after="0" w:line="360" w:lineRule="auto"/>
        <w:ind w:firstLine="720"/>
        <w:rPr>
          <w:rFonts w:ascii="Arial" w:hAnsi="Arial" w:cs="Arial"/>
        </w:rPr>
      </w:pPr>
      <w:r w:rsidRPr="00A41DE6">
        <w:rPr>
          <w:rFonts w:ascii="Arial" w:hAnsi="Arial" w:cs="Arial"/>
        </w:rPr>
        <w:t>The Reflective Cycle is a useful model for thinking about and reflecting on experiences</w:t>
      </w:r>
      <w:r w:rsidR="003D0C4C" w:rsidRPr="00A41DE6">
        <w:rPr>
          <w:rFonts w:ascii="Arial" w:hAnsi="Arial" w:cs="Arial"/>
        </w:rPr>
        <w:t xml:space="preserve"> (</w:t>
      </w:r>
      <w:r w:rsidR="003D0C4C" w:rsidRPr="00A41DE6">
        <w:rPr>
          <w:rFonts w:ascii="Arial" w:hAnsi="Arial" w:cs="Arial"/>
          <w:color w:val="222222"/>
          <w:shd w:val="clear" w:color="auto" w:fill="FFFFFF"/>
        </w:rPr>
        <w:t>Inglese et al., 2019)</w:t>
      </w:r>
      <w:r w:rsidRPr="00A41DE6">
        <w:rPr>
          <w:rFonts w:ascii="Arial" w:hAnsi="Arial" w:cs="Arial"/>
        </w:rPr>
        <w:t>. It can help learners to make sense of their experiences and to learn from them. It can also help educators to plan and design learning experiences that are more likely to lead to deep and meaningful learning.</w:t>
      </w:r>
      <w:r w:rsidR="005965FE" w:rsidRPr="00A41DE6">
        <w:rPr>
          <w:rFonts w:ascii="Arial" w:hAnsi="Arial" w:cs="Arial"/>
        </w:rPr>
        <w:t xml:space="preserve"> For this report, we will focus on the Gibbs reflective model. A few different models of reflection are commonly used in business management and academic settings. One such model is Gibbs' Reflective Cycle, which Graham Gibbs first developed in 1988. This model is often used to help individuals reflect on a</w:t>
      </w:r>
      <w:r w:rsidR="003D0C4C" w:rsidRPr="00A41DE6">
        <w:rPr>
          <w:rFonts w:ascii="Arial" w:hAnsi="Arial" w:cs="Arial"/>
        </w:rPr>
        <w:t>nd learn from their experiences</w:t>
      </w:r>
      <w:r w:rsidR="003D0C4C" w:rsidRPr="00A41DE6">
        <w:rPr>
          <w:rFonts w:ascii="Arial" w:hAnsi="Arial" w:cs="Arial"/>
          <w:color w:val="222222"/>
          <w:shd w:val="clear" w:color="auto" w:fill="FFFFFF"/>
        </w:rPr>
        <w:t xml:space="preserve"> (</w:t>
      </w:r>
      <w:proofErr w:type="spellStart"/>
      <w:r w:rsidR="003D0C4C" w:rsidRPr="00A41DE6">
        <w:rPr>
          <w:rFonts w:ascii="Arial" w:hAnsi="Arial" w:cs="Arial"/>
          <w:color w:val="222222"/>
          <w:shd w:val="clear" w:color="auto" w:fill="FFFFFF"/>
        </w:rPr>
        <w:t>Adeani</w:t>
      </w:r>
      <w:proofErr w:type="spellEnd"/>
      <w:r w:rsidR="003D0C4C" w:rsidRPr="00A41DE6">
        <w:rPr>
          <w:rFonts w:ascii="Arial" w:hAnsi="Arial" w:cs="Arial"/>
          <w:color w:val="222222"/>
          <w:shd w:val="clear" w:color="auto" w:fill="FFFFFF"/>
        </w:rPr>
        <w:t xml:space="preserve"> et al., 2020)</w:t>
      </w:r>
      <w:r w:rsidRPr="00A41DE6">
        <w:rPr>
          <w:rFonts w:ascii="Arial" w:hAnsi="Arial" w:cs="Arial"/>
        </w:rPr>
        <w:t>. The model consists of six stages of reflection: description, feelings, evaluation, analysis, conclusion, and action plan. The first stage of reflection is a description when you describe the event or experience you are reflecting on. Feelings are the second stage when you discuss your feelings and emotions related to the experience. In the third step, assessment, you assess the encounter and pass judgment on it. The fourth step, analysis, involves breaking down the event into parts. The conclusion, or the fifth step, is when you conclude the event. The sixth and final stage is an action plan, which is when you develop a plan of action based on your reflection. The Gibbs reflective model is useful for businesses and organizations to reflect on their experiences. The model can help businesses and organizations to identify an experience's main points, reach a conclusion about the experience, and develop a plan of action based on the reflection</w:t>
      </w:r>
      <w:r w:rsidR="003D0C4C" w:rsidRPr="00A41DE6">
        <w:rPr>
          <w:rFonts w:ascii="Arial" w:hAnsi="Arial" w:cs="Arial"/>
        </w:rPr>
        <w:t xml:space="preserve"> </w:t>
      </w:r>
      <w:r w:rsidR="003D0C4C" w:rsidRPr="00A41DE6">
        <w:rPr>
          <w:rFonts w:ascii="Arial" w:hAnsi="Arial" w:cs="Arial"/>
          <w:color w:val="222222"/>
          <w:shd w:val="clear" w:color="auto" w:fill="FFFFFF"/>
        </w:rPr>
        <w:t>(</w:t>
      </w:r>
      <w:proofErr w:type="spellStart"/>
      <w:r w:rsidR="003D0C4C" w:rsidRPr="00A41DE6">
        <w:rPr>
          <w:rFonts w:ascii="Arial" w:hAnsi="Arial" w:cs="Arial"/>
          <w:color w:val="222222"/>
          <w:shd w:val="clear" w:color="auto" w:fill="FFFFFF"/>
        </w:rPr>
        <w:t>Adeani</w:t>
      </w:r>
      <w:proofErr w:type="spellEnd"/>
      <w:r w:rsidR="003D0C4C" w:rsidRPr="00A41DE6">
        <w:rPr>
          <w:rFonts w:ascii="Arial" w:hAnsi="Arial" w:cs="Arial"/>
          <w:color w:val="222222"/>
          <w:shd w:val="clear" w:color="auto" w:fill="FFFFFF"/>
        </w:rPr>
        <w:t xml:space="preserve"> et al., 2020)</w:t>
      </w:r>
      <w:r w:rsidR="003D0C4C" w:rsidRPr="00A41DE6">
        <w:rPr>
          <w:rFonts w:ascii="Arial" w:hAnsi="Arial" w:cs="Arial"/>
        </w:rPr>
        <w:t>.</w:t>
      </w:r>
    </w:p>
    <w:p w14:paraId="3633C70D" w14:textId="709E9104" w:rsidR="00AC2A78" w:rsidRPr="00A41DE6" w:rsidRDefault="00AC2A78" w:rsidP="00A41DE6">
      <w:pPr>
        <w:spacing w:after="0" w:line="360" w:lineRule="auto"/>
        <w:rPr>
          <w:rFonts w:ascii="Arial" w:hAnsi="Arial" w:cs="Arial"/>
          <w:b/>
          <w:bCs/>
        </w:rPr>
      </w:pPr>
      <w:r w:rsidRPr="00A41DE6">
        <w:rPr>
          <w:rFonts w:ascii="Arial" w:hAnsi="Arial" w:cs="Arial"/>
          <w:b/>
          <w:bCs/>
        </w:rPr>
        <w:t xml:space="preserve">Conclusion </w:t>
      </w:r>
    </w:p>
    <w:p w14:paraId="4E0DBB5F" w14:textId="6160FE8C" w:rsidR="00BC1793" w:rsidRPr="00A41DE6" w:rsidRDefault="007721A1" w:rsidP="00A41DE6">
      <w:pPr>
        <w:spacing w:after="0" w:line="360" w:lineRule="auto"/>
        <w:ind w:firstLine="720"/>
        <w:rPr>
          <w:rFonts w:ascii="Arial" w:hAnsi="Arial" w:cs="Arial"/>
        </w:rPr>
      </w:pPr>
      <w:r w:rsidRPr="00A41DE6">
        <w:rPr>
          <w:rFonts w:ascii="Arial" w:hAnsi="Arial" w:cs="Arial"/>
        </w:rPr>
        <w:t>In conclusion, the concepts of community, personal development, and interpersonal skills are interconnected. A strong sense of community can promote personal development, and strong interpersonal skills can build and maintain community. Reviewing and extending one's skills in these areas can lead to positive outcomes in both personal and professional contexts.</w:t>
      </w:r>
      <w:r w:rsidR="00397E50" w:rsidRPr="00A41DE6">
        <w:rPr>
          <w:rFonts w:ascii="Arial" w:hAnsi="Arial" w:cs="Arial"/>
        </w:rPr>
        <w:t xml:space="preserve"> The relationship between academic theories and reflective practice is a close one. Reflective practice is grounded in several academic disciplines, including psychology, education, and sociology. Reflective practice has been shown to be an effective way to learn from experiences and improve work quality.</w:t>
      </w:r>
    </w:p>
    <w:p w14:paraId="61121A3F" w14:textId="71E324FC" w:rsidR="00EF5625" w:rsidRPr="00A41DE6" w:rsidRDefault="00EF5625" w:rsidP="00A41DE6">
      <w:pPr>
        <w:spacing w:after="0" w:line="360" w:lineRule="auto"/>
        <w:ind w:firstLine="720"/>
        <w:rPr>
          <w:rFonts w:ascii="Arial" w:hAnsi="Arial" w:cs="Arial"/>
        </w:rPr>
      </w:pPr>
    </w:p>
    <w:p w14:paraId="320ECB50" w14:textId="145C26A8" w:rsidR="00EF5625" w:rsidRPr="00A41DE6" w:rsidRDefault="00EF5625" w:rsidP="00A41DE6">
      <w:pPr>
        <w:spacing w:after="0" w:line="360" w:lineRule="auto"/>
        <w:ind w:firstLine="720"/>
        <w:rPr>
          <w:rFonts w:ascii="Arial" w:hAnsi="Arial" w:cs="Arial"/>
        </w:rPr>
      </w:pPr>
    </w:p>
    <w:p w14:paraId="2E43C343" w14:textId="0ADB7A27" w:rsidR="00EF5625" w:rsidRPr="00A41DE6" w:rsidRDefault="00EF5625" w:rsidP="00A41DE6">
      <w:pPr>
        <w:spacing w:after="0" w:line="360" w:lineRule="auto"/>
        <w:ind w:firstLine="720"/>
        <w:rPr>
          <w:rFonts w:ascii="Arial" w:hAnsi="Arial" w:cs="Arial"/>
        </w:rPr>
      </w:pPr>
    </w:p>
    <w:p w14:paraId="20E9ECC8" w14:textId="407FDD9A" w:rsidR="00EF5625" w:rsidRPr="00A41DE6" w:rsidRDefault="00EF5625" w:rsidP="00A41DE6">
      <w:pPr>
        <w:spacing w:after="0" w:line="360" w:lineRule="auto"/>
        <w:ind w:firstLine="720"/>
        <w:rPr>
          <w:rFonts w:ascii="Arial" w:hAnsi="Arial" w:cs="Arial"/>
        </w:rPr>
      </w:pPr>
    </w:p>
    <w:p w14:paraId="04653058" w14:textId="193E934F" w:rsidR="00EF5625" w:rsidRPr="00A41DE6" w:rsidRDefault="00EF5625" w:rsidP="00A41DE6">
      <w:pPr>
        <w:spacing w:after="0" w:line="360" w:lineRule="auto"/>
        <w:ind w:firstLine="720"/>
        <w:rPr>
          <w:rFonts w:ascii="Arial" w:hAnsi="Arial" w:cs="Arial"/>
        </w:rPr>
      </w:pPr>
    </w:p>
    <w:p w14:paraId="6306E1D1" w14:textId="553C2B33" w:rsidR="00EF5625" w:rsidRPr="00A41DE6" w:rsidRDefault="00EF5625" w:rsidP="00A41DE6">
      <w:pPr>
        <w:spacing w:after="0" w:line="360" w:lineRule="auto"/>
        <w:rPr>
          <w:rFonts w:ascii="Arial" w:hAnsi="Arial" w:cs="Arial"/>
        </w:rPr>
      </w:pPr>
    </w:p>
    <w:p w14:paraId="0297F768" w14:textId="77777777" w:rsidR="00EF5625" w:rsidRPr="00A41DE6" w:rsidRDefault="00EF5625" w:rsidP="00A41DE6">
      <w:pPr>
        <w:spacing w:after="0" w:line="360" w:lineRule="auto"/>
        <w:ind w:firstLine="720"/>
        <w:rPr>
          <w:rFonts w:ascii="Arial" w:hAnsi="Arial" w:cs="Arial"/>
        </w:rPr>
      </w:pPr>
    </w:p>
    <w:p w14:paraId="6CDB0648" w14:textId="7F3B25EE" w:rsidR="00EF5625" w:rsidRPr="00A41DE6" w:rsidRDefault="00EF5625" w:rsidP="00A41DE6">
      <w:pPr>
        <w:spacing w:after="0" w:line="360" w:lineRule="auto"/>
        <w:jc w:val="center"/>
        <w:rPr>
          <w:rFonts w:ascii="Arial" w:hAnsi="Arial" w:cs="Arial"/>
        </w:rPr>
      </w:pPr>
      <w:r w:rsidRPr="00A41DE6">
        <w:rPr>
          <w:rFonts w:ascii="Arial" w:hAnsi="Arial" w:cs="Arial"/>
        </w:rPr>
        <w:t>References</w:t>
      </w:r>
    </w:p>
    <w:p w14:paraId="55C966BC" w14:textId="77777777" w:rsidR="00A41DE6" w:rsidRPr="00A41DE6" w:rsidRDefault="00A41DE6" w:rsidP="00A41DE6">
      <w:pPr>
        <w:spacing w:after="0" w:line="360" w:lineRule="auto"/>
        <w:ind w:left="720" w:hanging="720"/>
        <w:rPr>
          <w:rFonts w:ascii="Arial" w:hAnsi="Arial" w:cs="Arial"/>
          <w:color w:val="222222"/>
          <w:shd w:val="clear" w:color="auto" w:fill="FFFFFF"/>
        </w:rPr>
      </w:pPr>
      <w:proofErr w:type="spellStart"/>
      <w:r w:rsidRPr="00A41DE6">
        <w:rPr>
          <w:rFonts w:ascii="Arial" w:hAnsi="Arial" w:cs="Arial"/>
          <w:color w:val="222222"/>
          <w:shd w:val="clear" w:color="auto" w:fill="FFFFFF"/>
        </w:rPr>
        <w:t>Adeani</w:t>
      </w:r>
      <w:proofErr w:type="spellEnd"/>
      <w:r w:rsidRPr="00A41DE6">
        <w:rPr>
          <w:rFonts w:ascii="Arial" w:hAnsi="Arial" w:cs="Arial"/>
          <w:color w:val="222222"/>
          <w:shd w:val="clear" w:color="auto" w:fill="FFFFFF"/>
        </w:rPr>
        <w:t xml:space="preserve">, I.S., </w:t>
      </w:r>
      <w:proofErr w:type="spellStart"/>
      <w:r w:rsidRPr="00A41DE6">
        <w:rPr>
          <w:rFonts w:ascii="Arial" w:hAnsi="Arial" w:cs="Arial"/>
          <w:color w:val="222222"/>
          <w:shd w:val="clear" w:color="auto" w:fill="FFFFFF"/>
        </w:rPr>
        <w:t>Febriani</w:t>
      </w:r>
      <w:proofErr w:type="spellEnd"/>
      <w:r w:rsidRPr="00A41DE6">
        <w:rPr>
          <w:rFonts w:ascii="Arial" w:hAnsi="Arial" w:cs="Arial"/>
          <w:color w:val="222222"/>
          <w:shd w:val="clear" w:color="auto" w:fill="FFFFFF"/>
        </w:rPr>
        <w:t xml:space="preserve">, R.B. and </w:t>
      </w:r>
      <w:proofErr w:type="spellStart"/>
      <w:r w:rsidRPr="00A41DE6">
        <w:rPr>
          <w:rFonts w:ascii="Arial" w:hAnsi="Arial" w:cs="Arial"/>
          <w:color w:val="222222"/>
          <w:shd w:val="clear" w:color="auto" w:fill="FFFFFF"/>
        </w:rPr>
        <w:t>Syafryadin</w:t>
      </w:r>
      <w:proofErr w:type="spellEnd"/>
      <w:r w:rsidRPr="00A41DE6">
        <w:rPr>
          <w:rFonts w:ascii="Arial" w:hAnsi="Arial" w:cs="Arial"/>
          <w:color w:val="222222"/>
          <w:shd w:val="clear" w:color="auto" w:fill="FFFFFF"/>
        </w:rPr>
        <w:t>, S., 2020. USING GIBBS’REFLECTIVE CYCLE IN MAKING REFLECTIONS OF LITERARY ANALYSIS. </w:t>
      </w:r>
      <w:r w:rsidRPr="00A41DE6">
        <w:rPr>
          <w:rFonts w:ascii="Arial" w:hAnsi="Arial" w:cs="Arial"/>
          <w:i/>
          <w:iCs/>
          <w:color w:val="222222"/>
          <w:shd w:val="clear" w:color="auto" w:fill="FFFFFF"/>
        </w:rPr>
        <w:t>Indonesian EFL Journal</w:t>
      </w:r>
      <w:r w:rsidRPr="00A41DE6">
        <w:rPr>
          <w:rFonts w:ascii="Arial" w:hAnsi="Arial" w:cs="Arial"/>
          <w:color w:val="222222"/>
          <w:shd w:val="clear" w:color="auto" w:fill="FFFFFF"/>
        </w:rPr>
        <w:t>, </w:t>
      </w:r>
      <w:r w:rsidRPr="00A41DE6">
        <w:rPr>
          <w:rFonts w:ascii="Arial" w:hAnsi="Arial" w:cs="Arial"/>
          <w:i/>
          <w:iCs/>
          <w:color w:val="222222"/>
          <w:shd w:val="clear" w:color="auto" w:fill="FFFFFF"/>
        </w:rPr>
        <w:t>6</w:t>
      </w:r>
      <w:r w:rsidRPr="00A41DE6">
        <w:rPr>
          <w:rFonts w:ascii="Arial" w:hAnsi="Arial" w:cs="Arial"/>
          <w:color w:val="222222"/>
          <w:shd w:val="clear" w:color="auto" w:fill="FFFFFF"/>
        </w:rPr>
        <w:t>(2), pp.139-148.</w:t>
      </w:r>
    </w:p>
    <w:p w14:paraId="2A7730E9" w14:textId="77777777" w:rsidR="00A41DE6" w:rsidRPr="00A41DE6" w:rsidRDefault="00A41DE6" w:rsidP="00A41DE6">
      <w:pPr>
        <w:spacing w:after="0" w:line="360" w:lineRule="auto"/>
        <w:ind w:left="720" w:hanging="720"/>
        <w:rPr>
          <w:rFonts w:ascii="Arial" w:hAnsi="Arial" w:cs="Arial"/>
          <w:color w:val="222222"/>
          <w:shd w:val="clear" w:color="auto" w:fill="FFFFFF"/>
        </w:rPr>
      </w:pPr>
      <w:proofErr w:type="spellStart"/>
      <w:r w:rsidRPr="00A41DE6">
        <w:rPr>
          <w:rFonts w:ascii="Arial" w:hAnsi="Arial" w:cs="Arial"/>
          <w:color w:val="222222"/>
          <w:shd w:val="clear" w:color="auto" w:fill="FFFFFF"/>
        </w:rPr>
        <w:t>Amulya</w:t>
      </w:r>
      <w:proofErr w:type="spellEnd"/>
      <w:r w:rsidRPr="00A41DE6">
        <w:rPr>
          <w:rFonts w:ascii="Arial" w:hAnsi="Arial" w:cs="Arial"/>
          <w:color w:val="222222"/>
          <w:shd w:val="clear" w:color="auto" w:fill="FFFFFF"/>
        </w:rPr>
        <w:t>, J., 2004. What is reflective practice. </w:t>
      </w:r>
      <w:r w:rsidRPr="00A41DE6">
        <w:rPr>
          <w:rFonts w:ascii="Arial" w:hAnsi="Arial" w:cs="Arial"/>
          <w:i/>
          <w:iCs/>
          <w:color w:val="222222"/>
          <w:shd w:val="clear" w:color="auto" w:fill="FFFFFF"/>
        </w:rPr>
        <w:t xml:space="preserve">Center for Reflective Community Practice, Massachusetts Institute of Technology, Cambridge, </w:t>
      </w:r>
      <w:proofErr w:type="gramStart"/>
      <w:r w:rsidRPr="00A41DE6">
        <w:rPr>
          <w:rFonts w:ascii="Arial" w:hAnsi="Arial" w:cs="Arial"/>
          <w:i/>
          <w:iCs/>
          <w:color w:val="222222"/>
          <w:shd w:val="clear" w:color="auto" w:fill="FFFFFF"/>
        </w:rPr>
        <w:t>MA.[</w:t>
      </w:r>
      <w:proofErr w:type="gramEnd"/>
      <w:r w:rsidRPr="00A41DE6">
        <w:rPr>
          <w:rFonts w:ascii="Arial" w:hAnsi="Arial" w:cs="Arial"/>
          <w:i/>
          <w:iCs/>
          <w:color w:val="222222"/>
          <w:shd w:val="clear" w:color="auto" w:fill="FFFFFF"/>
        </w:rPr>
        <w:t xml:space="preserve">Online]. Available at: http://www. </w:t>
      </w:r>
      <w:proofErr w:type="spellStart"/>
      <w:r w:rsidRPr="00A41DE6">
        <w:rPr>
          <w:rFonts w:ascii="Arial" w:hAnsi="Arial" w:cs="Arial"/>
          <w:i/>
          <w:iCs/>
          <w:color w:val="222222"/>
          <w:shd w:val="clear" w:color="auto" w:fill="FFFFFF"/>
        </w:rPr>
        <w:t>itslifejimbutnotasweknowit</w:t>
      </w:r>
      <w:proofErr w:type="spellEnd"/>
      <w:r w:rsidRPr="00A41DE6">
        <w:rPr>
          <w:rFonts w:ascii="Arial" w:hAnsi="Arial" w:cs="Arial"/>
          <w:i/>
          <w:iCs/>
          <w:color w:val="222222"/>
          <w:shd w:val="clear" w:color="auto" w:fill="FFFFFF"/>
        </w:rPr>
        <w:t xml:space="preserve">. org. </w:t>
      </w:r>
      <w:proofErr w:type="spellStart"/>
      <w:r w:rsidRPr="00A41DE6">
        <w:rPr>
          <w:rFonts w:ascii="Arial" w:hAnsi="Arial" w:cs="Arial"/>
          <w:i/>
          <w:iCs/>
          <w:color w:val="222222"/>
          <w:shd w:val="clear" w:color="auto" w:fill="FFFFFF"/>
        </w:rPr>
        <w:t>uk</w:t>
      </w:r>
      <w:proofErr w:type="spellEnd"/>
      <w:r w:rsidRPr="00A41DE6">
        <w:rPr>
          <w:rFonts w:ascii="Arial" w:hAnsi="Arial" w:cs="Arial"/>
          <w:i/>
          <w:iCs/>
          <w:color w:val="222222"/>
          <w:shd w:val="clear" w:color="auto" w:fill="FFFFFF"/>
        </w:rPr>
        <w:t>/files/</w:t>
      </w:r>
      <w:proofErr w:type="spellStart"/>
      <w:r w:rsidRPr="00A41DE6">
        <w:rPr>
          <w:rFonts w:ascii="Arial" w:hAnsi="Arial" w:cs="Arial"/>
          <w:i/>
          <w:iCs/>
          <w:color w:val="222222"/>
          <w:shd w:val="clear" w:color="auto" w:fill="FFFFFF"/>
        </w:rPr>
        <w:t>whatisreflectivepractic</w:t>
      </w:r>
      <w:proofErr w:type="spellEnd"/>
      <w:r w:rsidRPr="00A41DE6">
        <w:rPr>
          <w:rFonts w:ascii="Arial" w:hAnsi="Arial" w:cs="Arial"/>
          <w:i/>
          <w:iCs/>
          <w:color w:val="222222"/>
          <w:shd w:val="clear" w:color="auto" w:fill="FFFFFF"/>
        </w:rPr>
        <w:t xml:space="preserve"> e. pdf [Accessed 15 April 2009]</w:t>
      </w:r>
      <w:r w:rsidRPr="00A41DE6">
        <w:rPr>
          <w:rFonts w:ascii="Arial" w:hAnsi="Arial" w:cs="Arial"/>
          <w:color w:val="222222"/>
          <w:shd w:val="clear" w:color="auto" w:fill="FFFFFF"/>
        </w:rPr>
        <w:t>.</w:t>
      </w:r>
    </w:p>
    <w:p w14:paraId="399C22BA" w14:textId="77777777" w:rsidR="00A41DE6" w:rsidRPr="00A41DE6" w:rsidRDefault="00A41DE6" w:rsidP="00A41DE6">
      <w:pPr>
        <w:spacing w:after="0" w:line="360" w:lineRule="auto"/>
        <w:ind w:left="720" w:hanging="720"/>
        <w:rPr>
          <w:rFonts w:ascii="Arial" w:hAnsi="Arial" w:cs="Arial"/>
          <w:color w:val="222222"/>
          <w:shd w:val="clear" w:color="auto" w:fill="FFFFFF"/>
        </w:rPr>
      </w:pPr>
      <w:proofErr w:type="spellStart"/>
      <w:r w:rsidRPr="00A41DE6">
        <w:rPr>
          <w:rFonts w:ascii="Arial" w:hAnsi="Arial" w:cs="Arial"/>
          <w:color w:val="222222"/>
          <w:shd w:val="clear" w:color="auto" w:fill="FFFFFF"/>
        </w:rPr>
        <w:t>Bassot</w:t>
      </w:r>
      <w:proofErr w:type="spellEnd"/>
      <w:r w:rsidRPr="00A41DE6">
        <w:rPr>
          <w:rFonts w:ascii="Arial" w:hAnsi="Arial" w:cs="Arial"/>
          <w:color w:val="222222"/>
          <w:shd w:val="clear" w:color="auto" w:fill="FFFFFF"/>
        </w:rPr>
        <w:t>, B., 2015. </w:t>
      </w:r>
      <w:r w:rsidRPr="00A41DE6">
        <w:rPr>
          <w:rFonts w:ascii="Arial" w:hAnsi="Arial" w:cs="Arial"/>
          <w:i/>
          <w:iCs/>
          <w:color w:val="222222"/>
          <w:shd w:val="clear" w:color="auto" w:fill="FFFFFF"/>
        </w:rPr>
        <w:t>The reflective practice guide: An interdisciplinary approach to critical reflection</w:t>
      </w:r>
      <w:r w:rsidRPr="00A41DE6">
        <w:rPr>
          <w:rFonts w:ascii="Arial" w:hAnsi="Arial" w:cs="Arial"/>
          <w:color w:val="222222"/>
          <w:shd w:val="clear" w:color="auto" w:fill="FFFFFF"/>
        </w:rPr>
        <w:t>. Routledge.</w:t>
      </w:r>
    </w:p>
    <w:p w14:paraId="35ED095F" w14:textId="77777777" w:rsidR="00A41DE6" w:rsidRPr="00A41DE6" w:rsidRDefault="00A41DE6" w:rsidP="00A41DE6">
      <w:pPr>
        <w:spacing w:after="0" w:line="360" w:lineRule="auto"/>
        <w:ind w:left="720" w:hanging="720"/>
        <w:rPr>
          <w:rFonts w:ascii="Arial" w:hAnsi="Arial" w:cs="Arial"/>
          <w:color w:val="222222"/>
          <w:shd w:val="clear" w:color="auto" w:fill="FFFFFF"/>
        </w:rPr>
      </w:pPr>
      <w:r w:rsidRPr="00A41DE6">
        <w:rPr>
          <w:rFonts w:ascii="Arial" w:hAnsi="Arial" w:cs="Arial"/>
          <w:color w:val="222222"/>
          <w:shd w:val="clear" w:color="auto" w:fill="FFFFFF"/>
        </w:rPr>
        <w:t>Finlayson, A., 2016. Developing a reflective practice model for engineering leadership. </w:t>
      </w:r>
      <w:r w:rsidRPr="00A41DE6">
        <w:rPr>
          <w:rFonts w:ascii="Arial" w:hAnsi="Arial" w:cs="Arial"/>
          <w:i/>
          <w:iCs/>
          <w:color w:val="222222"/>
          <w:shd w:val="clear" w:color="auto" w:fill="FFFFFF"/>
        </w:rPr>
        <w:t>Reflective Practice</w:t>
      </w:r>
      <w:r w:rsidRPr="00A41DE6">
        <w:rPr>
          <w:rFonts w:ascii="Arial" w:hAnsi="Arial" w:cs="Arial"/>
          <w:color w:val="222222"/>
          <w:shd w:val="clear" w:color="auto" w:fill="FFFFFF"/>
        </w:rPr>
        <w:t>, </w:t>
      </w:r>
      <w:r w:rsidRPr="00A41DE6">
        <w:rPr>
          <w:rFonts w:ascii="Arial" w:hAnsi="Arial" w:cs="Arial"/>
          <w:i/>
          <w:iCs/>
          <w:color w:val="222222"/>
          <w:shd w:val="clear" w:color="auto" w:fill="FFFFFF"/>
        </w:rPr>
        <w:t>17</w:t>
      </w:r>
      <w:r w:rsidRPr="00A41DE6">
        <w:rPr>
          <w:rFonts w:ascii="Arial" w:hAnsi="Arial" w:cs="Arial"/>
          <w:color w:val="222222"/>
          <w:shd w:val="clear" w:color="auto" w:fill="FFFFFF"/>
        </w:rPr>
        <w:t>(2), pp.87-99.</w:t>
      </w:r>
    </w:p>
    <w:p w14:paraId="618D4625" w14:textId="77777777" w:rsidR="00A41DE6" w:rsidRPr="00A41DE6" w:rsidRDefault="00A41DE6" w:rsidP="00A41DE6">
      <w:pPr>
        <w:spacing w:after="0" w:line="360" w:lineRule="auto"/>
        <w:ind w:left="720" w:hanging="720"/>
        <w:rPr>
          <w:rFonts w:ascii="Arial" w:hAnsi="Arial" w:cs="Arial"/>
          <w:color w:val="222222"/>
          <w:shd w:val="clear" w:color="auto" w:fill="FFFFFF"/>
        </w:rPr>
      </w:pPr>
      <w:r w:rsidRPr="00A41DE6">
        <w:rPr>
          <w:rFonts w:ascii="Arial" w:hAnsi="Arial" w:cs="Arial"/>
          <w:color w:val="222222"/>
          <w:shd w:val="clear" w:color="auto" w:fill="FFFFFF"/>
        </w:rPr>
        <w:t xml:space="preserve">Hilden, S. and </w:t>
      </w:r>
      <w:proofErr w:type="spellStart"/>
      <w:r w:rsidRPr="00A41DE6">
        <w:rPr>
          <w:rFonts w:ascii="Arial" w:hAnsi="Arial" w:cs="Arial"/>
          <w:color w:val="222222"/>
          <w:shd w:val="clear" w:color="auto" w:fill="FFFFFF"/>
        </w:rPr>
        <w:t>Tikkamäki</w:t>
      </w:r>
      <w:proofErr w:type="spellEnd"/>
      <w:r w:rsidRPr="00A41DE6">
        <w:rPr>
          <w:rFonts w:ascii="Arial" w:hAnsi="Arial" w:cs="Arial"/>
          <w:color w:val="222222"/>
          <w:shd w:val="clear" w:color="auto" w:fill="FFFFFF"/>
        </w:rPr>
        <w:t>, K., 2013. Reflective practice as a fuel for organizational learning. </w:t>
      </w:r>
      <w:r w:rsidRPr="00A41DE6">
        <w:rPr>
          <w:rFonts w:ascii="Arial" w:hAnsi="Arial" w:cs="Arial"/>
          <w:i/>
          <w:iCs/>
          <w:color w:val="222222"/>
          <w:shd w:val="clear" w:color="auto" w:fill="FFFFFF"/>
        </w:rPr>
        <w:t>Administrative sciences</w:t>
      </w:r>
      <w:r w:rsidRPr="00A41DE6">
        <w:rPr>
          <w:rFonts w:ascii="Arial" w:hAnsi="Arial" w:cs="Arial"/>
          <w:color w:val="222222"/>
          <w:shd w:val="clear" w:color="auto" w:fill="FFFFFF"/>
        </w:rPr>
        <w:t>, </w:t>
      </w:r>
      <w:r w:rsidRPr="00A41DE6">
        <w:rPr>
          <w:rFonts w:ascii="Arial" w:hAnsi="Arial" w:cs="Arial"/>
          <w:i/>
          <w:iCs/>
          <w:color w:val="222222"/>
          <w:shd w:val="clear" w:color="auto" w:fill="FFFFFF"/>
        </w:rPr>
        <w:t>3</w:t>
      </w:r>
      <w:r w:rsidRPr="00A41DE6">
        <w:rPr>
          <w:rFonts w:ascii="Arial" w:hAnsi="Arial" w:cs="Arial"/>
          <w:color w:val="222222"/>
          <w:shd w:val="clear" w:color="auto" w:fill="FFFFFF"/>
        </w:rPr>
        <w:t>(3), pp.76-95.</w:t>
      </w:r>
    </w:p>
    <w:p w14:paraId="03C8E1F8" w14:textId="77777777" w:rsidR="00A41DE6" w:rsidRPr="00A41DE6" w:rsidRDefault="00A41DE6" w:rsidP="00A41DE6">
      <w:pPr>
        <w:spacing w:after="0" w:line="360" w:lineRule="auto"/>
        <w:ind w:left="720" w:hanging="720"/>
        <w:rPr>
          <w:rFonts w:ascii="Arial" w:hAnsi="Arial" w:cs="Arial"/>
        </w:rPr>
      </w:pPr>
      <w:r w:rsidRPr="00A41DE6">
        <w:rPr>
          <w:rFonts w:ascii="Arial" w:hAnsi="Arial" w:cs="Arial"/>
          <w:color w:val="222222"/>
          <w:shd w:val="clear" w:color="auto" w:fill="FFFFFF"/>
        </w:rPr>
        <w:t xml:space="preserve">Inglese, T., von </w:t>
      </w:r>
      <w:proofErr w:type="spellStart"/>
      <w:r w:rsidRPr="00A41DE6">
        <w:rPr>
          <w:rFonts w:ascii="Arial" w:hAnsi="Arial" w:cs="Arial"/>
          <w:color w:val="222222"/>
          <w:shd w:val="clear" w:color="auto" w:fill="FFFFFF"/>
        </w:rPr>
        <w:t>Kutzschenbach</w:t>
      </w:r>
      <w:proofErr w:type="spellEnd"/>
      <w:r w:rsidRPr="00A41DE6">
        <w:rPr>
          <w:rFonts w:ascii="Arial" w:hAnsi="Arial" w:cs="Arial"/>
          <w:color w:val="222222"/>
          <w:shd w:val="clear" w:color="auto" w:fill="FFFFFF"/>
        </w:rPr>
        <w:t xml:space="preserve">, M. and </w:t>
      </w:r>
      <w:proofErr w:type="spellStart"/>
      <w:r w:rsidRPr="00A41DE6">
        <w:rPr>
          <w:rFonts w:ascii="Arial" w:hAnsi="Arial" w:cs="Arial"/>
          <w:color w:val="222222"/>
          <w:shd w:val="clear" w:color="auto" w:fill="FFFFFF"/>
        </w:rPr>
        <w:t>Witschel</w:t>
      </w:r>
      <w:proofErr w:type="spellEnd"/>
      <w:r w:rsidRPr="00A41DE6">
        <w:rPr>
          <w:rFonts w:ascii="Arial" w:hAnsi="Arial" w:cs="Arial"/>
          <w:color w:val="222222"/>
          <w:shd w:val="clear" w:color="auto" w:fill="FFFFFF"/>
        </w:rPr>
        <w:t xml:space="preserve">, H.F., 2019, January. Enhancing reflective practices within business management education: what kinds of e-learning scenarios can be </w:t>
      </w:r>
      <w:proofErr w:type="gramStart"/>
      <w:r w:rsidRPr="00A41DE6">
        <w:rPr>
          <w:rFonts w:ascii="Arial" w:hAnsi="Arial" w:cs="Arial"/>
          <w:color w:val="222222"/>
          <w:shd w:val="clear" w:color="auto" w:fill="FFFFFF"/>
        </w:rPr>
        <w:t>designed?.</w:t>
      </w:r>
      <w:proofErr w:type="gramEnd"/>
      <w:r w:rsidRPr="00A41DE6">
        <w:rPr>
          <w:rFonts w:ascii="Arial" w:hAnsi="Arial" w:cs="Arial"/>
          <w:color w:val="222222"/>
          <w:shd w:val="clear" w:color="auto" w:fill="FFFFFF"/>
        </w:rPr>
        <w:t xml:space="preserve"> In </w:t>
      </w:r>
      <w:r w:rsidRPr="00A41DE6">
        <w:rPr>
          <w:rFonts w:ascii="Arial" w:hAnsi="Arial" w:cs="Arial"/>
          <w:i/>
          <w:iCs/>
          <w:color w:val="222222"/>
          <w:shd w:val="clear" w:color="auto" w:fill="FFFFFF"/>
        </w:rPr>
        <w:t>Proceedings of the 10th International Conference on E-Education, E-Business, E-Management and E-Learning</w:t>
      </w:r>
      <w:r w:rsidRPr="00A41DE6">
        <w:rPr>
          <w:rFonts w:ascii="Arial" w:hAnsi="Arial" w:cs="Arial"/>
          <w:color w:val="222222"/>
          <w:shd w:val="clear" w:color="auto" w:fill="FFFFFF"/>
        </w:rPr>
        <w:t> (pp. 108-113).</w:t>
      </w:r>
    </w:p>
    <w:p w14:paraId="4C91A97B" w14:textId="77777777" w:rsidR="00A41DE6" w:rsidRPr="00A41DE6" w:rsidRDefault="00A41DE6" w:rsidP="00A41DE6">
      <w:pPr>
        <w:spacing w:after="0" w:line="360" w:lineRule="auto"/>
        <w:ind w:left="720" w:hanging="720"/>
        <w:rPr>
          <w:rFonts w:ascii="Arial" w:hAnsi="Arial" w:cs="Arial"/>
          <w:color w:val="222222"/>
          <w:shd w:val="clear" w:color="auto" w:fill="FFFFFF"/>
        </w:rPr>
      </w:pPr>
      <w:r w:rsidRPr="00A41DE6">
        <w:rPr>
          <w:rFonts w:ascii="Arial" w:hAnsi="Arial" w:cs="Arial"/>
          <w:color w:val="222222"/>
          <w:shd w:val="clear" w:color="auto" w:fill="FFFFFF"/>
        </w:rPr>
        <w:t>Kolb, A.Y. and Kolb, D.A., 2017. Experiential learning theory as a guide for experiential educators in higher education. </w:t>
      </w:r>
      <w:r w:rsidRPr="00A41DE6">
        <w:rPr>
          <w:rFonts w:ascii="Arial" w:hAnsi="Arial" w:cs="Arial"/>
          <w:i/>
          <w:iCs/>
          <w:color w:val="222222"/>
          <w:shd w:val="clear" w:color="auto" w:fill="FFFFFF"/>
        </w:rPr>
        <w:t>Experiential Learning &amp; Teaching in Higher Education</w:t>
      </w:r>
      <w:r w:rsidRPr="00A41DE6">
        <w:rPr>
          <w:rFonts w:ascii="Arial" w:hAnsi="Arial" w:cs="Arial"/>
          <w:color w:val="222222"/>
          <w:shd w:val="clear" w:color="auto" w:fill="FFFFFF"/>
        </w:rPr>
        <w:t>, </w:t>
      </w:r>
      <w:r w:rsidRPr="00A41DE6">
        <w:rPr>
          <w:rFonts w:ascii="Arial" w:hAnsi="Arial" w:cs="Arial"/>
          <w:i/>
          <w:iCs/>
          <w:color w:val="222222"/>
          <w:shd w:val="clear" w:color="auto" w:fill="FFFFFF"/>
        </w:rPr>
        <w:t>1</w:t>
      </w:r>
      <w:r w:rsidRPr="00A41DE6">
        <w:rPr>
          <w:rFonts w:ascii="Arial" w:hAnsi="Arial" w:cs="Arial"/>
          <w:color w:val="222222"/>
          <w:shd w:val="clear" w:color="auto" w:fill="FFFFFF"/>
        </w:rPr>
        <w:t>(1), pp.7-44.</w:t>
      </w:r>
    </w:p>
    <w:p w14:paraId="0B1FAAFB" w14:textId="77777777" w:rsidR="00A41DE6" w:rsidRPr="00A41DE6" w:rsidRDefault="00A41DE6" w:rsidP="00A41DE6">
      <w:pPr>
        <w:spacing w:after="0" w:line="360" w:lineRule="auto"/>
        <w:ind w:left="720" w:hanging="720"/>
        <w:rPr>
          <w:rFonts w:ascii="Arial" w:hAnsi="Arial" w:cs="Arial"/>
          <w:color w:val="222222"/>
          <w:shd w:val="clear" w:color="auto" w:fill="FFFFFF"/>
        </w:rPr>
      </w:pPr>
      <w:r w:rsidRPr="00A41DE6">
        <w:rPr>
          <w:rFonts w:ascii="Arial" w:hAnsi="Arial" w:cs="Arial"/>
          <w:color w:val="222222"/>
          <w:shd w:val="clear" w:color="auto" w:fill="FFFFFF"/>
        </w:rPr>
        <w:t>Pavlovich, K., Collins, E. and Jones, G., 2009. Developing students' skills in reflective practice: Design and assessment. </w:t>
      </w:r>
      <w:r w:rsidRPr="00A41DE6">
        <w:rPr>
          <w:rFonts w:ascii="Arial" w:hAnsi="Arial" w:cs="Arial"/>
          <w:i/>
          <w:iCs/>
          <w:color w:val="222222"/>
          <w:shd w:val="clear" w:color="auto" w:fill="FFFFFF"/>
        </w:rPr>
        <w:t>Journal of Management Education</w:t>
      </w:r>
      <w:r w:rsidRPr="00A41DE6">
        <w:rPr>
          <w:rFonts w:ascii="Arial" w:hAnsi="Arial" w:cs="Arial"/>
          <w:color w:val="222222"/>
          <w:shd w:val="clear" w:color="auto" w:fill="FFFFFF"/>
        </w:rPr>
        <w:t>, </w:t>
      </w:r>
      <w:r w:rsidRPr="00A41DE6">
        <w:rPr>
          <w:rFonts w:ascii="Arial" w:hAnsi="Arial" w:cs="Arial"/>
          <w:i/>
          <w:iCs/>
          <w:color w:val="222222"/>
          <w:shd w:val="clear" w:color="auto" w:fill="FFFFFF"/>
        </w:rPr>
        <w:t>33</w:t>
      </w:r>
      <w:r w:rsidRPr="00A41DE6">
        <w:rPr>
          <w:rFonts w:ascii="Arial" w:hAnsi="Arial" w:cs="Arial"/>
          <w:color w:val="222222"/>
          <w:shd w:val="clear" w:color="auto" w:fill="FFFFFF"/>
        </w:rPr>
        <w:t>(1), pp.37-58.</w:t>
      </w:r>
    </w:p>
    <w:p w14:paraId="58EF03BF" w14:textId="77777777" w:rsidR="00A41DE6" w:rsidRPr="00A41DE6" w:rsidRDefault="00A41DE6" w:rsidP="00A41DE6">
      <w:pPr>
        <w:spacing w:after="0" w:line="360" w:lineRule="auto"/>
        <w:ind w:left="720" w:hanging="720"/>
        <w:rPr>
          <w:rFonts w:ascii="Arial" w:hAnsi="Arial" w:cs="Arial"/>
          <w:color w:val="222222"/>
          <w:shd w:val="clear" w:color="auto" w:fill="FFFFFF"/>
        </w:rPr>
      </w:pPr>
      <w:proofErr w:type="spellStart"/>
      <w:r w:rsidRPr="00A41DE6">
        <w:rPr>
          <w:rFonts w:ascii="Arial" w:hAnsi="Arial" w:cs="Arial"/>
          <w:color w:val="222222"/>
          <w:shd w:val="clear" w:color="auto" w:fill="FFFFFF"/>
        </w:rPr>
        <w:t>Saunila</w:t>
      </w:r>
      <w:proofErr w:type="spellEnd"/>
      <w:r w:rsidRPr="00A41DE6">
        <w:rPr>
          <w:rFonts w:ascii="Arial" w:hAnsi="Arial" w:cs="Arial"/>
          <w:color w:val="222222"/>
          <w:shd w:val="clear" w:color="auto" w:fill="FFFFFF"/>
        </w:rPr>
        <w:t xml:space="preserve">, M., </w:t>
      </w:r>
      <w:proofErr w:type="spellStart"/>
      <w:r w:rsidRPr="00A41DE6">
        <w:rPr>
          <w:rFonts w:ascii="Arial" w:hAnsi="Arial" w:cs="Arial"/>
          <w:color w:val="222222"/>
          <w:shd w:val="clear" w:color="auto" w:fill="FFFFFF"/>
        </w:rPr>
        <w:t>Tikkamäki</w:t>
      </w:r>
      <w:proofErr w:type="spellEnd"/>
      <w:r w:rsidRPr="00A41DE6">
        <w:rPr>
          <w:rFonts w:ascii="Arial" w:hAnsi="Arial" w:cs="Arial"/>
          <w:color w:val="222222"/>
          <w:shd w:val="clear" w:color="auto" w:fill="FFFFFF"/>
        </w:rPr>
        <w:t xml:space="preserve">, K. and </w:t>
      </w:r>
      <w:proofErr w:type="spellStart"/>
      <w:r w:rsidRPr="00A41DE6">
        <w:rPr>
          <w:rFonts w:ascii="Arial" w:hAnsi="Arial" w:cs="Arial"/>
          <w:color w:val="222222"/>
          <w:shd w:val="clear" w:color="auto" w:fill="FFFFFF"/>
        </w:rPr>
        <w:t>Ukko</w:t>
      </w:r>
      <w:proofErr w:type="spellEnd"/>
      <w:r w:rsidRPr="00A41DE6">
        <w:rPr>
          <w:rFonts w:ascii="Arial" w:hAnsi="Arial" w:cs="Arial"/>
          <w:color w:val="222222"/>
          <w:shd w:val="clear" w:color="auto" w:fill="FFFFFF"/>
        </w:rPr>
        <w:t>, J., 2015. Managing performance and learning through reflective practices. </w:t>
      </w:r>
      <w:r w:rsidRPr="00A41DE6">
        <w:rPr>
          <w:rFonts w:ascii="Arial" w:hAnsi="Arial" w:cs="Arial"/>
          <w:i/>
          <w:iCs/>
          <w:color w:val="222222"/>
          <w:shd w:val="clear" w:color="auto" w:fill="FFFFFF"/>
        </w:rPr>
        <w:t>Journal of Organizational Effectiveness: People and Performance</w:t>
      </w:r>
      <w:r w:rsidRPr="00A41DE6">
        <w:rPr>
          <w:rFonts w:ascii="Arial" w:hAnsi="Arial" w:cs="Arial"/>
          <w:color w:val="222222"/>
          <w:shd w:val="clear" w:color="auto" w:fill="FFFFFF"/>
        </w:rPr>
        <w:t>.</w:t>
      </w:r>
    </w:p>
    <w:p w14:paraId="646FA8CD" w14:textId="77777777" w:rsidR="00A41DE6" w:rsidRPr="00A41DE6" w:rsidRDefault="00A41DE6" w:rsidP="00A41DE6">
      <w:pPr>
        <w:spacing w:after="0" w:line="360" w:lineRule="auto"/>
        <w:ind w:left="720" w:hanging="720"/>
        <w:rPr>
          <w:rFonts w:ascii="Arial" w:hAnsi="Arial" w:cs="Arial"/>
          <w:color w:val="222222"/>
          <w:shd w:val="clear" w:color="auto" w:fill="FFFFFF"/>
        </w:rPr>
      </w:pPr>
      <w:r w:rsidRPr="00A41DE6">
        <w:rPr>
          <w:rFonts w:ascii="Arial" w:hAnsi="Arial" w:cs="Arial"/>
          <w:color w:val="222222"/>
          <w:shd w:val="clear" w:color="auto" w:fill="FFFFFF"/>
        </w:rPr>
        <w:t>Serafini, F. (2002). Reflective practice and learning. </w:t>
      </w:r>
      <w:r w:rsidRPr="00A41DE6">
        <w:rPr>
          <w:rFonts w:ascii="Arial" w:hAnsi="Arial" w:cs="Arial"/>
          <w:i/>
          <w:iCs/>
          <w:color w:val="222222"/>
          <w:shd w:val="clear" w:color="auto" w:fill="FFFFFF"/>
        </w:rPr>
        <w:t>Primary Voices K-6</w:t>
      </w:r>
      <w:r w:rsidRPr="00A41DE6">
        <w:rPr>
          <w:rFonts w:ascii="Arial" w:hAnsi="Arial" w:cs="Arial"/>
          <w:color w:val="222222"/>
          <w:shd w:val="clear" w:color="auto" w:fill="FFFFFF"/>
        </w:rPr>
        <w:t>, </w:t>
      </w:r>
      <w:r w:rsidRPr="00A41DE6">
        <w:rPr>
          <w:rFonts w:ascii="Arial" w:hAnsi="Arial" w:cs="Arial"/>
          <w:i/>
          <w:iCs/>
          <w:color w:val="222222"/>
          <w:shd w:val="clear" w:color="auto" w:fill="FFFFFF"/>
        </w:rPr>
        <w:t>10</w:t>
      </w:r>
      <w:r w:rsidRPr="00A41DE6">
        <w:rPr>
          <w:rFonts w:ascii="Arial" w:hAnsi="Arial" w:cs="Arial"/>
          <w:color w:val="222222"/>
          <w:shd w:val="clear" w:color="auto" w:fill="FFFFFF"/>
        </w:rPr>
        <w:t>(4), 2.</w:t>
      </w:r>
    </w:p>
    <w:sectPr w:rsidR="00A41DE6" w:rsidRPr="00A41DE6" w:rsidSect="00263170">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075AA" w14:textId="77777777" w:rsidR="00751FB3" w:rsidRDefault="00751FB3" w:rsidP="00297B5D">
      <w:pPr>
        <w:spacing w:after="0" w:line="240" w:lineRule="auto"/>
      </w:pPr>
      <w:r>
        <w:separator/>
      </w:r>
    </w:p>
  </w:endnote>
  <w:endnote w:type="continuationSeparator" w:id="0">
    <w:p w14:paraId="0B441B6D" w14:textId="77777777" w:rsidR="00751FB3" w:rsidRDefault="00751FB3" w:rsidP="00297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64DF4" w14:textId="77777777" w:rsidR="00751FB3" w:rsidRDefault="00751FB3" w:rsidP="00297B5D">
      <w:pPr>
        <w:spacing w:after="0" w:line="240" w:lineRule="auto"/>
      </w:pPr>
      <w:r>
        <w:separator/>
      </w:r>
    </w:p>
  </w:footnote>
  <w:footnote w:type="continuationSeparator" w:id="0">
    <w:p w14:paraId="2E9C1852" w14:textId="77777777" w:rsidR="00751FB3" w:rsidRDefault="00751FB3" w:rsidP="00297B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3688230"/>
      <w:docPartObj>
        <w:docPartGallery w:val="Page Numbers (Top of Page)"/>
        <w:docPartUnique/>
      </w:docPartObj>
    </w:sdtPr>
    <w:sdtEndPr>
      <w:rPr>
        <w:noProof/>
      </w:rPr>
    </w:sdtEndPr>
    <w:sdtContent>
      <w:p w14:paraId="200EFD05" w14:textId="255A9820" w:rsidR="00297B5D" w:rsidRDefault="00297B5D">
        <w:pPr>
          <w:pStyle w:val="Header"/>
          <w:jc w:val="right"/>
        </w:pPr>
        <w:r>
          <w:fldChar w:fldCharType="begin"/>
        </w:r>
        <w:r>
          <w:instrText xml:space="preserve"> PAGE   \* MERGEFORMAT </w:instrText>
        </w:r>
        <w:r>
          <w:fldChar w:fldCharType="separate"/>
        </w:r>
        <w:r w:rsidR="00E86F1F">
          <w:rPr>
            <w:noProof/>
          </w:rPr>
          <w:t>7</w:t>
        </w:r>
        <w:r>
          <w:rPr>
            <w:noProof/>
          </w:rPr>
          <w:fldChar w:fldCharType="end"/>
        </w:r>
      </w:p>
    </w:sdtContent>
  </w:sdt>
  <w:p w14:paraId="5BCD7348" w14:textId="77777777" w:rsidR="00297B5D" w:rsidRDefault="00297B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92F"/>
    <w:rsid w:val="00081536"/>
    <w:rsid w:val="000A33F1"/>
    <w:rsid w:val="00163AF2"/>
    <w:rsid w:val="001C2D15"/>
    <w:rsid w:val="00235423"/>
    <w:rsid w:val="00263170"/>
    <w:rsid w:val="00297B5D"/>
    <w:rsid w:val="002A09CE"/>
    <w:rsid w:val="002B0610"/>
    <w:rsid w:val="00397E50"/>
    <w:rsid w:val="003D0C4C"/>
    <w:rsid w:val="003D5633"/>
    <w:rsid w:val="0056703F"/>
    <w:rsid w:val="005775BB"/>
    <w:rsid w:val="005965FE"/>
    <w:rsid w:val="005A41E6"/>
    <w:rsid w:val="00751FB3"/>
    <w:rsid w:val="007721A1"/>
    <w:rsid w:val="0083393B"/>
    <w:rsid w:val="009D006F"/>
    <w:rsid w:val="00A41DE6"/>
    <w:rsid w:val="00AC2A78"/>
    <w:rsid w:val="00B57056"/>
    <w:rsid w:val="00B65913"/>
    <w:rsid w:val="00B73A1B"/>
    <w:rsid w:val="00B845CF"/>
    <w:rsid w:val="00B93E27"/>
    <w:rsid w:val="00BC1793"/>
    <w:rsid w:val="00BE3440"/>
    <w:rsid w:val="00C01564"/>
    <w:rsid w:val="00C1392F"/>
    <w:rsid w:val="00C85374"/>
    <w:rsid w:val="00CB6686"/>
    <w:rsid w:val="00D91B83"/>
    <w:rsid w:val="00DF25FE"/>
    <w:rsid w:val="00E86F1F"/>
    <w:rsid w:val="00EF5625"/>
    <w:rsid w:val="00F100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64F12"/>
  <w15:chartTrackingRefBased/>
  <w15:docId w15:val="{A7E94DF6-BC60-4ECC-95E3-3A8EB63D6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7B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B5D"/>
    <w:rPr>
      <w:lang w:val="en-US"/>
    </w:rPr>
  </w:style>
  <w:style w:type="paragraph" w:styleId="Footer">
    <w:name w:val="footer"/>
    <w:basedOn w:val="Normal"/>
    <w:link w:val="FooterChar"/>
    <w:uiPriority w:val="99"/>
    <w:unhideWhenUsed/>
    <w:rsid w:val="00297B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B5D"/>
    <w:rPr>
      <w:lang w:val="en-US"/>
    </w:rPr>
  </w:style>
  <w:style w:type="paragraph" w:styleId="NoSpacing">
    <w:name w:val="No Spacing"/>
    <w:link w:val="NoSpacingChar"/>
    <w:uiPriority w:val="1"/>
    <w:qFormat/>
    <w:rsid w:val="00263170"/>
    <w:pPr>
      <w:spacing w:after="0" w:line="240" w:lineRule="auto"/>
    </w:pPr>
    <w:rPr>
      <w:rFonts w:eastAsiaTheme="minorEastAsia"/>
    </w:rPr>
  </w:style>
  <w:style w:type="character" w:customStyle="1" w:styleId="NoSpacingChar">
    <w:name w:val="No Spacing Char"/>
    <w:basedOn w:val="DefaultParagraphFont"/>
    <w:link w:val="NoSpacing"/>
    <w:uiPriority w:val="1"/>
    <w:rsid w:val="00263170"/>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2022-11-25T00:00:00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7</Pages>
  <Words>2445</Words>
  <Characters>13939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Course: Community Engagement                                  Professor: Zahra Mohammadnazari                                               Institution: University of Wales Trinity Saint David                 City: Birmingham</Company>
  <LinksUpToDate>false</LinksUpToDate>
  <CharactersWithSpaces>16352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ASSIGNMENT 2 – REFLECTIVE REPORT</dc:title>
  <dc:subject>Name: Ionica Toader</dc:subject>
  <dc:creator/>
  <cp:lastModifiedBy>Ionica Toader</cp:lastModifiedBy>
  <cp:revision>26</cp:revision>
  <dcterms:created xsi:type="dcterms:W3CDTF">2022-10-12T21:02:00Z</dcterms:created>
  <dcterms:modified xsi:type="dcterms:W3CDTF">2022-11-22T12:18:00Z</dcterms:modified>
</cp:coreProperties>
</file>