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b/>
          <w:bCs/>
          <w:sz w:val="32"/>
          <w:szCs w:val="32"/>
        </w:rPr>
        <w:t xml:space="preserve">DWDM Tutorial 16 – Classification Analysis Report</w:t>
      </w:r>
    </w:p>
    <w:p>
      <w:pPr>
        <w:spacing w:after="300"/>
        <w:jc w:val="center"/>
      </w:pPr>
      <w:r>
        <w:rPr>
          <w:i/>
          <w:iCs/>
          <w:color w:val="555555"/>
          <w:sz w:val="22"/>
          <w:szCs w:val="22"/>
        </w:rPr>
        <w:t xml:space="preserve">Glass Data Set – Classification with Weka</w:t>
      </w:r>
    </w:p>
    <w:p>
      <w:pPr>
        <w:pStyle w:val="Heading1"/>
        <w:spacing w:after="140" w:before="280"/>
      </w:pPr>
      <w:r>
        <w:t xml:space="preserve">1. Introduction</w:t>
      </w:r>
    </w:p>
    <w:p>
      <w:pPr>
        <w:spacing w:after="160"/>
      </w:pPr>
      <w:r>
        <w:rPr>
          <w:b w:val="false"/>
          <w:bCs w:val="false"/>
          <w:i w:val="false"/>
          <w:iCs w:val="false"/>
        </w:rPr>
        <w:t xml:space="preserve">This report presents a classification analysis performed on the Glass Data Set using Weka. The dataset is based on forensic chemical analysis and is used to determine the origin of different types of glass found at crime scenes. The goal of the analysis is to identify the most accurate classification tool, or combination of tools, for identifying glass type, and to evaluate whether distinguishing between float and non-float glass is easier than distinguishing between all glass sub-types.</w:t>
      </w:r>
    </w:p>
    <w:p>
      <w:pPr>
        <w:pStyle w:val="Heading1"/>
        <w:spacing w:after="140" w:before="280"/>
      </w:pPr>
      <w:r>
        <w:t xml:space="preserve">2. Dataset Description</w:t>
      </w:r>
    </w:p>
    <w:p>
      <w:pPr>
        <w:pStyle w:val="ListParagraph"/>
        <w:numPr>
          <w:ilvl w:val="0"/>
          <w:numId w:val="1"/>
        </w:numPr>
        <w:spacing w:after="80"/>
      </w:pPr>
      <w:r>
        <w:t xml:space="preserve">Relation: Glass</w:t>
      </w:r>
    </w:p>
    <w:p>
      <w:pPr>
        <w:pStyle w:val="ListParagraph"/>
        <w:numPr>
          <w:ilvl w:val="0"/>
          <w:numId w:val="1"/>
        </w:numPr>
        <w:spacing w:after="80"/>
      </w:pPr>
      <w:r>
        <w:t xml:space="preserve">Instances: 214</w:t>
      </w:r>
    </w:p>
    <w:p>
      <w:pPr>
        <w:pStyle w:val="ListParagraph"/>
        <w:numPr>
          <w:ilvl w:val="0"/>
          <w:numId w:val="1"/>
        </w:numPr>
        <w:spacing w:after="80"/>
      </w:pPr>
      <w:r>
        <w:t xml:space="preserve">Attributes: 10 (9 numeric predictors + 1 nominal class attribute)</w:t>
      </w:r>
    </w:p>
    <w:p>
      <w:pPr>
        <w:pStyle w:val="ListParagraph"/>
        <w:numPr>
          <w:ilvl w:val="0"/>
          <w:numId w:val="1"/>
        </w:numPr>
        <w:spacing w:after="80"/>
      </w:pPr>
      <w:r>
        <w:t xml:space="preserve">Predictor attributes: RI (refractive index), Na, Mg, Al, Si, K, Ca, Ba, Fe (chemical composition, all numeric)</w:t>
      </w:r>
    </w:p>
    <w:p>
      <w:pPr>
        <w:pStyle w:val="ListParagraph"/>
        <w:numPr>
          <w:ilvl w:val="0"/>
          <w:numId w:val="1"/>
        </w:numPr>
        <w:spacing w:after="80"/>
      </w:pPr>
      <w:r>
        <w:t xml:space="preserve">Class attribute (Type): build wind float, build wind non-float, vehic wind float, vehic wind non-float, containers, tableware, headlamps</w:t>
      </w:r>
    </w:p>
    <w:p>
      <w:pPr>
        <w:spacing w:after="160"/>
      </w:pPr>
      <w:r>
        <w:rPr>
          <w:b w:val="false"/>
          <w:bCs w:val="false"/>
          <w:i w:val="false"/>
          <w:iCs w:val="false"/>
        </w:rPr>
        <w:t xml:space="preserve">Note: no instances of the class 'vehicle window non-float' are present in the dataset, so this class could not be evaluated by any classifier (its metrics appear as undefined, shown as '?', in the Weka output).</w:t>
      </w:r>
    </w:p>
    <w:p>
      <w:pPr>
        <w:pStyle w:val="Heading1"/>
        <w:spacing w:after="140" w:before="280"/>
      </w:pPr>
      <w:r>
        <w:t xml:space="preserve">3. Methodology</w:t>
      </w:r>
    </w:p>
    <w:p>
      <w:pPr>
        <w:spacing w:after="160"/>
      </w:pPr>
      <w:r>
        <w:rPr>
          <w:b w:val="false"/>
          <w:bCs w:val="false"/>
          <w:i w:val="false"/>
          <w:iCs w:val="false"/>
        </w:rPr>
        <w:t xml:space="preserve">All classifiers were evaluated using 10-fold stratified cross-validation, Weka's default test option, which is appropriate given the relatively small size of the dataset (214 instances). Four classification algorithms were compared, spanning different learning paradigms:</w:t>
      </w:r>
    </w:p>
    <w:p>
      <w:pPr>
        <w:pStyle w:val="ListParagraph"/>
        <w:numPr>
          <w:ilvl w:val="0"/>
          <w:numId w:val="1"/>
        </w:numPr>
        <w:spacing w:after="80"/>
      </w:pPr>
      <w:r>
        <w:t xml:space="preserve">J48 – a decision tree (divide-and-conquer) classifier</w:t>
      </w:r>
    </w:p>
    <w:p>
      <w:pPr>
        <w:pStyle w:val="ListParagraph"/>
        <w:numPr>
          <w:ilvl w:val="0"/>
          <w:numId w:val="1"/>
        </w:numPr>
        <w:spacing w:after="80"/>
      </w:pPr>
      <w:r>
        <w:t xml:space="preserve">JRip – a rule-based classifier (propositional rule learner, RIPPER)</w:t>
      </w:r>
    </w:p>
    <w:p>
      <w:pPr>
        <w:pStyle w:val="ListParagraph"/>
        <w:numPr>
          <w:ilvl w:val="0"/>
          <w:numId w:val="1"/>
        </w:numPr>
        <w:spacing w:after="80"/>
      </w:pPr>
      <w:r>
        <w:t xml:space="preserve">Random Forest – an ensemble of decision trees</w:t>
      </w:r>
    </w:p>
    <w:p>
      <w:pPr>
        <w:pStyle w:val="ListParagraph"/>
        <w:numPr>
          <w:ilvl w:val="0"/>
          <w:numId w:val="1"/>
        </w:numPr>
        <w:spacing w:after="80"/>
      </w:pPr>
      <w:r>
        <w:t xml:space="preserve">Naive Bayes – a probabilistic classifier based on Bayes' theorem with an attribute-independence assumption</w:t>
      </w:r>
    </w:p>
    <w:p>
      <w:pPr>
        <w:pStyle w:val="Heading1"/>
        <w:spacing w:after="140" w:before="280"/>
      </w:pPr>
      <w:r>
        <w:t xml:space="preserve">4. Results</w:t>
      </w:r>
    </w:p>
    <w:p>
      <w:pPr>
        <w:pStyle w:val="Heading2"/>
        <w:spacing w:after="140" w:before="280"/>
      </w:pPr>
      <w:r>
        <w:t xml:space="preserve">4.1 Overall Performance Comparison</w:t>
      </w:r>
    </w:p>
    <w:tbl>
      <w:tblPr>
        <w:tblW w:type="dxa" w:w="10200"/>
        <w:tblBorders>
          <w:top w:val="single" w:color="auto" w:sz="4"/>
          <w:left w:val="single" w:color="auto" w:sz="4"/>
          <w:bottom w:val="single" w:color="auto" w:sz="4"/>
          <w:right w:val="single" w:color="auto" w:sz="4"/>
          <w:insideH w:val="single" w:color="auto" w:sz="4"/>
          <w:insideV w:val="single" w:color="auto" w:sz="4"/>
        </w:tblBorders>
      </w:tblPr>
      <w:tblGrid>
        <w:gridCol w:w="3200"/>
        <w:gridCol w:w="2500"/>
        <w:gridCol w:w="2000"/>
        <w:gridCol w:w="2500"/>
      </w:tblGrid>
      <w:tr>
        <w:trPr>
          <w:tblHeader/>
        </w:trPr>
        <w:tc>
          <w:tcPr>
            <w:tcW w:type="dxa" w:w="3200"/>
            <w:shd w:fill="2E5395" w:color="auto" w:val="clear"/>
          </w:tcPr>
          <w:p>
            <w:pPr>
              <w:jc w:val="center"/>
            </w:pPr>
            <w:r>
              <w:rPr>
                <w:b/>
                <w:bCs/>
                <w:color w:val="FFFFFF"/>
                <w:sz w:val="20"/>
                <w:szCs w:val="20"/>
              </w:rPr>
              <w:t xml:space="preserve">Classifier</w:t>
            </w:r>
          </w:p>
        </w:tc>
        <w:tc>
          <w:tcPr>
            <w:tcW w:type="dxa" w:w="2500"/>
            <w:shd w:fill="2E5395" w:color="auto" w:val="clear"/>
          </w:tcPr>
          <w:p>
            <w:pPr>
              <w:jc w:val="center"/>
            </w:pPr>
            <w:r>
              <w:rPr>
                <w:b/>
                <w:bCs/>
                <w:color w:val="FFFFFF"/>
                <w:sz w:val="20"/>
                <w:szCs w:val="20"/>
              </w:rPr>
              <w:t xml:space="preserve">Correctly Classified (%)</w:t>
            </w:r>
          </w:p>
        </w:tc>
        <w:tc>
          <w:tcPr>
            <w:tcW w:type="dxa" w:w="2000"/>
            <w:shd w:fill="2E5395" w:color="auto" w:val="clear"/>
          </w:tcPr>
          <w:p>
            <w:pPr>
              <w:jc w:val="center"/>
            </w:pPr>
            <w:r>
              <w:rPr>
                <w:b/>
                <w:bCs/>
                <w:color w:val="FFFFFF"/>
                <w:sz w:val="20"/>
                <w:szCs w:val="20"/>
              </w:rPr>
              <w:t xml:space="preserve">Kappa</w:t>
            </w:r>
          </w:p>
        </w:tc>
        <w:tc>
          <w:tcPr>
            <w:tcW w:type="dxa" w:w="2500"/>
            <w:shd w:fill="2E5395" w:color="auto" w:val="clear"/>
          </w:tcPr>
          <w:p>
            <w:pPr>
              <w:jc w:val="center"/>
            </w:pPr>
            <w:r>
              <w:rPr>
                <w:b/>
                <w:bCs/>
                <w:color w:val="FFFFFF"/>
                <w:sz w:val="20"/>
                <w:szCs w:val="20"/>
              </w:rPr>
              <w:t xml:space="preserve">Weighted F-Measure</w:t>
            </w:r>
          </w:p>
        </w:tc>
      </w:tr>
      <w:tr>
        <w:tc>
          <w:tcPr>
            <w:tcW w:type="dxa" w:w="3200"/>
          </w:tcPr>
          <w:p>
            <w:pPr>
              <w:jc w:val="left"/>
            </w:pPr>
            <w:r>
              <w:rPr>
                <w:b w:val="false"/>
                <w:bCs w:val="false"/>
                <w:sz w:val="20"/>
                <w:szCs w:val="20"/>
              </w:rPr>
              <w:t xml:space="preserve">J48</w:t>
            </w:r>
          </w:p>
        </w:tc>
        <w:tc>
          <w:tcPr>
            <w:tcW w:type="dxa" w:w="2500"/>
          </w:tcPr>
          <w:p>
            <w:pPr>
              <w:jc w:val="center"/>
            </w:pPr>
            <w:r>
              <w:rPr>
                <w:b w:val="false"/>
                <w:bCs w:val="false"/>
                <w:sz w:val="20"/>
                <w:szCs w:val="20"/>
              </w:rPr>
              <w:t xml:space="preserve">66.82%</w:t>
            </w:r>
          </w:p>
        </w:tc>
        <w:tc>
          <w:tcPr>
            <w:tcW w:type="dxa" w:w="2000"/>
          </w:tcPr>
          <w:p>
            <w:pPr>
              <w:jc w:val="center"/>
            </w:pPr>
            <w:r>
              <w:rPr>
                <w:b w:val="false"/>
                <w:bCs w:val="false"/>
                <w:sz w:val="20"/>
                <w:szCs w:val="20"/>
              </w:rPr>
              <w:t xml:space="preserve">0.5500</w:t>
            </w:r>
          </w:p>
        </w:tc>
        <w:tc>
          <w:tcPr>
            <w:tcW w:type="dxa" w:w="2500"/>
          </w:tcPr>
          <w:p>
            <w:pPr>
              <w:jc w:val="center"/>
            </w:pPr>
            <w:r>
              <w:rPr>
                <w:b w:val="false"/>
                <w:bCs w:val="false"/>
                <w:sz w:val="20"/>
                <w:szCs w:val="20"/>
              </w:rPr>
              <w:t xml:space="preserve">0.668</w:t>
            </w:r>
          </w:p>
        </w:tc>
      </w:tr>
      <w:tr>
        <w:tc>
          <w:tcPr>
            <w:tcW w:type="dxa" w:w="3200"/>
          </w:tcPr>
          <w:p>
            <w:pPr>
              <w:jc w:val="left"/>
            </w:pPr>
            <w:r>
              <w:rPr>
                <w:b w:val="false"/>
                <w:bCs w:val="false"/>
                <w:sz w:val="20"/>
                <w:szCs w:val="20"/>
              </w:rPr>
              <w:t xml:space="preserve">JRip</w:t>
            </w:r>
          </w:p>
        </w:tc>
        <w:tc>
          <w:tcPr>
            <w:tcW w:type="dxa" w:w="2500"/>
          </w:tcPr>
          <w:p>
            <w:pPr>
              <w:jc w:val="center"/>
            </w:pPr>
            <w:r>
              <w:rPr>
                <w:b w:val="false"/>
                <w:bCs w:val="false"/>
                <w:sz w:val="20"/>
                <w:szCs w:val="20"/>
              </w:rPr>
              <w:t xml:space="preserve">68.69%</w:t>
            </w:r>
          </w:p>
        </w:tc>
        <w:tc>
          <w:tcPr>
            <w:tcW w:type="dxa" w:w="2000"/>
          </w:tcPr>
          <w:p>
            <w:pPr>
              <w:jc w:val="center"/>
            </w:pPr>
            <w:r>
              <w:rPr>
                <w:b w:val="false"/>
                <w:bCs w:val="false"/>
                <w:sz w:val="20"/>
                <w:szCs w:val="20"/>
              </w:rPr>
              <w:t xml:space="preserve">0.5691</w:t>
            </w:r>
          </w:p>
        </w:tc>
        <w:tc>
          <w:tcPr>
            <w:tcW w:type="dxa" w:w="2500"/>
          </w:tcPr>
          <w:p>
            <w:pPr>
              <w:jc w:val="center"/>
            </w:pPr>
            <w:r>
              <w:rPr>
                <w:b w:val="false"/>
                <w:bCs w:val="false"/>
                <w:sz w:val="20"/>
                <w:szCs w:val="20"/>
              </w:rPr>
              <w:t xml:space="preserve">0.676</w:t>
            </w:r>
          </w:p>
        </w:tc>
      </w:tr>
      <w:tr>
        <w:tc>
          <w:tcPr>
            <w:tcW w:type="dxa" w:w="3200"/>
          </w:tcPr>
          <w:p>
            <w:pPr>
              <w:jc w:val="left"/>
            </w:pPr>
            <w:r>
              <w:rPr>
                <w:b w:val="false"/>
                <w:bCs w:val="false"/>
                <w:sz w:val="20"/>
                <w:szCs w:val="20"/>
              </w:rPr>
              <w:t xml:space="preserve">Random Forest</w:t>
            </w:r>
          </w:p>
        </w:tc>
        <w:tc>
          <w:tcPr>
            <w:tcW w:type="dxa" w:w="2500"/>
          </w:tcPr>
          <w:p>
            <w:pPr>
              <w:jc w:val="center"/>
            </w:pPr>
            <w:r>
              <w:rPr>
                <w:b w:val="false"/>
                <w:bCs w:val="false"/>
                <w:sz w:val="20"/>
                <w:szCs w:val="20"/>
              </w:rPr>
              <w:t xml:space="preserve">79.91%</w:t>
            </w:r>
          </w:p>
        </w:tc>
        <w:tc>
          <w:tcPr>
            <w:tcW w:type="dxa" w:w="2000"/>
          </w:tcPr>
          <w:p>
            <w:pPr>
              <w:jc w:val="center"/>
            </w:pPr>
            <w:r>
              <w:rPr>
                <w:b w:val="false"/>
                <w:bCs w:val="false"/>
                <w:sz w:val="20"/>
                <w:szCs w:val="20"/>
              </w:rPr>
              <w:t xml:space="preserve">0.7229</w:t>
            </w:r>
          </w:p>
        </w:tc>
        <w:tc>
          <w:tcPr>
            <w:tcW w:type="dxa" w:w="2500"/>
          </w:tcPr>
          <w:p>
            <w:pPr>
              <w:jc w:val="center"/>
            </w:pPr>
            <w:r>
              <w:rPr>
                <w:b w:val="false"/>
                <w:bCs w:val="false"/>
                <w:sz w:val="20"/>
                <w:szCs w:val="20"/>
              </w:rPr>
              <w:t xml:space="preserve">0.793</w:t>
            </w:r>
          </w:p>
        </w:tc>
      </w:tr>
      <w:tr>
        <w:tc>
          <w:tcPr>
            <w:tcW w:type="dxa" w:w="3200"/>
          </w:tcPr>
          <w:p>
            <w:pPr>
              <w:jc w:val="left"/>
            </w:pPr>
            <w:r>
              <w:rPr>
                <w:b w:val="false"/>
                <w:bCs w:val="false"/>
                <w:sz w:val="20"/>
                <w:szCs w:val="20"/>
              </w:rPr>
              <w:t xml:space="preserve">Naive Bayes</w:t>
            </w:r>
          </w:p>
        </w:tc>
        <w:tc>
          <w:tcPr>
            <w:tcW w:type="dxa" w:w="2500"/>
          </w:tcPr>
          <w:p>
            <w:pPr>
              <w:jc w:val="center"/>
            </w:pPr>
            <w:r>
              <w:rPr>
                <w:b w:val="false"/>
                <w:bCs w:val="false"/>
                <w:sz w:val="20"/>
                <w:szCs w:val="20"/>
              </w:rPr>
              <w:t xml:space="preserve">48.60%</w:t>
            </w:r>
          </w:p>
        </w:tc>
        <w:tc>
          <w:tcPr>
            <w:tcW w:type="dxa" w:w="2000"/>
          </w:tcPr>
          <w:p>
            <w:pPr>
              <w:jc w:val="center"/>
            </w:pPr>
            <w:r>
              <w:rPr>
                <w:b w:val="false"/>
                <w:bCs w:val="false"/>
                <w:sz w:val="20"/>
                <w:szCs w:val="20"/>
              </w:rPr>
              <w:t xml:space="preserve">0.3168</w:t>
            </w:r>
          </w:p>
        </w:tc>
        <w:tc>
          <w:tcPr>
            <w:tcW w:type="dxa" w:w="2500"/>
          </w:tcPr>
          <w:p>
            <w:pPr>
              <w:jc w:val="center"/>
            </w:pPr>
            <w:r>
              <w:rPr>
                <w:b w:val="false"/>
                <w:bCs w:val="false"/>
                <w:sz w:val="20"/>
                <w:szCs w:val="20"/>
              </w:rPr>
              <w:t xml:space="preserve">0.453</w:t>
            </w:r>
          </w:p>
        </w:tc>
      </w:tr>
    </w:tbl>
    <w:p>
      <w:pPr>
        <w:spacing w:before="200"/>
      </w:pPr>
    </w:p>
    <w:p>
      <w:pPr>
        <w:spacing w:after="160"/>
      </w:pPr>
      <w:r>
        <w:rPr>
          <w:b w:val="false"/>
          <w:bCs w:val="false"/>
          <w:i w:val="false"/>
          <w:iCs w:val="false"/>
        </w:rPr>
        <w:t xml:space="preserve">Random Forest achieved the highest accuracy (79.91%) and the highest Kappa statistic (0.7229), indicating substantial agreement beyond chance. Naive Bayes performed markedly worse than the other three algorithms, with an accuracy of only 48.60%.</w:t>
      </w:r>
    </w:p>
    <w:p>
      <w:pPr>
        <w:pStyle w:val="Heading2"/>
        <w:spacing w:after="140" w:before="280"/>
      </w:pPr>
      <w:r>
        <w:t xml:space="preserve">4.2 Per-Class Analysis</w:t>
      </w:r>
    </w:p>
    <w:p>
      <w:pPr>
        <w:spacing w:after="160"/>
      </w:pPr>
      <w:r>
        <w:rPr>
          <w:b w:val="false"/>
          <w:bCs w:val="false"/>
          <w:i w:val="false"/>
          <w:iCs w:val="false"/>
        </w:rPr>
        <w:t xml:space="preserve">Examining the confusion matrices for each classifier reveals a consistent pattern across algorithms: the two classes 'build wind float' and 'build wind non-float' are frequently confused with one another. This is expected, as both are building window glass and differ only in the manufacturing/finishing process, so their chemical compositions are very similar.</w:t>
      </w:r>
    </w:p>
    <w:p>
      <w:pPr>
        <w:spacing w:after="160"/>
      </w:pPr>
      <w:r>
        <w:rPr>
          <w:b w:val="false"/>
          <w:bCs w:val="false"/>
          <w:i w:val="false"/>
          <w:iCs w:val="false"/>
        </w:rPr>
        <w:t xml:space="preserve">The class 'vehic wind float' was the most difficult to classify correctly for every algorithm (Recall of 0.353 for J48, 0.118 for JRip, 0.353 for Random Forest, 0.235 for Naive Bayes). This is very likely due to the small number of instances of this class in the dataset (only 17), rather than to a limitation of any particular algorithm. Notably, Random Forest — despite its strong overall performance — did not improve the Recall on this class relative to J48, which supports the hypothesis that the issue is data scarcity rather than algorithm choice.</w:t>
      </w:r>
    </w:p>
    <w:p>
      <w:pPr>
        <w:spacing w:after="160"/>
      </w:pPr>
      <w:r>
        <w:rPr>
          <w:b w:val="false"/>
          <w:bCs w:val="false"/>
          <w:i w:val="false"/>
          <w:iCs w:val="false"/>
        </w:rPr>
        <w:t xml:space="preserve">By contrast, the 'headlamps' class was consistently well classified by all algorithms (Recall between 0.793 and 0.846), as was 'containers' for the tree/rule/ensemble-based methods.</w:t>
      </w:r>
    </w:p>
    <w:p>
      <w:pPr>
        <w:spacing w:after="160"/>
      </w:pPr>
      <w:r>
        <w:rPr>
          <w:b w:val="false"/>
          <w:bCs w:val="false"/>
          <w:i w:val="false"/>
          <w:iCs w:val="false"/>
        </w:rPr>
        <w:t xml:space="preserve">Naive Bayes performed particularly poorly on 'build wind non-float', with a Recall of only 0.171: 48 of its 76 instances were misclassified as 'build wind float'. This is consistent with Naive Bayes' core assumption that predictor attributes are conditionally independent given the class — an assumption that does not hold for this dataset, since the chemical oxide percentages (Na, Mg, Al, Si, K, Ca, etc.) are compositionally correlated (an increase in one oxide's proportion tends to be offset by a decrease in others).</w:t>
      </w:r>
    </w:p>
    <w:p>
      <w:pPr>
        <w:pStyle w:val="Heading2"/>
        <w:spacing w:after="140" w:before="280"/>
      </w:pPr>
      <w:r>
        <w:t xml:space="preserve">4.3 Confusion Matrices</w:t>
      </w:r>
    </w:p>
    <w:p>
      <w:pPr>
        <w:spacing w:after="160"/>
      </w:pPr>
      <w:r>
        <w:rPr>
          <w:b w:val="false"/>
          <w:bCs w:val="false"/>
          <w:i/>
          <w:iCs/>
        </w:rPr>
        <w:t xml:space="preserve">Classes: a = build wind float, b = build wind non-float, c = vehic wind float, d = vehic wind non-float, e = containers, f = tableware, g = headlamps.</w:t>
      </w:r>
    </w:p>
    <w:p>
      <w:pPr>
        <w:spacing w:after="160"/>
      </w:pPr>
      <w:r>
        <w:rPr>
          <w:b/>
          <w:bCs/>
          <w:i w:val="false"/>
          <w:iCs w:val="false"/>
        </w:rPr>
        <w:t xml:space="preserve">J48:</w:t>
      </w:r>
    </w:p>
    <w:tbl>
      <w:tblPr>
        <w:tblW w:type="dxa" w:w="7200"/>
        <w:tblBorders>
          <w:top w:val="single" w:color="auto" w:sz="4"/>
          <w:left w:val="single" w:color="auto" w:sz="4"/>
          <w:bottom w:val="single" w:color="auto" w:sz="4"/>
          <w:right w:val="single" w:color="auto" w:sz="4"/>
          <w:insideH w:val="single" w:color="auto" w:sz="4"/>
          <w:insideV w:val="single" w:color="auto" w:sz="4"/>
        </w:tblBorders>
      </w:tblPr>
      <w:tblGrid>
        <w:gridCol w:w="900"/>
        <w:gridCol w:w="900"/>
        <w:gridCol w:w="900"/>
        <w:gridCol w:w="900"/>
        <w:gridCol w:w="900"/>
        <w:gridCol w:w="900"/>
        <w:gridCol w:w="900"/>
        <w:gridCol w:w="900"/>
      </w:tblGrid>
      <w:tr>
        <w:trPr>
          <w:tblHeader/>
        </w:trPr>
        <w:tc>
          <w:tcPr>
            <w:tcW w:type="dxa" w:w="900"/>
            <w:shd w:fill="2E5395" w:color="auto" w:val="clear"/>
          </w:tcPr>
          <w:p>
            <w:pPr>
              <w:jc w:val="center"/>
            </w:pPr>
            <w:r>
              <w:rPr>
                <w:b/>
                <w:bCs/>
                <w:color w:val="FFFFFF"/>
                <w:sz w:val="20"/>
                <w:szCs w:val="20"/>
              </w:rPr>
              <w:t xml:space="preserve"/>
            </w:r>
          </w:p>
        </w:tc>
        <w:tc>
          <w:tcPr>
            <w:tcW w:type="dxa" w:w="900"/>
            <w:shd w:fill="2E5395" w:color="auto" w:val="clear"/>
          </w:tcPr>
          <w:p>
            <w:pPr>
              <w:jc w:val="center"/>
            </w:pPr>
            <w:r>
              <w:rPr>
                <w:b/>
                <w:bCs/>
                <w:color w:val="FFFFFF"/>
                <w:sz w:val="20"/>
                <w:szCs w:val="20"/>
              </w:rPr>
              <w:t xml:space="preserve">a</w:t>
            </w:r>
          </w:p>
        </w:tc>
        <w:tc>
          <w:tcPr>
            <w:tcW w:type="dxa" w:w="900"/>
            <w:shd w:fill="2E5395" w:color="auto" w:val="clear"/>
          </w:tcPr>
          <w:p>
            <w:pPr>
              <w:jc w:val="center"/>
            </w:pPr>
            <w:r>
              <w:rPr>
                <w:b/>
                <w:bCs/>
                <w:color w:val="FFFFFF"/>
                <w:sz w:val="20"/>
                <w:szCs w:val="20"/>
              </w:rPr>
              <w:t xml:space="preserve">b</w:t>
            </w:r>
          </w:p>
        </w:tc>
        <w:tc>
          <w:tcPr>
            <w:tcW w:type="dxa" w:w="900"/>
            <w:shd w:fill="2E5395" w:color="auto" w:val="clear"/>
          </w:tcPr>
          <w:p>
            <w:pPr>
              <w:jc w:val="center"/>
            </w:pPr>
            <w:r>
              <w:rPr>
                <w:b/>
                <w:bCs/>
                <w:color w:val="FFFFFF"/>
                <w:sz w:val="20"/>
                <w:szCs w:val="20"/>
              </w:rPr>
              <w:t xml:space="preserve">c</w:t>
            </w:r>
          </w:p>
        </w:tc>
        <w:tc>
          <w:tcPr>
            <w:tcW w:type="dxa" w:w="900"/>
            <w:shd w:fill="2E5395" w:color="auto" w:val="clear"/>
          </w:tcPr>
          <w:p>
            <w:pPr>
              <w:jc w:val="center"/>
            </w:pPr>
            <w:r>
              <w:rPr>
                <w:b/>
                <w:bCs/>
                <w:color w:val="FFFFFF"/>
                <w:sz w:val="20"/>
                <w:szCs w:val="20"/>
              </w:rPr>
              <w:t xml:space="preserve">d</w:t>
            </w:r>
          </w:p>
        </w:tc>
        <w:tc>
          <w:tcPr>
            <w:tcW w:type="dxa" w:w="900"/>
            <w:shd w:fill="2E5395" w:color="auto" w:val="clear"/>
          </w:tcPr>
          <w:p>
            <w:pPr>
              <w:jc w:val="center"/>
            </w:pPr>
            <w:r>
              <w:rPr>
                <w:b/>
                <w:bCs/>
                <w:color w:val="FFFFFF"/>
                <w:sz w:val="20"/>
                <w:szCs w:val="20"/>
              </w:rPr>
              <w:t xml:space="preserve">e</w:t>
            </w:r>
          </w:p>
        </w:tc>
        <w:tc>
          <w:tcPr>
            <w:tcW w:type="dxa" w:w="900"/>
            <w:shd w:fill="2E5395" w:color="auto" w:val="clear"/>
          </w:tcPr>
          <w:p>
            <w:pPr>
              <w:jc w:val="center"/>
            </w:pPr>
            <w:r>
              <w:rPr>
                <w:b/>
                <w:bCs/>
                <w:color w:val="FFFFFF"/>
                <w:sz w:val="20"/>
                <w:szCs w:val="20"/>
              </w:rPr>
              <w:t xml:space="preserve">f</w:t>
            </w:r>
          </w:p>
        </w:tc>
        <w:tc>
          <w:tcPr>
            <w:tcW w:type="dxa" w:w="900"/>
            <w:shd w:fill="2E5395" w:color="auto" w:val="clear"/>
          </w:tcPr>
          <w:p>
            <w:pPr>
              <w:jc w:val="center"/>
            </w:pPr>
            <w:r>
              <w:rPr>
                <w:b/>
                <w:bCs/>
                <w:color w:val="FFFFFF"/>
                <w:sz w:val="20"/>
                <w:szCs w:val="20"/>
              </w:rPr>
              <w:t xml:space="preserve">g</w:t>
            </w:r>
          </w:p>
        </w:tc>
      </w:tr>
      <w:tr>
        <w:tc>
          <w:tcPr>
            <w:tcW w:type="dxa" w:w="900"/>
          </w:tcPr>
          <w:p>
            <w:pPr>
              <w:jc w:val="left"/>
            </w:pPr>
            <w:r>
              <w:rPr>
                <w:b w:val="false"/>
                <w:bCs w:val="false"/>
                <w:sz w:val="20"/>
                <w:szCs w:val="20"/>
              </w:rPr>
              <w:t xml:space="preserve">a</w:t>
            </w:r>
          </w:p>
        </w:tc>
        <w:tc>
          <w:tcPr>
            <w:tcW w:type="dxa" w:w="900"/>
          </w:tcPr>
          <w:p>
            <w:pPr>
              <w:jc w:val="center"/>
            </w:pPr>
            <w:r>
              <w:rPr>
                <w:b w:val="false"/>
                <w:bCs w:val="false"/>
                <w:sz w:val="20"/>
                <w:szCs w:val="20"/>
              </w:rPr>
              <w:t xml:space="preserve">50</w:t>
            </w:r>
          </w:p>
        </w:tc>
        <w:tc>
          <w:tcPr>
            <w:tcW w:type="dxa" w:w="900"/>
          </w:tcPr>
          <w:p>
            <w:pPr>
              <w:jc w:val="center"/>
            </w:pPr>
            <w:r>
              <w:rPr>
                <w:b w:val="false"/>
                <w:bCs w:val="false"/>
                <w:sz w:val="20"/>
                <w:szCs w:val="20"/>
              </w:rPr>
              <w:t xml:space="preserve">15</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b</w:t>
            </w:r>
          </w:p>
        </w:tc>
        <w:tc>
          <w:tcPr>
            <w:tcW w:type="dxa" w:w="900"/>
          </w:tcPr>
          <w:p>
            <w:pPr>
              <w:jc w:val="center"/>
            </w:pPr>
            <w:r>
              <w:rPr>
                <w:b w:val="false"/>
                <w:bCs w:val="false"/>
                <w:sz w:val="20"/>
                <w:szCs w:val="20"/>
              </w:rPr>
              <w:t xml:space="preserve">16</w:t>
            </w:r>
          </w:p>
        </w:tc>
        <w:tc>
          <w:tcPr>
            <w:tcW w:type="dxa" w:w="900"/>
          </w:tcPr>
          <w:p>
            <w:pPr>
              <w:jc w:val="center"/>
            </w:pPr>
            <w:r>
              <w:rPr>
                <w:b w:val="false"/>
                <w:bCs w:val="false"/>
                <w:sz w:val="20"/>
                <w:szCs w:val="20"/>
              </w:rPr>
              <w:t xml:space="preserve">47</w:t>
            </w:r>
          </w:p>
        </w:tc>
        <w:tc>
          <w:tcPr>
            <w:tcW w:type="dxa" w:w="900"/>
          </w:tcPr>
          <w:p>
            <w:pPr>
              <w:jc w:val="center"/>
            </w:pPr>
            <w:r>
              <w:rPr>
                <w:b w:val="false"/>
                <w:bCs w:val="false"/>
                <w:sz w:val="20"/>
                <w:szCs w:val="20"/>
              </w:rPr>
              <w:t xml:space="preserve">6</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2</w:t>
            </w:r>
          </w:p>
        </w:tc>
      </w:tr>
      <w:tr>
        <w:tc>
          <w:tcPr>
            <w:tcW w:type="dxa" w:w="900"/>
          </w:tcPr>
          <w:p>
            <w:pPr>
              <w:jc w:val="left"/>
            </w:pPr>
            <w:r>
              <w:rPr>
                <w:b w:val="false"/>
                <w:bCs w:val="false"/>
                <w:sz w:val="20"/>
                <w:szCs w:val="20"/>
              </w:rPr>
              <w:t xml:space="preserve">c</w:t>
            </w:r>
          </w:p>
        </w:tc>
        <w:tc>
          <w:tcPr>
            <w:tcW w:type="dxa" w:w="900"/>
          </w:tcPr>
          <w:p>
            <w:pPr>
              <w:jc w:val="center"/>
            </w:pPr>
            <w:r>
              <w:rPr>
                <w:b w:val="false"/>
                <w:bCs w:val="false"/>
                <w:sz w:val="20"/>
                <w:szCs w:val="20"/>
              </w:rPr>
              <w:t xml:space="preserve">5</w:t>
            </w:r>
          </w:p>
        </w:tc>
        <w:tc>
          <w:tcPr>
            <w:tcW w:type="dxa" w:w="900"/>
          </w:tcPr>
          <w:p>
            <w:pPr>
              <w:jc w:val="center"/>
            </w:pPr>
            <w:r>
              <w:rPr>
                <w:b w:val="false"/>
                <w:bCs w:val="false"/>
                <w:sz w:val="20"/>
                <w:szCs w:val="20"/>
              </w:rPr>
              <w:t xml:space="preserve">5</w:t>
            </w:r>
          </w:p>
        </w:tc>
        <w:tc>
          <w:tcPr>
            <w:tcW w:type="dxa" w:w="900"/>
          </w:tcPr>
          <w:p>
            <w:pPr>
              <w:jc w:val="center"/>
            </w:pPr>
            <w:r>
              <w:rPr>
                <w:b w:val="false"/>
                <w:bCs w:val="false"/>
                <w:sz w:val="20"/>
                <w:szCs w:val="20"/>
              </w:rPr>
              <w:t xml:space="preserve">6</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d</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e</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f</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7</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g</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23</w:t>
            </w:r>
          </w:p>
        </w:tc>
      </w:tr>
    </w:tbl>
    <w:p>
      <w:pPr>
        <w:spacing w:after="60" w:before="120"/>
        <w:jc w:val="center"/>
      </w:pPr>
      <w:r>
        <w:drawing>
          <wp:inline distT="0" distB="0" distL="0" distR="0">
            <wp:extent cx="5524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524500" cy="3695700"/>
                    </a:xfrm>
                    <a:prstGeom prst="rect">
                      <a:avLst/>
                    </a:prstGeom>
                  </pic:spPr>
                </pic:pic>
              </a:graphicData>
            </a:graphic>
          </wp:inline>
        </w:drawing>
      </w:r>
    </w:p>
    <w:p>
      <w:pPr>
        <w:spacing w:after="200"/>
        <w:jc w:val="center"/>
      </w:pPr>
      <w:r>
        <w:rPr>
          <w:i/>
          <w:iCs/>
          <w:color w:val="555555"/>
          <w:sz w:val="18"/>
          <w:szCs w:val="18"/>
        </w:rPr>
        <w:t xml:space="preserve">Figure 1. Weka output for J48 (10-fold cross-validation).</w:t>
      </w:r>
    </w:p>
    <w:p>
      <w:pPr>
        <w:spacing w:after="160"/>
      </w:pPr>
      <w:r>
        <w:rPr>
          <w:b/>
          <w:bCs/>
          <w:i w:val="false"/>
          <w:iCs w:val="false"/>
        </w:rPr>
        <w:t xml:space="preserve">JRip:</w:t>
      </w:r>
    </w:p>
    <w:tbl>
      <w:tblPr>
        <w:tblW w:type="dxa" w:w="7200"/>
        <w:tblBorders>
          <w:top w:val="single" w:color="auto" w:sz="4"/>
          <w:left w:val="single" w:color="auto" w:sz="4"/>
          <w:bottom w:val="single" w:color="auto" w:sz="4"/>
          <w:right w:val="single" w:color="auto" w:sz="4"/>
          <w:insideH w:val="single" w:color="auto" w:sz="4"/>
          <w:insideV w:val="single" w:color="auto" w:sz="4"/>
        </w:tblBorders>
      </w:tblPr>
      <w:tblGrid>
        <w:gridCol w:w="900"/>
        <w:gridCol w:w="900"/>
        <w:gridCol w:w="900"/>
        <w:gridCol w:w="900"/>
        <w:gridCol w:w="900"/>
        <w:gridCol w:w="900"/>
        <w:gridCol w:w="900"/>
        <w:gridCol w:w="900"/>
      </w:tblGrid>
      <w:tr>
        <w:trPr>
          <w:tblHeader/>
        </w:trPr>
        <w:tc>
          <w:tcPr>
            <w:tcW w:type="dxa" w:w="900"/>
            <w:shd w:fill="2E5395" w:color="auto" w:val="clear"/>
          </w:tcPr>
          <w:p>
            <w:pPr>
              <w:jc w:val="center"/>
            </w:pPr>
            <w:r>
              <w:rPr>
                <w:b/>
                <w:bCs/>
                <w:color w:val="FFFFFF"/>
                <w:sz w:val="20"/>
                <w:szCs w:val="20"/>
              </w:rPr>
              <w:t xml:space="preserve"/>
            </w:r>
          </w:p>
        </w:tc>
        <w:tc>
          <w:tcPr>
            <w:tcW w:type="dxa" w:w="900"/>
            <w:shd w:fill="2E5395" w:color="auto" w:val="clear"/>
          </w:tcPr>
          <w:p>
            <w:pPr>
              <w:jc w:val="center"/>
            </w:pPr>
            <w:r>
              <w:rPr>
                <w:b/>
                <w:bCs/>
                <w:color w:val="FFFFFF"/>
                <w:sz w:val="20"/>
                <w:szCs w:val="20"/>
              </w:rPr>
              <w:t xml:space="preserve">a</w:t>
            </w:r>
          </w:p>
        </w:tc>
        <w:tc>
          <w:tcPr>
            <w:tcW w:type="dxa" w:w="900"/>
            <w:shd w:fill="2E5395" w:color="auto" w:val="clear"/>
          </w:tcPr>
          <w:p>
            <w:pPr>
              <w:jc w:val="center"/>
            </w:pPr>
            <w:r>
              <w:rPr>
                <w:b/>
                <w:bCs/>
                <w:color w:val="FFFFFF"/>
                <w:sz w:val="20"/>
                <w:szCs w:val="20"/>
              </w:rPr>
              <w:t xml:space="preserve">b</w:t>
            </w:r>
          </w:p>
        </w:tc>
        <w:tc>
          <w:tcPr>
            <w:tcW w:type="dxa" w:w="900"/>
            <w:shd w:fill="2E5395" w:color="auto" w:val="clear"/>
          </w:tcPr>
          <w:p>
            <w:pPr>
              <w:jc w:val="center"/>
            </w:pPr>
            <w:r>
              <w:rPr>
                <w:b/>
                <w:bCs/>
                <w:color w:val="FFFFFF"/>
                <w:sz w:val="20"/>
                <w:szCs w:val="20"/>
              </w:rPr>
              <w:t xml:space="preserve">c</w:t>
            </w:r>
          </w:p>
        </w:tc>
        <w:tc>
          <w:tcPr>
            <w:tcW w:type="dxa" w:w="900"/>
            <w:shd w:fill="2E5395" w:color="auto" w:val="clear"/>
          </w:tcPr>
          <w:p>
            <w:pPr>
              <w:jc w:val="center"/>
            </w:pPr>
            <w:r>
              <w:rPr>
                <w:b/>
                <w:bCs/>
                <w:color w:val="FFFFFF"/>
                <w:sz w:val="20"/>
                <w:szCs w:val="20"/>
              </w:rPr>
              <w:t xml:space="preserve">d</w:t>
            </w:r>
          </w:p>
        </w:tc>
        <w:tc>
          <w:tcPr>
            <w:tcW w:type="dxa" w:w="900"/>
            <w:shd w:fill="2E5395" w:color="auto" w:val="clear"/>
          </w:tcPr>
          <w:p>
            <w:pPr>
              <w:jc w:val="center"/>
            </w:pPr>
            <w:r>
              <w:rPr>
                <w:b/>
                <w:bCs/>
                <w:color w:val="FFFFFF"/>
                <w:sz w:val="20"/>
                <w:szCs w:val="20"/>
              </w:rPr>
              <w:t xml:space="preserve">e</w:t>
            </w:r>
          </w:p>
        </w:tc>
        <w:tc>
          <w:tcPr>
            <w:tcW w:type="dxa" w:w="900"/>
            <w:shd w:fill="2E5395" w:color="auto" w:val="clear"/>
          </w:tcPr>
          <w:p>
            <w:pPr>
              <w:jc w:val="center"/>
            </w:pPr>
            <w:r>
              <w:rPr>
                <w:b/>
                <w:bCs/>
                <w:color w:val="FFFFFF"/>
                <w:sz w:val="20"/>
                <w:szCs w:val="20"/>
              </w:rPr>
              <w:t xml:space="preserve">f</w:t>
            </w:r>
          </w:p>
        </w:tc>
        <w:tc>
          <w:tcPr>
            <w:tcW w:type="dxa" w:w="900"/>
            <w:shd w:fill="2E5395" w:color="auto" w:val="clear"/>
          </w:tcPr>
          <w:p>
            <w:pPr>
              <w:jc w:val="center"/>
            </w:pPr>
            <w:r>
              <w:rPr>
                <w:b/>
                <w:bCs/>
                <w:color w:val="FFFFFF"/>
                <w:sz w:val="20"/>
                <w:szCs w:val="20"/>
              </w:rPr>
              <w:t xml:space="preserve">g</w:t>
            </w:r>
          </w:p>
        </w:tc>
      </w:tr>
      <w:tr>
        <w:tc>
          <w:tcPr>
            <w:tcW w:type="dxa" w:w="900"/>
          </w:tcPr>
          <w:p>
            <w:pPr>
              <w:jc w:val="left"/>
            </w:pPr>
            <w:r>
              <w:rPr>
                <w:b w:val="false"/>
                <w:bCs w:val="false"/>
                <w:sz w:val="20"/>
                <w:szCs w:val="20"/>
              </w:rPr>
              <w:t xml:space="preserve">a</w:t>
            </w:r>
          </w:p>
        </w:tc>
        <w:tc>
          <w:tcPr>
            <w:tcW w:type="dxa" w:w="900"/>
          </w:tcPr>
          <w:p>
            <w:pPr>
              <w:jc w:val="center"/>
            </w:pPr>
            <w:r>
              <w:rPr>
                <w:b w:val="false"/>
                <w:bCs w:val="false"/>
                <w:sz w:val="20"/>
                <w:szCs w:val="20"/>
              </w:rPr>
              <w:t xml:space="preserve">47</w:t>
            </w:r>
          </w:p>
        </w:tc>
        <w:tc>
          <w:tcPr>
            <w:tcW w:type="dxa" w:w="900"/>
          </w:tcPr>
          <w:p>
            <w:pPr>
              <w:jc w:val="center"/>
            </w:pPr>
            <w:r>
              <w:rPr>
                <w:b w:val="false"/>
                <w:bCs w:val="false"/>
                <w:sz w:val="20"/>
                <w:szCs w:val="20"/>
              </w:rPr>
              <w:t xml:space="preserve">18</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2</w:t>
            </w:r>
          </w:p>
        </w:tc>
      </w:tr>
      <w:tr>
        <w:tc>
          <w:tcPr>
            <w:tcW w:type="dxa" w:w="900"/>
          </w:tcPr>
          <w:p>
            <w:pPr>
              <w:jc w:val="left"/>
            </w:pPr>
            <w:r>
              <w:rPr>
                <w:b w:val="false"/>
                <w:bCs w:val="false"/>
                <w:sz w:val="20"/>
                <w:szCs w:val="20"/>
              </w:rPr>
              <w:t xml:space="preserve">b</w:t>
            </w:r>
          </w:p>
        </w:tc>
        <w:tc>
          <w:tcPr>
            <w:tcW w:type="dxa" w:w="900"/>
          </w:tcPr>
          <w:p>
            <w:pPr>
              <w:jc w:val="center"/>
            </w:pPr>
            <w:r>
              <w:rPr>
                <w:b w:val="false"/>
                <w:bCs w:val="false"/>
                <w:sz w:val="20"/>
                <w:szCs w:val="20"/>
              </w:rPr>
              <w:t xml:space="preserve">10</w:t>
            </w:r>
          </w:p>
        </w:tc>
        <w:tc>
          <w:tcPr>
            <w:tcW w:type="dxa" w:w="900"/>
          </w:tcPr>
          <w:p>
            <w:pPr>
              <w:jc w:val="center"/>
            </w:pPr>
            <w:r>
              <w:rPr>
                <w:b w:val="false"/>
                <w:bCs w:val="false"/>
                <w:sz w:val="20"/>
                <w:szCs w:val="20"/>
              </w:rPr>
              <w:t xml:space="preserve">58</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c</w:t>
            </w:r>
          </w:p>
        </w:tc>
        <w:tc>
          <w:tcPr>
            <w:tcW w:type="dxa" w:w="900"/>
          </w:tcPr>
          <w:p>
            <w:pPr>
              <w:jc w:val="center"/>
            </w:pPr>
            <w:r>
              <w:rPr>
                <w:b w:val="false"/>
                <w:bCs w:val="false"/>
                <w:sz w:val="20"/>
                <w:szCs w:val="20"/>
              </w:rPr>
              <w:t xml:space="preserve">8</w:t>
            </w:r>
          </w:p>
        </w:tc>
        <w:tc>
          <w:tcPr>
            <w:tcW w:type="dxa" w:w="900"/>
          </w:tcPr>
          <w:p>
            <w:pPr>
              <w:jc w:val="center"/>
            </w:pPr>
            <w:r>
              <w:rPr>
                <w:b w:val="false"/>
                <w:bCs w:val="false"/>
                <w:sz w:val="20"/>
                <w:szCs w:val="20"/>
              </w:rPr>
              <w:t xml:space="preserve">6</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d</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e</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f</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7</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g</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4</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23</w:t>
            </w:r>
          </w:p>
        </w:tc>
      </w:tr>
    </w:tbl>
    <w:p>
      <w:pPr>
        <w:spacing w:after="60" w:before="120"/>
        <w:jc w:val="center"/>
      </w:pPr>
      <w:r>
        <w:drawing>
          <wp:inline distT="0" distB="0" distL="0" distR="0">
            <wp:extent cx="5524500" cy="3733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524500" cy="3733800"/>
                    </a:xfrm>
                    <a:prstGeom prst="rect">
                      <a:avLst/>
                    </a:prstGeom>
                  </pic:spPr>
                </pic:pic>
              </a:graphicData>
            </a:graphic>
          </wp:inline>
        </w:drawing>
      </w:r>
    </w:p>
    <w:p>
      <w:pPr>
        <w:spacing w:after="200"/>
        <w:jc w:val="center"/>
      </w:pPr>
      <w:r>
        <w:rPr>
          <w:i/>
          <w:iCs/>
          <w:color w:val="555555"/>
          <w:sz w:val="18"/>
          <w:szCs w:val="18"/>
        </w:rPr>
        <w:t xml:space="preserve">Figure 2. Weka output for JRip (10-fold cross-validation).</w:t>
      </w:r>
    </w:p>
    <w:p>
      <w:pPr>
        <w:spacing w:after="160"/>
      </w:pPr>
      <w:r>
        <w:rPr>
          <w:b/>
          <w:bCs/>
          <w:i w:val="false"/>
          <w:iCs w:val="false"/>
        </w:rPr>
        <w:t xml:space="preserve">Random Forest:</w:t>
      </w:r>
    </w:p>
    <w:tbl>
      <w:tblPr>
        <w:tblW w:type="dxa" w:w="7200"/>
        <w:tblBorders>
          <w:top w:val="single" w:color="auto" w:sz="4"/>
          <w:left w:val="single" w:color="auto" w:sz="4"/>
          <w:bottom w:val="single" w:color="auto" w:sz="4"/>
          <w:right w:val="single" w:color="auto" w:sz="4"/>
          <w:insideH w:val="single" w:color="auto" w:sz="4"/>
          <w:insideV w:val="single" w:color="auto" w:sz="4"/>
        </w:tblBorders>
      </w:tblPr>
      <w:tblGrid>
        <w:gridCol w:w="900"/>
        <w:gridCol w:w="900"/>
        <w:gridCol w:w="900"/>
        <w:gridCol w:w="900"/>
        <w:gridCol w:w="900"/>
        <w:gridCol w:w="900"/>
        <w:gridCol w:w="900"/>
        <w:gridCol w:w="900"/>
      </w:tblGrid>
      <w:tr>
        <w:trPr>
          <w:tblHeader/>
        </w:trPr>
        <w:tc>
          <w:tcPr>
            <w:tcW w:type="dxa" w:w="900"/>
            <w:shd w:fill="2E5395" w:color="auto" w:val="clear"/>
          </w:tcPr>
          <w:p>
            <w:pPr>
              <w:jc w:val="center"/>
            </w:pPr>
            <w:r>
              <w:rPr>
                <w:b/>
                <w:bCs/>
                <w:color w:val="FFFFFF"/>
                <w:sz w:val="20"/>
                <w:szCs w:val="20"/>
              </w:rPr>
              <w:t xml:space="preserve"/>
            </w:r>
          </w:p>
        </w:tc>
        <w:tc>
          <w:tcPr>
            <w:tcW w:type="dxa" w:w="900"/>
            <w:shd w:fill="2E5395" w:color="auto" w:val="clear"/>
          </w:tcPr>
          <w:p>
            <w:pPr>
              <w:jc w:val="center"/>
            </w:pPr>
            <w:r>
              <w:rPr>
                <w:b/>
                <w:bCs/>
                <w:color w:val="FFFFFF"/>
                <w:sz w:val="20"/>
                <w:szCs w:val="20"/>
              </w:rPr>
              <w:t xml:space="preserve">a</w:t>
            </w:r>
          </w:p>
        </w:tc>
        <w:tc>
          <w:tcPr>
            <w:tcW w:type="dxa" w:w="900"/>
            <w:shd w:fill="2E5395" w:color="auto" w:val="clear"/>
          </w:tcPr>
          <w:p>
            <w:pPr>
              <w:jc w:val="center"/>
            </w:pPr>
            <w:r>
              <w:rPr>
                <w:b/>
                <w:bCs/>
                <w:color w:val="FFFFFF"/>
                <w:sz w:val="20"/>
                <w:szCs w:val="20"/>
              </w:rPr>
              <w:t xml:space="preserve">b</w:t>
            </w:r>
          </w:p>
        </w:tc>
        <w:tc>
          <w:tcPr>
            <w:tcW w:type="dxa" w:w="900"/>
            <w:shd w:fill="2E5395" w:color="auto" w:val="clear"/>
          </w:tcPr>
          <w:p>
            <w:pPr>
              <w:jc w:val="center"/>
            </w:pPr>
            <w:r>
              <w:rPr>
                <w:b/>
                <w:bCs/>
                <w:color w:val="FFFFFF"/>
                <w:sz w:val="20"/>
                <w:szCs w:val="20"/>
              </w:rPr>
              <w:t xml:space="preserve">c</w:t>
            </w:r>
          </w:p>
        </w:tc>
        <w:tc>
          <w:tcPr>
            <w:tcW w:type="dxa" w:w="900"/>
            <w:shd w:fill="2E5395" w:color="auto" w:val="clear"/>
          </w:tcPr>
          <w:p>
            <w:pPr>
              <w:jc w:val="center"/>
            </w:pPr>
            <w:r>
              <w:rPr>
                <w:b/>
                <w:bCs/>
                <w:color w:val="FFFFFF"/>
                <w:sz w:val="20"/>
                <w:szCs w:val="20"/>
              </w:rPr>
              <w:t xml:space="preserve">d</w:t>
            </w:r>
          </w:p>
        </w:tc>
        <w:tc>
          <w:tcPr>
            <w:tcW w:type="dxa" w:w="900"/>
            <w:shd w:fill="2E5395" w:color="auto" w:val="clear"/>
          </w:tcPr>
          <w:p>
            <w:pPr>
              <w:jc w:val="center"/>
            </w:pPr>
            <w:r>
              <w:rPr>
                <w:b/>
                <w:bCs/>
                <w:color w:val="FFFFFF"/>
                <w:sz w:val="20"/>
                <w:szCs w:val="20"/>
              </w:rPr>
              <w:t xml:space="preserve">e</w:t>
            </w:r>
          </w:p>
        </w:tc>
        <w:tc>
          <w:tcPr>
            <w:tcW w:type="dxa" w:w="900"/>
            <w:shd w:fill="2E5395" w:color="auto" w:val="clear"/>
          </w:tcPr>
          <w:p>
            <w:pPr>
              <w:jc w:val="center"/>
            </w:pPr>
            <w:r>
              <w:rPr>
                <w:b/>
                <w:bCs/>
                <w:color w:val="FFFFFF"/>
                <w:sz w:val="20"/>
                <w:szCs w:val="20"/>
              </w:rPr>
              <w:t xml:space="preserve">f</w:t>
            </w:r>
          </w:p>
        </w:tc>
        <w:tc>
          <w:tcPr>
            <w:tcW w:type="dxa" w:w="900"/>
            <w:shd w:fill="2E5395" w:color="auto" w:val="clear"/>
          </w:tcPr>
          <w:p>
            <w:pPr>
              <w:jc w:val="center"/>
            </w:pPr>
            <w:r>
              <w:rPr>
                <w:b/>
                <w:bCs/>
                <w:color w:val="FFFFFF"/>
                <w:sz w:val="20"/>
                <w:szCs w:val="20"/>
              </w:rPr>
              <w:t xml:space="preserve">g</w:t>
            </w:r>
          </w:p>
        </w:tc>
      </w:tr>
      <w:tr>
        <w:tc>
          <w:tcPr>
            <w:tcW w:type="dxa" w:w="900"/>
          </w:tcPr>
          <w:p>
            <w:pPr>
              <w:jc w:val="left"/>
            </w:pPr>
            <w:r>
              <w:rPr>
                <w:b w:val="false"/>
                <w:bCs w:val="false"/>
                <w:sz w:val="20"/>
                <w:szCs w:val="20"/>
              </w:rPr>
              <w:t xml:space="preserve">a</w:t>
            </w:r>
          </w:p>
        </w:tc>
        <w:tc>
          <w:tcPr>
            <w:tcW w:type="dxa" w:w="900"/>
          </w:tcPr>
          <w:p>
            <w:pPr>
              <w:jc w:val="center"/>
            </w:pPr>
            <w:r>
              <w:rPr>
                <w:b w:val="false"/>
                <w:bCs w:val="false"/>
                <w:sz w:val="20"/>
                <w:szCs w:val="20"/>
              </w:rPr>
              <w:t xml:space="preserve">61</w:t>
            </w:r>
          </w:p>
        </w:tc>
        <w:tc>
          <w:tcPr>
            <w:tcW w:type="dxa" w:w="900"/>
          </w:tcPr>
          <w:p>
            <w:pPr>
              <w:jc w:val="center"/>
            </w:pPr>
            <w:r>
              <w:rPr>
                <w:b w:val="false"/>
                <w:bCs w:val="false"/>
                <w:sz w:val="20"/>
                <w:szCs w:val="20"/>
              </w:rPr>
              <w:t xml:space="preserve">7</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b</w:t>
            </w:r>
          </w:p>
        </w:tc>
        <w:tc>
          <w:tcPr>
            <w:tcW w:type="dxa" w:w="900"/>
          </w:tcPr>
          <w:p>
            <w:pPr>
              <w:jc w:val="center"/>
            </w:pPr>
            <w:r>
              <w:rPr>
                <w:b w:val="false"/>
                <w:bCs w:val="false"/>
                <w:sz w:val="20"/>
                <w:szCs w:val="20"/>
              </w:rPr>
              <w:t xml:space="preserve">8</w:t>
            </w:r>
          </w:p>
        </w:tc>
        <w:tc>
          <w:tcPr>
            <w:tcW w:type="dxa" w:w="900"/>
          </w:tcPr>
          <w:p>
            <w:pPr>
              <w:jc w:val="center"/>
            </w:pPr>
            <w:r>
              <w:rPr>
                <w:b w:val="false"/>
                <w:bCs w:val="false"/>
                <w:sz w:val="20"/>
                <w:szCs w:val="20"/>
              </w:rPr>
              <w:t xml:space="preserve">62</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c</w:t>
            </w:r>
          </w:p>
        </w:tc>
        <w:tc>
          <w:tcPr>
            <w:tcW w:type="dxa" w:w="900"/>
          </w:tcPr>
          <w:p>
            <w:pPr>
              <w:jc w:val="center"/>
            </w:pPr>
            <w:r>
              <w:rPr>
                <w:b w:val="false"/>
                <w:bCs w:val="false"/>
                <w:sz w:val="20"/>
                <w:szCs w:val="20"/>
              </w:rPr>
              <w:t xml:space="preserve">8</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6</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d</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e</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f</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7</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g</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4</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24</w:t>
            </w:r>
          </w:p>
        </w:tc>
      </w:tr>
    </w:tbl>
    <w:p>
      <w:pPr>
        <w:spacing w:after="60" w:before="120"/>
        <w:jc w:val="center"/>
      </w:pPr>
      <w:r>
        <w:drawing>
          <wp:inline distT="0" distB="0" distL="0" distR="0">
            <wp:extent cx="5524500" cy="3714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524500" cy="3714750"/>
                    </a:xfrm>
                    <a:prstGeom prst="rect">
                      <a:avLst/>
                    </a:prstGeom>
                  </pic:spPr>
                </pic:pic>
              </a:graphicData>
            </a:graphic>
          </wp:inline>
        </w:drawing>
      </w:r>
    </w:p>
    <w:p>
      <w:pPr>
        <w:spacing w:after="200"/>
        <w:jc w:val="center"/>
      </w:pPr>
      <w:r>
        <w:rPr>
          <w:i/>
          <w:iCs/>
          <w:color w:val="555555"/>
          <w:sz w:val="18"/>
          <w:szCs w:val="18"/>
        </w:rPr>
        <w:t xml:space="preserve">Figure 3. Weka output for Random Forest (10-fold cross-validation).</w:t>
      </w:r>
    </w:p>
    <w:p>
      <w:pPr>
        <w:spacing w:after="160"/>
      </w:pPr>
      <w:r>
        <w:rPr>
          <w:b/>
          <w:bCs/>
          <w:i w:val="false"/>
          <w:iCs w:val="false"/>
        </w:rPr>
        <w:t xml:space="preserve">Naive Bayes:</w:t>
      </w:r>
    </w:p>
    <w:tbl>
      <w:tblPr>
        <w:tblW w:type="dxa" w:w="7200"/>
        <w:tblBorders>
          <w:top w:val="single" w:color="auto" w:sz="4"/>
          <w:left w:val="single" w:color="auto" w:sz="4"/>
          <w:bottom w:val="single" w:color="auto" w:sz="4"/>
          <w:right w:val="single" w:color="auto" w:sz="4"/>
          <w:insideH w:val="single" w:color="auto" w:sz="4"/>
          <w:insideV w:val="single" w:color="auto" w:sz="4"/>
        </w:tblBorders>
      </w:tblPr>
      <w:tblGrid>
        <w:gridCol w:w="900"/>
        <w:gridCol w:w="900"/>
        <w:gridCol w:w="900"/>
        <w:gridCol w:w="900"/>
        <w:gridCol w:w="900"/>
        <w:gridCol w:w="900"/>
        <w:gridCol w:w="900"/>
        <w:gridCol w:w="900"/>
      </w:tblGrid>
      <w:tr>
        <w:trPr>
          <w:tblHeader/>
        </w:trPr>
        <w:tc>
          <w:tcPr>
            <w:tcW w:type="dxa" w:w="900"/>
            <w:shd w:fill="2E5395" w:color="auto" w:val="clear"/>
          </w:tcPr>
          <w:p>
            <w:pPr>
              <w:jc w:val="center"/>
            </w:pPr>
            <w:r>
              <w:rPr>
                <w:b/>
                <w:bCs/>
                <w:color w:val="FFFFFF"/>
                <w:sz w:val="20"/>
                <w:szCs w:val="20"/>
              </w:rPr>
              <w:t xml:space="preserve"/>
            </w:r>
          </w:p>
        </w:tc>
        <w:tc>
          <w:tcPr>
            <w:tcW w:type="dxa" w:w="900"/>
            <w:shd w:fill="2E5395" w:color="auto" w:val="clear"/>
          </w:tcPr>
          <w:p>
            <w:pPr>
              <w:jc w:val="center"/>
            </w:pPr>
            <w:r>
              <w:rPr>
                <w:b/>
                <w:bCs/>
                <w:color w:val="FFFFFF"/>
                <w:sz w:val="20"/>
                <w:szCs w:val="20"/>
              </w:rPr>
              <w:t xml:space="preserve">a</w:t>
            </w:r>
          </w:p>
        </w:tc>
        <w:tc>
          <w:tcPr>
            <w:tcW w:type="dxa" w:w="900"/>
            <w:shd w:fill="2E5395" w:color="auto" w:val="clear"/>
          </w:tcPr>
          <w:p>
            <w:pPr>
              <w:jc w:val="center"/>
            </w:pPr>
            <w:r>
              <w:rPr>
                <w:b/>
                <w:bCs/>
                <w:color w:val="FFFFFF"/>
                <w:sz w:val="20"/>
                <w:szCs w:val="20"/>
              </w:rPr>
              <w:t xml:space="preserve">b</w:t>
            </w:r>
          </w:p>
        </w:tc>
        <w:tc>
          <w:tcPr>
            <w:tcW w:type="dxa" w:w="900"/>
            <w:shd w:fill="2E5395" w:color="auto" w:val="clear"/>
          </w:tcPr>
          <w:p>
            <w:pPr>
              <w:jc w:val="center"/>
            </w:pPr>
            <w:r>
              <w:rPr>
                <w:b/>
                <w:bCs/>
                <w:color w:val="FFFFFF"/>
                <w:sz w:val="20"/>
                <w:szCs w:val="20"/>
              </w:rPr>
              <w:t xml:space="preserve">c</w:t>
            </w:r>
          </w:p>
        </w:tc>
        <w:tc>
          <w:tcPr>
            <w:tcW w:type="dxa" w:w="900"/>
            <w:shd w:fill="2E5395" w:color="auto" w:val="clear"/>
          </w:tcPr>
          <w:p>
            <w:pPr>
              <w:jc w:val="center"/>
            </w:pPr>
            <w:r>
              <w:rPr>
                <w:b/>
                <w:bCs/>
                <w:color w:val="FFFFFF"/>
                <w:sz w:val="20"/>
                <w:szCs w:val="20"/>
              </w:rPr>
              <w:t xml:space="preserve">d</w:t>
            </w:r>
          </w:p>
        </w:tc>
        <w:tc>
          <w:tcPr>
            <w:tcW w:type="dxa" w:w="900"/>
            <w:shd w:fill="2E5395" w:color="auto" w:val="clear"/>
          </w:tcPr>
          <w:p>
            <w:pPr>
              <w:jc w:val="center"/>
            </w:pPr>
            <w:r>
              <w:rPr>
                <w:b/>
                <w:bCs/>
                <w:color w:val="FFFFFF"/>
                <w:sz w:val="20"/>
                <w:szCs w:val="20"/>
              </w:rPr>
              <w:t xml:space="preserve">e</w:t>
            </w:r>
          </w:p>
        </w:tc>
        <w:tc>
          <w:tcPr>
            <w:tcW w:type="dxa" w:w="900"/>
            <w:shd w:fill="2E5395" w:color="auto" w:val="clear"/>
          </w:tcPr>
          <w:p>
            <w:pPr>
              <w:jc w:val="center"/>
            </w:pPr>
            <w:r>
              <w:rPr>
                <w:b/>
                <w:bCs/>
                <w:color w:val="FFFFFF"/>
                <w:sz w:val="20"/>
                <w:szCs w:val="20"/>
              </w:rPr>
              <w:t xml:space="preserve">f</w:t>
            </w:r>
          </w:p>
        </w:tc>
        <w:tc>
          <w:tcPr>
            <w:tcW w:type="dxa" w:w="900"/>
            <w:shd w:fill="2E5395" w:color="auto" w:val="clear"/>
          </w:tcPr>
          <w:p>
            <w:pPr>
              <w:jc w:val="center"/>
            </w:pPr>
            <w:r>
              <w:rPr>
                <w:b/>
                <w:bCs/>
                <w:color w:val="FFFFFF"/>
                <w:sz w:val="20"/>
                <w:szCs w:val="20"/>
              </w:rPr>
              <w:t xml:space="preserve">g</w:t>
            </w:r>
          </w:p>
        </w:tc>
      </w:tr>
      <w:tr>
        <w:tc>
          <w:tcPr>
            <w:tcW w:type="dxa" w:w="900"/>
          </w:tcPr>
          <w:p>
            <w:pPr>
              <w:jc w:val="left"/>
            </w:pPr>
            <w:r>
              <w:rPr>
                <w:b w:val="false"/>
                <w:bCs w:val="false"/>
                <w:sz w:val="20"/>
                <w:szCs w:val="20"/>
              </w:rPr>
              <w:t xml:space="preserve">a</w:t>
            </w:r>
          </w:p>
        </w:tc>
        <w:tc>
          <w:tcPr>
            <w:tcW w:type="dxa" w:w="900"/>
          </w:tcPr>
          <w:p>
            <w:pPr>
              <w:jc w:val="center"/>
            </w:pPr>
            <w:r>
              <w:rPr>
                <w:b w:val="false"/>
                <w:bCs w:val="false"/>
                <w:sz w:val="20"/>
                <w:szCs w:val="20"/>
              </w:rPr>
              <w:t xml:space="preserve">51</w:t>
            </w:r>
          </w:p>
        </w:tc>
        <w:tc>
          <w:tcPr>
            <w:tcW w:type="dxa" w:w="900"/>
          </w:tcPr>
          <w:p>
            <w:pPr>
              <w:jc w:val="center"/>
            </w:pPr>
            <w:r>
              <w:rPr>
                <w:b w:val="false"/>
                <w:bCs w:val="false"/>
                <w:sz w:val="20"/>
                <w:szCs w:val="20"/>
              </w:rPr>
              <w:t xml:space="preserve">5</w:t>
            </w:r>
          </w:p>
        </w:tc>
        <w:tc>
          <w:tcPr>
            <w:tcW w:type="dxa" w:w="900"/>
          </w:tcPr>
          <w:p>
            <w:pPr>
              <w:jc w:val="center"/>
            </w:pPr>
            <w:r>
              <w:rPr>
                <w:b w:val="false"/>
                <w:bCs w:val="false"/>
                <w:sz w:val="20"/>
                <w:szCs w:val="20"/>
              </w:rPr>
              <w:t xml:space="preserve">11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b</w:t>
            </w:r>
          </w:p>
        </w:tc>
        <w:tc>
          <w:tcPr>
            <w:tcW w:type="dxa" w:w="900"/>
          </w:tcPr>
          <w:p>
            <w:pPr>
              <w:jc w:val="center"/>
            </w:pPr>
            <w:r>
              <w:rPr>
                <w:b w:val="false"/>
                <w:bCs w:val="false"/>
                <w:sz w:val="20"/>
                <w:szCs w:val="20"/>
              </w:rPr>
              <w:t xml:space="preserve">48</w:t>
            </w:r>
          </w:p>
        </w:tc>
        <w:tc>
          <w:tcPr>
            <w:tcW w:type="dxa" w:w="900"/>
          </w:tcPr>
          <w:p>
            <w:pPr>
              <w:jc w:val="center"/>
            </w:pPr>
            <w:r>
              <w:rPr>
                <w:b w:val="false"/>
                <w:bCs w:val="false"/>
                <w:sz w:val="20"/>
                <w:szCs w:val="20"/>
              </w:rPr>
              <w:t xml:space="preserve">13</w:t>
            </w:r>
          </w:p>
        </w:tc>
        <w:tc>
          <w:tcPr>
            <w:tcW w:type="dxa" w:w="900"/>
          </w:tcPr>
          <w:p>
            <w:pPr>
              <w:jc w:val="center"/>
            </w:pPr>
            <w:r>
              <w:rPr>
                <w:b w:val="false"/>
                <w:bCs w:val="false"/>
                <w:sz w:val="20"/>
                <w:szCs w:val="20"/>
              </w:rPr>
              <w:t xml:space="preserve">6</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5</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c</w:t>
            </w:r>
          </w:p>
        </w:tc>
        <w:tc>
          <w:tcPr>
            <w:tcW w:type="dxa" w:w="900"/>
          </w:tcPr>
          <w:p>
            <w:pPr>
              <w:jc w:val="center"/>
            </w:pPr>
            <w:r>
              <w:rPr>
                <w:b w:val="false"/>
                <w:bCs w:val="false"/>
                <w:sz w:val="20"/>
                <w:szCs w:val="20"/>
              </w:rPr>
              <w:t xml:space="preserve">12</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4</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d</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r>
      <w:tr>
        <w:tc>
          <w:tcPr>
            <w:tcW w:type="dxa" w:w="900"/>
          </w:tcPr>
          <w:p>
            <w:pPr>
              <w:jc w:val="left"/>
            </w:pPr>
            <w:r>
              <w:rPr>
                <w:b w:val="false"/>
                <w:bCs w:val="false"/>
                <w:sz w:val="20"/>
                <w:szCs w:val="20"/>
              </w:rPr>
              <w:t xml:space="preserve">e</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8</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4</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f</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8</w:t>
            </w:r>
          </w:p>
        </w:tc>
        <w:tc>
          <w:tcPr>
            <w:tcW w:type="dxa" w:w="900"/>
          </w:tcPr>
          <w:p>
            <w:pPr>
              <w:jc w:val="center"/>
            </w:pPr>
            <w:r>
              <w:rPr>
                <w:b w:val="false"/>
                <w:bCs w:val="false"/>
                <w:sz w:val="20"/>
                <w:szCs w:val="20"/>
              </w:rPr>
              <w:t xml:space="preserve">1</w:t>
            </w:r>
          </w:p>
        </w:tc>
      </w:tr>
      <w:tr>
        <w:tc>
          <w:tcPr>
            <w:tcW w:type="dxa" w:w="900"/>
          </w:tcPr>
          <w:p>
            <w:pPr>
              <w:jc w:val="left"/>
            </w:pPr>
            <w:r>
              <w:rPr>
                <w:b w:val="false"/>
                <w:bCs w:val="false"/>
                <w:sz w:val="20"/>
                <w:szCs w:val="20"/>
              </w:rPr>
              <w:t xml:space="preserve">g</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1</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3</w:t>
            </w:r>
          </w:p>
        </w:tc>
        <w:tc>
          <w:tcPr>
            <w:tcW w:type="dxa" w:w="900"/>
          </w:tcPr>
          <w:p>
            <w:pPr>
              <w:jc w:val="center"/>
            </w:pPr>
            <w:r>
              <w:rPr>
                <w:b w:val="false"/>
                <w:bCs w:val="false"/>
                <w:sz w:val="20"/>
                <w:szCs w:val="20"/>
              </w:rPr>
              <w:t xml:space="preserve">0</w:t>
            </w:r>
          </w:p>
        </w:tc>
        <w:tc>
          <w:tcPr>
            <w:tcW w:type="dxa" w:w="900"/>
          </w:tcPr>
          <w:p>
            <w:pPr>
              <w:jc w:val="center"/>
            </w:pPr>
            <w:r>
              <w:rPr>
                <w:b w:val="false"/>
                <w:bCs w:val="false"/>
                <w:sz w:val="20"/>
                <w:szCs w:val="20"/>
              </w:rPr>
              <w:t xml:space="preserve">24</w:t>
            </w:r>
          </w:p>
        </w:tc>
      </w:tr>
    </w:tbl>
    <w:p>
      <w:pPr>
        <w:spacing w:after="60" w:before="120"/>
        <w:jc w:val="center"/>
      </w:pPr>
      <w:r>
        <w:drawing>
          <wp:inline distT="0" distB="0" distL="0" distR="0">
            <wp:extent cx="5524500" cy="36766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524500" cy="3676650"/>
                    </a:xfrm>
                    <a:prstGeom prst="rect">
                      <a:avLst/>
                    </a:prstGeom>
                  </pic:spPr>
                </pic:pic>
              </a:graphicData>
            </a:graphic>
          </wp:inline>
        </w:drawing>
      </w:r>
    </w:p>
    <w:p>
      <w:pPr>
        <w:spacing w:after="200"/>
        <w:jc w:val="center"/>
      </w:pPr>
      <w:r>
        <w:rPr>
          <w:i/>
          <w:iCs/>
          <w:color w:val="555555"/>
          <w:sz w:val="18"/>
          <w:szCs w:val="18"/>
        </w:rPr>
        <w:t xml:space="preserve">Figure 4. Weka output for Naive Bayes (10-fold cross-validation).</w:t>
      </w:r>
    </w:p>
    <w:p>
      <w:pPr>
        <w:pStyle w:val="Heading1"/>
        <w:spacing w:after="140" w:before="280"/>
      </w:pPr>
      <w:r>
        <w:t xml:space="preserve">5. Float vs. Non-Float Glass</w:t>
      </w:r>
    </w:p>
    <w:p>
      <w:pPr>
        <w:spacing w:after="160"/>
      </w:pPr>
      <w:r>
        <w:rPr>
          <w:b w:val="false"/>
          <w:bCs w:val="false"/>
          <w:i w:val="false"/>
          <w:iCs w:val="false"/>
        </w:rPr>
        <w:t xml:space="preserve">The tutorial also asks whether it is easier to distinguish between float and non-float glass than between all individual glass types. This requires merging the seven original classes into two groups (float: 'build wind float' and 'vehic wind float'; non-float: 'build wind non-float', 'vehic wind non-float', 'containers', 'tableware', 'headlamps') using Weka's class-editing or attribute-merging tools, and re-running the classifiers on the binary class.</w:t>
      </w:r>
    </w:p>
    <w:p>
      <w:pPr>
        <w:spacing w:after="160"/>
      </w:pPr>
      <w:r>
        <w:rPr>
          <w:b w:val="false"/>
          <w:bCs w:val="false"/>
          <w:i/>
          <w:iCs/>
        </w:rPr>
        <w:t xml:space="preserve">This step has not yet been carried out at the time of writing. Based on the per-class results above, a clear improvement in accuracy would be expected for the binary task: the main source of error across all four algorithms was confusion between chemically similar sub-types within the same float/non-float category (e.g., 'build wind float' vs 'build wind non-float', and the various non-float classes vs one another), rather than confusion across the float/non-float boundary itself. Collapsing these fine-grained distinctions should therefore remove most of the misclassifications observed, and is expected to yield a noticeably higher accuracy than the 6-class problem.</w:t>
      </w:r>
    </w:p>
    <w:p>
      <w:pPr>
        <w:pStyle w:val="Heading1"/>
        <w:spacing w:after="140" w:before="280"/>
      </w:pPr>
      <w:r>
        <w:t xml:space="preserve">6. Attribute Relevance</w:t>
      </w:r>
    </w:p>
    <w:p>
      <w:pPr>
        <w:spacing w:after="160"/>
      </w:pPr>
      <w:r>
        <w:rPr>
          <w:b w:val="false"/>
          <w:bCs w:val="false"/>
          <w:i w:val="false"/>
          <w:iCs w:val="false"/>
        </w:rPr>
        <w:t xml:space="preserve">Inspection of the J48 decision tree shows that not all nine chemical attributes contribute equally to classification; attributes appearing near the root of the tree (e.g., Al, Ba, RI) are the most discriminative, while others contribute only to deeper, more specific splits. As suggested by the tutorial hints, removing weakly contributing attributes (via the Preprocess tab, then re-running the classifier and comparing accuracy) can be used to test whether a simpler model retains comparable accuracy — this simplification was not required to identify the best-performing algorithm overall, since Random Forest already achieved a substantially higher accuracy using the full attribute set.</w:t>
      </w:r>
    </w:p>
    <w:p>
      <w:pPr>
        <w:pStyle w:val="Heading1"/>
        <w:spacing w:after="140" w:before="280"/>
      </w:pPr>
      <w:r>
        <w:t xml:space="preserve">7. Conclusions</w:t>
      </w:r>
    </w:p>
    <w:p>
      <w:pPr>
        <w:pStyle w:val="ListParagraph"/>
        <w:numPr>
          <w:ilvl w:val="0"/>
          <w:numId w:val="1"/>
        </w:numPr>
        <w:spacing w:after="80"/>
      </w:pPr>
      <w:r>
        <w:t xml:space="preserve">Random Forest was the most effective classifier tested, achieving 79.91% accuracy and a Kappa of 0.72, substantially outperforming J48, JRip, and especially Naive Bayes.</w:t>
      </w:r>
    </w:p>
    <w:p>
      <w:pPr>
        <w:pStyle w:val="ListParagraph"/>
        <w:numPr>
          <w:ilvl w:val="0"/>
          <w:numId w:val="1"/>
        </w:numPr>
        <w:spacing w:after="80"/>
      </w:pPr>
      <w:r>
        <w:t xml:space="preserve">The rule-based (JRip) and tree-based (J48) classifiers performed similarly to one another, with JRip slightly ahead.</w:t>
      </w:r>
    </w:p>
    <w:p>
      <w:pPr>
        <w:pStyle w:val="ListParagraph"/>
        <w:numPr>
          <w:ilvl w:val="0"/>
          <w:numId w:val="1"/>
        </w:numPr>
        <w:spacing w:after="80"/>
      </w:pPr>
      <w:r>
        <w:t xml:space="preserve">Naive Bayes was the weakest performer, likely due to the correlated nature of the chemical composition attributes violating its conditional independence assumption.</w:t>
      </w:r>
    </w:p>
    <w:p>
      <w:pPr>
        <w:pStyle w:val="ListParagraph"/>
        <w:numPr>
          <w:ilvl w:val="0"/>
          <w:numId w:val="1"/>
        </w:numPr>
        <w:spacing w:after="80"/>
      </w:pPr>
      <w:r>
        <w:t xml:space="preserve">Across all algorithms, the main source of classification error was confusion between chemically similar glass sub-types within the same broader category (e.g., building window float vs. non-float), rather than confusion between fundamentally different types of glass.</w:t>
      </w:r>
    </w:p>
    <w:p>
      <w:pPr>
        <w:pStyle w:val="ListParagraph"/>
        <w:numPr>
          <w:ilvl w:val="0"/>
          <w:numId w:val="1"/>
        </w:numPr>
        <w:spacing w:after="80"/>
      </w:pPr>
      <w:r>
        <w:t xml:space="preserve">The 'vehicle window float' class was consistently the hardest to classify for every algorithm, most likely due to its very small number of instances (17) in the dataset rather than any algorithmic limitation.</w:t>
      </w:r>
    </w:p>
    <w:p>
      <w:pPr>
        <w:pStyle w:val="ListParagraph"/>
        <w:numPr>
          <w:ilvl w:val="0"/>
          <w:numId w:val="1"/>
        </w:numPr>
        <w:spacing w:after="80"/>
      </w:pPr>
      <w:r>
        <w:t xml:space="preserve">Collapsing the classification task into float vs. non-float glass is expected to be considerably easier than distinguishing all seven original sub-types, since most observed errors occurred within the float/non-float groups rather than across them (pending confirmation by running this test in Weka).</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eaa18b05f07c9e2c5f96f67e845e69edfcbd60ff.png"/><Relationship Id="rId8" Type="http://schemas.openxmlformats.org/officeDocument/2006/relationships/image" Target="media/8d67395dc37d8ed79e45ea38db6ff6451254493c.png"/><Relationship Id="rId9" Type="http://schemas.openxmlformats.org/officeDocument/2006/relationships/image" Target="media/4f85dab0a2d9a66552aab155a97a1dd139159932.png"/><Relationship Id="rId10" Type="http://schemas.openxmlformats.org/officeDocument/2006/relationships/image" Target="media/499bc240e2ab486e0e923bafabcf2cd41bbfe2d2.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2026-08-04T15:34:13.072Z</dcterms:created>
  <dcterms:modified xsi:type="dcterms:W3CDTF">2026-08-04T15:34:13.088Z</dcterms:modified>
</cp:coreProperties>
</file>

<file path=docProps/custom.xml><?xml version="1.0" encoding="utf-8"?>
<Properties xmlns="http://schemas.openxmlformats.org/officeDocument/2006/custom-properties" xmlns:vt="http://schemas.openxmlformats.org/officeDocument/2006/docPropsVTypes"/>
</file>