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E2430" w14:textId="239C1C44" w:rsidR="00BB3DE3" w:rsidRDefault="00CD7916" w:rsidP="00BA138B">
      <w:pPr>
        <w:spacing w:line="360" w:lineRule="auto"/>
        <w:jc w:val="center"/>
        <w:rPr>
          <w:rFonts w:ascii="Arial" w:hAnsi="Arial"/>
          <w:b/>
          <w:bCs/>
          <w:sz w:val="40"/>
          <w:szCs w:val="40"/>
        </w:rPr>
      </w:pPr>
      <w:r>
        <w:rPr>
          <w:rFonts w:ascii="Arial" w:hAnsi="Arial"/>
          <w:b/>
          <w:bCs/>
          <w:sz w:val="40"/>
          <w:szCs w:val="40"/>
        </w:rPr>
        <w:t xml:space="preserve">Introduction To Health and </w:t>
      </w:r>
      <w:r w:rsidR="001C120E">
        <w:rPr>
          <w:rFonts w:ascii="Arial" w:hAnsi="Arial"/>
          <w:b/>
          <w:bCs/>
          <w:sz w:val="40"/>
          <w:szCs w:val="40"/>
        </w:rPr>
        <w:t>Social Care</w:t>
      </w:r>
    </w:p>
    <w:p w14:paraId="0AD5F984" w14:textId="77777777" w:rsidR="00B02A7B" w:rsidRDefault="00B02A7B" w:rsidP="00BA138B">
      <w:pPr>
        <w:spacing w:line="360" w:lineRule="auto"/>
        <w:jc w:val="center"/>
        <w:rPr>
          <w:rFonts w:ascii="Arial" w:hAnsi="Arial"/>
          <w:b/>
          <w:bCs/>
          <w:sz w:val="40"/>
          <w:szCs w:val="40"/>
        </w:rPr>
      </w:pPr>
    </w:p>
    <w:p w14:paraId="755A6546" w14:textId="1B1AD082" w:rsidR="001C120E" w:rsidRDefault="001C120E" w:rsidP="00BA138B">
      <w:pPr>
        <w:spacing w:line="360" w:lineRule="auto"/>
        <w:jc w:val="center"/>
        <w:rPr>
          <w:rFonts w:ascii="Arial" w:hAnsi="Arial"/>
          <w:b/>
          <w:bCs/>
          <w:sz w:val="40"/>
          <w:szCs w:val="40"/>
        </w:rPr>
      </w:pPr>
      <w:proofErr w:type="spellStart"/>
      <w:r>
        <w:rPr>
          <w:rFonts w:ascii="Arial" w:hAnsi="Arial"/>
          <w:b/>
          <w:bCs/>
          <w:sz w:val="40"/>
          <w:szCs w:val="40"/>
        </w:rPr>
        <w:t>Shellymae</w:t>
      </w:r>
      <w:proofErr w:type="spellEnd"/>
      <w:r>
        <w:rPr>
          <w:rFonts w:ascii="Arial" w:hAnsi="Arial"/>
          <w:b/>
          <w:bCs/>
          <w:sz w:val="40"/>
          <w:szCs w:val="40"/>
        </w:rPr>
        <w:t xml:space="preserve"> </w:t>
      </w:r>
      <w:proofErr w:type="spellStart"/>
      <w:r>
        <w:rPr>
          <w:rFonts w:ascii="Arial" w:hAnsi="Arial"/>
          <w:b/>
          <w:bCs/>
          <w:sz w:val="40"/>
          <w:szCs w:val="40"/>
        </w:rPr>
        <w:t>Mulcare</w:t>
      </w:r>
      <w:proofErr w:type="spellEnd"/>
      <w:r>
        <w:rPr>
          <w:rFonts w:ascii="Arial" w:hAnsi="Arial"/>
          <w:b/>
          <w:bCs/>
          <w:sz w:val="40"/>
          <w:szCs w:val="40"/>
        </w:rPr>
        <w:t xml:space="preserve"> </w:t>
      </w:r>
    </w:p>
    <w:p w14:paraId="0C68A1F6" w14:textId="77777777" w:rsidR="00B02A7B" w:rsidRDefault="00B02A7B" w:rsidP="00BA138B">
      <w:pPr>
        <w:spacing w:line="360" w:lineRule="auto"/>
        <w:jc w:val="center"/>
        <w:rPr>
          <w:rFonts w:ascii="Arial" w:hAnsi="Arial"/>
          <w:b/>
          <w:bCs/>
          <w:sz w:val="40"/>
          <w:szCs w:val="40"/>
        </w:rPr>
      </w:pPr>
    </w:p>
    <w:p w14:paraId="013B4634" w14:textId="3977B22D" w:rsidR="001C120E" w:rsidRDefault="001C120E" w:rsidP="00BA138B">
      <w:pPr>
        <w:spacing w:line="360" w:lineRule="auto"/>
        <w:jc w:val="center"/>
        <w:rPr>
          <w:rFonts w:ascii="Arial" w:hAnsi="Arial"/>
          <w:b/>
          <w:bCs/>
          <w:sz w:val="40"/>
          <w:szCs w:val="40"/>
        </w:rPr>
      </w:pPr>
      <w:r>
        <w:rPr>
          <w:rFonts w:ascii="Arial" w:hAnsi="Arial"/>
          <w:b/>
          <w:bCs/>
          <w:sz w:val="40"/>
          <w:szCs w:val="40"/>
        </w:rPr>
        <w:t>2434948</w:t>
      </w:r>
    </w:p>
    <w:p w14:paraId="7391E923" w14:textId="77777777" w:rsidR="00B02A7B" w:rsidRDefault="00B02A7B" w:rsidP="00BA138B">
      <w:pPr>
        <w:spacing w:line="360" w:lineRule="auto"/>
        <w:jc w:val="center"/>
        <w:rPr>
          <w:rFonts w:ascii="Arial" w:hAnsi="Arial"/>
          <w:b/>
          <w:bCs/>
          <w:sz w:val="40"/>
          <w:szCs w:val="40"/>
        </w:rPr>
      </w:pPr>
    </w:p>
    <w:p w14:paraId="25E1D4B4" w14:textId="29590A0C" w:rsidR="001C120E" w:rsidRDefault="0015224B" w:rsidP="00BA138B">
      <w:pPr>
        <w:spacing w:line="360" w:lineRule="auto"/>
        <w:jc w:val="center"/>
        <w:rPr>
          <w:rFonts w:ascii="Arial" w:hAnsi="Arial"/>
          <w:b/>
          <w:bCs/>
          <w:sz w:val="40"/>
          <w:szCs w:val="40"/>
        </w:rPr>
      </w:pPr>
      <w:r>
        <w:rPr>
          <w:rFonts w:ascii="Arial" w:hAnsi="Arial"/>
          <w:b/>
          <w:bCs/>
          <w:sz w:val="40"/>
          <w:szCs w:val="40"/>
        </w:rPr>
        <w:t>Case Study Report</w:t>
      </w:r>
    </w:p>
    <w:p w14:paraId="738840E4" w14:textId="77777777" w:rsidR="00B02A7B" w:rsidRDefault="00B02A7B" w:rsidP="00BA138B">
      <w:pPr>
        <w:spacing w:line="360" w:lineRule="auto"/>
        <w:jc w:val="center"/>
        <w:rPr>
          <w:rFonts w:ascii="Arial" w:hAnsi="Arial"/>
          <w:b/>
          <w:bCs/>
          <w:sz w:val="40"/>
          <w:szCs w:val="40"/>
        </w:rPr>
      </w:pPr>
    </w:p>
    <w:p w14:paraId="438C92C3" w14:textId="193AF63B" w:rsidR="0015224B" w:rsidRDefault="0015224B" w:rsidP="00BA138B">
      <w:pPr>
        <w:spacing w:line="360" w:lineRule="auto"/>
        <w:jc w:val="center"/>
        <w:rPr>
          <w:rFonts w:ascii="Arial" w:hAnsi="Arial"/>
          <w:b/>
          <w:bCs/>
          <w:sz w:val="40"/>
          <w:szCs w:val="40"/>
        </w:rPr>
      </w:pPr>
      <w:r>
        <w:rPr>
          <w:rFonts w:ascii="Arial" w:hAnsi="Arial"/>
          <w:b/>
          <w:bCs/>
          <w:sz w:val="40"/>
          <w:szCs w:val="40"/>
        </w:rPr>
        <w:t>LCHS</w:t>
      </w:r>
      <w:r w:rsidR="00EC465C">
        <w:rPr>
          <w:rFonts w:ascii="Arial" w:hAnsi="Arial"/>
          <w:b/>
          <w:bCs/>
          <w:sz w:val="40"/>
          <w:szCs w:val="40"/>
        </w:rPr>
        <w:t>4003</w:t>
      </w:r>
    </w:p>
    <w:p w14:paraId="07BBCFDE" w14:textId="77777777" w:rsidR="00B02A7B" w:rsidRDefault="00B02A7B" w:rsidP="00BA138B">
      <w:pPr>
        <w:spacing w:line="360" w:lineRule="auto"/>
        <w:jc w:val="center"/>
        <w:rPr>
          <w:rFonts w:ascii="Arial" w:hAnsi="Arial"/>
          <w:b/>
          <w:bCs/>
          <w:sz w:val="40"/>
          <w:szCs w:val="40"/>
        </w:rPr>
      </w:pPr>
    </w:p>
    <w:p w14:paraId="09B7D2A9" w14:textId="16FF8954" w:rsidR="00EC465C" w:rsidRDefault="00EC465C" w:rsidP="00BA138B">
      <w:pPr>
        <w:spacing w:line="360" w:lineRule="auto"/>
        <w:jc w:val="center"/>
        <w:rPr>
          <w:rFonts w:ascii="Arial" w:hAnsi="Arial"/>
          <w:b/>
          <w:bCs/>
          <w:sz w:val="40"/>
          <w:szCs w:val="40"/>
        </w:rPr>
      </w:pPr>
      <w:proofErr w:type="spellStart"/>
      <w:r>
        <w:rPr>
          <w:rFonts w:ascii="Arial" w:hAnsi="Arial"/>
          <w:b/>
          <w:bCs/>
          <w:sz w:val="40"/>
          <w:szCs w:val="40"/>
        </w:rPr>
        <w:t>Debrah</w:t>
      </w:r>
      <w:proofErr w:type="spellEnd"/>
      <w:r>
        <w:rPr>
          <w:rFonts w:ascii="Arial" w:hAnsi="Arial"/>
          <w:b/>
          <w:bCs/>
          <w:sz w:val="40"/>
          <w:szCs w:val="40"/>
        </w:rPr>
        <w:t xml:space="preserve"> </w:t>
      </w:r>
      <w:proofErr w:type="spellStart"/>
      <w:r>
        <w:rPr>
          <w:rFonts w:ascii="Arial" w:hAnsi="Arial"/>
          <w:b/>
          <w:bCs/>
          <w:sz w:val="40"/>
          <w:szCs w:val="40"/>
        </w:rPr>
        <w:t>Odeh</w:t>
      </w:r>
      <w:proofErr w:type="spellEnd"/>
      <w:r>
        <w:rPr>
          <w:rFonts w:ascii="Arial" w:hAnsi="Arial"/>
          <w:b/>
          <w:bCs/>
          <w:sz w:val="40"/>
          <w:szCs w:val="40"/>
        </w:rPr>
        <w:t xml:space="preserve"> </w:t>
      </w:r>
    </w:p>
    <w:p w14:paraId="79F9CF7E" w14:textId="77777777" w:rsidR="00B02A7B" w:rsidRDefault="00B02A7B" w:rsidP="00BA138B">
      <w:pPr>
        <w:spacing w:line="360" w:lineRule="auto"/>
        <w:jc w:val="center"/>
        <w:rPr>
          <w:rFonts w:ascii="Arial" w:hAnsi="Arial"/>
          <w:b/>
          <w:bCs/>
          <w:sz w:val="40"/>
          <w:szCs w:val="40"/>
        </w:rPr>
      </w:pPr>
    </w:p>
    <w:p w14:paraId="24197FC3" w14:textId="3117778E" w:rsidR="00EC465C" w:rsidRPr="00BA138B" w:rsidRDefault="00EC465C" w:rsidP="00BA138B">
      <w:pPr>
        <w:spacing w:line="360" w:lineRule="auto"/>
        <w:jc w:val="center"/>
        <w:rPr>
          <w:rFonts w:ascii="Arial" w:hAnsi="Arial"/>
          <w:b/>
          <w:bCs/>
          <w:sz w:val="40"/>
          <w:szCs w:val="40"/>
        </w:rPr>
      </w:pPr>
      <w:r>
        <w:rPr>
          <w:rFonts w:ascii="Arial" w:hAnsi="Arial"/>
          <w:b/>
          <w:bCs/>
          <w:sz w:val="40"/>
          <w:szCs w:val="40"/>
        </w:rPr>
        <w:t>21.11.2025</w:t>
      </w:r>
    </w:p>
    <w:p w14:paraId="7986DEB0" w14:textId="77777777" w:rsidR="00BB3DE3" w:rsidRDefault="00BB3DE3">
      <w:pPr>
        <w:spacing w:after="0" w:line="240" w:lineRule="auto"/>
        <w:rPr>
          <w:rFonts w:ascii="Arial" w:hAnsi="Arial"/>
          <w:sz w:val="24"/>
          <w:szCs w:val="24"/>
        </w:rPr>
      </w:pPr>
      <w:r>
        <w:rPr>
          <w:rFonts w:ascii="Arial" w:hAnsi="Arial"/>
          <w:sz w:val="24"/>
          <w:szCs w:val="24"/>
        </w:rPr>
        <w:br w:type="page"/>
      </w:r>
    </w:p>
    <w:p w14:paraId="4EB138DE" w14:textId="3AC6AD6E" w:rsidR="00347222" w:rsidRPr="00AB4D63" w:rsidRDefault="00000000" w:rsidP="00EB0632">
      <w:pPr>
        <w:spacing w:line="360" w:lineRule="auto"/>
        <w:rPr>
          <w:rFonts w:ascii="Arial" w:hAnsi="Arial"/>
          <w:sz w:val="24"/>
          <w:szCs w:val="24"/>
        </w:rPr>
      </w:pPr>
      <w:r w:rsidRPr="00AB4D63">
        <w:rPr>
          <w:rFonts w:ascii="Arial" w:hAnsi="Arial"/>
          <w:sz w:val="24"/>
          <w:szCs w:val="24"/>
        </w:rPr>
        <w:lastRenderedPageBreak/>
        <w:t xml:space="preserve">Assignment: Communication, Administrative Practice and Collaborative Working in the Care of </w:t>
      </w:r>
      <w:r w:rsidR="00B02A7B" w:rsidRPr="00AB4D63">
        <w:rPr>
          <w:rFonts w:ascii="Arial" w:hAnsi="Arial"/>
          <w:sz w:val="24"/>
          <w:szCs w:val="24"/>
        </w:rPr>
        <w:t>Mrs.</w:t>
      </w:r>
      <w:r w:rsidRPr="00AB4D63">
        <w:rPr>
          <w:rFonts w:ascii="Arial" w:hAnsi="Arial"/>
          <w:sz w:val="24"/>
          <w:szCs w:val="24"/>
        </w:rPr>
        <w:t xml:space="preserve"> Mann</w:t>
      </w:r>
    </w:p>
    <w:p w14:paraId="7FDF74FC" w14:textId="77777777" w:rsidR="00347222" w:rsidRPr="00AB4D63" w:rsidRDefault="00347222" w:rsidP="00EB0632">
      <w:pPr>
        <w:spacing w:line="360" w:lineRule="auto"/>
        <w:rPr>
          <w:rFonts w:ascii="Arial" w:hAnsi="Arial"/>
          <w:sz w:val="24"/>
          <w:szCs w:val="24"/>
        </w:rPr>
      </w:pPr>
    </w:p>
    <w:p w14:paraId="3A97EDAB"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Introduction</w:t>
      </w:r>
    </w:p>
    <w:p w14:paraId="71859834"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Delivering high-quality health and social care requires clear communication, consistent administrative practice and effective collaboration between professionals. These components directly influence safety, continuity, and the overall quality of care, particularly for people with complex needs. This assignment explores these elements in relation to </w:t>
      </w:r>
      <w:proofErr w:type="spellStart"/>
      <w:r w:rsidRPr="00AB4D63">
        <w:rPr>
          <w:rFonts w:ascii="Arial" w:hAnsi="Arial"/>
          <w:sz w:val="24"/>
          <w:szCs w:val="24"/>
        </w:rPr>
        <w:t>Mrs</w:t>
      </w:r>
      <w:proofErr w:type="spellEnd"/>
      <w:r w:rsidRPr="00AB4D63">
        <w:rPr>
          <w:rFonts w:ascii="Arial" w:hAnsi="Arial"/>
          <w:sz w:val="24"/>
          <w:szCs w:val="24"/>
        </w:rPr>
        <w:t xml:space="preserve"> Mann, a 72-year-old service user recovering from hip replacement surgery who receives domiciliary care and physiotherapy support. Her limited English proficiency, reliance on several professionals and recent issues with inconsistent documentation highlight the need for strong communication and reliable record keeping. Drawing on seven peer-reviewed academic sources and relevant legislation, this assignment examines the importance of inclusive communication, lawful and accurate administrative work, and collaborative multi-agency practice. By applying evidence-based approaches, it considers how the quality and safety of </w:t>
      </w:r>
      <w:proofErr w:type="spellStart"/>
      <w:r w:rsidRPr="00AB4D63">
        <w:rPr>
          <w:rFonts w:ascii="Arial" w:hAnsi="Arial"/>
          <w:sz w:val="24"/>
          <w:szCs w:val="24"/>
        </w:rPr>
        <w:t>Mrs</w:t>
      </w:r>
      <w:proofErr w:type="spellEnd"/>
      <w:r w:rsidRPr="00AB4D63">
        <w:rPr>
          <w:rFonts w:ascii="Arial" w:hAnsi="Arial"/>
          <w:sz w:val="24"/>
          <w:szCs w:val="24"/>
        </w:rPr>
        <w:t xml:space="preserve"> Mann’s care can be strengthened and how similar risks—such as the delayed medication adjustment—can be prevented.</w:t>
      </w:r>
    </w:p>
    <w:p w14:paraId="2D2CEFFD" w14:textId="77777777" w:rsidR="00347222" w:rsidRPr="00AB4D63" w:rsidRDefault="00347222" w:rsidP="00EB0632">
      <w:pPr>
        <w:spacing w:line="360" w:lineRule="auto"/>
        <w:rPr>
          <w:rFonts w:ascii="Arial" w:hAnsi="Arial"/>
          <w:sz w:val="24"/>
          <w:szCs w:val="24"/>
        </w:rPr>
      </w:pPr>
    </w:p>
    <w:p w14:paraId="2FFF825F"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1. Importance of Effective Communication in </w:t>
      </w:r>
      <w:proofErr w:type="spellStart"/>
      <w:r w:rsidRPr="00AB4D63">
        <w:rPr>
          <w:rFonts w:ascii="Arial" w:hAnsi="Arial"/>
          <w:sz w:val="24"/>
          <w:szCs w:val="24"/>
        </w:rPr>
        <w:t>Mrs</w:t>
      </w:r>
      <w:proofErr w:type="spellEnd"/>
      <w:r w:rsidRPr="00AB4D63">
        <w:rPr>
          <w:rFonts w:ascii="Arial" w:hAnsi="Arial"/>
          <w:sz w:val="24"/>
          <w:szCs w:val="24"/>
        </w:rPr>
        <w:t xml:space="preserve"> Mann’s Care</w:t>
      </w:r>
    </w:p>
    <w:p w14:paraId="78393898" w14:textId="704224B6" w:rsidR="00347222" w:rsidRPr="00AB4D63" w:rsidRDefault="00000000" w:rsidP="00EB0632">
      <w:pPr>
        <w:spacing w:line="360" w:lineRule="auto"/>
        <w:rPr>
          <w:rFonts w:ascii="Arial" w:hAnsi="Arial"/>
          <w:sz w:val="24"/>
          <w:szCs w:val="24"/>
        </w:rPr>
      </w:pPr>
      <w:r w:rsidRPr="00AB4D63">
        <w:rPr>
          <w:rFonts w:ascii="Arial" w:hAnsi="Arial"/>
          <w:sz w:val="24"/>
          <w:szCs w:val="24"/>
        </w:rPr>
        <w:t>Effective communication forms the basis of safe, person-</w:t>
      </w:r>
      <w:proofErr w:type="spellStart"/>
      <w:r w:rsidRPr="00AB4D63">
        <w:rPr>
          <w:rFonts w:ascii="Arial" w:hAnsi="Arial"/>
          <w:sz w:val="24"/>
          <w:szCs w:val="24"/>
        </w:rPr>
        <w:t>centred</w:t>
      </w:r>
      <w:proofErr w:type="spellEnd"/>
      <w:r w:rsidRPr="00AB4D63">
        <w:rPr>
          <w:rFonts w:ascii="Arial" w:hAnsi="Arial"/>
          <w:sz w:val="24"/>
          <w:szCs w:val="24"/>
        </w:rPr>
        <w:t xml:space="preserve"> care. When language barriers exist, the potential for misunderstanding and error increases significantly. Research demonstrates that </w:t>
      </w:r>
      <w:r w:rsidR="00276EA5">
        <w:rPr>
          <w:rFonts w:ascii="Arial" w:hAnsi="Arial"/>
          <w:sz w:val="24"/>
          <w:szCs w:val="24"/>
        </w:rPr>
        <w:t>the people we support</w:t>
      </w:r>
      <w:r w:rsidRPr="00AB4D63">
        <w:rPr>
          <w:rFonts w:ascii="Arial" w:hAnsi="Arial"/>
          <w:sz w:val="24"/>
          <w:szCs w:val="24"/>
        </w:rPr>
        <w:t xml:space="preserve"> with limited proficiency in the dominant language of care settings face higher risks of dissatisfaction, confusion and adverse outcomes (Flores, 2014). For </w:t>
      </w:r>
      <w:proofErr w:type="spellStart"/>
      <w:r w:rsidRPr="00AB4D63">
        <w:rPr>
          <w:rFonts w:ascii="Arial" w:hAnsi="Arial"/>
          <w:sz w:val="24"/>
          <w:szCs w:val="24"/>
        </w:rPr>
        <w:t>Mrs</w:t>
      </w:r>
      <w:proofErr w:type="spellEnd"/>
      <w:r w:rsidRPr="00AB4D63">
        <w:rPr>
          <w:rFonts w:ascii="Arial" w:hAnsi="Arial"/>
          <w:sz w:val="24"/>
          <w:szCs w:val="24"/>
        </w:rPr>
        <w:t xml:space="preserve"> Mann, whose first language is Urdu, communication must be adapted to ensure clarity and respect for her cultural and linguistic needs.</w:t>
      </w:r>
    </w:p>
    <w:p w14:paraId="463D275D" w14:textId="77777777" w:rsidR="00347222" w:rsidRPr="00AB4D63" w:rsidRDefault="00347222" w:rsidP="00EB0632">
      <w:pPr>
        <w:spacing w:line="360" w:lineRule="auto"/>
        <w:rPr>
          <w:rFonts w:ascii="Arial" w:hAnsi="Arial"/>
          <w:sz w:val="24"/>
          <w:szCs w:val="24"/>
        </w:rPr>
      </w:pPr>
    </w:p>
    <w:p w14:paraId="331BF646" w14:textId="7DB5B750" w:rsidR="00347222" w:rsidRPr="00AB4D63" w:rsidRDefault="00000000" w:rsidP="00EB0632">
      <w:pPr>
        <w:spacing w:line="360" w:lineRule="auto"/>
        <w:rPr>
          <w:rFonts w:ascii="Arial" w:hAnsi="Arial"/>
          <w:sz w:val="24"/>
          <w:szCs w:val="24"/>
        </w:rPr>
      </w:pPr>
      <w:r w:rsidRPr="00AB4D63">
        <w:rPr>
          <w:rFonts w:ascii="Arial" w:hAnsi="Arial"/>
          <w:sz w:val="24"/>
          <w:szCs w:val="24"/>
        </w:rPr>
        <w:t>Person-</w:t>
      </w:r>
      <w:proofErr w:type="spellStart"/>
      <w:r w:rsidRPr="00AB4D63">
        <w:rPr>
          <w:rFonts w:ascii="Arial" w:hAnsi="Arial"/>
          <w:sz w:val="24"/>
          <w:szCs w:val="24"/>
        </w:rPr>
        <w:t>centred</w:t>
      </w:r>
      <w:proofErr w:type="spellEnd"/>
      <w:r w:rsidRPr="00AB4D63">
        <w:rPr>
          <w:rFonts w:ascii="Arial" w:hAnsi="Arial"/>
          <w:sz w:val="24"/>
          <w:szCs w:val="24"/>
        </w:rPr>
        <w:t xml:space="preserve"> approaches </w:t>
      </w:r>
      <w:r w:rsidR="005E4577" w:rsidRPr="00AB4D63">
        <w:rPr>
          <w:rFonts w:ascii="Arial" w:hAnsi="Arial"/>
          <w:sz w:val="24"/>
          <w:szCs w:val="24"/>
        </w:rPr>
        <w:t>emphasize</w:t>
      </w:r>
      <w:r w:rsidRPr="00AB4D63">
        <w:rPr>
          <w:rFonts w:ascii="Arial" w:hAnsi="Arial"/>
          <w:sz w:val="24"/>
          <w:szCs w:val="24"/>
        </w:rPr>
        <w:t xml:space="preserve"> responsiveness to each individual’s background and preferences. Studies highlight that language-sensitive communication improves engagement, safety and trust (Kai et al., 2011). The Equality Act 2010 reinforces this by requiring reasonable adjustments, meaning services must take steps such as offering appropriate translation or interpretation support. Although </w:t>
      </w:r>
      <w:proofErr w:type="spellStart"/>
      <w:r w:rsidRPr="00AB4D63">
        <w:rPr>
          <w:rFonts w:ascii="Arial" w:hAnsi="Arial"/>
          <w:sz w:val="24"/>
          <w:szCs w:val="24"/>
        </w:rPr>
        <w:t>Mrs</w:t>
      </w:r>
      <w:proofErr w:type="spellEnd"/>
      <w:r w:rsidRPr="00AB4D63">
        <w:rPr>
          <w:rFonts w:ascii="Arial" w:hAnsi="Arial"/>
          <w:sz w:val="24"/>
          <w:szCs w:val="24"/>
        </w:rPr>
        <w:t xml:space="preserve"> Mann’s daughter often interprets, research shows that relying solely on family members can lead to inaccuracies and may compromise confidentiality (</w:t>
      </w:r>
      <w:proofErr w:type="spellStart"/>
      <w:r w:rsidRPr="00AB4D63">
        <w:rPr>
          <w:rFonts w:ascii="Arial" w:hAnsi="Arial"/>
          <w:sz w:val="24"/>
          <w:szCs w:val="24"/>
        </w:rPr>
        <w:t>Karliner</w:t>
      </w:r>
      <w:proofErr w:type="spellEnd"/>
      <w:r w:rsidRPr="00AB4D63">
        <w:rPr>
          <w:rFonts w:ascii="Arial" w:hAnsi="Arial"/>
          <w:sz w:val="24"/>
          <w:szCs w:val="24"/>
        </w:rPr>
        <w:t xml:space="preserve"> et al., 2007). Therefore, professional interpreting should support more complex discussions, such as medication decisions or consent.</w:t>
      </w:r>
    </w:p>
    <w:p w14:paraId="37CED818"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Alongside addressing language barriers, professionals must apply interpersonal communication skills that foster understanding and rapport. The SOLER model, widely </w:t>
      </w:r>
      <w:proofErr w:type="spellStart"/>
      <w:r w:rsidRPr="00AB4D63">
        <w:rPr>
          <w:rFonts w:ascii="Arial" w:hAnsi="Arial"/>
          <w:sz w:val="24"/>
          <w:szCs w:val="24"/>
        </w:rPr>
        <w:t>recognised</w:t>
      </w:r>
      <w:proofErr w:type="spellEnd"/>
      <w:r w:rsidRPr="00AB4D63">
        <w:rPr>
          <w:rFonts w:ascii="Arial" w:hAnsi="Arial"/>
          <w:sz w:val="24"/>
          <w:szCs w:val="24"/>
        </w:rPr>
        <w:t xml:space="preserve"> in therapeutic communication, encourages attentive posture, culturally sensitive eye contact, and a relaxed but focused presence (Egan, 2010). Evidence shows that active listening and supportive non-verbal communication strengthen trust and reduce service users’ anxiety (McCabe &amp; Timmins, 2013). For </w:t>
      </w:r>
      <w:proofErr w:type="spellStart"/>
      <w:r w:rsidRPr="00AB4D63">
        <w:rPr>
          <w:rFonts w:ascii="Arial" w:hAnsi="Arial"/>
          <w:sz w:val="24"/>
          <w:szCs w:val="24"/>
        </w:rPr>
        <w:t>Mrs</w:t>
      </w:r>
      <w:proofErr w:type="spellEnd"/>
      <w:r w:rsidRPr="00AB4D63">
        <w:rPr>
          <w:rFonts w:ascii="Arial" w:hAnsi="Arial"/>
          <w:sz w:val="24"/>
          <w:szCs w:val="24"/>
        </w:rPr>
        <w:t xml:space="preserve"> Mann, such approaches can help her feel respected and more confident in engaging with her rehabilitation plan.</w:t>
      </w:r>
    </w:p>
    <w:p w14:paraId="0F65E772"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Communication within the care team is equally important. Poor information exchange between professionals is a frequent contributor to delays, omissions and errors, including medication-related mistakes (</w:t>
      </w:r>
      <w:proofErr w:type="spellStart"/>
      <w:r w:rsidRPr="00AB4D63">
        <w:rPr>
          <w:rFonts w:ascii="Arial" w:hAnsi="Arial"/>
          <w:sz w:val="24"/>
          <w:szCs w:val="24"/>
        </w:rPr>
        <w:t>O’Daniel</w:t>
      </w:r>
      <w:proofErr w:type="spellEnd"/>
      <w:r w:rsidRPr="00AB4D63">
        <w:rPr>
          <w:rFonts w:ascii="Arial" w:hAnsi="Arial"/>
          <w:sz w:val="24"/>
          <w:szCs w:val="24"/>
        </w:rPr>
        <w:t xml:space="preserve"> &amp; Rosenstein, 2008). In </w:t>
      </w:r>
      <w:proofErr w:type="spellStart"/>
      <w:r w:rsidRPr="00AB4D63">
        <w:rPr>
          <w:rFonts w:ascii="Arial" w:hAnsi="Arial"/>
          <w:sz w:val="24"/>
          <w:szCs w:val="24"/>
        </w:rPr>
        <w:t>Mrs</w:t>
      </w:r>
      <w:proofErr w:type="spellEnd"/>
      <w:r w:rsidRPr="00AB4D63">
        <w:rPr>
          <w:rFonts w:ascii="Arial" w:hAnsi="Arial"/>
          <w:sz w:val="24"/>
          <w:szCs w:val="24"/>
        </w:rPr>
        <w:t xml:space="preserve"> Mann’s case, inconsistent documentation led to a delayed medication adjustment, demonstrating the consequences of fragmented communication.</w:t>
      </w:r>
    </w:p>
    <w:p w14:paraId="0B386F46"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In summary, effective communication in </w:t>
      </w:r>
      <w:proofErr w:type="spellStart"/>
      <w:r w:rsidRPr="00AB4D63">
        <w:rPr>
          <w:rFonts w:ascii="Arial" w:hAnsi="Arial"/>
          <w:sz w:val="24"/>
          <w:szCs w:val="24"/>
        </w:rPr>
        <w:t>Mrs</w:t>
      </w:r>
      <w:proofErr w:type="spellEnd"/>
      <w:r w:rsidRPr="00AB4D63">
        <w:rPr>
          <w:rFonts w:ascii="Arial" w:hAnsi="Arial"/>
          <w:sz w:val="24"/>
          <w:szCs w:val="24"/>
        </w:rPr>
        <w:t xml:space="preserve"> Mann’s care requires cultural responsiveness, adherence to equality legislation, use of trained interpreters, and application of evidence-based interpersonal skills. Clear and structured communication among professionals is also essential to ensure continuity and safety.</w:t>
      </w:r>
    </w:p>
    <w:p w14:paraId="7018887E" w14:textId="77777777" w:rsidR="006456C6" w:rsidRDefault="006456C6" w:rsidP="00EB0632">
      <w:pPr>
        <w:spacing w:line="360" w:lineRule="auto"/>
        <w:rPr>
          <w:rFonts w:ascii="Arial" w:hAnsi="Arial"/>
          <w:sz w:val="24"/>
          <w:szCs w:val="24"/>
        </w:rPr>
      </w:pPr>
    </w:p>
    <w:p w14:paraId="2CA25C9A" w14:textId="01CEA83B" w:rsidR="00347222" w:rsidRPr="00AB4D63" w:rsidRDefault="00000000" w:rsidP="00EB0632">
      <w:pPr>
        <w:spacing w:line="360" w:lineRule="auto"/>
        <w:rPr>
          <w:rFonts w:ascii="Arial" w:hAnsi="Arial"/>
          <w:sz w:val="24"/>
          <w:szCs w:val="24"/>
        </w:rPr>
      </w:pPr>
      <w:r w:rsidRPr="00AB4D63">
        <w:rPr>
          <w:rFonts w:ascii="Arial" w:hAnsi="Arial"/>
          <w:sz w:val="24"/>
          <w:szCs w:val="24"/>
        </w:rPr>
        <w:lastRenderedPageBreak/>
        <w:t xml:space="preserve">2. Importance of Good Administrative Skills in </w:t>
      </w:r>
      <w:proofErr w:type="spellStart"/>
      <w:r w:rsidRPr="00AB4D63">
        <w:rPr>
          <w:rFonts w:ascii="Arial" w:hAnsi="Arial"/>
          <w:sz w:val="24"/>
          <w:szCs w:val="24"/>
        </w:rPr>
        <w:t>Mrs</w:t>
      </w:r>
      <w:proofErr w:type="spellEnd"/>
      <w:r w:rsidRPr="00AB4D63">
        <w:rPr>
          <w:rFonts w:ascii="Arial" w:hAnsi="Arial"/>
          <w:sz w:val="24"/>
          <w:szCs w:val="24"/>
        </w:rPr>
        <w:t xml:space="preserve"> Mann’s Care</w:t>
      </w:r>
    </w:p>
    <w:p w14:paraId="6BC75942"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Administrative accuracy and reliable record keeping are crucial to safe health and social care. High-quality documentation supports continuity, informs professional decision-making and protects service users from avoidable harm. Research indicates that unclear or incomplete records can lead directly to mistakes in treatment, duplication of tasks or failure to identify changes in a person’s condition (Jefferies et al., 2010). In </w:t>
      </w:r>
      <w:proofErr w:type="spellStart"/>
      <w:r w:rsidRPr="00AB4D63">
        <w:rPr>
          <w:rFonts w:ascii="Arial" w:hAnsi="Arial"/>
          <w:sz w:val="24"/>
          <w:szCs w:val="24"/>
        </w:rPr>
        <w:t>Mrs</w:t>
      </w:r>
      <w:proofErr w:type="spellEnd"/>
      <w:r w:rsidRPr="00AB4D63">
        <w:rPr>
          <w:rFonts w:ascii="Arial" w:hAnsi="Arial"/>
          <w:sz w:val="24"/>
          <w:szCs w:val="24"/>
        </w:rPr>
        <w:t xml:space="preserve"> Mann’s case, inconsistencies within her documentation contributed to a delay in adjusting her medication, illustrating how administrative shortcomings can compromise care.</w:t>
      </w:r>
    </w:p>
    <w:p w14:paraId="08AD8B89"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Good record keeping involves writing clearly, objectively and promptly. For domiciliary care workers supporting </w:t>
      </w:r>
      <w:proofErr w:type="spellStart"/>
      <w:r w:rsidRPr="00AB4D63">
        <w:rPr>
          <w:rFonts w:ascii="Arial" w:hAnsi="Arial"/>
          <w:sz w:val="24"/>
          <w:szCs w:val="24"/>
        </w:rPr>
        <w:t>Mrs</w:t>
      </w:r>
      <w:proofErr w:type="spellEnd"/>
      <w:r w:rsidRPr="00AB4D63">
        <w:rPr>
          <w:rFonts w:ascii="Arial" w:hAnsi="Arial"/>
          <w:sz w:val="24"/>
          <w:szCs w:val="24"/>
        </w:rPr>
        <w:t xml:space="preserve"> Mann, this includes documenting her mobility progress, pain levels, medication needs and any concerns raised during visits. Accurate records ensure that incoming staff, the physiotherapist and the GP all perceive the same, up-to-date picture of her needs.</w:t>
      </w:r>
    </w:p>
    <w:p w14:paraId="08B5011B" w14:textId="4761E500"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Administrative work is also bound by legal responsibilities. The Data Protection Act 2018 requires that personal information be managed lawfully, stored securely, and kept accurate and relevant. Academic literature </w:t>
      </w:r>
      <w:r w:rsidR="00616150" w:rsidRPr="00AB4D63">
        <w:rPr>
          <w:rFonts w:ascii="Arial" w:hAnsi="Arial"/>
          <w:sz w:val="24"/>
          <w:szCs w:val="24"/>
        </w:rPr>
        <w:t>emphasizes</w:t>
      </w:r>
      <w:r w:rsidRPr="00AB4D63">
        <w:rPr>
          <w:rFonts w:ascii="Arial" w:hAnsi="Arial"/>
          <w:sz w:val="24"/>
          <w:szCs w:val="24"/>
        </w:rPr>
        <w:t xml:space="preserve"> that confidentiality and controlled information sharing are essential to ethical practice in health and social care (Mason, 2021). For </w:t>
      </w:r>
      <w:r w:rsidR="00A662BB" w:rsidRPr="00AB4D63">
        <w:rPr>
          <w:rFonts w:ascii="Arial" w:hAnsi="Arial"/>
          <w:sz w:val="24"/>
          <w:szCs w:val="24"/>
        </w:rPr>
        <w:t>Mrs.</w:t>
      </w:r>
      <w:r w:rsidRPr="00AB4D63">
        <w:rPr>
          <w:rFonts w:ascii="Arial" w:hAnsi="Arial"/>
          <w:sz w:val="24"/>
          <w:szCs w:val="24"/>
        </w:rPr>
        <w:t xml:space="preserve"> Mann, this means that her records—whether digital or paper-based—must be protected from </w:t>
      </w:r>
      <w:r w:rsidR="00616150" w:rsidRPr="00AB4D63">
        <w:rPr>
          <w:rFonts w:ascii="Arial" w:hAnsi="Arial"/>
          <w:sz w:val="24"/>
          <w:szCs w:val="24"/>
        </w:rPr>
        <w:t>unauthorized</w:t>
      </w:r>
      <w:r w:rsidRPr="00AB4D63">
        <w:rPr>
          <w:rFonts w:ascii="Arial" w:hAnsi="Arial"/>
          <w:sz w:val="24"/>
          <w:szCs w:val="24"/>
        </w:rPr>
        <w:t xml:space="preserve"> access and shared only with professionals directly involved in her care.</w:t>
      </w:r>
    </w:p>
    <w:p w14:paraId="25BAB32A" w14:textId="1EB4C9FB"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The </w:t>
      </w:r>
      <w:proofErr w:type="spellStart"/>
      <w:r w:rsidRPr="00AB4D63">
        <w:rPr>
          <w:rFonts w:ascii="Arial" w:hAnsi="Arial"/>
          <w:sz w:val="24"/>
          <w:szCs w:val="24"/>
        </w:rPr>
        <w:t>Caldicott</w:t>
      </w:r>
      <w:proofErr w:type="spellEnd"/>
      <w:r w:rsidRPr="00AB4D63">
        <w:rPr>
          <w:rFonts w:ascii="Arial" w:hAnsi="Arial"/>
          <w:sz w:val="24"/>
          <w:szCs w:val="24"/>
        </w:rPr>
        <w:t xml:space="preserve"> Principles provide further ethical guidance for handling identifiable information. These principles stress the importance of sharing only information that is necessary and ensuring that all use of personal data can be justified. Boyd and Wilson </w:t>
      </w:r>
      <w:r w:rsidR="00BA1833">
        <w:rPr>
          <w:rFonts w:ascii="Arial" w:hAnsi="Arial"/>
          <w:sz w:val="24"/>
          <w:szCs w:val="24"/>
        </w:rPr>
        <w:t>(</w:t>
      </w:r>
      <w:r w:rsidRPr="00AB4D63">
        <w:rPr>
          <w:rFonts w:ascii="Arial" w:hAnsi="Arial"/>
          <w:sz w:val="24"/>
          <w:szCs w:val="24"/>
        </w:rPr>
        <w:t>2018) note that the principles promote a balance between protecting confidentiality and enabling essential information sharing, which is critical in multi-professional environments.</w:t>
      </w:r>
    </w:p>
    <w:p w14:paraId="48974B67" w14:textId="03613B01"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Administrative effectiveness also depends on </w:t>
      </w:r>
      <w:r w:rsidR="00C23C63" w:rsidRPr="00AB4D63">
        <w:rPr>
          <w:rFonts w:ascii="Arial" w:hAnsi="Arial"/>
          <w:sz w:val="24"/>
          <w:szCs w:val="24"/>
        </w:rPr>
        <w:t>organizational</w:t>
      </w:r>
      <w:r w:rsidRPr="00AB4D63">
        <w:rPr>
          <w:rFonts w:ascii="Arial" w:hAnsi="Arial"/>
          <w:sz w:val="24"/>
          <w:szCs w:val="24"/>
        </w:rPr>
        <w:t xml:space="preserve"> systems. </w:t>
      </w:r>
      <w:r w:rsidR="00BA1833" w:rsidRPr="00AB4D63">
        <w:rPr>
          <w:rFonts w:ascii="Arial" w:hAnsi="Arial"/>
          <w:sz w:val="24"/>
          <w:szCs w:val="24"/>
        </w:rPr>
        <w:t>Standardized</w:t>
      </w:r>
      <w:r w:rsidRPr="00AB4D63">
        <w:rPr>
          <w:rFonts w:ascii="Arial" w:hAnsi="Arial"/>
          <w:sz w:val="24"/>
          <w:szCs w:val="24"/>
        </w:rPr>
        <w:t xml:space="preserve"> templates, digital record systems and regular auditing help reduce </w:t>
      </w:r>
      <w:r w:rsidRPr="00AB4D63">
        <w:rPr>
          <w:rFonts w:ascii="Arial" w:hAnsi="Arial"/>
          <w:sz w:val="24"/>
          <w:szCs w:val="24"/>
        </w:rPr>
        <w:lastRenderedPageBreak/>
        <w:t xml:space="preserve">variation and improve reliability. Research shows that electronic documentation improves legibility and enhances team communication (Hyde et al., 2020). Providing training for staff ensures accurate use of these systems and reinforces adherence to legal and </w:t>
      </w:r>
      <w:proofErr w:type="spellStart"/>
      <w:r w:rsidRPr="00AB4D63">
        <w:rPr>
          <w:rFonts w:ascii="Arial" w:hAnsi="Arial"/>
          <w:sz w:val="24"/>
          <w:szCs w:val="24"/>
        </w:rPr>
        <w:t>organisational</w:t>
      </w:r>
      <w:proofErr w:type="spellEnd"/>
      <w:r w:rsidRPr="00AB4D63">
        <w:rPr>
          <w:rFonts w:ascii="Arial" w:hAnsi="Arial"/>
          <w:sz w:val="24"/>
          <w:szCs w:val="24"/>
        </w:rPr>
        <w:t xml:space="preserve"> requirements.</w:t>
      </w:r>
    </w:p>
    <w:p w14:paraId="4FEE6008"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Overall, strong administrative practice in </w:t>
      </w:r>
      <w:proofErr w:type="spellStart"/>
      <w:r w:rsidRPr="00AB4D63">
        <w:rPr>
          <w:rFonts w:ascii="Arial" w:hAnsi="Arial"/>
          <w:sz w:val="24"/>
          <w:szCs w:val="24"/>
        </w:rPr>
        <w:t>Mrs</w:t>
      </w:r>
      <w:proofErr w:type="spellEnd"/>
      <w:r w:rsidRPr="00AB4D63">
        <w:rPr>
          <w:rFonts w:ascii="Arial" w:hAnsi="Arial"/>
          <w:sz w:val="24"/>
          <w:szCs w:val="24"/>
        </w:rPr>
        <w:t xml:space="preserve"> Mann’s care is fundamental to maintaining safety, continuity and accountability.</w:t>
      </w:r>
    </w:p>
    <w:p w14:paraId="66541331"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3. Importance of Collaborative Working in </w:t>
      </w:r>
      <w:proofErr w:type="spellStart"/>
      <w:r w:rsidRPr="00AB4D63">
        <w:rPr>
          <w:rFonts w:ascii="Arial" w:hAnsi="Arial"/>
          <w:sz w:val="24"/>
          <w:szCs w:val="24"/>
        </w:rPr>
        <w:t>Mrs</w:t>
      </w:r>
      <w:proofErr w:type="spellEnd"/>
      <w:r w:rsidRPr="00AB4D63">
        <w:rPr>
          <w:rFonts w:ascii="Arial" w:hAnsi="Arial"/>
          <w:sz w:val="24"/>
          <w:szCs w:val="24"/>
        </w:rPr>
        <w:t xml:space="preserve"> Mann’s Care</w:t>
      </w:r>
    </w:p>
    <w:p w14:paraId="42712BF9" w14:textId="298EFE60"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Collaborative working is essential for service users who receive </w:t>
      </w:r>
      <w:r w:rsidR="00D63B78">
        <w:rPr>
          <w:rFonts w:ascii="Arial" w:hAnsi="Arial"/>
          <w:sz w:val="24"/>
          <w:szCs w:val="24"/>
        </w:rPr>
        <w:t>h</w:t>
      </w:r>
      <w:r w:rsidR="00206B8E">
        <w:rPr>
          <w:rFonts w:ascii="Arial" w:hAnsi="Arial"/>
          <w:sz w:val="24"/>
          <w:szCs w:val="24"/>
        </w:rPr>
        <w:t xml:space="preserve">ealth care </w:t>
      </w:r>
      <w:r w:rsidRPr="00AB4D63">
        <w:rPr>
          <w:rFonts w:ascii="Arial" w:hAnsi="Arial"/>
          <w:sz w:val="24"/>
          <w:szCs w:val="24"/>
        </w:rPr>
        <w:t xml:space="preserve">support from multiple professionals. Evidence shows that effective multidisciplinary practice improves outcomes, enhances coordination and reduces risks arising from fragmented care (Reeves et al., 2017). In </w:t>
      </w:r>
      <w:proofErr w:type="spellStart"/>
      <w:r w:rsidRPr="00AB4D63">
        <w:rPr>
          <w:rFonts w:ascii="Arial" w:hAnsi="Arial"/>
          <w:sz w:val="24"/>
          <w:szCs w:val="24"/>
        </w:rPr>
        <w:t>Mrs</w:t>
      </w:r>
      <w:proofErr w:type="spellEnd"/>
      <w:r w:rsidRPr="00AB4D63">
        <w:rPr>
          <w:rFonts w:ascii="Arial" w:hAnsi="Arial"/>
          <w:sz w:val="24"/>
          <w:szCs w:val="24"/>
        </w:rPr>
        <w:t xml:space="preserve"> Mann’s situation, collaboration is necessary between domiciliary </w:t>
      </w:r>
      <w:proofErr w:type="spellStart"/>
      <w:r w:rsidRPr="00AB4D63">
        <w:rPr>
          <w:rFonts w:ascii="Arial" w:hAnsi="Arial"/>
          <w:sz w:val="24"/>
          <w:szCs w:val="24"/>
        </w:rPr>
        <w:t>carers</w:t>
      </w:r>
      <w:proofErr w:type="spellEnd"/>
      <w:r w:rsidRPr="00AB4D63">
        <w:rPr>
          <w:rFonts w:ascii="Arial" w:hAnsi="Arial"/>
          <w:sz w:val="24"/>
          <w:szCs w:val="24"/>
        </w:rPr>
        <w:t>, her GP, her physiotherapist and her family</w:t>
      </w:r>
      <w:r w:rsidR="005B0CBA">
        <w:rPr>
          <w:rFonts w:ascii="Arial" w:hAnsi="Arial"/>
          <w:sz w:val="24"/>
          <w:szCs w:val="24"/>
        </w:rPr>
        <w:t>, making sure everyone understands</w:t>
      </w:r>
      <w:r w:rsidR="00D41334">
        <w:rPr>
          <w:rFonts w:ascii="Arial" w:hAnsi="Arial"/>
          <w:sz w:val="24"/>
          <w:szCs w:val="24"/>
        </w:rPr>
        <w:t xml:space="preserve"> and are on the same page</w:t>
      </w:r>
      <w:r w:rsidRPr="00AB4D63">
        <w:rPr>
          <w:rFonts w:ascii="Arial" w:hAnsi="Arial"/>
          <w:sz w:val="24"/>
          <w:szCs w:val="24"/>
        </w:rPr>
        <w:t>.</w:t>
      </w:r>
    </w:p>
    <w:p w14:paraId="3924B16E"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Good collaboration requires clear roles, shared goals and open communication. When professionals exchange information promptly and hold regular discussions, they are better able to plan coherent and person-</w:t>
      </w:r>
      <w:proofErr w:type="spellStart"/>
      <w:r w:rsidRPr="00AB4D63">
        <w:rPr>
          <w:rFonts w:ascii="Arial" w:hAnsi="Arial"/>
          <w:sz w:val="24"/>
          <w:szCs w:val="24"/>
        </w:rPr>
        <w:t>centred</w:t>
      </w:r>
      <w:proofErr w:type="spellEnd"/>
      <w:r w:rsidRPr="00AB4D63">
        <w:rPr>
          <w:rFonts w:ascii="Arial" w:hAnsi="Arial"/>
          <w:sz w:val="24"/>
          <w:szCs w:val="24"/>
        </w:rPr>
        <w:t xml:space="preserve"> interventions. Research demonstrates that structured communication and shared documentation significantly improve care consistency (</w:t>
      </w:r>
      <w:proofErr w:type="spellStart"/>
      <w:r w:rsidRPr="00AB4D63">
        <w:rPr>
          <w:rFonts w:ascii="Arial" w:hAnsi="Arial"/>
          <w:sz w:val="24"/>
          <w:szCs w:val="24"/>
        </w:rPr>
        <w:t>Fewster-Thuente</w:t>
      </w:r>
      <w:proofErr w:type="spellEnd"/>
      <w:r w:rsidRPr="00AB4D63">
        <w:rPr>
          <w:rFonts w:ascii="Arial" w:hAnsi="Arial"/>
          <w:sz w:val="24"/>
          <w:szCs w:val="24"/>
        </w:rPr>
        <w:t xml:space="preserve"> &amp; </w:t>
      </w:r>
      <w:proofErr w:type="spellStart"/>
      <w:r w:rsidRPr="00AB4D63">
        <w:rPr>
          <w:rFonts w:ascii="Arial" w:hAnsi="Arial"/>
          <w:sz w:val="24"/>
          <w:szCs w:val="24"/>
        </w:rPr>
        <w:t>Velsor</w:t>
      </w:r>
      <w:proofErr w:type="spellEnd"/>
      <w:r w:rsidRPr="00AB4D63">
        <w:rPr>
          <w:rFonts w:ascii="Arial" w:hAnsi="Arial"/>
          <w:sz w:val="24"/>
          <w:szCs w:val="24"/>
        </w:rPr>
        <w:t>-Friedrich, 2008).</w:t>
      </w:r>
    </w:p>
    <w:p w14:paraId="542C75CA"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Including </w:t>
      </w:r>
      <w:proofErr w:type="spellStart"/>
      <w:r w:rsidRPr="00AB4D63">
        <w:rPr>
          <w:rFonts w:ascii="Arial" w:hAnsi="Arial"/>
          <w:sz w:val="24"/>
          <w:szCs w:val="24"/>
        </w:rPr>
        <w:t>Mrs</w:t>
      </w:r>
      <w:proofErr w:type="spellEnd"/>
      <w:r w:rsidRPr="00AB4D63">
        <w:rPr>
          <w:rFonts w:ascii="Arial" w:hAnsi="Arial"/>
          <w:sz w:val="24"/>
          <w:szCs w:val="24"/>
        </w:rPr>
        <w:t xml:space="preserve"> Mann and her daughter in collaborative processes is equally important. Involving families has been shown to enhance adherence to care plans and improve satisfaction (</w:t>
      </w:r>
      <w:proofErr w:type="spellStart"/>
      <w:r w:rsidRPr="00AB4D63">
        <w:rPr>
          <w:rFonts w:ascii="Arial" w:hAnsi="Arial"/>
          <w:sz w:val="24"/>
          <w:szCs w:val="24"/>
        </w:rPr>
        <w:t>Soklaridis</w:t>
      </w:r>
      <w:proofErr w:type="spellEnd"/>
      <w:r w:rsidRPr="00AB4D63">
        <w:rPr>
          <w:rFonts w:ascii="Arial" w:hAnsi="Arial"/>
          <w:sz w:val="24"/>
          <w:szCs w:val="24"/>
        </w:rPr>
        <w:t xml:space="preserve"> et al., 2016). Given her limited English, her daughter plays a vital role in supporting communication, although professional interpreters remain necessary for clinical conversations.</w:t>
      </w:r>
    </w:p>
    <w:p w14:paraId="48AFA2B2" w14:textId="77777777" w:rsidR="00347222" w:rsidRPr="00AB4D63" w:rsidRDefault="00347222" w:rsidP="00EB0632">
      <w:pPr>
        <w:spacing w:line="360" w:lineRule="auto"/>
        <w:rPr>
          <w:rFonts w:ascii="Arial" w:hAnsi="Arial"/>
          <w:sz w:val="24"/>
          <w:szCs w:val="24"/>
        </w:rPr>
      </w:pPr>
    </w:p>
    <w:p w14:paraId="1501581D"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Conclusion</w:t>
      </w:r>
    </w:p>
    <w:p w14:paraId="6F9E1504" w14:textId="77777777" w:rsidR="00347222" w:rsidRPr="00AB4D63" w:rsidRDefault="00000000" w:rsidP="00EB0632">
      <w:pPr>
        <w:spacing w:line="360" w:lineRule="auto"/>
        <w:rPr>
          <w:rFonts w:ascii="Arial" w:hAnsi="Arial"/>
          <w:sz w:val="24"/>
          <w:szCs w:val="24"/>
        </w:rPr>
      </w:pPr>
      <w:proofErr w:type="spellStart"/>
      <w:r w:rsidRPr="00AB4D63">
        <w:rPr>
          <w:rFonts w:ascii="Arial" w:hAnsi="Arial"/>
          <w:sz w:val="24"/>
          <w:szCs w:val="24"/>
        </w:rPr>
        <w:lastRenderedPageBreak/>
        <w:t>Mrs</w:t>
      </w:r>
      <w:proofErr w:type="spellEnd"/>
      <w:r w:rsidRPr="00AB4D63">
        <w:rPr>
          <w:rFonts w:ascii="Arial" w:hAnsi="Arial"/>
          <w:sz w:val="24"/>
          <w:szCs w:val="24"/>
        </w:rPr>
        <w:t xml:space="preserve"> Mann’s case demonstrates the essential role of communication, administrative practice and collaborative working in providing safe and person-</w:t>
      </w:r>
      <w:proofErr w:type="spellStart"/>
      <w:r w:rsidRPr="00AB4D63">
        <w:rPr>
          <w:rFonts w:ascii="Arial" w:hAnsi="Arial"/>
          <w:sz w:val="24"/>
          <w:szCs w:val="24"/>
        </w:rPr>
        <w:t>centred</w:t>
      </w:r>
      <w:proofErr w:type="spellEnd"/>
      <w:r w:rsidRPr="00AB4D63">
        <w:rPr>
          <w:rFonts w:ascii="Arial" w:hAnsi="Arial"/>
          <w:sz w:val="24"/>
          <w:szCs w:val="24"/>
        </w:rPr>
        <w:t xml:space="preserve"> care. Effective communication—supported by cultural sensitivity, professional interpreting and evidence-based techniques—ensures that she understands her care and can participate in decisions. Strong administrative skills are vital for maintaining reliable records, supporting continuity and fulfilling legal requirements under the Data Protection Act 2018. Collaborative working between all professionals involved in her rehabilitation ensures coherence and reduces the risk of avoidable errors.</w:t>
      </w:r>
    </w:p>
    <w:p w14:paraId="1E993B68" w14:textId="77777777" w:rsidR="00347222" w:rsidRPr="00AB4D63" w:rsidRDefault="00347222" w:rsidP="00EB0632">
      <w:pPr>
        <w:spacing w:line="360" w:lineRule="auto"/>
        <w:rPr>
          <w:rFonts w:ascii="Arial" w:hAnsi="Arial"/>
          <w:sz w:val="24"/>
          <w:szCs w:val="24"/>
        </w:rPr>
      </w:pPr>
    </w:p>
    <w:p w14:paraId="7788CF7B"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References</w:t>
      </w:r>
    </w:p>
    <w:p w14:paraId="568CA58E"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 xml:space="preserve">Boyd, A. &amp; Wilson, V. (2018) ‘The </w:t>
      </w:r>
      <w:proofErr w:type="spellStart"/>
      <w:r w:rsidRPr="00AB4D63">
        <w:rPr>
          <w:rFonts w:ascii="Arial" w:hAnsi="Arial"/>
          <w:sz w:val="24"/>
          <w:szCs w:val="24"/>
        </w:rPr>
        <w:t>Caldicott</w:t>
      </w:r>
      <w:proofErr w:type="spellEnd"/>
      <w:r w:rsidRPr="00AB4D63">
        <w:rPr>
          <w:rFonts w:ascii="Arial" w:hAnsi="Arial"/>
          <w:sz w:val="24"/>
          <w:szCs w:val="24"/>
        </w:rPr>
        <w:t xml:space="preserve"> Principles and information sharing in health and social care’, British Journal of Nursing, 27(21), pp. 1240–1245.</w:t>
      </w:r>
    </w:p>
    <w:p w14:paraId="6CB82CCC"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Egan, G. (2010) The Skilled Helper. Belmont: Brooks/Cole.</w:t>
      </w:r>
    </w:p>
    <w:p w14:paraId="709B83BF"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Flores, G. (2014) ‘Language barriers and patient safety’, Medical Care, 52(1), pp. 1–2.</w:t>
      </w:r>
    </w:p>
    <w:p w14:paraId="191A16F9"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Jefferies, D., Johnson, M. &amp; Nicholls, D. (2010) ‘Nursing documentation’, Nursing Inquiry, 18(1), pp. 11–19.</w:t>
      </w:r>
    </w:p>
    <w:p w14:paraId="18F0072E" w14:textId="77777777" w:rsidR="00347222" w:rsidRPr="00AB4D63" w:rsidRDefault="00000000" w:rsidP="00EB0632">
      <w:pPr>
        <w:spacing w:line="360" w:lineRule="auto"/>
        <w:rPr>
          <w:rFonts w:ascii="Arial" w:hAnsi="Arial"/>
          <w:sz w:val="24"/>
          <w:szCs w:val="24"/>
        </w:rPr>
      </w:pPr>
      <w:proofErr w:type="spellStart"/>
      <w:r w:rsidRPr="00AB4D63">
        <w:rPr>
          <w:rFonts w:ascii="Arial" w:hAnsi="Arial"/>
          <w:sz w:val="24"/>
          <w:szCs w:val="24"/>
        </w:rPr>
        <w:t>Karliner</w:t>
      </w:r>
      <w:proofErr w:type="spellEnd"/>
      <w:r w:rsidRPr="00AB4D63">
        <w:rPr>
          <w:rFonts w:ascii="Arial" w:hAnsi="Arial"/>
          <w:sz w:val="24"/>
          <w:szCs w:val="24"/>
        </w:rPr>
        <w:t>, L.S. et al. (2007) ‘Do professional interpreters improve clinical care?’, Health Services Research, 42(2), pp. 727–754.</w:t>
      </w:r>
    </w:p>
    <w:p w14:paraId="4B503671"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Mason, C. (2021) ‘Confidentiality, data protection and professional ethics’, Nursing Ethics, 28(3), pp. 365–377.</w:t>
      </w:r>
    </w:p>
    <w:p w14:paraId="5F4578DF" w14:textId="77777777" w:rsidR="00347222" w:rsidRPr="00AB4D63" w:rsidRDefault="00000000" w:rsidP="00EB0632">
      <w:pPr>
        <w:spacing w:line="360" w:lineRule="auto"/>
        <w:rPr>
          <w:rFonts w:ascii="Arial" w:hAnsi="Arial"/>
          <w:sz w:val="24"/>
          <w:szCs w:val="24"/>
        </w:rPr>
      </w:pPr>
      <w:r w:rsidRPr="00AB4D63">
        <w:rPr>
          <w:rFonts w:ascii="Arial" w:hAnsi="Arial"/>
          <w:sz w:val="24"/>
          <w:szCs w:val="24"/>
        </w:rPr>
        <w:t>Reeves, S. et al. (2017) ‘</w:t>
      </w:r>
      <w:proofErr w:type="spellStart"/>
      <w:r w:rsidRPr="00AB4D63">
        <w:rPr>
          <w:rFonts w:ascii="Arial" w:hAnsi="Arial"/>
          <w:sz w:val="24"/>
          <w:szCs w:val="24"/>
        </w:rPr>
        <w:t>Interprofessional</w:t>
      </w:r>
      <w:proofErr w:type="spellEnd"/>
      <w:r w:rsidRPr="00AB4D63">
        <w:rPr>
          <w:rFonts w:ascii="Arial" w:hAnsi="Arial"/>
          <w:sz w:val="24"/>
          <w:szCs w:val="24"/>
        </w:rPr>
        <w:t xml:space="preserve"> collaboration’, Cochrane Database of Systematic Reviews, 6, pp. 1–48.</w:t>
      </w:r>
    </w:p>
    <w:p w14:paraId="073AEB77" w14:textId="77777777" w:rsidR="00347222" w:rsidRPr="00AB4D63" w:rsidRDefault="00347222" w:rsidP="00EB0632">
      <w:pPr>
        <w:spacing w:line="360" w:lineRule="auto"/>
        <w:rPr>
          <w:rFonts w:ascii="Arial" w:hAnsi="Arial"/>
          <w:sz w:val="24"/>
          <w:szCs w:val="24"/>
        </w:rPr>
      </w:pPr>
    </w:p>
    <w:sectPr w:rsidR="00347222" w:rsidRPr="00AB4D6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F276E"/>
    <w:multiLevelType w:val="singleLevel"/>
    <w:tmpl w:val="29761A62"/>
    <w:lvl w:ilvl="0">
      <w:start w:val="1"/>
      <w:numFmt w:val="bullet"/>
      <w:lvlRestart w:val="0"/>
      <w:pStyle w:val="ListBullet"/>
      <w:lvlText w:val=""/>
      <w:lvlJc w:val="left"/>
      <w:pPr>
        <w:tabs>
          <w:tab w:val="num" w:pos="360"/>
        </w:tabs>
        <w:ind w:left="360" w:hanging="360"/>
      </w:pPr>
      <w:rPr>
        <w:rFonts w:ascii="Symbol" w:hAnsi="Symbol" w:hint="default"/>
      </w:rPr>
    </w:lvl>
  </w:abstractNum>
  <w:abstractNum w:abstractNumId="1" w15:restartNumberingAfterBreak="0">
    <w:nsid w:val="20F333C2"/>
    <w:multiLevelType w:val="singleLevel"/>
    <w:tmpl w:val="3D1EFFD4"/>
    <w:lvl w:ilvl="0">
      <w:start w:val="1"/>
      <w:numFmt w:val="bullet"/>
      <w:lvlRestart w:val="0"/>
      <w:pStyle w:val="ListBullet2"/>
      <w:lvlText w:val=""/>
      <w:lvlJc w:val="left"/>
      <w:pPr>
        <w:tabs>
          <w:tab w:val="num" w:pos="720"/>
        </w:tabs>
        <w:ind w:left="720" w:hanging="360"/>
      </w:pPr>
      <w:rPr>
        <w:rFonts w:ascii="Symbol" w:hAnsi="Symbol" w:hint="default"/>
      </w:rPr>
    </w:lvl>
  </w:abstractNum>
  <w:abstractNum w:abstractNumId="2" w15:restartNumberingAfterBreak="0">
    <w:nsid w:val="28BA16A1"/>
    <w:multiLevelType w:val="singleLevel"/>
    <w:tmpl w:val="FB12693A"/>
    <w:lvl w:ilvl="0">
      <w:start w:val="1"/>
      <w:numFmt w:val="decimal"/>
      <w:lvlRestart w:val="0"/>
      <w:pStyle w:val="ListNumber3"/>
      <w:lvlText w:val="%1."/>
      <w:lvlJc w:val="left"/>
      <w:pPr>
        <w:tabs>
          <w:tab w:val="num" w:pos="1080"/>
        </w:tabs>
        <w:ind w:left="1080" w:hanging="360"/>
      </w:pPr>
    </w:lvl>
  </w:abstractNum>
  <w:abstractNum w:abstractNumId="3" w15:restartNumberingAfterBreak="0">
    <w:nsid w:val="2A891204"/>
    <w:multiLevelType w:val="singleLevel"/>
    <w:tmpl w:val="38441652"/>
    <w:lvl w:ilvl="0">
      <w:start w:val="1"/>
      <w:numFmt w:val="decimal"/>
      <w:lvlRestart w:val="0"/>
      <w:pStyle w:val="ListNumber2"/>
      <w:lvlText w:val="%1."/>
      <w:lvlJc w:val="left"/>
      <w:pPr>
        <w:tabs>
          <w:tab w:val="num" w:pos="720"/>
        </w:tabs>
        <w:ind w:left="720" w:hanging="360"/>
      </w:pPr>
    </w:lvl>
  </w:abstractNum>
  <w:abstractNum w:abstractNumId="4" w15:restartNumberingAfterBreak="0">
    <w:nsid w:val="72F60820"/>
    <w:multiLevelType w:val="singleLevel"/>
    <w:tmpl w:val="F3EAFDEC"/>
    <w:lvl w:ilvl="0">
      <w:start w:val="1"/>
      <w:numFmt w:val="bullet"/>
      <w:lvlRestart w:val="0"/>
      <w:pStyle w:val="ListBullet3"/>
      <w:lvlText w:val=""/>
      <w:lvlJc w:val="left"/>
      <w:pPr>
        <w:tabs>
          <w:tab w:val="num" w:pos="1080"/>
        </w:tabs>
        <w:ind w:left="1080" w:hanging="360"/>
      </w:pPr>
      <w:rPr>
        <w:rFonts w:ascii="Symbol" w:hAnsi="Symbol" w:hint="default"/>
      </w:rPr>
    </w:lvl>
  </w:abstractNum>
  <w:abstractNum w:abstractNumId="5" w15:restartNumberingAfterBreak="0">
    <w:nsid w:val="784A783A"/>
    <w:multiLevelType w:val="singleLevel"/>
    <w:tmpl w:val="D0A62B40"/>
    <w:lvl w:ilvl="0">
      <w:start w:val="1"/>
      <w:numFmt w:val="decimal"/>
      <w:lvlRestart w:val="0"/>
      <w:pStyle w:val="ListNumber"/>
      <w:lvlText w:val="%1."/>
      <w:lvlJc w:val="left"/>
      <w:pPr>
        <w:tabs>
          <w:tab w:val="num" w:pos="360"/>
        </w:tabs>
        <w:ind w:left="360" w:hanging="360"/>
      </w:pPr>
    </w:lvl>
  </w:abstractNum>
  <w:num w:numId="1" w16cid:durableId="1039009612">
    <w:abstractNumId w:val="0"/>
  </w:num>
  <w:num w:numId="2" w16cid:durableId="858813409">
    <w:abstractNumId w:val="1"/>
  </w:num>
  <w:num w:numId="3" w16cid:durableId="1431268463">
    <w:abstractNumId w:val="4"/>
  </w:num>
  <w:num w:numId="4" w16cid:durableId="522323811">
    <w:abstractNumId w:val="5"/>
  </w:num>
  <w:num w:numId="5" w16cid:durableId="197471850">
    <w:abstractNumId w:val="3"/>
  </w:num>
  <w:num w:numId="6" w16cid:durableId="727647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bordersDoNotSurroundHeader/>
  <w:bordersDoNotSurroundFooter/>
  <w:proofState w:spelling="clean" w:grammar="clean"/>
  <w:defaultTabStop w:val="720"/>
  <w:drawingGridHorizontalSpacing w:val="110"/>
  <w:drawingGridVerticalSpacing w:val="156"/>
  <w:displayHorizontalDrawingGridEvery w:val="0"/>
  <w:characterSpacingControl w:val="doNotCompress"/>
  <w:savePreviewPicture/>
  <w:compat>
    <w:spaceForUL/>
    <w:growAutofit/>
    <w:useFELayout/>
    <w:compatSetting w:name="compatibilityMode" w:uri="http://schemas.microsoft.com/office/word" w:val="14"/>
    <w:compatSetting w:name="useWord2013TrackBottomHyphenation" w:uri="http://schemas.microsoft.com/office/word" w:val="1"/>
  </w:compat>
  <w:rsids>
    <w:rsidRoot w:val="00347222"/>
    <w:rsid w:val="0015224B"/>
    <w:rsid w:val="001C120E"/>
    <w:rsid w:val="00206B8E"/>
    <w:rsid w:val="00265613"/>
    <w:rsid w:val="00276EA5"/>
    <w:rsid w:val="00322A72"/>
    <w:rsid w:val="00347222"/>
    <w:rsid w:val="005B0CBA"/>
    <w:rsid w:val="005E4577"/>
    <w:rsid w:val="00616150"/>
    <w:rsid w:val="006456C6"/>
    <w:rsid w:val="00A662BB"/>
    <w:rsid w:val="00AB4D63"/>
    <w:rsid w:val="00B02A7B"/>
    <w:rsid w:val="00B473D4"/>
    <w:rsid w:val="00BA138B"/>
    <w:rsid w:val="00BA1833"/>
    <w:rsid w:val="00BB3DE3"/>
    <w:rsid w:val="00C23C63"/>
    <w:rsid w:val="00C31158"/>
    <w:rsid w:val="00C444F5"/>
    <w:rsid w:val="00CD7916"/>
    <w:rsid w:val="00D41334"/>
    <w:rsid w:val="00D63B78"/>
    <w:rsid w:val="00E84981"/>
    <w:rsid w:val="00EB0632"/>
    <w:rsid w:val="00EC465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ABB44D"/>
  <w15:docId w15:val="{493896EA-35B7-C244-90E4-D5B08F589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mbria" w:eastAsia="MS Mincho" w:hAnsi="Cambria" w:cs="Arial"/>
      <w:sz w:val="22"/>
      <w:szCs w:val="22"/>
      <w:lang w:eastAsia="en-US"/>
    </w:rPr>
  </w:style>
  <w:style w:type="paragraph" w:styleId="Heading1">
    <w:name w:val="heading 1"/>
    <w:basedOn w:val="Normal"/>
    <w:next w:val="Normal"/>
    <w:uiPriority w:val="9"/>
    <w:qFormat/>
    <w:pPr>
      <w:keepNext/>
      <w:keepLines/>
      <w:spacing w:before="480" w:after="0"/>
      <w:outlineLvl w:val="0"/>
    </w:pPr>
    <w:rPr>
      <w:rFonts w:ascii="Calibri" w:eastAsia="MS Gothic" w:hAnsi="Calibri" w:cs="Times New Roman"/>
      <w:b/>
      <w:bCs/>
      <w:color w:val="365F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libri" w:eastAsia="MS Gothic" w:hAnsi="Calibri" w:cs="Times New Roman"/>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MS Gothic" w:hAnsi="Calibri" w:cs="Times New Roman"/>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MS Gothic" w:hAnsi="Calibri" w:cs="Times New Roman"/>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MS Gothic" w:hAnsi="Calibri" w:cs="Times New Roman"/>
      <w:color w:val="243F60"/>
    </w:rPr>
  </w:style>
  <w:style w:type="paragraph" w:styleId="Heading6">
    <w:name w:val="heading 6"/>
    <w:basedOn w:val="Normal"/>
    <w:next w:val="Normal"/>
    <w:uiPriority w:val="9"/>
    <w:semiHidden/>
    <w:unhideWhenUsed/>
    <w:qFormat/>
    <w:pPr>
      <w:keepNext/>
      <w:keepLines/>
      <w:spacing w:before="200" w:after="0"/>
      <w:outlineLvl w:val="5"/>
    </w:pPr>
    <w:rPr>
      <w:rFonts w:ascii="Calibri" w:eastAsia="MS Gothic" w:hAnsi="Calibri" w:cs="Times New Roman"/>
      <w:i/>
      <w:iCs/>
      <w:color w:val="243F60"/>
    </w:rPr>
  </w:style>
  <w:style w:type="paragraph" w:styleId="Heading7">
    <w:name w:val="heading 7"/>
    <w:basedOn w:val="Normal"/>
    <w:next w:val="Normal"/>
    <w:pPr>
      <w:keepNext/>
      <w:keepLines/>
      <w:spacing w:before="200" w:after="0"/>
      <w:outlineLvl w:val="6"/>
    </w:pPr>
    <w:rPr>
      <w:rFonts w:ascii="Calibri" w:eastAsia="MS Gothic" w:hAnsi="Calibri" w:cs="Times New Roman"/>
      <w:i/>
      <w:iCs/>
      <w:color w:val="404040"/>
    </w:rPr>
  </w:style>
  <w:style w:type="paragraph" w:styleId="Heading8">
    <w:name w:val="heading 8"/>
    <w:basedOn w:val="Normal"/>
    <w:next w:val="Normal"/>
    <w:pPr>
      <w:keepNext/>
      <w:keepLines/>
      <w:spacing w:before="200" w:after="0"/>
      <w:outlineLvl w:val="7"/>
    </w:pPr>
    <w:rPr>
      <w:rFonts w:ascii="Calibri" w:eastAsia="MS Gothic" w:hAnsi="Calibri" w:cs="Times New Roman"/>
      <w:color w:val="4F81BD"/>
      <w:sz w:val="20"/>
      <w:szCs w:val="20"/>
    </w:rPr>
  </w:style>
  <w:style w:type="paragraph" w:styleId="Heading9">
    <w:name w:val="heading 9"/>
    <w:basedOn w:val="Normal"/>
    <w:next w:val="Normal"/>
    <w:pPr>
      <w:keepNext/>
      <w:keepLines/>
      <w:spacing w:before="200" w:after="0"/>
      <w:outlineLvl w:val="8"/>
    </w:pPr>
    <w:rPr>
      <w:rFonts w:ascii="Calibri" w:eastAsia="MS Gothic" w:hAnsi="Calibri"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80"/>
        <w:tab w:val="right" w:pos="9360"/>
      </w:tabs>
      <w:spacing w:after="0" w:line="240" w:lineRule="auto"/>
    </w:pPr>
  </w:style>
  <w:style w:type="paragraph" w:styleId="Footer">
    <w:name w:val="footer"/>
    <w:basedOn w:val="Normal"/>
    <w:pPr>
      <w:tabs>
        <w:tab w:val="center" w:pos="4680"/>
        <w:tab w:val="right" w:pos="9360"/>
      </w:tabs>
      <w:spacing w:after="0" w:line="240" w:lineRule="auto"/>
    </w:pPr>
  </w:style>
  <w:style w:type="paragraph" w:customStyle="1" w:styleId="NoSpacing1">
    <w:name w:val="No Spacing1"/>
    <w:rPr>
      <w:rFonts w:ascii="Cambria" w:eastAsia="MS Mincho" w:hAnsi="Cambria" w:cs="Arial"/>
      <w:sz w:val="22"/>
      <w:szCs w:val="22"/>
      <w:lang w:eastAsia="en-US"/>
    </w:rPr>
  </w:style>
  <w:style w:type="paragraph" w:styleId="Title">
    <w:name w:val="Title"/>
    <w:basedOn w:val="Normal"/>
    <w:next w:val="Normal"/>
    <w:uiPriority w:val="10"/>
    <w:qFormat/>
    <w:pPr>
      <w:pBdr>
        <w:bottom w:val="single" w:sz="8" w:space="4" w:color="4F81BD"/>
      </w:pBdr>
      <w:spacing w:after="300" w:line="240" w:lineRule="auto"/>
      <w:contextualSpacing/>
    </w:pPr>
    <w:rPr>
      <w:rFonts w:ascii="Calibri" w:eastAsia="MS Gothic" w:hAnsi="Calibri" w:cs="Times New Roman"/>
      <w:color w:val="17365D"/>
      <w:spacing w:val="5"/>
      <w:kern w:val="28"/>
      <w:sz w:val="52"/>
      <w:szCs w:val="52"/>
    </w:rPr>
  </w:style>
  <w:style w:type="paragraph" w:styleId="Subtitle">
    <w:name w:val="Subtitle"/>
    <w:basedOn w:val="Normal"/>
    <w:next w:val="Normal"/>
    <w:uiPriority w:val="11"/>
    <w:qFormat/>
    <w:rPr>
      <w:rFonts w:ascii="Calibri" w:eastAsia="MS Gothic" w:hAnsi="Calibri" w:cs="Times New Roman"/>
      <w:i/>
      <w:iCs/>
      <w:color w:val="4F81BD"/>
      <w:spacing w:val="15"/>
      <w:sz w:val="24"/>
      <w:szCs w:val="24"/>
    </w:rPr>
  </w:style>
  <w:style w:type="paragraph" w:customStyle="1" w:styleId="ListParagraph1">
    <w:name w:val="List Paragraph1"/>
    <w:basedOn w:val="Normal"/>
    <w:pPr>
      <w:ind w:left="720"/>
      <w:contextualSpacing/>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List">
    <w:name w:val="List"/>
    <w:basedOn w:val="Normal"/>
    <w:pPr>
      <w:ind w:left="360" w:hanging="360"/>
      <w:contextualSpacing/>
    </w:pPr>
  </w:style>
  <w:style w:type="paragraph" w:styleId="List2">
    <w:name w:val="List 2"/>
    <w:basedOn w:val="Normal"/>
    <w:pPr>
      <w:ind w:left="720" w:hanging="360"/>
      <w:contextualSpacing/>
    </w:pPr>
  </w:style>
  <w:style w:type="paragraph" w:styleId="List3">
    <w:name w:val="List 3"/>
    <w:basedOn w:val="Normal"/>
    <w:pPr>
      <w:ind w:left="1080" w:hanging="360"/>
      <w:contextualSpacing/>
    </w:pPr>
  </w:style>
  <w:style w:type="paragraph" w:styleId="ListBullet">
    <w:name w:val="List Bullet"/>
    <w:basedOn w:val="Normal"/>
    <w:pPr>
      <w:numPr>
        <w:numId w:val="1"/>
      </w:numPr>
      <w:contextualSpacing/>
    </w:pPr>
  </w:style>
  <w:style w:type="paragraph" w:styleId="ListBullet2">
    <w:name w:val="List Bullet 2"/>
    <w:basedOn w:val="Normal"/>
    <w:pPr>
      <w:numPr>
        <w:numId w:val="2"/>
      </w:numPr>
      <w:contextualSpacing/>
    </w:pPr>
  </w:style>
  <w:style w:type="paragraph" w:styleId="ListBullet3">
    <w:name w:val="List Bullet 3"/>
    <w:basedOn w:val="Normal"/>
    <w:pPr>
      <w:numPr>
        <w:numId w:val="3"/>
      </w:numPr>
      <w:contextualSpacing/>
    </w:pPr>
  </w:style>
  <w:style w:type="paragraph" w:styleId="ListNumber">
    <w:name w:val="List Number"/>
    <w:basedOn w:val="Normal"/>
    <w:pPr>
      <w:numPr>
        <w:numId w:val="4"/>
      </w:numPr>
      <w:contextualSpacing/>
    </w:pPr>
  </w:style>
  <w:style w:type="paragraph" w:styleId="ListNumber2">
    <w:name w:val="List Number 2"/>
    <w:basedOn w:val="Normal"/>
    <w:pPr>
      <w:numPr>
        <w:numId w:val="5"/>
      </w:numPr>
      <w:contextualSpacing/>
    </w:pPr>
  </w:style>
  <w:style w:type="paragraph" w:styleId="ListNumber3">
    <w:name w:val="List Number 3"/>
    <w:basedOn w:val="Normal"/>
    <w:pPr>
      <w:numPr>
        <w:numId w:val="6"/>
      </w:numPr>
      <w:contextualSpacing/>
    </w:pPr>
  </w:style>
  <w:style w:type="paragraph" w:styleId="ListContinue">
    <w:name w:val="List Continue"/>
    <w:basedOn w:val="Normal"/>
    <w:pPr>
      <w:spacing w:after="120"/>
      <w:ind w:left="360"/>
      <w:contextualSpacing/>
    </w:pPr>
  </w:style>
  <w:style w:type="paragraph" w:styleId="ListContinue2">
    <w:name w:val="List Continue 2"/>
    <w:basedOn w:val="Normal"/>
    <w:pPr>
      <w:spacing w:after="120"/>
      <w:ind w:left="720"/>
      <w:contextualSpacing/>
    </w:pPr>
  </w:style>
  <w:style w:type="paragraph" w:styleId="ListContinue3">
    <w:name w:val="List Continue 3"/>
    <w:basedOn w:val="Normal"/>
    <w:pPr>
      <w:spacing w:after="120"/>
      <w:ind w:left="1080"/>
      <w:contextualSpacing/>
    </w:pPr>
  </w:style>
  <w:style w:type="paragraph" w:styleId="MacroText">
    <w:name w:val="macro"/>
    <w:pPr>
      <w:tabs>
        <w:tab w:val="left" w:pos="576"/>
        <w:tab w:val="left" w:pos="1152"/>
        <w:tab w:val="left" w:pos="1728"/>
        <w:tab w:val="left" w:pos="2304"/>
        <w:tab w:val="left" w:pos="2880"/>
        <w:tab w:val="left" w:pos="3456"/>
        <w:tab w:val="left" w:pos="4032"/>
      </w:tabs>
      <w:spacing w:after="200" w:line="276" w:lineRule="auto"/>
    </w:pPr>
    <w:rPr>
      <w:rFonts w:ascii="Courier" w:eastAsia="MS Mincho" w:hAnsi="Courier" w:cs="Arial"/>
      <w:lang w:eastAsia="en-US"/>
    </w:rPr>
  </w:style>
  <w:style w:type="paragraph" w:customStyle="1" w:styleId="Quote1">
    <w:name w:val="Quote1"/>
    <w:basedOn w:val="Normal"/>
    <w:next w:val="Normal"/>
    <w:rPr>
      <w:i/>
      <w:iCs/>
      <w:color w:val="000000"/>
    </w:rPr>
  </w:style>
  <w:style w:type="paragraph" w:styleId="Caption">
    <w:name w:val="caption"/>
    <w:basedOn w:val="Normal"/>
    <w:next w:val="Normal"/>
    <w:pPr>
      <w:spacing w:line="240" w:lineRule="auto"/>
    </w:pPr>
    <w:rPr>
      <w:b/>
      <w:bCs/>
      <w:color w:val="4F81BD"/>
      <w:sz w:val="18"/>
      <w:szCs w:val="18"/>
    </w:rPr>
  </w:style>
  <w:style w:type="character" w:styleId="Strong">
    <w:name w:val="Strong"/>
    <w:basedOn w:val="DefaultParagraphFont"/>
    <w:rPr>
      <w:b/>
      <w:bCs/>
    </w:rPr>
  </w:style>
  <w:style w:type="character" w:styleId="Emphasis">
    <w:name w:val="Emphasis"/>
    <w:basedOn w:val="DefaultParagraphFont"/>
    <w:rPr>
      <w:i/>
      <w:iCs/>
    </w:rPr>
  </w:style>
  <w:style w:type="paragraph" w:customStyle="1" w:styleId="IntenseQuote1">
    <w:name w:val="Intense Quote1"/>
    <w:basedOn w:val="Normal"/>
    <w:next w:val="Normal"/>
    <w:pPr>
      <w:pBdr>
        <w:bottom w:val="single" w:sz="4" w:space="4" w:color="4F81BD"/>
      </w:pBdr>
      <w:spacing w:before="200" w:after="280"/>
      <w:ind w:left="936" w:right="936"/>
    </w:pPr>
    <w:rPr>
      <w:b/>
      <w:bCs/>
      <w:i/>
      <w:iCs/>
      <w:color w:val="4F81BD"/>
    </w:rPr>
  </w:style>
  <w:style w:type="character" w:customStyle="1" w:styleId="SubtleEmphasis1">
    <w:name w:val="Subtle Emphasis1"/>
    <w:basedOn w:val="DefaultParagraphFont"/>
    <w:rPr>
      <w:i/>
      <w:iCs/>
      <w:color w:val="808080"/>
    </w:rPr>
  </w:style>
  <w:style w:type="character" w:customStyle="1" w:styleId="IntenseEmphasis1">
    <w:name w:val="Intense Emphasis1"/>
    <w:basedOn w:val="DefaultParagraphFont"/>
    <w:rPr>
      <w:b/>
      <w:bCs/>
      <w:i/>
      <w:iCs/>
      <w:color w:val="4F81BD"/>
    </w:rPr>
  </w:style>
  <w:style w:type="character" w:customStyle="1" w:styleId="SubtleReference1">
    <w:name w:val="Subtle Reference1"/>
    <w:basedOn w:val="DefaultParagraphFont"/>
    <w:rPr>
      <w:caps w:val="0"/>
      <w:smallCaps/>
      <w:color w:val="C0504D"/>
      <w:u w:val="single"/>
    </w:rPr>
  </w:style>
  <w:style w:type="character" w:customStyle="1" w:styleId="IntenseReference1">
    <w:name w:val="Intense Reference1"/>
    <w:basedOn w:val="DefaultParagraphFont"/>
    <w:rPr>
      <w:b/>
      <w:bCs/>
      <w:caps w:val="0"/>
      <w:smallCaps/>
      <w:color w:val="C0504D"/>
      <w:spacing w:val="5"/>
      <w:u w:val="single"/>
    </w:rPr>
  </w:style>
  <w:style w:type="character" w:customStyle="1" w:styleId="BookTitle1">
    <w:name w:val="Book Title1"/>
    <w:basedOn w:val="DefaultParagraphFont"/>
    <w:rPr>
      <w:b/>
      <w:bCs/>
      <w:caps w:val="0"/>
      <w:smallCaps/>
      <w:spacing w:val="5"/>
    </w:rPr>
  </w:style>
  <w:style w:type="paragraph" w:customStyle="1" w:styleId="TOCHeading1">
    <w:name w:val="TOC Heading1"/>
    <w:basedOn w:val="Heading1"/>
    <w:next w:val="Normal"/>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1375</Words>
  <Characters>7841</Characters>
  <Application>Microsoft Office Word</Application>
  <DocSecurity>0</DocSecurity>
  <Lines>65</Lines>
  <Paragraphs>18</Paragraphs>
  <ScaleCrop>false</ScaleCrop>
  <Company/>
  <LinksUpToDate>false</LinksUpToDate>
  <CharactersWithSpaces>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Shellymae Mulcare</cp:lastModifiedBy>
  <cp:revision>26</cp:revision>
  <dcterms:created xsi:type="dcterms:W3CDTF">2025-11-20T22:21:00Z</dcterms:created>
  <dcterms:modified xsi:type="dcterms:W3CDTF">2025-11-20T22:46:00Z</dcterms:modified>
</cp:coreProperties>
</file>