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A2219" w14:textId="4A5F5F12" w:rsidR="00AF6BDC" w:rsidRDefault="00AF6BDC" w:rsidP="00AF6BDC">
      <w:pPr>
        <w:pStyle w:val="Heading1"/>
        <w:rPr>
          <w:rFonts w:ascii="Arial" w:hAnsi="Arial" w:cs="Arial"/>
          <w:sz w:val="22"/>
          <w:szCs w:val="22"/>
        </w:rPr>
      </w:pPr>
      <w:r>
        <w:rPr>
          <w:rFonts w:ascii="Arial" w:hAnsi="Arial" w:cs="Arial"/>
          <w:sz w:val="22"/>
          <w:szCs w:val="22"/>
        </w:rPr>
        <w:t>BMDS7009 Programme, Project and Change Management in Health and Social Care</w:t>
      </w:r>
      <w:r>
        <w:rPr>
          <w:rFonts w:ascii="Arial" w:hAnsi="Arial" w:cs="Arial"/>
          <w:sz w:val="22"/>
          <w:szCs w:val="22"/>
        </w:rPr>
        <w:t xml:space="preserve"> CW1</w:t>
      </w:r>
    </w:p>
    <w:p w14:paraId="47CF24A8" w14:textId="77777777" w:rsidR="00AF6BDC" w:rsidRPr="00AF6BDC" w:rsidRDefault="00AF6BDC" w:rsidP="00AF6BDC"/>
    <w:p w14:paraId="7078D1EB" w14:textId="17B2FC60" w:rsidR="00AF6BDC" w:rsidRPr="00AF6BDC" w:rsidRDefault="00AF6BDC" w:rsidP="00AF6BDC">
      <w:pPr>
        <w:spacing w:line="480" w:lineRule="auto"/>
        <w:rPr>
          <w:rFonts w:ascii="Arial" w:hAnsi="Arial" w:cs="Arial"/>
        </w:rPr>
      </w:pPr>
      <w:r>
        <w:rPr>
          <w:rFonts w:ascii="Arial" w:hAnsi="Arial" w:cs="Arial"/>
        </w:rPr>
        <w:t>“</w:t>
      </w:r>
      <w:r w:rsidRPr="00AF6BDC">
        <w:rPr>
          <w:rFonts w:ascii="Arial" w:hAnsi="Arial" w:cs="Arial"/>
        </w:rPr>
        <w:t>I confirm this essay is my own original work and does not include text created by a generative artificial intelligence tool”.</w:t>
      </w:r>
    </w:p>
    <w:p w14:paraId="29BBB30B" w14:textId="4888A9EB" w:rsidR="00337567" w:rsidRPr="00AF6BDC" w:rsidRDefault="008032A3" w:rsidP="00AF6BDC">
      <w:pPr>
        <w:pStyle w:val="Heading2"/>
        <w:spacing w:line="480" w:lineRule="auto"/>
        <w:rPr>
          <w:rFonts w:ascii="Arial" w:hAnsi="Arial" w:cs="Arial"/>
          <w:sz w:val="22"/>
          <w:szCs w:val="22"/>
        </w:rPr>
      </w:pPr>
      <w:r w:rsidRPr="00AF6BDC">
        <w:rPr>
          <w:rFonts w:ascii="Arial" w:hAnsi="Arial" w:cs="Arial"/>
          <w:sz w:val="22"/>
          <w:szCs w:val="22"/>
        </w:rPr>
        <w:t>Introduction</w:t>
      </w:r>
    </w:p>
    <w:p w14:paraId="64B2B015" w14:textId="5D4DFD56" w:rsidR="00825692" w:rsidRPr="00AF6BDC" w:rsidRDefault="008032A3" w:rsidP="00AF6BDC">
      <w:pPr>
        <w:spacing w:line="480" w:lineRule="auto"/>
        <w:rPr>
          <w:rFonts w:ascii="Arial" w:hAnsi="Arial" w:cs="Arial"/>
        </w:rPr>
      </w:pPr>
      <w:r w:rsidRPr="00AF6BDC">
        <w:rPr>
          <w:rFonts w:ascii="Arial" w:hAnsi="Arial" w:cs="Arial"/>
        </w:rPr>
        <w:t>Aneurin Bevan University Health Board (ABUHB) delivers acute, community and primary care services to the Gwent population and, per its Digital Strategy aims to provide ‘most care close to home’ through innovative technologies that improve access, experience, value and workforce sustainability (ABUHB, 2019). In Wales, Attend Anywhere is the browser</w:t>
      </w:r>
      <w:r w:rsidRPr="00AF6BDC">
        <w:rPr>
          <w:rFonts w:ascii="Cambria Math" w:hAnsi="Cambria Math" w:cs="Cambria Math"/>
        </w:rPr>
        <w:t>‑</w:t>
      </w:r>
      <w:r w:rsidRPr="00AF6BDC">
        <w:rPr>
          <w:rFonts w:ascii="Arial" w:hAnsi="Arial" w:cs="Arial"/>
        </w:rPr>
        <w:t>based platform adopted as the NHS Wales Video Consulting (VC) Service, enabling patients to enter online waiting areas for scheduled video appointments using standard devices and modern browsers (ABUHB, n.d.). ABUHB’s patient information emphasises privacy (private consultation ‘rooms’), non</w:t>
      </w:r>
      <w:r w:rsidRPr="00AF6BDC">
        <w:rPr>
          <w:rFonts w:ascii="Cambria Math" w:hAnsi="Cambria Math" w:cs="Cambria Math"/>
        </w:rPr>
        <w:t>‑</w:t>
      </w:r>
      <w:r w:rsidRPr="00AF6BDC">
        <w:rPr>
          <w:rFonts w:ascii="Arial" w:hAnsi="Arial" w:cs="Arial"/>
        </w:rPr>
        <w:t>storage of call content, and simple technical requirements (device, camera/microphone, Edge/Safari/Chrome), positioning VC as secure and easy to use in routine care (ABUHB, n.d.). At policy level, Digital Health and Care Wales (DHCW) identifies Attend Anywhere as an approved platform for patient consultations, giving a clear governance signal to Health Boards and practices (DHCW, 2021a; 2021b)</w:t>
      </w:r>
      <w:r w:rsidR="0014383D" w:rsidRPr="00AF6BDC">
        <w:rPr>
          <w:rFonts w:ascii="Arial" w:hAnsi="Arial" w:cs="Arial"/>
        </w:rPr>
        <w:t>.</w:t>
      </w:r>
      <w:r w:rsidRPr="00AF6BDC">
        <w:rPr>
          <w:rFonts w:ascii="Arial" w:hAnsi="Arial" w:cs="Arial"/>
        </w:rPr>
        <w:br/>
      </w:r>
      <w:r w:rsidRPr="00AF6BDC">
        <w:rPr>
          <w:rFonts w:ascii="Arial" w:hAnsi="Arial" w:cs="Arial"/>
        </w:rPr>
        <w:br/>
        <w:t xml:space="preserve">The stated and implied purposes of </w:t>
      </w:r>
      <w:proofErr w:type="spellStart"/>
      <w:r w:rsidR="00CB1FC2" w:rsidRPr="00AF6BDC">
        <w:rPr>
          <w:rFonts w:ascii="Arial" w:hAnsi="Arial" w:cs="Arial"/>
        </w:rPr>
        <w:t>utilising</w:t>
      </w:r>
      <w:proofErr w:type="spellEnd"/>
      <w:r w:rsidRPr="00AF6BDC">
        <w:rPr>
          <w:rFonts w:ascii="Arial" w:hAnsi="Arial" w:cs="Arial"/>
        </w:rPr>
        <w:t xml:space="preserve"> Attend Anywhere in ABUHB are to expand access and convenience by reducing travel/time costs and allowing carer involvement; support operational efficiency via lower DNAs and better use of clinical time/space; and maintain information governance assurance at scale through a standard, approved platform (ABUHB,</w:t>
      </w:r>
      <w:r w:rsidR="0014383D" w:rsidRPr="00AF6BDC">
        <w:rPr>
          <w:rFonts w:ascii="Arial" w:hAnsi="Arial" w:cs="Arial"/>
        </w:rPr>
        <w:t xml:space="preserve"> 2019</w:t>
      </w:r>
      <w:r w:rsidRPr="00AF6BDC">
        <w:rPr>
          <w:rFonts w:ascii="Arial" w:hAnsi="Arial" w:cs="Arial"/>
        </w:rPr>
        <w:t>.</w:t>
      </w:r>
      <w:r w:rsidR="0014383D" w:rsidRPr="00AF6BDC">
        <w:rPr>
          <w:rFonts w:ascii="Arial" w:hAnsi="Arial" w:cs="Arial"/>
        </w:rPr>
        <w:t>,</w:t>
      </w:r>
      <w:r w:rsidRPr="00AF6BDC">
        <w:rPr>
          <w:rFonts w:ascii="Arial" w:hAnsi="Arial" w:cs="Arial"/>
        </w:rPr>
        <w:t xml:space="preserve"> Morgan, 2021</w:t>
      </w:r>
      <w:r w:rsidR="0014383D" w:rsidRPr="00AF6BDC">
        <w:rPr>
          <w:rFonts w:ascii="Arial" w:hAnsi="Arial" w:cs="Arial"/>
        </w:rPr>
        <w:t>.,</w:t>
      </w:r>
      <w:r w:rsidRPr="00AF6BDC">
        <w:rPr>
          <w:rFonts w:ascii="Arial" w:hAnsi="Arial" w:cs="Arial"/>
        </w:rPr>
        <w:t xml:space="preserve"> DHCW, 2021). Nationally, the VC Service </w:t>
      </w:r>
      <w:r w:rsidRPr="00AF6BDC">
        <w:rPr>
          <w:rFonts w:ascii="Arial" w:hAnsi="Arial" w:cs="Arial"/>
        </w:rPr>
        <w:lastRenderedPageBreak/>
        <w:t>surpassed 250,000 consultations by October 2021 with high satisfaction among patients and clinicians, signalling early success and acceptance at scale (Morgan, 2021</w:t>
      </w:r>
      <w:r w:rsidR="0014383D" w:rsidRPr="00AF6BDC">
        <w:rPr>
          <w:rFonts w:ascii="Arial" w:hAnsi="Arial" w:cs="Arial"/>
        </w:rPr>
        <w:t xml:space="preserve">., </w:t>
      </w:r>
      <w:r w:rsidRPr="00AF6BDC">
        <w:rPr>
          <w:rFonts w:ascii="Arial" w:hAnsi="Arial" w:cs="Arial"/>
        </w:rPr>
        <w:t>Johns et al., 2022).</w:t>
      </w:r>
      <w:r w:rsidRPr="00AF6BDC">
        <w:rPr>
          <w:rFonts w:ascii="Arial" w:hAnsi="Arial" w:cs="Arial"/>
        </w:rPr>
        <w:br/>
      </w:r>
      <w:r w:rsidRPr="00AF6BDC">
        <w:rPr>
          <w:rFonts w:ascii="Arial" w:hAnsi="Arial" w:cs="Arial"/>
        </w:rPr>
        <w:br/>
        <w:t>However, the presence of a widely adopted and well</w:t>
      </w:r>
      <w:r w:rsidRPr="00AF6BDC">
        <w:rPr>
          <w:rFonts w:ascii="Cambria Math" w:hAnsi="Cambria Math" w:cs="Cambria Math"/>
        </w:rPr>
        <w:t>‑</w:t>
      </w:r>
      <w:r w:rsidRPr="00AF6BDC">
        <w:rPr>
          <w:rFonts w:ascii="Arial" w:hAnsi="Arial" w:cs="Arial"/>
        </w:rPr>
        <w:t xml:space="preserve">regarded </w:t>
      </w:r>
      <w:r w:rsidR="00CB1FC2" w:rsidRPr="00AF6BDC">
        <w:rPr>
          <w:rFonts w:ascii="Arial" w:hAnsi="Arial" w:cs="Arial"/>
        </w:rPr>
        <w:t>technology</w:t>
      </w:r>
      <w:r w:rsidRPr="00AF6BDC">
        <w:rPr>
          <w:rFonts w:ascii="Arial" w:hAnsi="Arial" w:cs="Arial"/>
        </w:rPr>
        <w:t xml:space="preserve"> is not proof of optimal ‘fit’ everywhere. This essay therefore evaluates Attend Anywhere in ABUHB using the </w:t>
      </w:r>
      <w:r w:rsidR="0014383D" w:rsidRPr="00AF6BDC">
        <w:rPr>
          <w:rFonts w:ascii="Arial" w:hAnsi="Arial" w:cs="Arial"/>
        </w:rPr>
        <w:t>analysis tool, FITT.</w:t>
      </w:r>
      <w:r w:rsidRPr="00AF6BDC">
        <w:rPr>
          <w:rFonts w:ascii="Arial" w:hAnsi="Arial" w:cs="Arial"/>
        </w:rPr>
        <w:t xml:space="preserve"> </w:t>
      </w:r>
      <w:r w:rsidR="0014383D" w:rsidRPr="00AF6BDC">
        <w:rPr>
          <w:rFonts w:ascii="Arial" w:hAnsi="Arial" w:cs="Arial"/>
        </w:rPr>
        <w:t xml:space="preserve">It will </w:t>
      </w:r>
      <w:proofErr w:type="spellStart"/>
      <w:r w:rsidR="0014383D" w:rsidRPr="00AF6BDC">
        <w:rPr>
          <w:rFonts w:ascii="Arial" w:hAnsi="Arial" w:cs="Arial"/>
        </w:rPr>
        <w:t>analyse</w:t>
      </w:r>
      <w:proofErr w:type="spellEnd"/>
      <w:r w:rsidR="0014383D" w:rsidRPr="00AF6BDC">
        <w:rPr>
          <w:rFonts w:ascii="Arial" w:hAnsi="Arial" w:cs="Arial"/>
        </w:rPr>
        <w:t xml:space="preserve"> the fit of the technology with the </w:t>
      </w:r>
      <w:r w:rsidRPr="00AF6BDC">
        <w:rPr>
          <w:rFonts w:ascii="Arial" w:hAnsi="Arial" w:cs="Arial"/>
        </w:rPr>
        <w:t>Individuals, Task and Technology (FITT) framework, with explicit attention to environmental and skills factors from later extensions (FITTE; FISTT). It synthesises programme evaluations, local documentation and governance guidance to give a critical view of where Attend Anywhere works well, where it struggles and whether successes or challenges arise from project/</w:t>
      </w:r>
      <w:proofErr w:type="spellStart"/>
      <w:r w:rsidR="0014383D" w:rsidRPr="00AF6BDC">
        <w:rPr>
          <w:rFonts w:ascii="Arial" w:hAnsi="Arial" w:cs="Arial"/>
        </w:rPr>
        <w:t>p</w:t>
      </w:r>
      <w:r w:rsidR="00CB1FC2" w:rsidRPr="00AF6BDC">
        <w:rPr>
          <w:rFonts w:ascii="Arial" w:hAnsi="Arial" w:cs="Arial"/>
        </w:rPr>
        <w:t>rogramme</w:t>
      </w:r>
      <w:proofErr w:type="spellEnd"/>
      <w:r w:rsidRPr="00AF6BDC">
        <w:rPr>
          <w:rFonts w:ascii="Arial" w:hAnsi="Arial" w:cs="Arial"/>
        </w:rPr>
        <w:t xml:space="preserve"> execution (</w:t>
      </w:r>
      <w:proofErr w:type="spellStart"/>
      <w:r w:rsidRPr="00AF6BDC">
        <w:rPr>
          <w:rFonts w:ascii="Arial" w:hAnsi="Arial" w:cs="Arial"/>
        </w:rPr>
        <w:t>Sherifi</w:t>
      </w:r>
      <w:proofErr w:type="spellEnd"/>
      <w:r w:rsidRPr="00AF6BDC">
        <w:rPr>
          <w:rFonts w:ascii="Arial" w:hAnsi="Arial" w:cs="Arial"/>
        </w:rPr>
        <w:t>, 2019; Prgomet et al., 2019; Ruyobeza et al., 2023).</w:t>
      </w:r>
    </w:p>
    <w:p w14:paraId="5F9A5CD4" w14:textId="1251F44C" w:rsidR="0014383D" w:rsidRPr="00AF6BDC" w:rsidRDefault="008032A3" w:rsidP="00AF6BDC">
      <w:pPr>
        <w:pStyle w:val="Heading2"/>
        <w:spacing w:line="480" w:lineRule="auto"/>
        <w:rPr>
          <w:rFonts w:ascii="Arial" w:hAnsi="Arial" w:cs="Arial"/>
          <w:sz w:val="22"/>
          <w:szCs w:val="22"/>
        </w:rPr>
      </w:pPr>
      <w:r w:rsidRPr="00AF6BDC">
        <w:rPr>
          <w:rFonts w:ascii="Arial" w:hAnsi="Arial" w:cs="Arial"/>
          <w:sz w:val="22"/>
          <w:szCs w:val="22"/>
        </w:rPr>
        <w:t>Method</w:t>
      </w:r>
    </w:p>
    <w:p w14:paraId="48CF0D5D" w14:textId="77777777" w:rsidR="0014383D" w:rsidRPr="00AF6BDC" w:rsidRDefault="0014383D" w:rsidP="00AF6BDC">
      <w:pPr>
        <w:spacing w:line="480" w:lineRule="auto"/>
        <w:rPr>
          <w:rFonts w:ascii="Arial" w:hAnsi="Arial" w:cs="Arial"/>
        </w:rPr>
      </w:pPr>
    </w:p>
    <w:p w14:paraId="7B1222FB" w14:textId="647F8149" w:rsidR="00051963" w:rsidRPr="00AF6BDC" w:rsidRDefault="008032A3" w:rsidP="00AF6BDC">
      <w:pPr>
        <w:spacing w:line="480" w:lineRule="auto"/>
        <w:rPr>
          <w:rFonts w:ascii="Arial" w:hAnsi="Arial" w:cs="Arial"/>
        </w:rPr>
      </w:pPr>
      <w:r w:rsidRPr="00AF6BDC">
        <w:rPr>
          <w:rFonts w:ascii="Arial" w:hAnsi="Arial" w:cs="Arial"/>
        </w:rPr>
        <w:t xml:space="preserve">The analysis applies </w:t>
      </w:r>
      <w:proofErr w:type="spellStart"/>
      <w:r w:rsidRPr="00AF6BDC">
        <w:rPr>
          <w:rFonts w:ascii="Arial" w:hAnsi="Arial" w:cs="Arial"/>
        </w:rPr>
        <w:t>Ammenwerth’s</w:t>
      </w:r>
      <w:proofErr w:type="spellEnd"/>
      <w:r w:rsidRPr="00AF6BDC">
        <w:rPr>
          <w:rFonts w:ascii="Arial" w:hAnsi="Arial" w:cs="Arial"/>
        </w:rPr>
        <w:t xml:space="preserve"> FITT framework to examine alignment among </w:t>
      </w:r>
      <w:r w:rsidR="0014383D" w:rsidRPr="00AF6BDC">
        <w:rPr>
          <w:rFonts w:ascii="Arial" w:hAnsi="Arial" w:cs="Arial"/>
        </w:rPr>
        <w:t xml:space="preserve">the </w:t>
      </w:r>
      <w:r w:rsidRPr="00AF6BDC">
        <w:rPr>
          <w:rFonts w:ascii="Arial" w:hAnsi="Arial" w:cs="Arial"/>
        </w:rPr>
        <w:t>Individuals</w:t>
      </w:r>
      <w:r w:rsidR="0014383D" w:rsidRPr="00AF6BDC">
        <w:rPr>
          <w:rFonts w:ascii="Arial" w:hAnsi="Arial" w:cs="Arial"/>
        </w:rPr>
        <w:t xml:space="preserve">, in this case the </w:t>
      </w:r>
      <w:r w:rsidRPr="00AF6BDC">
        <w:rPr>
          <w:rFonts w:ascii="Arial" w:hAnsi="Arial" w:cs="Arial"/>
        </w:rPr>
        <w:t xml:space="preserve">patients, </w:t>
      </w:r>
      <w:proofErr w:type="spellStart"/>
      <w:r w:rsidRPr="00AF6BDC">
        <w:rPr>
          <w:rFonts w:ascii="Arial" w:hAnsi="Arial" w:cs="Arial"/>
        </w:rPr>
        <w:t>carers</w:t>
      </w:r>
      <w:proofErr w:type="spellEnd"/>
      <w:r w:rsidRPr="00AF6BDC">
        <w:rPr>
          <w:rFonts w:ascii="Arial" w:hAnsi="Arial" w:cs="Arial"/>
        </w:rPr>
        <w:t>, clinicians and administrative staff</w:t>
      </w:r>
      <w:r w:rsidR="00051963" w:rsidRPr="00AF6BDC">
        <w:rPr>
          <w:rFonts w:ascii="Arial" w:hAnsi="Arial" w:cs="Arial"/>
        </w:rPr>
        <w:t>. The</w:t>
      </w:r>
      <w:r w:rsidRPr="00AF6BDC">
        <w:rPr>
          <w:rFonts w:ascii="Arial" w:hAnsi="Arial" w:cs="Arial"/>
        </w:rPr>
        <w:t xml:space="preserve"> Tasks</w:t>
      </w:r>
      <w:r w:rsidR="00051963" w:rsidRPr="00AF6BDC">
        <w:rPr>
          <w:rFonts w:ascii="Arial" w:hAnsi="Arial" w:cs="Arial"/>
        </w:rPr>
        <w:t xml:space="preserve">, </w:t>
      </w:r>
      <w:r w:rsidRPr="00AF6BDC">
        <w:rPr>
          <w:rFonts w:ascii="Arial" w:hAnsi="Arial" w:cs="Arial"/>
        </w:rPr>
        <w:t xml:space="preserve">clinical assessments, reviews and administrative workflows; and </w:t>
      </w:r>
      <w:r w:rsidR="00051963" w:rsidRPr="00AF6BDC">
        <w:rPr>
          <w:rFonts w:ascii="Arial" w:hAnsi="Arial" w:cs="Arial"/>
        </w:rPr>
        <w:t>lastly the</w:t>
      </w:r>
      <w:r w:rsidRPr="00AF6BDC">
        <w:rPr>
          <w:rFonts w:ascii="Arial" w:hAnsi="Arial" w:cs="Arial"/>
        </w:rPr>
        <w:t xml:space="preserve"> Technology</w:t>
      </w:r>
      <w:r w:rsidR="00051963" w:rsidRPr="00AF6BDC">
        <w:rPr>
          <w:rFonts w:ascii="Arial" w:hAnsi="Arial" w:cs="Arial"/>
        </w:rPr>
        <w:t xml:space="preserve">, </w:t>
      </w:r>
      <w:r w:rsidRPr="00AF6BDC">
        <w:rPr>
          <w:rFonts w:ascii="Arial" w:hAnsi="Arial" w:cs="Arial"/>
        </w:rPr>
        <w:t xml:space="preserve">the Attend Anywhere platform and its features (Sherifi, 2019). Because video consulting is sensitive to context and digital skills, two extensions </w:t>
      </w:r>
      <w:r w:rsidR="009F2A5B" w:rsidRPr="00AF6BDC">
        <w:rPr>
          <w:rFonts w:ascii="Arial" w:hAnsi="Arial" w:cs="Arial"/>
        </w:rPr>
        <w:t>are required.</w:t>
      </w:r>
      <w:r w:rsidRPr="00AF6BDC">
        <w:rPr>
          <w:rFonts w:ascii="Arial" w:hAnsi="Arial" w:cs="Arial"/>
        </w:rPr>
        <w:t xml:space="preserve"> FITTE adds the Environment</w:t>
      </w:r>
      <w:r w:rsidR="009F2A5B" w:rsidRPr="00AF6BDC">
        <w:rPr>
          <w:rFonts w:ascii="Arial" w:hAnsi="Arial" w:cs="Arial"/>
        </w:rPr>
        <w:t xml:space="preserve">, </w:t>
      </w:r>
      <w:proofErr w:type="spellStart"/>
      <w:r w:rsidR="009F2A5B" w:rsidRPr="00AF6BDC">
        <w:rPr>
          <w:rFonts w:ascii="Arial" w:hAnsi="Arial" w:cs="Arial"/>
        </w:rPr>
        <w:t>analysing</w:t>
      </w:r>
      <w:proofErr w:type="spellEnd"/>
      <w:r w:rsidR="009F2A5B" w:rsidRPr="00AF6BDC">
        <w:rPr>
          <w:rFonts w:ascii="Arial" w:hAnsi="Arial" w:cs="Arial"/>
        </w:rPr>
        <w:t xml:space="preserve"> the </w:t>
      </w:r>
      <w:r w:rsidRPr="00AF6BDC">
        <w:rPr>
          <w:rFonts w:ascii="Arial" w:hAnsi="Arial" w:cs="Arial"/>
        </w:rPr>
        <w:t>infrastructure, clinic rooms, safeguarding context</w:t>
      </w:r>
      <w:r w:rsidR="009F2A5B" w:rsidRPr="00AF6BDC">
        <w:rPr>
          <w:rFonts w:ascii="Arial" w:hAnsi="Arial" w:cs="Arial"/>
        </w:rPr>
        <w:t xml:space="preserve">. Lastly, </w:t>
      </w:r>
      <w:r w:rsidRPr="00AF6BDC">
        <w:rPr>
          <w:rFonts w:ascii="Arial" w:hAnsi="Arial" w:cs="Arial"/>
        </w:rPr>
        <w:t xml:space="preserve">FISTT </w:t>
      </w:r>
      <w:r w:rsidR="00051963" w:rsidRPr="00AF6BDC">
        <w:rPr>
          <w:rFonts w:ascii="Arial" w:hAnsi="Arial" w:cs="Arial"/>
        </w:rPr>
        <w:t>focusses</w:t>
      </w:r>
      <w:r w:rsidRPr="00AF6BDC">
        <w:rPr>
          <w:rFonts w:ascii="Arial" w:hAnsi="Arial" w:cs="Arial"/>
        </w:rPr>
        <w:t xml:space="preserve"> </w:t>
      </w:r>
      <w:r w:rsidR="00051963" w:rsidRPr="00AF6BDC">
        <w:rPr>
          <w:rFonts w:ascii="Arial" w:hAnsi="Arial" w:cs="Arial"/>
        </w:rPr>
        <w:t xml:space="preserve">on </w:t>
      </w:r>
      <w:r w:rsidRPr="00AF6BDC">
        <w:rPr>
          <w:rFonts w:ascii="Arial" w:hAnsi="Arial" w:cs="Arial"/>
        </w:rPr>
        <w:t>Skills fit</w:t>
      </w:r>
      <w:r w:rsidR="00051963" w:rsidRPr="00AF6BDC">
        <w:rPr>
          <w:rFonts w:ascii="Arial" w:hAnsi="Arial" w:cs="Arial"/>
        </w:rPr>
        <w:t xml:space="preserve"> such as the</w:t>
      </w:r>
      <w:r w:rsidRPr="00AF6BDC">
        <w:rPr>
          <w:rFonts w:ascii="Arial" w:hAnsi="Arial" w:cs="Arial"/>
        </w:rPr>
        <w:t xml:space="preserve"> self</w:t>
      </w:r>
      <w:r w:rsidRPr="00AF6BDC">
        <w:rPr>
          <w:rFonts w:ascii="Cambria Math" w:hAnsi="Cambria Math" w:cs="Cambria Math"/>
        </w:rPr>
        <w:t>‑</w:t>
      </w:r>
      <w:r w:rsidRPr="00AF6BDC">
        <w:rPr>
          <w:rFonts w:ascii="Arial" w:hAnsi="Arial" w:cs="Arial"/>
        </w:rPr>
        <w:t>efficacy and digital competence for completing specific remote tasks (Prgomet et al., 2019; Ruyobeza et al., 2023).</w:t>
      </w:r>
    </w:p>
    <w:p w14:paraId="69E55935" w14:textId="3A205382" w:rsidR="003040CF" w:rsidRPr="00AF6BDC" w:rsidRDefault="00051963" w:rsidP="00AF6BDC">
      <w:pPr>
        <w:spacing w:line="480" w:lineRule="auto"/>
        <w:rPr>
          <w:rFonts w:ascii="Arial" w:eastAsia="Times New Roman" w:hAnsi="Arial" w:cs="Arial"/>
          <w:lang w:val="en-GB" w:eastAsia="en-GB"/>
        </w:rPr>
      </w:pPr>
      <w:r w:rsidRPr="00AF6BDC">
        <w:rPr>
          <w:rFonts w:ascii="Arial" w:hAnsi="Arial" w:cs="Arial"/>
        </w:rPr>
        <w:lastRenderedPageBreak/>
        <w:t xml:space="preserve">The FITT framework has been used throughout this essay as </w:t>
      </w:r>
      <w:r w:rsidR="000069B0" w:rsidRPr="00AF6BDC">
        <w:rPr>
          <w:rFonts w:ascii="Arial" w:hAnsi="Arial" w:cs="Arial"/>
        </w:rPr>
        <w:t xml:space="preserve">it has been identified </w:t>
      </w:r>
      <w:r w:rsidR="00753CD7" w:rsidRPr="00AF6BDC">
        <w:rPr>
          <w:rFonts w:ascii="Arial" w:hAnsi="Arial" w:cs="Arial"/>
        </w:rPr>
        <w:t xml:space="preserve">as </w:t>
      </w:r>
      <w:r w:rsidR="000069B0" w:rsidRPr="00AF6BDC">
        <w:rPr>
          <w:rFonts w:ascii="Arial" w:hAnsi="Arial" w:cs="Arial"/>
        </w:rPr>
        <w:t xml:space="preserve">an </w:t>
      </w:r>
      <w:r w:rsidR="00753CD7" w:rsidRPr="00AF6BDC">
        <w:rPr>
          <w:rFonts w:ascii="Arial" w:hAnsi="Arial" w:cs="Arial"/>
        </w:rPr>
        <w:t>analytical tool that provides a comprehensive and sociotechnical</w:t>
      </w:r>
      <w:r w:rsidR="009F2A5B" w:rsidRPr="00AF6BDC">
        <w:rPr>
          <w:rFonts w:ascii="Arial" w:hAnsi="Arial" w:cs="Arial"/>
        </w:rPr>
        <w:t xml:space="preserve"> approach</w:t>
      </w:r>
      <w:r w:rsidR="00753CD7" w:rsidRPr="00AF6BDC">
        <w:rPr>
          <w:rFonts w:ascii="Arial" w:hAnsi="Arial" w:cs="Arial"/>
        </w:rPr>
        <w:t xml:space="preserve">, particularly </w:t>
      </w:r>
      <w:r w:rsidR="00493A8F" w:rsidRPr="00AF6BDC">
        <w:rPr>
          <w:rFonts w:ascii="Arial" w:hAnsi="Arial" w:cs="Arial"/>
        </w:rPr>
        <w:t xml:space="preserve">in health and clinical settings that focusses on the optimal alignment between the users, work processes and the technology itself </w:t>
      </w:r>
      <w:r w:rsidR="00493A8F" w:rsidRPr="00AF6BDC">
        <w:rPr>
          <w:rFonts w:ascii="Arial" w:eastAsia="Times New Roman" w:hAnsi="Arial" w:cs="Arial"/>
          <w:lang w:val="en-GB" w:eastAsia="en-GB"/>
        </w:rPr>
        <w:t>(</w:t>
      </w:r>
      <w:proofErr w:type="spellStart"/>
      <w:r w:rsidR="00493A8F" w:rsidRPr="00AF6BDC">
        <w:rPr>
          <w:rFonts w:ascii="Arial" w:eastAsia="Times New Roman" w:hAnsi="Arial" w:cs="Arial"/>
          <w:lang w:val="en-GB" w:eastAsia="en-GB"/>
        </w:rPr>
        <w:t>Ammenwerth</w:t>
      </w:r>
      <w:proofErr w:type="spellEnd"/>
      <w:r w:rsidR="00493A8F" w:rsidRPr="00AF6BDC">
        <w:rPr>
          <w:rFonts w:ascii="Arial" w:eastAsia="Times New Roman" w:hAnsi="Arial" w:cs="Arial"/>
          <w:lang w:val="en-GB" w:eastAsia="en-GB"/>
        </w:rPr>
        <w:t xml:space="preserve">, </w:t>
      </w:r>
      <w:proofErr w:type="spellStart"/>
      <w:r w:rsidR="00493A8F" w:rsidRPr="00AF6BDC">
        <w:rPr>
          <w:rFonts w:ascii="Arial" w:eastAsia="Times New Roman" w:hAnsi="Arial" w:cs="Arial"/>
          <w:lang w:val="en-GB" w:eastAsia="en-GB"/>
        </w:rPr>
        <w:t>Iller</w:t>
      </w:r>
      <w:proofErr w:type="spellEnd"/>
      <w:r w:rsidR="00493A8F" w:rsidRPr="00AF6BDC">
        <w:rPr>
          <w:rFonts w:ascii="Arial" w:eastAsia="Times New Roman" w:hAnsi="Arial" w:cs="Arial"/>
          <w:lang w:val="en-GB" w:eastAsia="en-GB"/>
        </w:rPr>
        <w:t xml:space="preserve"> and Mahler, 2006)</w:t>
      </w:r>
      <w:r w:rsidR="00493A8F" w:rsidRPr="00AF6BDC">
        <w:rPr>
          <w:rFonts w:ascii="Arial" w:eastAsia="Times New Roman" w:hAnsi="Arial" w:cs="Arial"/>
          <w:lang w:val="en-GB" w:eastAsia="en-GB"/>
        </w:rPr>
        <w:t>.</w:t>
      </w:r>
    </w:p>
    <w:p w14:paraId="2006D219" w14:textId="2D1D3DB0" w:rsidR="00825692" w:rsidRPr="00AF6BDC" w:rsidRDefault="008032A3" w:rsidP="00AF6BDC">
      <w:pPr>
        <w:spacing w:line="480" w:lineRule="auto"/>
        <w:rPr>
          <w:rFonts w:ascii="Arial" w:hAnsi="Arial" w:cs="Arial"/>
        </w:rPr>
      </w:pPr>
      <w:r w:rsidRPr="00AF6BDC">
        <w:rPr>
          <w:rFonts w:ascii="Arial" w:hAnsi="Arial" w:cs="Arial"/>
        </w:rPr>
        <w:t>This evaluation draws on</w:t>
      </w:r>
      <w:r w:rsidR="009F2A5B" w:rsidRPr="00AF6BDC">
        <w:rPr>
          <w:rFonts w:ascii="Arial" w:hAnsi="Arial" w:cs="Arial"/>
        </w:rPr>
        <w:t xml:space="preserve"> </w:t>
      </w:r>
      <w:r w:rsidR="00967073" w:rsidRPr="00AF6BDC">
        <w:rPr>
          <w:rFonts w:ascii="Arial" w:hAnsi="Arial" w:cs="Arial"/>
        </w:rPr>
        <w:t>literatur</w:t>
      </w:r>
      <w:r w:rsidR="003040CF" w:rsidRPr="00AF6BDC">
        <w:rPr>
          <w:rFonts w:ascii="Arial" w:hAnsi="Arial" w:cs="Arial"/>
        </w:rPr>
        <w:t xml:space="preserve">e reviews capturing </w:t>
      </w:r>
      <w:r w:rsidRPr="00AF6BDC">
        <w:rPr>
          <w:rFonts w:ascii="Arial" w:hAnsi="Arial" w:cs="Arial"/>
        </w:rPr>
        <w:t>benefits, challenges and sustainability across Health Boards, including ABUHB services</w:t>
      </w:r>
      <w:r w:rsidR="003040CF" w:rsidRPr="00AF6BDC">
        <w:rPr>
          <w:rFonts w:ascii="Arial" w:hAnsi="Arial" w:cs="Arial"/>
        </w:rPr>
        <w:t xml:space="preserve">. It will also draw conclusions from a </w:t>
      </w:r>
      <w:r w:rsidRPr="00AF6BDC">
        <w:rPr>
          <w:rFonts w:ascii="Arial" w:hAnsi="Arial" w:cs="Arial"/>
        </w:rPr>
        <w:t xml:space="preserve">Welsh Government written statement </w:t>
      </w:r>
      <w:r w:rsidR="003040CF" w:rsidRPr="00AF6BDC">
        <w:rPr>
          <w:rFonts w:ascii="Arial" w:hAnsi="Arial" w:cs="Arial"/>
        </w:rPr>
        <w:t>summarizing the</w:t>
      </w:r>
      <w:r w:rsidRPr="00AF6BDC">
        <w:rPr>
          <w:rFonts w:ascii="Arial" w:hAnsi="Arial" w:cs="Arial"/>
        </w:rPr>
        <w:t xml:space="preserve"> headline metrics</w:t>
      </w:r>
      <w:r w:rsidR="003040CF" w:rsidRPr="00AF6BDC">
        <w:rPr>
          <w:rFonts w:ascii="Arial" w:hAnsi="Arial" w:cs="Arial"/>
        </w:rPr>
        <w:t xml:space="preserve">. This essay will also explore the </w:t>
      </w:r>
      <w:r w:rsidRPr="00AF6BDC">
        <w:rPr>
          <w:rFonts w:ascii="Arial" w:hAnsi="Arial" w:cs="Arial"/>
        </w:rPr>
        <w:t>ABUHB pages/leaflets describing local deployment</w:t>
      </w:r>
      <w:r w:rsidR="003040CF" w:rsidRPr="00AF6BDC">
        <w:rPr>
          <w:rFonts w:ascii="Arial" w:hAnsi="Arial" w:cs="Arial"/>
        </w:rPr>
        <w:t xml:space="preserve">, </w:t>
      </w:r>
      <w:r w:rsidRPr="00AF6BDC">
        <w:rPr>
          <w:rFonts w:ascii="Arial" w:hAnsi="Arial" w:cs="Arial"/>
        </w:rPr>
        <w:t>and specialty exemplars relevant to ABUHB</w:t>
      </w:r>
      <w:r w:rsidR="003040CF" w:rsidRPr="00AF6BDC">
        <w:rPr>
          <w:rFonts w:ascii="Arial" w:hAnsi="Arial" w:cs="Arial"/>
        </w:rPr>
        <w:t xml:space="preserve"> </w:t>
      </w:r>
      <w:r w:rsidRPr="00AF6BDC">
        <w:rPr>
          <w:rFonts w:ascii="Arial" w:hAnsi="Arial" w:cs="Arial"/>
        </w:rPr>
        <w:t>(Johns et al., 2021; Johns et al., 2022; TEC Cymru, 2021; Morgan, 2021; ABUHB,</w:t>
      </w:r>
      <w:r w:rsidR="003040CF" w:rsidRPr="00AF6BDC">
        <w:rPr>
          <w:rFonts w:ascii="Arial" w:hAnsi="Arial" w:cs="Arial"/>
        </w:rPr>
        <w:t xml:space="preserve"> 2021),</w:t>
      </w:r>
      <w:r w:rsidRPr="00AF6BDC">
        <w:rPr>
          <w:rFonts w:ascii="Arial" w:hAnsi="Arial" w:cs="Arial"/>
        </w:rPr>
        <w:t xml:space="preserve"> </w:t>
      </w:r>
      <w:r w:rsidR="003040CF" w:rsidRPr="00AF6BDC">
        <w:rPr>
          <w:rFonts w:ascii="Arial" w:hAnsi="Arial" w:cs="Arial"/>
        </w:rPr>
        <w:t>(</w:t>
      </w:r>
      <w:r w:rsidRPr="00AF6BDC">
        <w:rPr>
          <w:rFonts w:ascii="Arial" w:hAnsi="Arial" w:cs="Arial"/>
        </w:rPr>
        <w:t>DHCW, 2021; 2021</w:t>
      </w:r>
      <w:r w:rsidR="003040CF" w:rsidRPr="00AF6BDC">
        <w:rPr>
          <w:rFonts w:ascii="Arial" w:hAnsi="Arial" w:cs="Arial"/>
        </w:rPr>
        <w:t>.,</w:t>
      </w:r>
      <w:r w:rsidRPr="00AF6BDC">
        <w:rPr>
          <w:rFonts w:ascii="Arial" w:hAnsi="Arial" w:cs="Arial"/>
        </w:rPr>
        <w:t xml:space="preserve"> Saraswat &amp; Bright, 2022). No primary interviews or observations were undertaken</w:t>
      </w:r>
      <w:r w:rsidR="003040CF" w:rsidRPr="00AF6BDC">
        <w:rPr>
          <w:rFonts w:ascii="Arial" w:hAnsi="Arial" w:cs="Arial"/>
        </w:rPr>
        <w:t xml:space="preserve"> as</w:t>
      </w:r>
      <w:r w:rsidRPr="00AF6BDC">
        <w:rPr>
          <w:rFonts w:ascii="Arial" w:hAnsi="Arial" w:cs="Arial"/>
        </w:rPr>
        <w:t xml:space="preserve"> the approach </w:t>
      </w:r>
      <w:proofErr w:type="spellStart"/>
      <w:r w:rsidRPr="00AF6BDC">
        <w:rPr>
          <w:rFonts w:ascii="Arial" w:hAnsi="Arial" w:cs="Arial"/>
        </w:rPr>
        <w:t>synthesises</w:t>
      </w:r>
      <w:proofErr w:type="spellEnd"/>
      <w:r w:rsidRPr="00AF6BDC">
        <w:rPr>
          <w:rFonts w:ascii="Arial" w:hAnsi="Arial" w:cs="Arial"/>
        </w:rPr>
        <w:t xml:space="preserve"> published evidence and official documents.</w:t>
      </w:r>
      <w:r w:rsidRPr="00AF6BDC">
        <w:rPr>
          <w:rFonts w:ascii="Arial" w:hAnsi="Arial" w:cs="Arial"/>
          <w:highlight w:val="yellow"/>
        </w:rPr>
        <w:br/>
      </w:r>
      <w:r w:rsidRPr="00AF6BDC">
        <w:rPr>
          <w:rFonts w:ascii="Arial" w:hAnsi="Arial" w:cs="Arial"/>
          <w:highlight w:val="yellow"/>
        </w:rPr>
        <w:br/>
      </w:r>
      <w:r w:rsidRPr="00AF6BDC">
        <w:rPr>
          <w:rFonts w:ascii="Arial" w:hAnsi="Arial" w:cs="Arial"/>
        </w:rPr>
        <w:t>Particular attention was paid to equity (digital inclusion/exclusion), clinical scope limits (physical examination, safeguarding), and operational reliability (connectivity, peripherals). Where Welsh</w:t>
      </w:r>
      <w:r w:rsidRPr="00AF6BDC">
        <w:rPr>
          <w:rFonts w:ascii="Cambria Math" w:hAnsi="Cambria Math" w:cs="Cambria Math"/>
        </w:rPr>
        <w:t>‑</w:t>
      </w:r>
      <w:r w:rsidRPr="00AF6BDC">
        <w:rPr>
          <w:rFonts w:ascii="Arial" w:hAnsi="Arial" w:cs="Arial"/>
        </w:rPr>
        <w:t>level evidence was aggregated, the discussion considers implications for ABUHB’s specific service mix and geography.</w:t>
      </w:r>
    </w:p>
    <w:p w14:paraId="40B6D50F" w14:textId="31AF775B" w:rsidR="00825692" w:rsidRPr="00AF6BDC" w:rsidRDefault="008032A3" w:rsidP="00AF6BDC">
      <w:pPr>
        <w:pStyle w:val="Heading2"/>
        <w:spacing w:line="480" w:lineRule="auto"/>
        <w:rPr>
          <w:rFonts w:ascii="Arial" w:hAnsi="Arial" w:cs="Arial"/>
          <w:sz w:val="22"/>
          <w:szCs w:val="22"/>
        </w:rPr>
      </w:pPr>
      <w:r w:rsidRPr="00AF6BDC">
        <w:rPr>
          <w:rFonts w:ascii="Arial" w:hAnsi="Arial" w:cs="Arial"/>
          <w:sz w:val="22"/>
          <w:szCs w:val="22"/>
        </w:rPr>
        <w:t>Results</w:t>
      </w:r>
    </w:p>
    <w:p w14:paraId="5255D6BD" w14:textId="30280590" w:rsidR="00337567" w:rsidRPr="00AF6BDC" w:rsidRDefault="008032A3" w:rsidP="00AF6BDC">
      <w:pPr>
        <w:spacing w:line="480" w:lineRule="auto"/>
        <w:rPr>
          <w:rFonts w:ascii="Arial" w:eastAsia="Times New Roman" w:hAnsi="Arial" w:cs="Arial"/>
          <w:sz w:val="21"/>
          <w:szCs w:val="21"/>
          <w:lang w:val="en-GB" w:eastAsia="en-GB"/>
        </w:rPr>
      </w:pPr>
      <w:r w:rsidRPr="00AF6BDC">
        <w:rPr>
          <w:rFonts w:ascii="Arial" w:hAnsi="Arial" w:cs="Arial"/>
        </w:rPr>
        <w:t xml:space="preserve">Wales delivered over 250,000 video consultations by 5 October 2021, demonstrating rapid institutionalisation of Attend Anywhere during the </w:t>
      </w:r>
      <w:r w:rsidR="00C31996" w:rsidRPr="00AF6BDC">
        <w:rPr>
          <w:rFonts w:ascii="Arial" w:hAnsi="Arial" w:cs="Arial"/>
        </w:rPr>
        <w:t xml:space="preserve">2019 Covid-19 </w:t>
      </w:r>
      <w:r w:rsidRPr="00AF6BDC">
        <w:rPr>
          <w:rFonts w:ascii="Arial" w:hAnsi="Arial" w:cs="Arial"/>
        </w:rPr>
        <w:t>pandemic response and beyond (Morgan, 2021). ABUHB confirms deployment ‘across various services’ using scheduled remote clinics, with patient</w:t>
      </w:r>
      <w:r w:rsidRPr="00AF6BDC">
        <w:rPr>
          <w:rFonts w:ascii="Cambria Math" w:hAnsi="Cambria Math" w:cs="Cambria Math"/>
        </w:rPr>
        <w:t>‑</w:t>
      </w:r>
      <w:r w:rsidRPr="00AF6BDC">
        <w:rPr>
          <w:rFonts w:ascii="Arial" w:hAnsi="Arial" w:cs="Arial"/>
        </w:rPr>
        <w:t>facing materials guiding set</w:t>
      </w:r>
      <w:r w:rsidRPr="00AF6BDC">
        <w:rPr>
          <w:rFonts w:ascii="Cambria Math" w:hAnsi="Cambria Math" w:cs="Cambria Math"/>
        </w:rPr>
        <w:t>‑</w:t>
      </w:r>
      <w:r w:rsidRPr="00AF6BDC">
        <w:rPr>
          <w:rFonts w:ascii="Arial" w:hAnsi="Arial" w:cs="Arial"/>
        </w:rPr>
        <w:t xml:space="preserve">up and attendance (ABUHB, </w:t>
      </w:r>
      <w:r w:rsidR="00C31996" w:rsidRPr="00AF6BDC">
        <w:rPr>
          <w:rFonts w:ascii="Arial" w:hAnsi="Arial" w:cs="Arial"/>
        </w:rPr>
        <w:t>2021</w:t>
      </w:r>
      <w:r w:rsidRPr="00AF6BDC">
        <w:rPr>
          <w:rFonts w:ascii="Arial" w:hAnsi="Arial" w:cs="Arial"/>
        </w:rPr>
        <w:t>).</w:t>
      </w:r>
      <w:r w:rsidRPr="00AF6BDC">
        <w:rPr>
          <w:rFonts w:ascii="Arial" w:hAnsi="Arial" w:cs="Arial"/>
        </w:rPr>
        <w:br/>
      </w:r>
      <w:r w:rsidRPr="00AF6BDC">
        <w:rPr>
          <w:rFonts w:ascii="Arial" w:hAnsi="Arial" w:cs="Arial"/>
        </w:rPr>
        <w:br/>
        <w:t>Programme</w:t>
      </w:r>
      <w:r w:rsidRPr="00AF6BDC">
        <w:rPr>
          <w:rFonts w:ascii="Cambria Math" w:hAnsi="Cambria Math" w:cs="Cambria Math"/>
        </w:rPr>
        <w:t>‑</w:t>
      </w:r>
      <w:r w:rsidRPr="00AF6BDC">
        <w:rPr>
          <w:rFonts w:ascii="Arial" w:hAnsi="Arial" w:cs="Arial"/>
        </w:rPr>
        <w:t xml:space="preserve">level survey results indicate high acceptance and perceived value. </w:t>
      </w:r>
      <w:r w:rsidRPr="00AF6BDC">
        <w:rPr>
          <w:rFonts w:ascii="Arial" w:hAnsi="Arial" w:cs="Arial"/>
        </w:rPr>
        <w:lastRenderedPageBreak/>
        <w:t>Patient</w:t>
      </w:r>
      <w:r w:rsidRPr="00AF6BDC">
        <w:rPr>
          <w:rFonts w:ascii="Cambria Math" w:hAnsi="Cambria Math" w:cs="Cambria Math"/>
        </w:rPr>
        <w:t>‑</w:t>
      </w:r>
      <w:r w:rsidRPr="00AF6BDC">
        <w:rPr>
          <w:rFonts w:ascii="Arial" w:hAnsi="Arial" w:cs="Arial"/>
        </w:rPr>
        <w:t xml:space="preserve">reported benefits </w:t>
      </w:r>
      <w:r w:rsidR="00E0521F" w:rsidRPr="00AF6BDC">
        <w:rPr>
          <w:rFonts w:ascii="Arial" w:hAnsi="Arial" w:cs="Arial"/>
        </w:rPr>
        <w:t>rated</w:t>
      </w:r>
      <w:r w:rsidRPr="00AF6BDC">
        <w:rPr>
          <w:rFonts w:ascii="Arial" w:hAnsi="Arial" w:cs="Arial"/>
        </w:rPr>
        <w:t xml:space="preserve"> </w:t>
      </w:r>
      <w:r w:rsidR="00E0521F" w:rsidRPr="00AF6BDC">
        <w:rPr>
          <w:rFonts w:ascii="Arial" w:hAnsi="Arial" w:cs="Arial"/>
        </w:rPr>
        <w:t xml:space="preserve">at </w:t>
      </w:r>
      <w:r w:rsidRPr="00AF6BDC">
        <w:rPr>
          <w:rFonts w:ascii="Arial" w:hAnsi="Arial" w:cs="Arial"/>
        </w:rPr>
        <w:t xml:space="preserve">‘beneficial/very beneficial’ </w:t>
      </w:r>
      <w:r w:rsidR="00E0521F" w:rsidRPr="00AF6BDC">
        <w:rPr>
          <w:rFonts w:ascii="Arial" w:hAnsi="Arial" w:cs="Arial"/>
        </w:rPr>
        <w:t xml:space="preserve">of between 85-92% </w:t>
      </w:r>
      <w:r w:rsidRPr="00AF6BDC">
        <w:rPr>
          <w:rFonts w:ascii="Arial" w:hAnsi="Arial" w:cs="Arial"/>
        </w:rPr>
        <w:t>include saved travel/parking, environmental benefit</w:t>
      </w:r>
      <w:r w:rsidR="00E0521F" w:rsidRPr="00AF6BDC">
        <w:rPr>
          <w:rFonts w:ascii="Arial" w:hAnsi="Arial" w:cs="Arial"/>
        </w:rPr>
        <w:t>,</w:t>
      </w:r>
      <w:r w:rsidRPr="00AF6BDC">
        <w:rPr>
          <w:rFonts w:ascii="Arial" w:hAnsi="Arial" w:cs="Arial"/>
        </w:rPr>
        <w:t xml:space="preserve"> saved time/preparation, improved convenienc</w:t>
      </w:r>
      <w:r w:rsidR="00E0521F" w:rsidRPr="00AF6BDC">
        <w:rPr>
          <w:rFonts w:ascii="Arial" w:hAnsi="Arial" w:cs="Arial"/>
        </w:rPr>
        <w:t>e. Imp</w:t>
      </w:r>
      <w:r w:rsidRPr="00AF6BDC">
        <w:rPr>
          <w:rFonts w:ascii="Arial" w:hAnsi="Arial" w:cs="Arial"/>
        </w:rPr>
        <w:t xml:space="preserve">roved access and reduced need to take time off work/school (Morgan, 2021). </w:t>
      </w:r>
      <w:r w:rsidR="006A00A7" w:rsidRPr="00AF6BDC">
        <w:rPr>
          <w:rFonts w:ascii="Arial" w:eastAsia="Times New Roman" w:hAnsi="Arial" w:cs="Arial"/>
          <w:lang w:val="en-GB" w:eastAsia="en-GB"/>
        </w:rPr>
        <w:t>Reported operational gains</w:t>
      </w:r>
      <w:r w:rsidR="006A00A7" w:rsidRPr="00AF6BDC">
        <w:rPr>
          <w:rFonts w:ascii="Arial" w:eastAsia="Times New Roman" w:hAnsi="Arial" w:cs="Arial"/>
          <w:lang w:val="en-GB" w:eastAsia="en-GB"/>
        </w:rPr>
        <w:t xml:space="preserve"> </w:t>
      </w:r>
      <w:r w:rsidR="006A00A7" w:rsidRPr="00AF6BDC">
        <w:rPr>
          <w:rFonts w:ascii="Arial" w:eastAsia="Times New Roman" w:hAnsi="Arial" w:cs="Arial"/>
          <w:lang w:val="en-GB" w:eastAsia="en-GB"/>
        </w:rPr>
        <w:t>such as improved efficiency of clinical time and space (74.8%), enhanced access (72%), reduced waiting times (68.6%), fewer DNAs (61.1%), and improved family participation (59.9%)</w:t>
      </w:r>
      <w:r w:rsidR="006A00A7" w:rsidRPr="00AF6BDC">
        <w:rPr>
          <w:rFonts w:ascii="Arial" w:eastAsia="Times New Roman" w:hAnsi="Arial" w:cs="Arial"/>
          <w:lang w:val="en-GB" w:eastAsia="en-GB"/>
        </w:rPr>
        <w:t xml:space="preserve"> </w:t>
      </w:r>
      <w:r w:rsidR="006A00A7" w:rsidRPr="00AF6BDC">
        <w:rPr>
          <w:rFonts w:ascii="Arial" w:eastAsia="Times New Roman" w:hAnsi="Arial" w:cs="Arial"/>
          <w:lang w:val="en-GB" w:eastAsia="en-GB"/>
        </w:rPr>
        <w:t>suggest meaningful service</w:t>
      </w:r>
      <w:r w:rsidR="006A00A7" w:rsidRPr="00AF6BDC">
        <w:rPr>
          <w:rFonts w:ascii="Arial" w:eastAsia="Times New Roman" w:hAnsi="Arial" w:cs="Arial"/>
          <w:lang w:val="en-GB" w:eastAsia="en-GB"/>
        </w:rPr>
        <w:t xml:space="preserve"> </w:t>
      </w:r>
      <w:r w:rsidR="006A00A7" w:rsidRPr="00AF6BDC">
        <w:rPr>
          <w:rFonts w:ascii="Arial" w:eastAsia="Times New Roman" w:hAnsi="Arial" w:cs="Arial"/>
          <w:lang w:val="en-GB" w:eastAsia="en-GB"/>
        </w:rPr>
        <w:t>level benefits from video consulting (Morgan, 2021). However, these self</w:t>
      </w:r>
      <w:r w:rsidR="006A00A7" w:rsidRPr="00AF6BDC">
        <w:rPr>
          <w:rFonts w:ascii="Arial" w:eastAsia="Times New Roman" w:hAnsi="Arial" w:cs="Arial"/>
          <w:lang w:val="en-GB" w:eastAsia="en-GB"/>
        </w:rPr>
        <w:noBreakHyphen/>
        <w:t>reported outcomes should be interpreted alongside independent evaluations. TEC Cymru’s extensive multi</w:t>
      </w:r>
      <w:r w:rsidR="006A00A7" w:rsidRPr="00AF6BDC">
        <w:rPr>
          <w:rFonts w:ascii="Arial" w:eastAsia="Times New Roman" w:hAnsi="Arial" w:cs="Arial"/>
          <w:lang w:val="en-GB" w:eastAsia="en-GB"/>
        </w:rPr>
        <w:noBreakHyphen/>
        <w:t>specialty analyses corroborate these positive perceptions, identifying high satisfaction with video quality and user experience (Johns et al., 2022), yet further comparative studies are needed to determine how these benefits translate across different patient populations and clinical pathways</w:t>
      </w:r>
      <w:r w:rsidR="00337567" w:rsidRPr="00AF6BDC">
        <w:rPr>
          <w:rFonts w:ascii="Arial" w:eastAsia="Times New Roman" w:hAnsi="Arial" w:cs="Arial"/>
          <w:lang w:val="en-GB" w:eastAsia="en-GB"/>
        </w:rPr>
        <w:t xml:space="preserve"> </w:t>
      </w:r>
      <w:r w:rsidR="00337567" w:rsidRPr="00AF6BDC">
        <w:rPr>
          <w:rFonts w:ascii="Arial" w:eastAsia="Times New Roman" w:hAnsi="Arial" w:cs="Arial"/>
          <w:lang w:val="en-GB" w:eastAsia="en-GB"/>
        </w:rPr>
        <w:t>(</w:t>
      </w:r>
      <w:proofErr w:type="spellStart"/>
      <w:r w:rsidR="00337567" w:rsidRPr="00AF6BDC">
        <w:rPr>
          <w:rFonts w:ascii="Arial" w:eastAsia="Times New Roman" w:hAnsi="Arial" w:cs="Arial"/>
          <w:lang w:val="en-GB" w:eastAsia="en-GB"/>
        </w:rPr>
        <w:t>Kujala</w:t>
      </w:r>
      <w:proofErr w:type="spellEnd"/>
      <w:r w:rsidR="00337567" w:rsidRPr="00AF6BDC">
        <w:rPr>
          <w:rFonts w:ascii="Arial" w:eastAsia="Times New Roman" w:hAnsi="Arial" w:cs="Arial"/>
          <w:lang w:val="en-GB" w:eastAsia="en-GB"/>
        </w:rPr>
        <w:t xml:space="preserve"> et al., 2020)</w:t>
      </w:r>
      <w:r w:rsidR="00337567" w:rsidRPr="00AF6BDC">
        <w:rPr>
          <w:rFonts w:ascii="Arial" w:eastAsia="Times New Roman" w:hAnsi="Arial" w:cs="Arial"/>
          <w:lang w:val="en-GB" w:eastAsia="en-GB"/>
        </w:rPr>
        <w:t xml:space="preserve"> </w:t>
      </w:r>
      <w:r w:rsidR="00337567" w:rsidRPr="00AF6BDC">
        <w:rPr>
          <w:rFonts w:ascii="Arial" w:eastAsia="Times New Roman" w:hAnsi="Arial" w:cs="Arial"/>
          <w:lang w:val="en-GB" w:eastAsia="en-GB"/>
        </w:rPr>
        <w:t>(Johns et al., 2022),</w:t>
      </w:r>
    </w:p>
    <w:p w14:paraId="7F2B6A55" w14:textId="421C016D" w:rsidR="006A00A7" w:rsidRPr="00AF6BDC" w:rsidRDefault="006A00A7" w:rsidP="00AF6BDC">
      <w:pPr>
        <w:spacing w:line="480" w:lineRule="auto"/>
        <w:rPr>
          <w:rFonts w:ascii="Arial" w:eastAsia="Times New Roman" w:hAnsi="Arial" w:cs="Arial"/>
          <w:lang w:val="en-GB" w:eastAsia="en-GB"/>
        </w:rPr>
      </w:pPr>
    </w:p>
    <w:p w14:paraId="41188155" w14:textId="4C56677B" w:rsidR="00825692" w:rsidRPr="00AF6BDC" w:rsidRDefault="008032A3" w:rsidP="00AF6BDC">
      <w:pPr>
        <w:spacing w:line="480" w:lineRule="auto"/>
        <w:rPr>
          <w:rFonts w:ascii="Arial" w:hAnsi="Arial" w:cs="Arial"/>
        </w:rPr>
      </w:pPr>
      <w:r w:rsidRPr="00AF6BDC">
        <w:rPr>
          <w:rFonts w:ascii="Arial" w:hAnsi="Arial" w:cs="Arial"/>
        </w:rPr>
        <w:br/>
        <w:t>Thematic analys</w:t>
      </w:r>
      <w:r w:rsidR="002E3334" w:rsidRPr="00AF6BDC">
        <w:rPr>
          <w:rFonts w:ascii="Arial" w:hAnsi="Arial" w:cs="Arial"/>
        </w:rPr>
        <w:t>i</w:t>
      </w:r>
      <w:r w:rsidRPr="00AF6BDC">
        <w:rPr>
          <w:rFonts w:ascii="Arial" w:hAnsi="Arial" w:cs="Arial"/>
        </w:rPr>
        <w:t xml:space="preserve">s identified domains such as the </w:t>
      </w:r>
      <w:r w:rsidR="002E3334" w:rsidRPr="00AF6BDC">
        <w:rPr>
          <w:rFonts w:ascii="Arial" w:hAnsi="Arial" w:cs="Arial"/>
        </w:rPr>
        <w:t>e</w:t>
      </w:r>
      <w:r w:rsidRPr="00AF6BDC">
        <w:rPr>
          <w:rFonts w:ascii="Arial" w:hAnsi="Arial" w:cs="Arial"/>
        </w:rPr>
        <w:t xml:space="preserve">ase of VC, </w:t>
      </w:r>
      <w:r w:rsidR="002E3334" w:rsidRPr="00AF6BDC">
        <w:rPr>
          <w:rFonts w:ascii="Arial" w:hAnsi="Arial" w:cs="Arial"/>
        </w:rPr>
        <w:t>p</w:t>
      </w:r>
      <w:r w:rsidRPr="00AF6BDC">
        <w:rPr>
          <w:rFonts w:ascii="Arial" w:hAnsi="Arial" w:cs="Arial"/>
        </w:rPr>
        <w:t xml:space="preserve">ersonal </w:t>
      </w:r>
      <w:r w:rsidR="002E3334" w:rsidRPr="00AF6BDC">
        <w:rPr>
          <w:rFonts w:ascii="Arial" w:hAnsi="Arial" w:cs="Arial"/>
        </w:rPr>
        <w:t>t</w:t>
      </w:r>
      <w:r w:rsidRPr="00AF6BDC">
        <w:rPr>
          <w:rFonts w:ascii="Arial" w:hAnsi="Arial" w:cs="Arial"/>
        </w:rPr>
        <w:t xml:space="preserve">ouches, </w:t>
      </w:r>
      <w:r w:rsidR="002E3334" w:rsidRPr="00AF6BDC">
        <w:rPr>
          <w:rFonts w:ascii="Arial" w:hAnsi="Arial" w:cs="Arial"/>
        </w:rPr>
        <w:t>b</w:t>
      </w:r>
      <w:r w:rsidRPr="00AF6BDC">
        <w:rPr>
          <w:rFonts w:ascii="Arial" w:hAnsi="Arial" w:cs="Arial"/>
        </w:rPr>
        <w:t xml:space="preserve">enefits, </w:t>
      </w:r>
      <w:r w:rsidR="002E3334" w:rsidRPr="00AF6BDC">
        <w:rPr>
          <w:rFonts w:ascii="Arial" w:hAnsi="Arial" w:cs="Arial"/>
        </w:rPr>
        <w:t>c</w:t>
      </w:r>
      <w:r w:rsidRPr="00AF6BDC">
        <w:rPr>
          <w:rFonts w:ascii="Arial" w:hAnsi="Arial" w:cs="Arial"/>
        </w:rPr>
        <w:t>hallenges</w:t>
      </w:r>
      <w:r w:rsidR="002E3334" w:rsidRPr="00AF6BDC">
        <w:rPr>
          <w:rFonts w:ascii="Arial" w:hAnsi="Arial" w:cs="Arial"/>
        </w:rPr>
        <w:t xml:space="preserve"> and</w:t>
      </w:r>
      <w:r w:rsidRPr="00AF6BDC">
        <w:rPr>
          <w:rFonts w:ascii="Arial" w:hAnsi="Arial" w:cs="Arial"/>
        </w:rPr>
        <w:t xml:space="preserve"> </w:t>
      </w:r>
      <w:r w:rsidR="002E3334" w:rsidRPr="00AF6BDC">
        <w:rPr>
          <w:rFonts w:ascii="Arial" w:hAnsi="Arial" w:cs="Arial"/>
        </w:rPr>
        <w:t>t</w:t>
      </w:r>
      <w:r w:rsidRPr="00AF6BDC">
        <w:rPr>
          <w:rFonts w:ascii="Arial" w:hAnsi="Arial" w:cs="Arial"/>
        </w:rPr>
        <w:t xml:space="preserve">echnical </w:t>
      </w:r>
      <w:r w:rsidR="002E3334" w:rsidRPr="00AF6BDC">
        <w:rPr>
          <w:rFonts w:ascii="Arial" w:hAnsi="Arial" w:cs="Arial"/>
        </w:rPr>
        <w:t>qu</w:t>
      </w:r>
      <w:r w:rsidRPr="00AF6BDC">
        <w:rPr>
          <w:rFonts w:ascii="Arial" w:hAnsi="Arial" w:cs="Arial"/>
        </w:rPr>
        <w:t>ality</w:t>
      </w:r>
      <w:r w:rsidR="002E3334" w:rsidRPr="00AF6BDC">
        <w:rPr>
          <w:rFonts w:ascii="Arial" w:hAnsi="Arial" w:cs="Arial"/>
        </w:rPr>
        <w:t xml:space="preserve"> </w:t>
      </w:r>
      <w:r w:rsidRPr="00AF6BDC">
        <w:rPr>
          <w:rFonts w:ascii="Arial" w:hAnsi="Arial" w:cs="Arial"/>
        </w:rPr>
        <w:t xml:space="preserve">(Johns et al., 2022). Clinicians </w:t>
      </w:r>
      <w:proofErr w:type="spellStart"/>
      <w:r w:rsidRPr="00AF6BDC">
        <w:rPr>
          <w:rFonts w:ascii="Arial" w:hAnsi="Arial" w:cs="Arial"/>
        </w:rPr>
        <w:t>favoured</w:t>
      </w:r>
      <w:proofErr w:type="spellEnd"/>
      <w:r w:rsidRPr="00AF6BDC">
        <w:rPr>
          <w:rFonts w:ascii="Arial" w:hAnsi="Arial" w:cs="Arial"/>
        </w:rPr>
        <w:t xml:space="preserve"> a blended model</w:t>
      </w:r>
      <w:r w:rsidR="002874B0" w:rsidRPr="00AF6BDC">
        <w:rPr>
          <w:rFonts w:ascii="Arial" w:hAnsi="Arial" w:cs="Arial"/>
        </w:rPr>
        <w:t xml:space="preserve">, </w:t>
      </w:r>
      <w:r w:rsidRPr="00AF6BDC">
        <w:rPr>
          <w:rFonts w:ascii="Arial" w:hAnsi="Arial" w:cs="Arial"/>
        </w:rPr>
        <w:t>using video where clinically appropriate and deferring to telephone or face</w:t>
      </w:r>
      <w:r w:rsidRPr="00AF6BDC">
        <w:rPr>
          <w:rFonts w:ascii="Cambria Math" w:hAnsi="Cambria Math" w:cs="Cambria Math"/>
        </w:rPr>
        <w:t>‑</w:t>
      </w:r>
      <w:r w:rsidRPr="00AF6BDC">
        <w:rPr>
          <w:rFonts w:ascii="Arial" w:hAnsi="Arial" w:cs="Arial"/>
        </w:rPr>
        <w:t>to</w:t>
      </w:r>
      <w:r w:rsidRPr="00AF6BDC">
        <w:rPr>
          <w:rFonts w:ascii="Cambria Math" w:hAnsi="Cambria Math" w:cs="Cambria Math"/>
        </w:rPr>
        <w:t>‑</w:t>
      </w:r>
      <w:r w:rsidRPr="00AF6BDC">
        <w:rPr>
          <w:rFonts w:ascii="Arial" w:hAnsi="Arial" w:cs="Arial"/>
        </w:rPr>
        <w:t>face when required (Johns et al., 2021; Johns et al., 2022). ABUHB’s CAMHS telepsychiatry (CWTCH) reported high satisfaction, substantial time/travel/carbon savings and sustained adoption; conversely, learning</w:t>
      </w:r>
      <w:r w:rsidRPr="00AF6BDC">
        <w:rPr>
          <w:rFonts w:ascii="Cambria Math" w:hAnsi="Cambria Math" w:cs="Cambria Math"/>
        </w:rPr>
        <w:t>‑</w:t>
      </w:r>
      <w:r w:rsidRPr="00AF6BDC">
        <w:rPr>
          <w:rFonts w:ascii="Arial" w:hAnsi="Arial" w:cs="Arial"/>
        </w:rPr>
        <w:t>disability follow</w:t>
      </w:r>
      <w:r w:rsidRPr="00AF6BDC">
        <w:rPr>
          <w:rFonts w:ascii="Cambria Math" w:hAnsi="Cambria Math" w:cs="Cambria Math"/>
        </w:rPr>
        <w:t>‑</w:t>
      </w:r>
      <w:r w:rsidRPr="00AF6BDC">
        <w:rPr>
          <w:rFonts w:ascii="Arial" w:hAnsi="Arial" w:cs="Arial"/>
        </w:rPr>
        <w:t>ups sometimes encountered higher rates of technical disruption and communication complexity, with telephone outperforming video for some individuals (Health Foundation, n.d.; Saraswat &amp; Bright, 2022).</w:t>
      </w:r>
      <w:r w:rsidRPr="00AF6BDC">
        <w:rPr>
          <w:rFonts w:ascii="Arial" w:hAnsi="Arial" w:cs="Arial"/>
        </w:rPr>
        <w:br/>
      </w:r>
      <w:r w:rsidRPr="00AF6BDC">
        <w:rPr>
          <w:rFonts w:ascii="Arial" w:hAnsi="Arial" w:cs="Arial"/>
        </w:rPr>
        <w:br/>
        <w:t>NHS Wales I</w:t>
      </w:r>
      <w:r w:rsidR="002E3334" w:rsidRPr="00AF6BDC">
        <w:rPr>
          <w:rFonts w:ascii="Arial" w:hAnsi="Arial" w:cs="Arial"/>
        </w:rPr>
        <w:t xml:space="preserve">nformation </w:t>
      </w:r>
      <w:r w:rsidRPr="00AF6BDC">
        <w:rPr>
          <w:rFonts w:ascii="Arial" w:hAnsi="Arial" w:cs="Arial"/>
        </w:rPr>
        <w:t>G</w:t>
      </w:r>
      <w:r w:rsidR="002E3334" w:rsidRPr="00AF6BDC">
        <w:rPr>
          <w:rFonts w:ascii="Arial" w:hAnsi="Arial" w:cs="Arial"/>
        </w:rPr>
        <w:t>overnance</w:t>
      </w:r>
      <w:r w:rsidRPr="00AF6BDC">
        <w:rPr>
          <w:rFonts w:ascii="Arial" w:hAnsi="Arial" w:cs="Arial"/>
        </w:rPr>
        <w:t xml:space="preserve"> guidance endorses Attend Anywhere for patient </w:t>
      </w:r>
      <w:r w:rsidRPr="00AF6BDC">
        <w:rPr>
          <w:rFonts w:ascii="Arial" w:hAnsi="Arial" w:cs="Arial"/>
        </w:rPr>
        <w:lastRenderedPageBreak/>
        <w:t xml:space="preserve">consultations and clarifies acceptable use of other platforms (e.g., Teams for </w:t>
      </w:r>
      <w:r w:rsidR="002E3334" w:rsidRPr="00AF6BDC">
        <w:rPr>
          <w:rFonts w:ascii="Arial" w:hAnsi="Arial" w:cs="Arial"/>
        </w:rPr>
        <w:t>internal communication</w:t>
      </w:r>
      <w:r w:rsidRPr="00AF6BDC">
        <w:rPr>
          <w:rFonts w:ascii="Arial" w:hAnsi="Arial" w:cs="Arial"/>
        </w:rPr>
        <w:t>), with consumer apps permissible only in exceptional, risk</w:t>
      </w:r>
      <w:r w:rsidRPr="00AF6BDC">
        <w:rPr>
          <w:rFonts w:ascii="Cambria Math" w:hAnsi="Cambria Math" w:cs="Cambria Math"/>
        </w:rPr>
        <w:t>‑</w:t>
      </w:r>
      <w:r w:rsidRPr="00AF6BDC">
        <w:rPr>
          <w:rFonts w:ascii="Arial" w:hAnsi="Arial" w:cs="Arial"/>
        </w:rPr>
        <w:t>managed circumstances</w:t>
      </w:r>
      <w:r w:rsidR="006A00A7" w:rsidRPr="00AF6BDC">
        <w:rPr>
          <w:rFonts w:ascii="Arial" w:hAnsi="Arial" w:cs="Arial"/>
        </w:rPr>
        <w:t xml:space="preserve"> </w:t>
      </w:r>
      <w:r w:rsidRPr="00AF6BDC">
        <w:rPr>
          <w:rFonts w:ascii="Arial" w:hAnsi="Arial" w:cs="Arial"/>
        </w:rPr>
        <w:t>ABUHB patient leaflets reinforce privacy and non</w:t>
      </w:r>
      <w:r w:rsidRPr="00AF6BDC">
        <w:rPr>
          <w:rFonts w:ascii="Cambria Math" w:hAnsi="Cambria Math" w:cs="Cambria Math"/>
        </w:rPr>
        <w:t>‑</w:t>
      </w:r>
      <w:r w:rsidRPr="00AF6BDC">
        <w:rPr>
          <w:rFonts w:ascii="Arial" w:hAnsi="Arial" w:cs="Arial"/>
        </w:rPr>
        <w:t>storage of call content (DHCW, 2021a; 2021b; 2021c; ABUHB,</w:t>
      </w:r>
      <w:r w:rsidR="002E3334" w:rsidRPr="00AF6BDC">
        <w:rPr>
          <w:rFonts w:ascii="Arial" w:hAnsi="Arial" w:cs="Arial"/>
        </w:rPr>
        <w:t xml:space="preserve"> 2021</w:t>
      </w:r>
      <w:r w:rsidRPr="00AF6BDC">
        <w:rPr>
          <w:rFonts w:ascii="Arial" w:hAnsi="Arial" w:cs="Arial"/>
        </w:rPr>
        <w:t>).</w:t>
      </w:r>
    </w:p>
    <w:p w14:paraId="411D308F" w14:textId="77777777" w:rsidR="006A00A7" w:rsidRPr="00337567" w:rsidRDefault="006A00A7" w:rsidP="00E0521F">
      <w:pPr>
        <w:spacing w:line="300" w:lineRule="atLeast"/>
        <w:rPr>
          <w:rFonts w:ascii="Arial" w:eastAsia="Times New Roman" w:hAnsi="Arial" w:cs="Arial"/>
          <w:lang w:val="en-GB" w:eastAsia="en-GB"/>
        </w:rPr>
      </w:pPr>
    </w:p>
    <w:p w14:paraId="64266E65" w14:textId="77777777" w:rsidR="00825692" w:rsidRPr="00337567" w:rsidRDefault="008032A3">
      <w:pPr>
        <w:pStyle w:val="Heading2"/>
        <w:rPr>
          <w:rFonts w:ascii="Arial" w:hAnsi="Arial" w:cs="Arial"/>
          <w:sz w:val="22"/>
          <w:szCs w:val="22"/>
        </w:rPr>
      </w:pPr>
      <w:r w:rsidRPr="00337567">
        <w:rPr>
          <w:rFonts w:ascii="Arial" w:hAnsi="Arial" w:cs="Arial"/>
          <w:sz w:val="22"/>
          <w:szCs w:val="22"/>
        </w:rPr>
        <w:t>Discussion</w:t>
      </w:r>
    </w:p>
    <w:p w14:paraId="7FF0E2E2" w14:textId="7EC3AEB7" w:rsidR="009F2A5B" w:rsidRDefault="009F2A5B">
      <w:pPr>
        <w:rPr>
          <w:rFonts w:ascii="Arial" w:hAnsi="Arial" w:cs="Arial"/>
        </w:rPr>
      </w:pPr>
    </w:p>
    <w:p w14:paraId="3412AE99" w14:textId="22B83C5C" w:rsidR="00E10B69" w:rsidRPr="00337567" w:rsidRDefault="00E10B69">
      <w:pPr>
        <w:rPr>
          <w:rFonts w:ascii="Arial" w:hAnsi="Arial" w:cs="Arial"/>
        </w:rPr>
      </w:pPr>
      <w:r>
        <w:rPr>
          <w:rFonts w:ascii="Arial" w:hAnsi="Arial" w:cs="Arial"/>
        </w:rPr>
        <w:t>The table below shows the application of the FITTE framework in relation to the Attend Anywhere technology.</w:t>
      </w:r>
    </w:p>
    <w:p w14:paraId="10BFBBC4" w14:textId="306EA982" w:rsidR="009F2A5B" w:rsidRPr="00337567" w:rsidRDefault="009F2A5B" w:rsidP="009F2A5B">
      <w:pPr>
        <w:pStyle w:val="Heading1"/>
        <w:rPr>
          <w:rFonts w:ascii="Arial" w:hAnsi="Arial" w:cs="Arial"/>
          <w:sz w:val="22"/>
          <w:szCs w:val="22"/>
        </w:rPr>
      </w:pPr>
      <w:r w:rsidRPr="00337567">
        <w:rPr>
          <w:rFonts w:ascii="Arial" w:hAnsi="Arial" w:cs="Arial"/>
          <w:sz w:val="22"/>
          <w:szCs w:val="22"/>
        </w:rPr>
        <w:t>FIT</w:t>
      </w:r>
      <w:r w:rsidR="00337567">
        <w:rPr>
          <w:rFonts w:ascii="Arial" w:hAnsi="Arial" w:cs="Arial"/>
          <w:sz w:val="22"/>
          <w:szCs w:val="22"/>
        </w:rPr>
        <w:t>T</w:t>
      </w:r>
      <w:r w:rsidR="00E10B69">
        <w:rPr>
          <w:rFonts w:ascii="Arial" w:hAnsi="Arial" w:cs="Arial"/>
          <w:sz w:val="22"/>
          <w:szCs w:val="22"/>
        </w:rPr>
        <w:t>E</w:t>
      </w:r>
      <w:r w:rsidRPr="00337567">
        <w:rPr>
          <w:rFonts w:ascii="Arial" w:hAnsi="Arial" w:cs="Arial"/>
          <w:sz w:val="22"/>
          <w:szCs w:val="22"/>
        </w:rPr>
        <w:t xml:space="preserve"> Analysis Table </w:t>
      </w:r>
    </w:p>
    <w:tbl>
      <w:tblPr>
        <w:tblStyle w:val="GridTable5Dark-Accent1"/>
        <w:tblW w:w="0" w:type="auto"/>
        <w:tblInd w:w="-318" w:type="dxa"/>
        <w:tblLook w:val="04A0" w:firstRow="1" w:lastRow="0" w:firstColumn="1" w:lastColumn="0" w:noHBand="0" w:noVBand="1"/>
      </w:tblPr>
      <w:tblGrid>
        <w:gridCol w:w="1637"/>
        <w:gridCol w:w="1501"/>
        <w:gridCol w:w="1581"/>
        <w:gridCol w:w="2528"/>
        <w:gridCol w:w="1701"/>
      </w:tblGrid>
      <w:tr w:rsidR="00337567" w:rsidRPr="00337567" w14:paraId="3065DD8E" w14:textId="77777777" w:rsidTr="004547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3" w:type="dxa"/>
          </w:tcPr>
          <w:p w14:paraId="26930607" w14:textId="77777777" w:rsidR="009F2A5B" w:rsidRPr="00337567" w:rsidRDefault="009F2A5B" w:rsidP="0045476B">
            <w:pPr>
              <w:rPr>
                <w:rFonts w:ascii="Arial" w:hAnsi="Arial" w:cs="Arial"/>
              </w:rPr>
            </w:pPr>
            <w:r w:rsidRPr="00337567">
              <w:rPr>
                <w:rFonts w:ascii="Arial" w:hAnsi="Arial" w:cs="Arial"/>
              </w:rPr>
              <w:t>FITTE dimension</w:t>
            </w:r>
          </w:p>
        </w:tc>
        <w:tc>
          <w:tcPr>
            <w:tcW w:w="1476" w:type="dxa"/>
          </w:tcPr>
          <w:p w14:paraId="715AFA61" w14:textId="77777777" w:rsidR="009F2A5B" w:rsidRPr="00337567" w:rsidRDefault="009F2A5B" w:rsidP="0045476B">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Key questions</w:t>
            </w:r>
          </w:p>
        </w:tc>
        <w:tc>
          <w:tcPr>
            <w:tcW w:w="1594" w:type="dxa"/>
          </w:tcPr>
          <w:p w14:paraId="4A445226" w14:textId="77777777" w:rsidR="009F2A5B" w:rsidRPr="00337567" w:rsidRDefault="009F2A5B" w:rsidP="0045476B">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Strengths / enablers</w:t>
            </w:r>
          </w:p>
        </w:tc>
        <w:tc>
          <w:tcPr>
            <w:tcW w:w="2524" w:type="dxa"/>
          </w:tcPr>
          <w:p w14:paraId="3A105FD6" w14:textId="77777777" w:rsidR="009F2A5B" w:rsidRPr="00337567" w:rsidRDefault="009F2A5B" w:rsidP="0045476B">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Risks / gaps</w:t>
            </w:r>
          </w:p>
        </w:tc>
        <w:tc>
          <w:tcPr>
            <w:tcW w:w="1717" w:type="dxa"/>
          </w:tcPr>
          <w:p w14:paraId="21395B07" w14:textId="77777777" w:rsidR="009F2A5B" w:rsidRPr="00337567" w:rsidRDefault="009F2A5B" w:rsidP="0045476B">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Practical actions</w:t>
            </w:r>
          </w:p>
        </w:tc>
      </w:tr>
      <w:tr w:rsidR="00337567" w:rsidRPr="00337567" w14:paraId="6D4AEDB2" w14:textId="77777777" w:rsidTr="004547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3" w:type="dxa"/>
          </w:tcPr>
          <w:p w14:paraId="4EF16B66" w14:textId="77777777" w:rsidR="009F2A5B" w:rsidRPr="00337567" w:rsidRDefault="009F2A5B" w:rsidP="0045476B">
            <w:pPr>
              <w:rPr>
                <w:rFonts w:ascii="Arial" w:hAnsi="Arial" w:cs="Arial"/>
              </w:rPr>
            </w:pPr>
            <w:r w:rsidRPr="00337567">
              <w:rPr>
                <w:rFonts w:ascii="Arial" w:hAnsi="Arial" w:cs="Arial"/>
              </w:rPr>
              <w:t>Individuals</w:t>
            </w:r>
          </w:p>
        </w:tc>
        <w:tc>
          <w:tcPr>
            <w:tcW w:w="1476" w:type="dxa"/>
          </w:tcPr>
          <w:p w14:paraId="1EB20797"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Who uses it? Skills, attitudes, support</w:t>
            </w:r>
          </w:p>
        </w:tc>
        <w:tc>
          <w:tcPr>
            <w:tcW w:w="1594" w:type="dxa"/>
          </w:tcPr>
          <w:p w14:paraId="2ED9F609"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High acceptability from both patients and clinicians, resulting in a large-scale roll out and rapid uptake</w:t>
            </w:r>
          </w:p>
        </w:tc>
        <w:tc>
          <w:tcPr>
            <w:tcW w:w="2524" w:type="dxa"/>
          </w:tcPr>
          <w:p w14:paraId="7AC08A5D"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Digital exclusion risk for some older adults or deprived groups.</w:t>
            </w:r>
          </w:p>
        </w:tc>
        <w:tc>
          <w:tcPr>
            <w:tcW w:w="1717" w:type="dxa"/>
          </w:tcPr>
          <w:p w14:paraId="4788FC7C"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Provide pre-call checklist, which can help identify vulnerable cohorts.</w:t>
            </w:r>
          </w:p>
        </w:tc>
      </w:tr>
      <w:tr w:rsidR="00337567" w:rsidRPr="00337567" w14:paraId="7236DC2B" w14:textId="77777777" w:rsidTr="0045476B">
        <w:tc>
          <w:tcPr>
            <w:cnfStyle w:val="001000000000" w:firstRow="0" w:lastRow="0" w:firstColumn="1" w:lastColumn="0" w:oddVBand="0" w:evenVBand="0" w:oddHBand="0" w:evenHBand="0" w:firstRowFirstColumn="0" w:firstRowLastColumn="0" w:lastRowFirstColumn="0" w:lastRowLastColumn="0"/>
            <w:tcW w:w="1863" w:type="dxa"/>
          </w:tcPr>
          <w:p w14:paraId="6E8DBEE5" w14:textId="77777777" w:rsidR="009F2A5B" w:rsidRPr="00337567" w:rsidRDefault="009F2A5B" w:rsidP="0045476B">
            <w:pPr>
              <w:rPr>
                <w:rFonts w:ascii="Arial" w:hAnsi="Arial" w:cs="Arial"/>
              </w:rPr>
            </w:pPr>
            <w:r w:rsidRPr="00337567">
              <w:rPr>
                <w:rFonts w:ascii="Arial" w:hAnsi="Arial" w:cs="Arial"/>
              </w:rPr>
              <w:t>Tasks</w:t>
            </w:r>
          </w:p>
        </w:tc>
        <w:tc>
          <w:tcPr>
            <w:tcW w:w="1476" w:type="dxa"/>
          </w:tcPr>
          <w:p w14:paraId="4EE1537F"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Which consultations are appropriate?</w:t>
            </w:r>
          </w:p>
        </w:tc>
        <w:tc>
          <w:tcPr>
            <w:tcW w:w="1594" w:type="dxa"/>
          </w:tcPr>
          <w:p w14:paraId="354D162A"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Suitable for routine follow-ups, results or ‘stable’ chronic conditions</w:t>
            </w:r>
          </w:p>
        </w:tc>
        <w:tc>
          <w:tcPr>
            <w:tcW w:w="2524" w:type="dxa"/>
          </w:tcPr>
          <w:p w14:paraId="695819BB"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Not suitable for unpredictable/extensive exams</w:t>
            </w:r>
          </w:p>
        </w:tc>
        <w:tc>
          <w:tcPr>
            <w:tcW w:w="1717" w:type="dxa"/>
          </w:tcPr>
          <w:p w14:paraId="73DFF7EB"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Map video-appropriate tasks, create triage rules</w:t>
            </w:r>
          </w:p>
        </w:tc>
      </w:tr>
      <w:tr w:rsidR="00337567" w:rsidRPr="00337567" w14:paraId="680E71A8" w14:textId="77777777" w:rsidTr="004547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3" w:type="dxa"/>
          </w:tcPr>
          <w:p w14:paraId="3DA949BE" w14:textId="77777777" w:rsidR="009F2A5B" w:rsidRPr="00337567" w:rsidRDefault="009F2A5B" w:rsidP="0045476B">
            <w:pPr>
              <w:rPr>
                <w:rFonts w:ascii="Arial" w:hAnsi="Arial" w:cs="Arial"/>
              </w:rPr>
            </w:pPr>
            <w:r w:rsidRPr="00337567">
              <w:rPr>
                <w:rFonts w:ascii="Arial" w:hAnsi="Arial" w:cs="Arial"/>
              </w:rPr>
              <w:t>Technology</w:t>
            </w:r>
          </w:p>
        </w:tc>
        <w:tc>
          <w:tcPr>
            <w:tcW w:w="1476" w:type="dxa"/>
          </w:tcPr>
          <w:p w14:paraId="227EDC10"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Does tech match needs?</w:t>
            </w:r>
          </w:p>
        </w:tc>
        <w:tc>
          <w:tcPr>
            <w:tcW w:w="1594" w:type="dxa"/>
          </w:tcPr>
          <w:p w14:paraId="77CD03B6"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Browser-based, no need for a registered account, works on common devices</w:t>
            </w:r>
          </w:p>
        </w:tc>
        <w:tc>
          <w:tcPr>
            <w:tcW w:w="2524" w:type="dxa"/>
          </w:tcPr>
          <w:p w14:paraId="0F145C46"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Connectivity varies at home, in addition to call quality.</w:t>
            </w:r>
          </w:p>
        </w:tc>
        <w:tc>
          <w:tcPr>
            <w:tcW w:w="1717" w:type="dxa"/>
          </w:tcPr>
          <w:p w14:paraId="1B24A659" w14:textId="77777777" w:rsidR="009F2A5B" w:rsidRPr="00337567" w:rsidRDefault="009F2A5B" w:rsidP="0045476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37567">
              <w:rPr>
                <w:rFonts w:ascii="Arial" w:hAnsi="Arial" w:cs="Arial"/>
              </w:rPr>
              <w:t>Provide device/browser guidance, test link, fallbacks such as a telephone number.</w:t>
            </w:r>
          </w:p>
        </w:tc>
      </w:tr>
      <w:tr w:rsidR="00337567" w:rsidRPr="00337567" w14:paraId="6E13C0BF" w14:textId="77777777" w:rsidTr="0045476B">
        <w:tc>
          <w:tcPr>
            <w:cnfStyle w:val="001000000000" w:firstRow="0" w:lastRow="0" w:firstColumn="1" w:lastColumn="0" w:oddVBand="0" w:evenVBand="0" w:oddHBand="0" w:evenHBand="0" w:firstRowFirstColumn="0" w:firstRowLastColumn="0" w:lastRowFirstColumn="0" w:lastRowLastColumn="0"/>
            <w:tcW w:w="1863" w:type="dxa"/>
          </w:tcPr>
          <w:p w14:paraId="0D2B2542" w14:textId="77777777" w:rsidR="009F2A5B" w:rsidRPr="00337567" w:rsidRDefault="009F2A5B" w:rsidP="0045476B">
            <w:pPr>
              <w:rPr>
                <w:rFonts w:ascii="Arial" w:hAnsi="Arial" w:cs="Arial"/>
              </w:rPr>
            </w:pPr>
            <w:r w:rsidRPr="00337567">
              <w:rPr>
                <w:rFonts w:ascii="Arial" w:hAnsi="Arial" w:cs="Arial"/>
              </w:rPr>
              <w:t>Environment</w:t>
            </w:r>
          </w:p>
        </w:tc>
        <w:tc>
          <w:tcPr>
            <w:tcW w:w="1476" w:type="dxa"/>
          </w:tcPr>
          <w:p w14:paraId="4B4105AE"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 xml:space="preserve">Contextual factors such as clinic space, scheduling, </w:t>
            </w:r>
            <w:r w:rsidRPr="00337567">
              <w:rPr>
                <w:rFonts w:ascii="Arial" w:hAnsi="Arial" w:cs="Arial"/>
              </w:rPr>
              <w:lastRenderedPageBreak/>
              <w:t>governance and equality.</w:t>
            </w:r>
          </w:p>
        </w:tc>
        <w:tc>
          <w:tcPr>
            <w:tcW w:w="1594" w:type="dxa"/>
          </w:tcPr>
          <w:p w14:paraId="1883C09A"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lastRenderedPageBreak/>
              <w:t>National scale, time/cost/CO</w:t>
            </w:r>
            <w:r w:rsidRPr="00337567">
              <w:rPr>
                <w:rFonts w:ascii="Cambria Math" w:hAnsi="Cambria Math" w:cs="Cambria Math"/>
              </w:rPr>
              <w:t>₂</w:t>
            </w:r>
            <w:r w:rsidRPr="00337567">
              <w:rPr>
                <w:rFonts w:ascii="Arial" w:hAnsi="Arial" w:cs="Arial"/>
              </w:rPr>
              <w:t xml:space="preserve"> savings</w:t>
            </w:r>
          </w:p>
        </w:tc>
        <w:tc>
          <w:tcPr>
            <w:tcW w:w="2524" w:type="dxa"/>
          </w:tcPr>
          <w:p w14:paraId="11808600"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Variation in adoption across services and Health Boards; need SOPs/training</w:t>
            </w:r>
          </w:p>
        </w:tc>
        <w:tc>
          <w:tcPr>
            <w:tcW w:w="1717" w:type="dxa"/>
          </w:tcPr>
          <w:p w14:paraId="0AA16E5E" w14:textId="77777777" w:rsidR="009F2A5B" w:rsidRPr="00337567" w:rsidRDefault="009F2A5B" w:rsidP="0045476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37567">
              <w:rPr>
                <w:rFonts w:ascii="Arial" w:hAnsi="Arial" w:cs="Arial"/>
              </w:rPr>
              <w:t>Develop SOPs, training, equity monitoring</w:t>
            </w:r>
          </w:p>
        </w:tc>
      </w:tr>
    </w:tbl>
    <w:p w14:paraId="5AAC9E63" w14:textId="569BFFF2" w:rsidR="009F2A5B" w:rsidRPr="00337567" w:rsidRDefault="009F2A5B" w:rsidP="00573A4D">
      <w:pPr>
        <w:spacing w:line="300" w:lineRule="atLeast"/>
        <w:rPr>
          <w:rFonts w:ascii="Arial" w:eastAsia="Times New Roman" w:hAnsi="Arial" w:cs="Arial"/>
          <w:lang w:val="en-GB" w:eastAsia="en-GB"/>
        </w:rPr>
      </w:pPr>
      <w:r w:rsidRPr="00DB5D77">
        <w:rPr>
          <w:rFonts w:ascii="Arial" w:eastAsia="Times New Roman" w:hAnsi="Arial" w:cs="Arial"/>
          <w:lang w:val="en-GB" w:eastAsia="en-GB"/>
        </w:rPr>
        <w:t>(Edge Health, 2021)</w:t>
      </w:r>
      <w:r w:rsidRPr="00337567">
        <w:rPr>
          <w:rFonts w:ascii="Arial" w:eastAsia="Times New Roman" w:hAnsi="Arial" w:cs="Arial"/>
          <w:lang w:val="en-GB" w:eastAsia="en-GB"/>
        </w:rPr>
        <w:t>, (Health Innovation Network, 2020), (Scottish Government, 2020) (ABUHB, 2021).</w:t>
      </w:r>
    </w:p>
    <w:p w14:paraId="77C511B5" w14:textId="77777777" w:rsidR="00982835" w:rsidRPr="00AF6BDC" w:rsidRDefault="00982835" w:rsidP="00AF6BDC">
      <w:pPr>
        <w:pStyle w:val="NormalWeb"/>
        <w:spacing w:line="480" w:lineRule="auto"/>
        <w:rPr>
          <w:rFonts w:ascii="Arial" w:hAnsi="Arial" w:cs="Arial"/>
          <w:sz w:val="22"/>
          <w:szCs w:val="22"/>
        </w:rPr>
      </w:pPr>
      <w:r w:rsidRPr="00AF6BDC">
        <w:rPr>
          <w:rFonts w:ascii="Arial" w:hAnsi="Arial" w:cs="Arial"/>
          <w:sz w:val="22"/>
          <w:szCs w:val="22"/>
        </w:rPr>
        <w:t xml:space="preserve">Overall, Attend Anywhere demonstrates a robust </w:t>
      </w:r>
      <w:r w:rsidRPr="00AF6BDC">
        <w:rPr>
          <w:rStyle w:val="Strong"/>
          <w:rFonts w:ascii="Arial" w:hAnsi="Arial" w:cs="Arial"/>
          <w:b w:val="0"/>
          <w:bCs w:val="0"/>
          <w:sz w:val="22"/>
          <w:szCs w:val="22"/>
        </w:rPr>
        <w:t>Individual</w:t>
      </w:r>
      <w:r w:rsidRPr="00AF6BDC">
        <w:rPr>
          <w:rStyle w:val="Strong"/>
          <w:rFonts w:ascii="Arial" w:hAnsi="Arial" w:cs="Arial"/>
          <w:b w:val="0"/>
          <w:bCs w:val="0"/>
          <w:sz w:val="22"/>
          <w:szCs w:val="22"/>
        </w:rPr>
        <w:t xml:space="preserve"> t</w:t>
      </w:r>
      <w:r w:rsidRPr="00AF6BDC">
        <w:rPr>
          <w:rStyle w:val="Strong"/>
          <w:rFonts w:ascii="Arial" w:hAnsi="Arial" w:cs="Arial"/>
          <w:b w:val="0"/>
          <w:bCs w:val="0"/>
          <w:sz w:val="22"/>
          <w:szCs w:val="22"/>
        </w:rPr>
        <w:t>echnology fit</w:t>
      </w:r>
      <w:r w:rsidRPr="00AF6BDC">
        <w:rPr>
          <w:rFonts w:ascii="Arial" w:hAnsi="Arial" w:cs="Arial"/>
          <w:sz w:val="22"/>
          <w:szCs w:val="22"/>
        </w:rPr>
        <w:t xml:space="preserve"> across many ABUHB use cases. Patients consistently report valuing convenience, reduced travel and waiting times, and the ability to involve family or carers when needed. Clinicians cite improved efficiency, smoother scheduling and the benefits of structured, reception</w:t>
      </w:r>
      <w:r w:rsidRPr="00AF6BDC">
        <w:rPr>
          <w:rFonts w:ascii="Arial" w:hAnsi="Arial" w:cs="Arial"/>
          <w:sz w:val="22"/>
          <w:szCs w:val="22"/>
        </w:rPr>
        <w:noBreakHyphen/>
        <w:t>style waiting areas, while administrators benefit from a standardised, scheduled</w:t>
      </w:r>
      <w:r w:rsidRPr="00AF6BDC">
        <w:rPr>
          <w:rFonts w:ascii="Arial" w:hAnsi="Arial" w:cs="Arial"/>
          <w:sz w:val="22"/>
          <w:szCs w:val="22"/>
        </w:rPr>
        <w:t xml:space="preserve"> </w:t>
      </w:r>
      <w:r w:rsidRPr="00AF6BDC">
        <w:rPr>
          <w:rFonts w:ascii="Arial" w:hAnsi="Arial" w:cs="Arial"/>
          <w:sz w:val="22"/>
          <w:szCs w:val="22"/>
        </w:rPr>
        <w:t>clinic workflow that aligns with existing outpatient processes (Johns et al., 2022; Morgan, 2021).</w:t>
      </w:r>
    </w:p>
    <w:p w14:paraId="0C088191" w14:textId="0914B12E" w:rsidR="00982835" w:rsidRPr="00AF6BDC" w:rsidRDefault="00982835" w:rsidP="00AF6BDC">
      <w:pPr>
        <w:pStyle w:val="NormalWeb"/>
        <w:spacing w:line="480" w:lineRule="auto"/>
        <w:rPr>
          <w:rFonts w:ascii="Arial" w:hAnsi="Arial" w:cs="Arial"/>
          <w:sz w:val="22"/>
          <w:szCs w:val="22"/>
        </w:rPr>
      </w:pPr>
      <w:r w:rsidRPr="00AF6BDC">
        <w:rPr>
          <w:rFonts w:ascii="Arial" w:hAnsi="Arial" w:cs="Arial"/>
          <w:sz w:val="22"/>
          <w:szCs w:val="22"/>
        </w:rPr>
        <w:t xml:space="preserve">The </w:t>
      </w:r>
      <w:r w:rsidRPr="00AF6BDC">
        <w:rPr>
          <w:rStyle w:val="Strong"/>
          <w:rFonts w:ascii="Arial" w:hAnsi="Arial" w:cs="Arial"/>
          <w:b w:val="0"/>
          <w:bCs w:val="0"/>
          <w:sz w:val="22"/>
          <w:szCs w:val="22"/>
        </w:rPr>
        <w:t>Task</w:t>
      </w:r>
      <w:r w:rsidRPr="00AF6BDC">
        <w:rPr>
          <w:rStyle w:val="Strong"/>
          <w:rFonts w:ascii="Arial" w:hAnsi="Arial" w:cs="Arial"/>
          <w:b w:val="0"/>
          <w:bCs w:val="0"/>
          <w:sz w:val="22"/>
          <w:szCs w:val="22"/>
        </w:rPr>
        <w:t xml:space="preserve"> t</w:t>
      </w:r>
      <w:r w:rsidRPr="00AF6BDC">
        <w:rPr>
          <w:rStyle w:val="Strong"/>
          <w:rFonts w:ascii="Arial" w:hAnsi="Arial" w:cs="Arial"/>
          <w:b w:val="0"/>
          <w:bCs w:val="0"/>
          <w:sz w:val="22"/>
          <w:szCs w:val="22"/>
        </w:rPr>
        <w:t>echnology fit</w:t>
      </w:r>
      <w:r w:rsidRPr="00AF6BDC">
        <w:rPr>
          <w:rFonts w:ascii="Arial" w:hAnsi="Arial" w:cs="Arial"/>
          <w:sz w:val="22"/>
          <w:szCs w:val="22"/>
        </w:rPr>
        <w:t xml:space="preserve"> is strongest for conversational, review</w:t>
      </w:r>
      <w:r w:rsidRPr="00AF6BDC">
        <w:rPr>
          <w:rFonts w:ascii="Arial" w:hAnsi="Arial" w:cs="Arial"/>
          <w:sz w:val="22"/>
          <w:szCs w:val="22"/>
        </w:rPr>
        <w:t xml:space="preserve"> </w:t>
      </w:r>
      <w:r w:rsidRPr="00AF6BDC">
        <w:rPr>
          <w:rFonts w:ascii="Arial" w:hAnsi="Arial" w:cs="Arial"/>
          <w:sz w:val="22"/>
          <w:szCs w:val="22"/>
        </w:rPr>
        <w:t>oriented or advisory tasks</w:t>
      </w:r>
      <w:r w:rsidRPr="00AF6BDC">
        <w:rPr>
          <w:rFonts w:ascii="Arial" w:hAnsi="Arial" w:cs="Arial"/>
          <w:sz w:val="22"/>
          <w:szCs w:val="22"/>
        </w:rPr>
        <w:t xml:space="preserve"> </w:t>
      </w:r>
      <w:r w:rsidRPr="00AF6BDC">
        <w:rPr>
          <w:rFonts w:ascii="Arial" w:hAnsi="Arial" w:cs="Arial"/>
          <w:sz w:val="22"/>
          <w:szCs w:val="22"/>
        </w:rPr>
        <w:t>such as test/result discussions, medication reviews, therapy follow</w:t>
      </w:r>
      <w:r w:rsidRPr="00AF6BDC">
        <w:rPr>
          <w:rFonts w:ascii="Arial" w:hAnsi="Arial" w:cs="Arial"/>
          <w:sz w:val="22"/>
          <w:szCs w:val="22"/>
        </w:rPr>
        <w:noBreakHyphen/>
        <w:t>ups and for multi</w:t>
      </w:r>
      <w:r w:rsidRPr="00AF6BDC">
        <w:rPr>
          <w:rFonts w:ascii="Arial" w:hAnsi="Arial" w:cs="Arial"/>
          <w:sz w:val="22"/>
          <w:szCs w:val="22"/>
        </w:rPr>
        <w:noBreakHyphen/>
      </w:r>
      <w:r w:rsidRPr="00AF6BDC">
        <w:rPr>
          <w:rFonts w:ascii="Arial" w:hAnsi="Arial" w:cs="Arial"/>
          <w:sz w:val="22"/>
          <w:szCs w:val="22"/>
        </w:rPr>
        <w:t>disciplinary</w:t>
      </w:r>
      <w:r w:rsidRPr="00AF6BDC">
        <w:rPr>
          <w:rFonts w:ascii="Arial" w:hAnsi="Arial" w:cs="Arial"/>
          <w:sz w:val="22"/>
          <w:szCs w:val="22"/>
        </w:rPr>
        <w:t xml:space="preserve"> consultations where carer or MDT input enhances clinical decision</w:t>
      </w:r>
      <w:r w:rsidRPr="00AF6BDC">
        <w:rPr>
          <w:rFonts w:ascii="Arial" w:hAnsi="Arial" w:cs="Arial"/>
          <w:sz w:val="22"/>
          <w:szCs w:val="22"/>
        </w:rPr>
        <w:t xml:space="preserve"> </w:t>
      </w:r>
      <w:r w:rsidRPr="00AF6BDC">
        <w:rPr>
          <w:rFonts w:ascii="Arial" w:hAnsi="Arial" w:cs="Arial"/>
          <w:sz w:val="22"/>
          <w:szCs w:val="22"/>
        </w:rPr>
        <w:t xml:space="preserve">making. At the organisational level, NHS Wales Information Governance guidance formally endorsing Attend Anywhere further strengthens </w:t>
      </w:r>
      <w:r w:rsidRPr="00AF6BDC">
        <w:rPr>
          <w:rStyle w:val="Strong"/>
          <w:rFonts w:ascii="Arial" w:hAnsi="Arial" w:cs="Arial"/>
          <w:b w:val="0"/>
          <w:bCs w:val="0"/>
          <w:sz w:val="22"/>
          <w:szCs w:val="22"/>
        </w:rPr>
        <w:t>Environment</w:t>
      </w:r>
      <w:r w:rsidRPr="00AF6BDC">
        <w:rPr>
          <w:rStyle w:val="Strong"/>
          <w:rFonts w:ascii="Arial" w:hAnsi="Arial" w:cs="Arial"/>
          <w:b w:val="0"/>
          <w:bCs w:val="0"/>
          <w:sz w:val="22"/>
          <w:szCs w:val="22"/>
        </w:rPr>
        <w:t xml:space="preserve"> t</w:t>
      </w:r>
      <w:r w:rsidRPr="00AF6BDC">
        <w:rPr>
          <w:rStyle w:val="Strong"/>
          <w:rFonts w:ascii="Arial" w:hAnsi="Arial" w:cs="Arial"/>
          <w:b w:val="0"/>
          <w:bCs w:val="0"/>
          <w:sz w:val="22"/>
          <w:szCs w:val="22"/>
        </w:rPr>
        <w:t>echnology fit</w:t>
      </w:r>
      <w:r w:rsidRPr="00AF6BDC">
        <w:rPr>
          <w:rFonts w:ascii="Arial" w:hAnsi="Arial" w:cs="Arial"/>
          <w:sz w:val="22"/>
          <w:szCs w:val="22"/>
        </w:rPr>
        <w:t xml:space="preserve"> by reducing uncertainty about platform choice and providing a clear, risk</w:t>
      </w:r>
      <w:r w:rsidRPr="00AF6BDC">
        <w:rPr>
          <w:rFonts w:ascii="Arial" w:hAnsi="Arial" w:cs="Arial"/>
          <w:sz w:val="22"/>
          <w:szCs w:val="22"/>
        </w:rPr>
        <w:noBreakHyphen/>
        <w:t>managed rationale for its use (DHCW, 2021a; 2021b).</w:t>
      </w:r>
    </w:p>
    <w:p w14:paraId="3D5F4096" w14:textId="626A4992" w:rsidR="00982835" w:rsidRPr="00AF6BDC" w:rsidRDefault="00982835" w:rsidP="00AF6BDC">
      <w:pPr>
        <w:pStyle w:val="NormalWeb"/>
        <w:spacing w:line="480" w:lineRule="auto"/>
        <w:rPr>
          <w:rFonts w:ascii="Arial" w:hAnsi="Arial" w:cs="Arial"/>
          <w:sz w:val="22"/>
          <w:szCs w:val="22"/>
        </w:rPr>
      </w:pPr>
      <w:r w:rsidRPr="00AF6BDC">
        <w:rPr>
          <w:rFonts w:ascii="Arial" w:hAnsi="Arial" w:cs="Arial"/>
          <w:sz w:val="22"/>
          <w:szCs w:val="22"/>
        </w:rPr>
        <w:t xml:space="preserve">However, the </w:t>
      </w:r>
      <w:r w:rsidRPr="00AF6BDC">
        <w:rPr>
          <w:rStyle w:val="Strong"/>
          <w:rFonts w:ascii="Arial" w:hAnsi="Arial" w:cs="Arial"/>
          <w:b w:val="0"/>
          <w:bCs w:val="0"/>
          <w:sz w:val="22"/>
          <w:szCs w:val="22"/>
        </w:rPr>
        <w:t>fit becomes fragile</w:t>
      </w:r>
      <w:r w:rsidRPr="00AF6BDC">
        <w:rPr>
          <w:rFonts w:ascii="Arial" w:hAnsi="Arial" w:cs="Arial"/>
          <w:sz w:val="22"/>
          <w:szCs w:val="22"/>
        </w:rPr>
        <w:t xml:space="preserve"> where user skills, environmental conditions and clinical requirements interact more unpredictably. The FISTT model highlights that </w:t>
      </w:r>
      <w:r w:rsidRPr="00AF6BDC">
        <w:rPr>
          <w:rStyle w:val="Emphasis"/>
          <w:rFonts w:ascii="Arial" w:eastAsiaTheme="majorEastAsia" w:hAnsi="Arial" w:cs="Arial"/>
          <w:i w:val="0"/>
          <w:iCs w:val="0"/>
          <w:sz w:val="22"/>
          <w:szCs w:val="22"/>
        </w:rPr>
        <w:t xml:space="preserve">digital </w:t>
      </w:r>
      <w:proofErr w:type="spellStart"/>
      <w:r w:rsidRPr="00AF6BDC">
        <w:rPr>
          <w:rStyle w:val="Emphasis"/>
          <w:rFonts w:ascii="Arial" w:eastAsiaTheme="majorEastAsia" w:hAnsi="Arial" w:cs="Arial"/>
          <w:i w:val="0"/>
          <w:iCs w:val="0"/>
          <w:sz w:val="22"/>
          <w:szCs w:val="22"/>
        </w:rPr>
        <w:t>self</w:t>
      </w:r>
      <w:r w:rsidRPr="00AF6BDC">
        <w:rPr>
          <w:rStyle w:val="Emphasis"/>
          <w:rFonts w:ascii="Arial" w:eastAsiaTheme="majorEastAsia" w:hAnsi="Arial" w:cs="Arial"/>
          <w:i w:val="0"/>
          <w:iCs w:val="0"/>
          <w:sz w:val="22"/>
          <w:szCs w:val="22"/>
        </w:rPr>
        <w:t xml:space="preserve"> </w:t>
      </w:r>
      <w:r w:rsidRPr="00AF6BDC">
        <w:rPr>
          <w:rStyle w:val="Emphasis"/>
          <w:rFonts w:ascii="Arial" w:eastAsiaTheme="majorEastAsia" w:hAnsi="Arial" w:cs="Arial"/>
          <w:i w:val="0"/>
          <w:iCs w:val="0"/>
          <w:sz w:val="22"/>
          <w:szCs w:val="22"/>
        </w:rPr>
        <w:t>efficacy</w:t>
      </w:r>
      <w:proofErr w:type="spellEnd"/>
      <w:r w:rsidRPr="00AF6BDC">
        <w:rPr>
          <w:rFonts w:ascii="Arial" w:hAnsi="Arial" w:cs="Arial"/>
          <w:i/>
          <w:iCs/>
          <w:sz w:val="22"/>
          <w:szCs w:val="22"/>
        </w:rPr>
        <w:t xml:space="preserve"> </w:t>
      </w:r>
      <w:r w:rsidRPr="00AF6BDC">
        <w:rPr>
          <w:rFonts w:ascii="Arial" w:hAnsi="Arial" w:cs="Arial"/>
          <w:sz w:val="22"/>
          <w:szCs w:val="22"/>
        </w:rPr>
        <w:t>strongly shapes success</w:t>
      </w:r>
      <w:r w:rsidRPr="00AF6BDC">
        <w:rPr>
          <w:rFonts w:ascii="Arial" w:hAnsi="Arial" w:cs="Arial"/>
          <w:sz w:val="22"/>
          <w:szCs w:val="22"/>
        </w:rPr>
        <w:t>.</w:t>
      </w:r>
      <w:r w:rsidRPr="00AF6BDC">
        <w:rPr>
          <w:rFonts w:ascii="Arial" w:hAnsi="Arial" w:cs="Arial"/>
          <w:sz w:val="22"/>
          <w:szCs w:val="22"/>
        </w:rPr>
        <w:t xml:space="preserve"> </w:t>
      </w:r>
      <w:r w:rsidRPr="00AF6BDC">
        <w:rPr>
          <w:rFonts w:ascii="Arial" w:hAnsi="Arial" w:cs="Arial"/>
          <w:sz w:val="22"/>
          <w:szCs w:val="22"/>
        </w:rPr>
        <w:t>I</w:t>
      </w:r>
      <w:r w:rsidRPr="00AF6BDC">
        <w:rPr>
          <w:rFonts w:ascii="Arial" w:hAnsi="Arial" w:cs="Arial"/>
          <w:sz w:val="22"/>
          <w:szCs w:val="22"/>
        </w:rPr>
        <w:t>ndividuals with lower digital literacy, cognitive or communication needs, or limited informal support may struggle to access the virtual waiting area, adjust audio/video settings or maintain engagement throughout the session. These challenges contribute to higher connection</w:t>
      </w:r>
      <w:r w:rsidR="00E5073E" w:rsidRPr="00AF6BDC">
        <w:rPr>
          <w:rFonts w:ascii="Arial" w:hAnsi="Arial" w:cs="Arial"/>
          <w:sz w:val="22"/>
          <w:szCs w:val="22"/>
        </w:rPr>
        <w:t xml:space="preserve"> </w:t>
      </w:r>
      <w:r w:rsidRPr="00AF6BDC">
        <w:rPr>
          <w:rFonts w:ascii="Arial" w:hAnsi="Arial" w:cs="Arial"/>
          <w:sz w:val="22"/>
          <w:szCs w:val="22"/>
        </w:rPr>
        <w:t>failure rates and reduced perceived quality. ABUHB’s early Learning Disability (LD) evaluation makes this visible</w:t>
      </w:r>
      <w:r w:rsidR="00E5073E" w:rsidRPr="00AF6BDC">
        <w:rPr>
          <w:rFonts w:ascii="Arial" w:hAnsi="Arial" w:cs="Arial"/>
          <w:sz w:val="22"/>
          <w:szCs w:val="22"/>
        </w:rPr>
        <w:t xml:space="preserve"> with </w:t>
      </w:r>
      <w:r w:rsidRPr="00AF6BDC">
        <w:rPr>
          <w:rFonts w:ascii="Arial" w:hAnsi="Arial" w:cs="Arial"/>
          <w:sz w:val="22"/>
          <w:szCs w:val="22"/>
        </w:rPr>
        <w:t>technical disruptions affect</w:t>
      </w:r>
      <w:r w:rsidR="00E5073E" w:rsidRPr="00AF6BDC">
        <w:rPr>
          <w:rFonts w:ascii="Arial" w:hAnsi="Arial" w:cs="Arial"/>
          <w:sz w:val="22"/>
          <w:szCs w:val="22"/>
        </w:rPr>
        <w:t>ing</w:t>
      </w:r>
      <w:r w:rsidRPr="00AF6BDC">
        <w:rPr>
          <w:rFonts w:ascii="Arial" w:hAnsi="Arial" w:cs="Arial"/>
          <w:sz w:val="22"/>
          <w:szCs w:val="22"/>
        </w:rPr>
        <w:t xml:space="preserve"> around half of remote LD consultations, and clinicians </w:t>
      </w:r>
      <w:r w:rsidRPr="00AF6BDC">
        <w:rPr>
          <w:rFonts w:ascii="Arial" w:hAnsi="Arial" w:cs="Arial"/>
          <w:sz w:val="22"/>
          <w:szCs w:val="22"/>
        </w:rPr>
        <w:lastRenderedPageBreak/>
        <w:t>reported that elements of the interface</w:t>
      </w:r>
      <w:r w:rsidR="00E5073E" w:rsidRPr="00AF6BDC">
        <w:rPr>
          <w:rFonts w:ascii="Arial" w:hAnsi="Arial" w:cs="Arial"/>
          <w:sz w:val="22"/>
          <w:szCs w:val="22"/>
        </w:rPr>
        <w:t xml:space="preserve"> </w:t>
      </w:r>
      <w:r w:rsidRPr="00AF6BDC">
        <w:rPr>
          <w:rFonts w:ascii="Arial" w:hAnsi="Arial" w:cs="Arial"/>
          <w:sz w:val="22"/>
          <w:szCs w:val="22"/>
        </w:rPr>
        <w:t>while streamlined for many users</w:t>
      </w:r>
      <w:r w:rsidR="00E5073E" w:rsidRPr="00AF6BDC">
        <w:rPr>
          <w:rFonts w:ascii="Arial" w:hAnsi="Arial" w:cs="Arial"/>
          <w:sz w:val="22"/>
          <w:szCs w:val="22"/>
        </w:rPr>
        <w:t xml:space="preserve"> </w:t>
      </w:r>
      <w:r w:rsidRPr="00AF6BDC">
        <w:rPr>
          <w:rFonts w:ascii="Arial" w:hAnsi="Arial" w:cs="Arial"/>
          <w:sz w:val="22"/>
          <w:szCs w:val="22"/>
        </w:rPr>
        <w:t>could be relatively complex for those with cognitive or sensory impairments (Saraswat &amp; Bright, 2022).</w:t>
      </w:r>
    </w:p>
    <w:p w14:paraId="0A3D9B14" w14:textId="62A4FBAC" w:rsidR="00982835" w:rsidRPr="00AF6BDC" w:rsidRDefault="00982835" w:rsidP="00AF6BDC">
      <w:pPr>
        <w:pStyle w:val="NormalWeb"/>
        <w:spacing w:line="480" w:lineRule="auto"/>
        <w:rPr>
          <w:rFonts w:ascii="Arial" w:hAnsi="Arial" w:cs="Arial"/>
          <w:sz w:val="22"/>
          <w:szCs w:val="22"/>
        </w:rPr>
      </w:pPr>
      <w:r w:rsidRPr="00AF6BDC">
        <w:rPr>
          <w:rFonts w:ascii="Arial" w:hAnsi="Arial" w:cs="Arial"/>
          <w:sz w:val="22"/>
          <w:szCs w:val="22"/>
        </w:rPr>
        <w:t xml:space="preserve">Environmental conditions also play a critical role, as illustrated by the </w:t>
      </w:r>
      <w:r w:rsidRPr="00AF6BDC">
        <w:rPr>
          <w:rStyle w:val="Strong"/>
          <w:rFonts w:ascii="Arial" w:hAnsi="Arial" w:cs="Arial"/>
          <w:b w:val="0"/>
          <w:bCs w:val="0"/>
          <w:sz w:val="22"/>
          <w:szCs w:val="22"/>
        </w:rPr>
        <w:t>FITTE environment dimension</w:t>
      </w:r>
      <w:r w:rsidRPr="00AF6BDC">
        <w:rPr>
          <w:rFonts w:ascii="Arial" w:hAnsi="Arial" w:cs="Arial"/>
          <w:sz w:val="22"/>
          <w:szCs w:val="22"/>
        </w:rPr>
        <w:t>. Home bandwidth variability, unstable Wi</w:t>
      </w:r>
      <w:r w:rsidRPr="00AF6BDC">
        <w:rPr>
          <w:rFonts w:ascii="Arial" w:hAnsi="Arial" w:cs="Arial"/>
          <w:sz w:val="22"/>
          <w:szCs w:val="22"/>
        </w:rPr>
        <w:noBreakHyphen/>
        <w:t xml:space="preserve">Fi and household privacy constraints can undermine reliability, compromise safeguarding discussions or limit the ability to observe behavioural cues. On the clinic side, variability in hardware capability, camera positioning, and local network performance can also influence the quality and safety of video consultations. These issues do not reflect deficiencies in the Attend Anywhere product itself but instead highlight core </w:t>
      </w:r>
      <w:r w:rsidRPr="00AF6BDC">
        <w:rPr>
          <w:rStyle w:val="Emphasis"/>
          <w:rFonts w:ascii="Arial" w:eastAsiaTheme="majorEastAsia" w:hAnsi="Arial" w:cs="Arial"/>
          <w:i w:val="0"/>
          <w:iCs w:val="0"/>
          <w:sz w:val="22"/>
          <w:szCs w:val="22"/>
        </w:rPr>
        <w:t>sociotechnical dependencies</w:t>
      </w:r>
      <w:r w:rsidR="00E5073E" w:rsidRPr="00AF6BDC">
        <w:rPr>
          <w:rFonts w:ascii="Arial" w:hAnsi="Arial" w:cs="Arial"/>
          <w:sz w:val="22"/>
          <w:szCs w:val="22"/>
        </w:rPr>
        <w:t xml:space="preserve"> where </w:t>
      </w:r>
      <w:r w:rsidRPr="00AF6BDC">
        <w:rPr>
          <w:rFonts w:ascii="Arial" w:hAnsi="Arial" w:cs="Arial"/>
          <w:sz w:val="22"/>
          <w:szCs w:val="22"/>
        </w:rPr>
        <w:t>technology performs well</w:t>
      </w:r>
      <w:r w:rsidR="00E5073E" w:rsidRPr="00AF6BDC">
        <w:rPr>
          <w:rFonts w:ascii="Arial" w:hAnsi="Arial" w:cs="Arial"/>
          <w:sz w:val="22"/>
          <w:szCs w:val="22"/>
        </w:rPr>
        <w:t>,</w:t>
      </w:r>
      <w:r w:rsidRPr="00AF6BDC">
        <w:rPr>
          <w:rFonts w:ascii="Arial" w:hAnsi="Arial" w:cs="Arial"/>
          <w:sz w:val="22"/>
          <w:szCs w:val="22"/>
        </w:rPr>
        <w:t xml:space="preserve"> only</w:t>
      </w:r>
      <w:r w:rsidR="00E5073E" w:rsidRPr="00AF6BDC">
        <w:rPr>
          <w:rFonts w:ascii="Arial" w:hAnsi="Arial" w:cs="Arial"/>
          <w:sz w:val="22"/>
          <w:szCs w:val="22"/>
        </w:rPr>
        <w:t>,</w:t>
      </w:r>
      <w:r w:rsidRPr="00AF6BDC">
        <w:rPr>
          <w:rFonts w:ascii="Arial" w:hAnsi="Arial" w:cs="Arial"/>
          <w:sz w:val="22"/>
          <w:szCs w:val="22"/>
        </w:rPr>
        <w:t xml:space="preserve"> when supported by appropriate environments, workflows and user capability. As </w:t>
      </w:r>
      <w:proofErr w:type="spellStart"/>
      <w:r w:rsidRPr="00AF6BDC">
        <w:rPr>
          <w:rFonts w:ascii="Arial" w:hAnsi="Arial" w:cs="Arial"/>
          <w:sz w:val="22"/>
          <w:szCs w:val="22"/>
        </w:rPr>
        <w:t>Prgomet</w:t>
      </w:r>
      <w:proofErr w:type="spellEnd"/>
      <w:r w:rsidRPr="00AF6BDC">
        <w:rPr>
          <w:rFonts w:ascii="Arial" w:hAnsi="Arial" w:cs="Arial"/>
          <w:sz w:val="22"/>
          <w:szCs w:val="22"/>
        </w:rPr>
        <w:t xml:space="preserve"> et al. (2019) argue, implementation must provide scaffolding when contextual factors threaten fit, such as preparatory support, troubleshooting pathways and alternative modalities for high</w:t>
      </w:r>
      <w:r w:rsidRPr="00AF6BDC">
        <w:rPr>
          <w:rFonts w:ascii="Arial" w:hAnsi="Arial" w:cs="Arial"/>
          <w:sz w:val="22"/>
          <w:szCs w:val="22"/>
        </w:rPr>
        <w:noBreakHyphen/>
        <w:t>risk or complex cases (ABUHB, n.d.).</w:t>
      </w:r>
    </w:p>
    <w:p w14:paraId="787306E9" w14:textId="1FCC4E2F" w:rsidR="00982835" w:rsidRPr="00AF6BDC" w:rsidRDefault="00982835" w:rsidP="00AF6BDC">
      <w:pPr>
        <w:pStyle w:val="NormalWeb"/>
        <w:spacing w:line="480" w:lineRule="auto"/>
        <w:rPr>
          <w:rFonts w:ascii="Arial" w:hAnsi="Arial" w:cs="Arial"/>
          <w:sz w:val="22"/>
          <w:szCs w:val="22"/>
        </w:rPr>
      </w:pPr>
      <w:r w:rsidRPr="00AF6BDC">
        <w:rPr>
          <w:rFonts w:ascii="Arial" w:hAnsi="Arial" w:cs="Arial"/>
          <w:sz w:val="22"/>
          <w:szCs w:val="22"/>
        </w:rPr>
        <w:t xml:space="preserve">From a </w:t>
      </w:r>
      <w:r w:rsidRPr="00AF6BDC">
        <w:rPr>
          <w:rStyle w:val="Strong"/>
          <w:rFonts w:ascii="Arial" w:hAnsi="Arial" w:cs="Arial"/>
          <w:b w:val="0"/>
          <w:bCs w:val="0"/>
          <w:sz w:val="22"/>
          <w:szCs w:val="22"/>
        </w:rPr>
        <w:t>product</w:t>
      </w:r>
      <w:r w:rsidR="00E5073E" w:rsidRPr="00AF6BDC">
        <w:rPr>
          <w:rStyle w:val="Strong"/>
          <w:rFonts w:ascii="Arial" w:hAnsi="Arial" w:cs="Arial"/>
          <w:b w:val="0"/>
          <w:bCs w:val="0"/>
          <w:sz w:val="22"/>
          <w:szCs w:val="22"/>
        </w:rPr>
        <w:t xml:space="preserve"> </w:t>
      </w:r>
      <w:r w:rsidRPr="00AF6BDC">
        <w:rPr>
          <w:rStyle w:val="Strong"/>
          <w:rFonts w:ascii="Arial" w:hAnsi="Arial" w:cs="Arial"/>
          <w:b w:val="0"/>
          <w:bCs w:val="0"/>
          <w:sz w:val="22"/>
          <w:szCs w:val="22"/>
        </w:rPr>
        <w:t>design perspective</w:t>
      </w:r>
      <w:r w:rsidRPr="00AF6BDC">
        <w:rPr>
          <w:rFonts w:ascii="Arial" w:hAnsi="Arial" w:cs="Arial"/>
          <w:sz w:val="22"/>
          <w:szCs w:val="22"/>
        </w:rPr>
        <w:t xml:space="preserve">, Attend </w:t>
      </w:r>
      <w:proofErr w:type="spellStart"/>
      <w:r w:rsidRPr="00AF6BDC">
        <w:rPr>
          <w:rFonts w:ascii="Arial" w:hAnsi="Arial" w:cs="Arial"/>
          <w:sz w:val="22"/>
          <w:szCs w:val="22"/>
        </w:rPr>
        <w:t>Anywhere’s</w:t>
      </w:r>
      <w:proofErr w:type="spellEnd"/>
      <w:r w:rsidRPr="00AF6BDC">
        <w:rPr>
          <w:rFonts w:ascii="Arial" w:hAnsi="Arial" w:cs="Arial"/>
          <w:sz w:val="22"/>
          <w:szCs w:val="22"/>
        </w:rPr>
        <w:t xml:space="preserve"> architecture incorporates several strengths that have driven its adoption across Wales. Its browser</w:t>
      </w:r>
      <w:r w:rsidR="00E5073E" w:rsidRPr="00AF6BDC">
        <w:rPr>
          <w:rFonts w:ascii="Arial" w:hAnsi="Arial" w:cs="Arial"/>
          <w:sz w:val="22"/>
          <w:szCs w:val="22"/>
        </w:rPr>
        <w:t xml:space="preserve"> </w:t>
      </w:r>
      <w:r w:rsidRPr="00AF6BDC">
        <w:rPr>
          <w:rFonts w:ascii="Arial" w:hAnsi="Arial" w:cs="Arial"/>
          <w:sz w:val="22"/>
          <w:szCs w:val="22"/>
        </w:rPr>
        <w:t>based, no</w:t>
      </w:r>
      <w:r w:rsidR="00E5073E" w:rsidRPr="00AF6BDC">
        <w:rPr>
          <w:rFonts w:ascii="Arial" w:hAnsi="Arial" w:cs="Arial"/>
          <w:sz w:val="22"/>
          <w:szCs w:val="22"/>
        </w:rPr>
        <w:t xml:space="preserve"> </w:t>
      </w:r>
      <w:r w:rsidRPr="00AF6BDC">
        <w:rPr>
          <w:rFonts w:ascii="Arial" w:hAnsi="Arial" w:cs="Arial"/>
          <w:sz w:val="22"/>
          <w:szCs w:val="22"/>
        </w:rPr>
        <w:t>login, link</w:t>
      </w:r>
      <w:r w:rsidR="00E5073E" w:rsidRPr="00AF6BDC">
        <w:rPr>
          <w:rFonts w:ascii="Arial" w:hAnsi="Arial" w:cs="Arial"/>
          <w:sz w:val="22"/>
          <w:szCs w:val="22"/>
        </w:rPr>
        <w:t xml:space="preserve"> direct to </w:t>
      </w:r>
      <w:r w:rsidRPr="00AF6BDC">
        <w:rPr>
          <w:rFonts w:ascii="Arial" w:hAnsi="Arial" w:cs="Arial"/>
          <w:sz w:val="22"/>
          <w:szCs w:val="22"/>
        </w:rPr>
        <w:t>waiting</w:t>
      </w:r>
      <w:r w:rsidR="00E5073E" w:rsidRPr="00AF6BDC">
        <w:rPr>
          <w:rFonts w:ascii="Arial" w:hAnsi="Arial" w:cs="Arial"/>
          <w:sz w:val="22"/>
          <w:szCs w:val="22"/>
        </w:rPr>
        <w:t xml:space="preserve"> </w:t>
      </w:r>
      <w:r w:rsidRPr="00AF6BDC">
        <w:rPr>
          <w:rFonts w:ascii="Arial" w:hAnsi="Arial" w:cs="Arial"/>
          <w:sz w:val="22"/>
          <w:szCs w:val="22"/>
        </w:rPr>
        <w:t>area workflow reduces friction for patients and enables</w:t>
      </w:r>
      <w:r w:rsidR="00E5073E" w:rsidRPr="00AF6BDC">
        <w:rPr>
          <w:rFonts w:ascii="Arial" w:hAnsi="Arial" w:cs="Arial"/>
          <w:sz w:val="22"/>
          <w:szCs w:val="22"/>
        </w:rPr>
        <w:t xml:space="preserve"> a</w:t>
      </w:r>
      <w:r w:rsidRPr="00AF6BDC">
        <w:rPr>
          <w:rFonts w:ascii="Arial" w:hAnsi="Arial" w:cs="Arial"/>
          <w:sz w:val="22"/>
          <w:szCs w:val="22"/>
        </w:rPr>
        <w:t xml:space="preserve"> reception</w:t>
      </w:r>
      <w:r w:rsidR="00E5073E" w:rsidRPr="00AF6BDC">
        <w:rPr>
          <w:rFonts w:ascii="Arial" w:hAnsi="Arial" w:cs="Arial"/>
          <w:sz w:val="22"/>
          <w:szCs w:val="22"/>
        </w:rPr>
        <w:t xml:space="preserve"> </w:t>
      </w:r>
      <w:r w:rsidRPr="00AF6BDC">
        <w:rPr>
          <w:rFonts w:ascii="Arial" w:hAnsi="Arial" w:cs="Arial"/>
          <w:sz w:val="22"/>
          <w:szCs w:val="22"/>
        </w:rPr>
        <w:t>style flow control familiar to outpatient services. Multi</w:t>
      </w:r>
      <w:r w:rsidR="00E5073E" w:rsidRPr="00AF6BDC">
        <w:rPr>
          <w:rFonts w:ascii="Arial" w:hAnsi="Arial" w:cs="Arial"/>
          <w:sz w:val="22"/>
          <w:szCs w:val="22"/>
        </w:rPr>
        <w:t>- disciplinary</w:t>
      </w:r>
      <w:r w:rsidRPr="00AF6BDC">
        <w:rPr>
          <w:rFonts w:ascii="Arial" w:hAnsi="Arial" w:cs="Arial"/>
          <w:sz w:val="22"/>
          <w:szCs w:val="22"/>
        </w:rPr>
        <w:t xml:space="preserve"> joining supports LD, paediatric and mental health consultations where carer input is central. The platform’s privacy posture</w:t>
      </w:r>
      <w:r w:rsidR="00E5073E" w:rsidRPr="00AF6BDC">
        <w:rPr>
          <w:rFonts w:ascii="Arial" w:hAnsi="Arial" w:cs="Arial"/>
          <w:sz w:val="22"/>
          <w:szCs w:val="22"/>
        </w:rPr>
        <w:t xml:space="preserve"> </w:t>
      </w:r>
      <w:r w:rsidRPr="00AF6BDC">
        <w:rPr>
          <w:rFonts w:ascii="Arial" w:hAnsi="Arial" w:cs="Arial"/>
          <w:sz w:val="22"/>
          <w:szCs w:val="22"/>
        </w:rPr>
        <w:t>emphasising that no audio</w:t>
      </w:r>
      <w:r w:rsidR="00E5073E" w:rsidRPr="00AF6BDC">
        <w:rPr>
          <w:rFonts w:ascii="Arial" w:hAnsi="Arial" w:cs="Arial"/>
          <w:sz w:val="22"/>
          <w:szCs w:val="22"/>
        </w:rPr>
        <w:t xml:space="preserve"> or </w:t>
      </w:r>
      <w:r w:rsidRPr="00AF6BDC">
        <w:rPr>
          <w:rFonts w:ascii="Arial" w:hAnsi="Arial" w:cs="Arial"/>
          <w:sz w:val="22"/>
          <w:szCs w:val="22"/>
        </w:rPr>
        <w:t xml:space="preserve">visual content is </w:t>
      </w:r>
      <w:r w:rsidR="00E5073E" w:rsidRPr="00AF6BDC">
        <w:rPr>
          <w:rFonts w:ascii="Arial" w:hAnsi="Arial" w:cs="Arial"/>
          <w:sz w:val="22"/>
          <w:szCs w:val="22"/>
        </w:rPr>
        <w:t>recorded or stored</w:t>
      </w:r>
      <w:r w:rsidRPr="00AF6BDC">
        <w:rPr>
          <w:rFonts w:ascii="Arial" w:hAnsi="Arial" w:cs="Arial"/>
          <w:sz w:val="22"/>
          <w:szCs w:val="22"/>
        </w:rPr>
        <w:t xml:space="preserve"> and that consultations occur in private, ephemeral rooms</w:t>
      </w:r>
      <w:r w:rsidR="00E5073E" w:rsidRPr="00AF6BDC">
        <w:rPr>
          <w:rFonts w:ascii="Arial" w:hAnsi="Arial" w:cs="Arial"/>
          <w:sz w:val="22"/>
          <w:szCs w:val="22"/>
        </w:rPr>
        <w:t xml:space="preserve"> </w:t>
      </w:r>
      <w:r w:rsidRPr="00AF6BDC">
        <w:rPr>
          <w:rFonts w:ascii="Arial" w:hAnsi="Arial" w:cs="Arial"/>
          <w:sz w:val="22"/>
          <w:szCs w:val="22"/>
        </w:rPr>
        <w:t>aligns with NHS Wales I</w:t>
      </w:r>
      <w:r w:rsidR="00E5073E" w:rsidRPr="00AF6BDC">
        <w:rPr>
          <w:rFonts w:ascii="Arial" w:hAnsi="Arial" w:cs="Arial"/>
          <w:sz w:val="22"/>
          <w:szCs w:val="22"/>
        </w:rPr>
        <w:t xml:space="preserve">nformation </w:t>
      </w:r>
      <w:r w:rsidRPr="00AF6BDC">
        <w:rPr>
          <w:rFonts w:ascii="Arial" w:hAnsi="Arial" w:cs="Arial"/>
          <w:sz w:val="22"/>
          <w:szCs w:val="22"/>
        </w:rPr>
        <w:t>G</w:t>
      </w:r>
      <w:r w:rsidR="00E5073E" w:rsidRPr="00AF6BDC">
        <w:rPr>
          <w:rFonts w:ascii="Arial" w:hAnsi="Arial" w:cs="Arial"/>
          <w:sz w:val="22"/>
          <w:szCs w:val="22"/>
        </w:rPr>
        <w:t>overnance</w:t>
      </w:r>
      <w:r w:rsidRPr="00AF6BDC">
        <w:rPr>
          <w:rFonts w:ascii="Arial" w:hAnsi="Arial" w:cs="Arial"/>
          <w:sz w:val="22"/>
          <w:szCs w:val="22"/>
        </w:rPr>
        <w:t xml:space="preserve"> expectations and is clearly communicated through ABUHB patient leaflets (ABUHB, n.d.; DHCW, 2021a), reinforcing public trust.</w:t>
      </w:r>
    </w:p>
    <w:p w14:paraId="6FDCFEC5" w14:textId="6CA27BA7" w:rsidR="00982835" w:rsidRPr="00AF6BDC" w:rsidRDefault="00982835" w:rsidP="00AF6BDC">
      <w:pPr>
        <w:pStyle w:val="NormalWeb"/>
        <w:spacing w:line="480" w:lineRule="auto"/>
        <w:rPr>
          <w:rFonts w:ascii="Arial" w:hAnsi="Arial" w:cs="Arial"/>
          <w:sz w:val="22"/>
          <w:szCs w:val="22"/>
        </w:rPr>
      </w:pPr>
      <w:r w:rsidRPr="00AF6BDC">
        <w:rPr>
          <w:rFonts w:ascii="Arial" w:hAnsi="Arial" w:cs="Arial"/>
          <w:sz w:val="22"/>
          <w:szCs w:val="22"/>
        </w:rPr>
        <w:lastRenderedPageBreak/>
        <w:t xml:space="preserve">Yet several </w:t>
      </w:r>
      <w:r w:rsidRPr="00AF6BDC">
        <w:rPr>
          <w:rStyle w:val="Strong"/>
          <w:rFonts w:ascii="Arial" w:hAnsi="Arial" w:cs="Arial"/>
          <w:b w:val="0"/>
          <w:bCs w:val="0"/>
          <w:sz w:val="22"/>
          <w:szCs w:val="22"/>
        </w:rPr>
        <w:t>design</w:t>
      </w:r>
      <w:r w:rsidR="00E5073E" w:rsidRPr="00AF6BDC">
        <w:rPr>
          <w:rStyle w:val="Strong"/>
          <w:rFonts w:ascii="Arial" w:hAnsi="Arial" w:cs="Arial"/>
          <w:b w:val="0"/>
          <w:bCs w:val="0"/>
          <w:sz w:val="22"/>
          <w:szCs w:val="22"/>
        </w:rPr>
        <w:t xml:space="preserve"> </w:t>
      </w:r>
      <w:r w:rsidRPr="00AF6BDC">
        <w:rPr>
          <w:rStyle w:val="Strong"/>
          <w:rFonts w:ascii="Arial" w:hAnsi="Arial" w:cs="Arial"/>
          <w:b w:val="0"/>
          <w:bCs w:val="0"/>
          <w:sz w:val="22"/>
          <w:szCs w:val="22"/>
        </w:rPr>
        <w:t>level limitations</w:t>
      </w:r>
      <w:r w:rsidRPr="00AF6BDC">
        <w:rPr>
          <w:rFonts w:ascii="Arial" w:hAnsi="Arial" w:cs="Arial"/>
          <w:sz w:val="22"/>
          <w:szCs w:val="22"/>
        </w:rPr>
        <w:t xml:space="preserve"> warrant scrutiny. First, Attend </w:t>
      </w:r>
      <w:proofErr w:type="spellStart"/>
      <w:r w:rsidRPr="00AF6BDC">
        <w:rPr>
          <w:rFonts w:ascii="Arial" w:hAnsi="Arial" w:cs="Arial"/>
          <w:sz w:val="22"/>
          <w:szCs w:val="22"/>
        </w:rPr>
        <w:t>Anywhere’s</w:t>
      </w:r>
      <w:proofErr w:type="spellEnd"/>
      <w:r w:rsidRPr="00AF6BDC">
        <w:rPr>
          <w:rFonts w:ascii="Arial" w:hAnsi="Arial" w:cs="Arial"/>
          <w:sz w:val="22"/>
          <w:szCs w:val="22"/>
        </w:rPr>
        <w:t xml:space="preserve"> reliance on </w:t>
      </w:r>
      <w:r w:rsidR="00E5073E" w:rsidRPr="00AF6BDC">
        <w:rPr>
          <w:rFonts w:ascii="Arial" w:hAnsi="Arial" w:cs="Arial"/>
          <w:sz w:val="22"/>
          <w:szCs w:val="22"/>
        </w:rPr>
        <w:t>w</w:t>
      </w:r>
      <w:r w:rsidRPr="00AF6BDC">
        <w:rPr>
          <w:rFonts w:ascii="Arial" w:hAnsi="Arial" w:cs="Arial"/>
          <w:sz w:val="22"/>
          <w:szCs w:val="22"/>
        </w:rPr>
        <w:t>eb</w:t>
      </w:r>
      <w:r w:rsidR="00E5073E" w:rsidRPr="00AF6BDC">
        <w:rPr>
          <w:rFonts w:ascii="Arial" w:hAnsi="Arial" w:cs="Arial"/>
          <w:sz w:val="22"/>
          <w:szCs w:val="22"/>
        </w:rPr>
        <w:t xml:space="preserve"> </w:t>
      </w:r>
      <w:r w:rsidRPr="00AF6BDC">
        <w:rPr>
          <w:rFonts w:ascii="Arial" w:hAnsi="Arial" w:cs="Arial"/>
          <w:sz w:val="22"/>
          <w:szCs w:val="22"/>
        </w:rPr>
        <w:t>browser performance makes end</w:t>
      </w:r>
      <w:r w:rsidR="00E5073E" w:rsidRPr="00AF6BDC">
        <w:rPr>
          <w:rFonts w:ascii="Arial" w:hAnsi="Arial" w:cs="Arial"/>
          <w:sz w:val="22"/>
          <w:szCs w:val="22"/>
        </w:rPr>
        <w:t xml:space="preserve"> </w:t>
      </w:r>
      <w:r w:rsidRPr="00AF6BDC">
        <w:rPr>
          <w:rFonts w:ascii="Arial" w:hAnsi="Arial" w:cs="Arial"/>
          <w:sz w:val="22"/>
          <w:szCs w:val="22"/>
        </w:rPr>
        <w:t>user bandwidth, device capability and browser compatibility unavoidable determinants of quality</w:t>
      </w:r>
      <w:r w:rsidR="00E5073E" w:rsidRPr="00AF6BDC">
        <w:rPr>
          <w:rFonts w:ascii="Arial" w:hAnsi="Arial" w:cs="Arial"/>
          <w:sz w:val="22"/>
          <w:szCs w:val="22"/>
        </w:rPr>
        <w:t xml:space="preserve"> </w:t>
      </w:r>
      <w:r w:rsidRPr="00AF6BDC">
        <w:rPr>
          <w:rFonts w:ascii="Arial" w:hAnsi="Arial" w:cs="Arial"/>
          <w:sz w:val="22"/>
          <w:szCs w:val="22"/>
        </w:rPr>
        <w:t>factors outside clinical control and strongly correlated with digital inequity. Second, despite offering richer interaction than telephone calls, the video channel cannot replicate hands</w:t>
      </w:r>
      <w:r w:rsidRPr="00AF6BDC">
        <w:rPr>
          <w:rFonts w:ascii="Arial" w:hAnsi="Arial" w:cs="Arial"/>
          <w:sz w:val="22"/>
          <w:szCs w:val="22"/>
        </w:rPr>
        <w:noBreakHyphen/>
        <w:t xml:space="preserve">on examinations or reliably capture subtle physical signs critical for some diagnostic tasks (e.g., nuanced respiratory effort, dermatological detail, neuromuscular observation). This limits clinical scope and requires robust triage pathways to ensure video </w:t>
      </w:r>
      <w:r w:rsidR="00E5073E" w:rsidRPr="00AF6BDC">
        <w:rPr>
          <w:rFonts w:ascii="Arial" w:hAnsi="Arial" w:cs="Arial"/>
          <w:sz w:val="22"/>
          <w:szCs w:val="22"/>
        </w:rPr>
        <w:t>consultations are</w:t>
      </w:r>
      <w:r w:rsidRPr="00AF6BDC">
        <w:rPr>
          <w:rFonts w:ascii="Arial" w:hAnsi="Arial" w:cs="Arial"/>
          <w:sz w:val="22"/>
          <w:szCs w:val="22"/>
        </w:rPr>
        <w:t xml:space="preserve"> used safely</w:t>
      </w:r>
      <w:r w:rsidR="00E5073E" w:rsidRPr="00AF6BDC">
        <w:rPr>
          <w:rFonts w:ascii="Arial" w:hAnsi="Arial" w:cs="Arial"/>
          <w:sz w:val="22"/>
          <w:szCs w:val="22"/>
        </w:rPr>
        <w:t xml:space="preserve"> and appropriately</w:t>
      </w:r>
      <w:r w:rsidRPr="00AF6BDC">
        <w:rPr>
          <w:rFonts w:ascii="Arial" w:hAnsi="Arial" w:cs="Arial"/>
          <w:sz w:val="22"/>
          <w:szCs w:val="22"/>
        </w:rPr>
        <w:t>. Third, accessibility features differ across browsers and devices, meaning that users with sensory impairments, aphasia or neurodiversity may encounter barriers or require additional support</w:t>
      </w:r>
      <w:r w:rsidR="00E5073E" w:rsidRPr="00AF6BDC">
        <w:rPr>
          <w:rFonts w:ascii="Arial" w:hAnsi="Arial" w:cs="Arial"/>
          <w:sz w:val="22"/>
          <w:szCs w:val="22"/>
        </w:rPr>
        <w:t xml:space="preserve"> </w:t>
      </w:r>
      <w:r w:rsidRPr="00AF6BDC">
        <w:rPr>
          <w:rFonts w:ascii="Arial" w:hAnsi="Arial" w:cs="Arial"/>
          <w:sz w:val="22"/>
          <w:szCs w:val="22"/>
        </w:rPr>
        <w:t>raising equity and safeguarding considerations.</w:t>
      </w:r>
    </w:p>
    <w:p w14:paraId="0C26BB96" w14:textId="77777777" w:rsidR="00982835" w:rsidRPr="00AF6BDC" w:rsidRDefault="00982835" w:rsidP="00AF6BDC">
      <w:pPr>
        <w:pStyle w:val="NormalWeb"/>
        <w:spacing w:line="480" w:lineRule="auto"/>
        <w:rPr>
          <w:rFonts w:ascii="Arial" w:hAnsi="Arial" w:cs="Arial"/>
          <w:sz w:val="22"/>
          <w:szCs w:val="22"/>
        </w:rPr>
      </w:pPr>
      <w:r w:rsidRPr="00AF6BDC">
        <w:rPr>
          <w:rFonts w:ascii="Arial" w:hAnsi="Arial" w:cs="Arial"/>
          <w:sz w:val="22"/>
          <w:szCs w:val="22"/>
        </w:rPr>
        <w:t>Taken together, these issues indicate that</w:t>
      </w:r>
      <w:r w:rsidRPr="00AF6BDC">
        <w:rPr>
          <w:rFonts w:ascii="Arial" w:hAnsi="Arial" w:cs="Arial"/>
          <w:b/>
          <w:bCs/>
          <w:sz w:val="22"/>
          <w:szCs w:val="22"/>
        </w:rPr>
        <w:t xml:space="preserve"> </w:t>
      </w:r>
      <w:r w:rsidRPr="00AF6BDC">
        <w:rPr>
          <w:rStyle w:val="Strong"/>
          <w:rFonts w:ascii="Arial" w:hAnsi="Arial" w:cs="Arial"/>
          <w:b w:val="0"/>
          <w:bCs w:val="0"/>
          <w:sz w:val="22"/>
          <w:szCs w:val="22"/>
        </w:rPr>
        <w:t>product excellence alone is insufficient</w:t>
      </w:r>
      <w:r w:rsidRPr="00AF6BDC">
        <w:rPr>
          <w:rFonts w:ascii="Arial" w:hAnsi="Arial" w:cs="Arial"/>
          <w:b/>
          <w:bCs/>
          <w:sz w:val="22"/>
          <w:szCs w:val="22"/>
        </w:rPr>
        <w:t xml:space="preserve">. </w:t>
      </w:r>
      <w:r w:rsidRPr="00AF6BDC">
        <w:rPr>
          <w:rFonts w:ascii="Arial" w:hAnsi="Arial" w:cs="Arial"/>
          <w:sz w:val="22"/>
          <w:szCs w:val="22"/>
        </w:rPr>
        <w:t>Even with a strong FITT alignment, equitable outcomes require skilled triage, inclusive onboarding and operational scaffolding that anticipates variability in skills, environments and clinical tasks. As Johns et al. (2021; 2022) emphasise, the real</w:t>
      </w:r>
      <w:r w:rsidRPr="00AF6BDC">
        <w:rPr>
          <w:rFonts w:ascii="Arial" w:hAnsi="Arial" w:cs="Arial"/>
          <w:sz w:val="22"/>
          <w:szCs w:val="22"/>
        </w:rPr>
        <w:noBreakHyphen/>
        <w:t>world effectiveness of Attend Anywhere is shaped less by the technology itself than by the sociotechnical context into which it is deployed.</w:t>
      </w:r>
    </w:p>
    <w:p w14:paraId="7932B39F" w14:textId="4CE01826" w:rsidR="004C70E8" w:rsidRPr="00AF6BDC" w:rsidRDefault="00E5073E" w:rsidP="00AF6BDC">
      <w:pPr>
        <w:spacing w:line="480" w:lineRule="auto"/>
        <w:rPr>
          <w:rFonts w:ascii="Arial" w:eastAsia="Times New Roman" w:hAnsi="Arial" w:cs="Arial"/>
          <w:lang w:val="en-GB" w:eastAsia="en-GB"/>
        </w:rPr>
      </w:pPr>
      <w:r w:rsidRPr="00AF6BDC">
        <w:rPr>
          <w:rFonts w:ascii="Arial" w:hAnsi="Arial" w:cs="Arial"/>
        </w:rPr>
        <w:t xml:space="preserve">The </w:t>
      </w:r>
      <w:r w:rsidRPr="00AF6BDC">
        <w:rPr>
          <w:rStyle w:val="Strong"/>
          <w:rFonts w:ascii="Arial" w:hAnsi="Arial" w:cs="Arial"/>
          <w:b w:val="0"/>
          <w:bCs w:val="0"/>
        </w:rPr>
        <w:t>accelerated national roll</w:t>
      </w:r>
      <w:r w:rsidRPr="00AF6BDC">
        <w:rPr>
          <w:rStyle w:val="Strong"/>
          <w:rFonts w:ascii="Arial" w:hAnsi="Arial" w:cs="Arial"/>
          <w:b w:val="0"/>
          <w:bCs w:val="0"/>
        </w:rPr>
        <w:noBreakHyphen/>
        <w:t>out</w:t>
      </w:r>
      <w:r w:rsidRPr="00AF6BDC">
        <w:rPr>
          <w:rFonts w:ascii="Arial" w:hAnsi="Arial" w:cs="Arial"/>
        </w:rPr>
        <w:t xml:space="preserve"> of Attend Anywhere in Wales was inseparable from the </w:t>
      </w:r>
      <w:r w:rsidR="004C70E8" w:rsidRPr="00AF6BDC">
        <w:rPr>
          <w:rFonts w:ascii="Arial" w:hAnsi="Arial" w:cs="Arial"/>
        </w:rPr>
        <w:t>demands</w:t>
      </w:r>
      <w:r w:rsidRPr="00AF6BDC">
        <w:rPr>
          <w:rFonts w:ascii="Arial" w:hAnsi="Arial" w:cs="Arial"/>
        </w:rPr>
        <w:t xml:space="preserve"> of the COVID</w:t>
      </w:r>
      <w:r w:rsidRPr="00AF6BDC">
        <w:rPr>
          <w:rFonts w:ascii="Arial" w:hAnsi="Arial" w:cs="Arial"/>
        </w:rPr>
        <w:noBreakHyphen/>
        <w:t xml:space="preserve">19 pandemic. In early March 2020 the Minister for Health and Social Care commissioned TEC Cymru to deploy video consulting to </w:t>
      </w:r>
      <w:r w:rsidRPr="00AF6BDC">
        <w:rPr>
          <w:rStyle w:val="Strong"/>
          <w:rFonts w:ascii="Arial" w:hAnsi="Arial" w:cs="Arial"/>
          <w:b w:val="0"/>
          <w:bCs w:val="0"/>
        </w:rPr>
        <w:t>all GP practices within 12 weeks</w:t>
      </w:r>
      <w:r w:rsidRPr="00AF6BDC">
        <w:rPr>
          <w:rFonts w:ascii="Arial" w:hAnsi="Arial" w:cs="Arial"/>
        </w:rPr>
        <w:t>, explicitly to maintain access while reducing transmission risk</w:t>
      </w:r>
      <w:r w:rsidR="004C70E8" w:rsidRPr="00AF6BDC">
        <w:rPr>
          <w:rFonts w:ascii="Arial" w:hAnsi="Arial" w:cs="Arial"/>
        </w:rPr>
        <w:t>, however,</w:t>
      </w:r>
      <w:r w:rsidRPr="00AF6BDC">
        <w:rPr>
          <w:rFonts w:ascii="Arial" w:hAnsi="Arial" w:cs="Arial"/>
        </w:rPr>
        <w:t xml:space="preserve"> the programme was expanded rapidly to secondary and community care in April and then to dentistry, optometry and pharmacy later in 2020</w:t>
      </w:r>
      <w:r w:rsidR="004C70E8" w:rsidRPr="00AF6BDC">
        <w:rPr>
          <w:rFonts w:ascii="Arial" w:hAnsi="Arial" w:cs="Arial"/>
        </w:rPr>
        <w:t xml:space="preserve"> (Johns et al., 2021)</w:t>
      </w:r>
      <w:r w:rsidRPr="00AF6BDC">
        <w:rPr>
          <w:rFonts w:ascii="Arial" w:hAnsi="Arial" w:cs="Arial"/>
        </w:rPr>
        <w:t xml:space="preserve">. By October 2021, Welsh Ministers publicly framed the </w:t>
      </w:r>
      <w:r w:rsidR="004C70E8" w:rsidRPr="00AF6BDC">
        <w:rPr>
          <w:rFonts w:ascii="Arial" w:hAnsi="Arial" w:cs="Arial"/>
        </w:rPr>
        <w:t>VC service</w:t>
      </w:r>
      <w:r w:rsidRPr="00AF6BDC">
        <w:rPr>
          <w:rFonts w:ascii="Arial" w:hAnsi="Arial" w:cs="Arial"/>
        </w:rPr>
        <w:t xml:space="preserve"> Attend Anywhere as an </w:t>
      </w:r>
      <w:r w:rsidRPr="00AF6BDC">
        <w:rPr>
          <w:rStyle w:val="Strong"/>
          <w:rFonts w:ascii="Arial" w:hAnsi="Arial" w:cs="Arial"/>
          <w:b w:val="0"/>
          <w:bCs w:val="0"/>
        </w:rPr>
        <w:t>accelerated</w:t>
      </w:r>
      <w:r w:rsidRPr="00AF6BDC">
        <w:rPr>
          <w:rFonts w:ascii="Arial" w:hAnsi="Arial" w:cs="Arial"/>
        </w:rPr>
        <w:t xml:space="preserve"> pandemic response that had surpassed </w:t>
      </w:r>
      <w:r w:rsidRPr="00AF6BDC">
        <w:rPr>
          <w:rStyle w:val="Strong"/>
          <w:rFonts w:ascii="Arial" w:hAnsi="Arial" w:cs="Arial"/>
          <w:b w:val="0"/>
          <w:bCs w:val="0"/>
        </w:rPr>
        <w:t>250,000 consultations</w:t>
      </w:r>
      <w:r w:rsidRPr="00AF6BDC">
        <w:rPr>
          <w:rFonts w:ascii="Arial" w:hAnsi="Arial" w:cs="Arial"/>
        </w:rPr>
        <w:t xml:space="preserve">, with high </w:t>
      </w:r>
      <w:r w:rsidRPr="00AF6BDC">
        <w:rPr>
          <w:rFonts w:ascii="Arial" w:hAnsi="Arial" w:cs="Arial"/>
        </w:rPr>
        <w:lastRenderedPageBreak/>
        <w:t>satisfaction reported in TEC Cymru’s all</w:t>
      </w:r>
      <w:r w:rsidRPr="00AF6BDC">
        <w:rPr>
          <w:rFonts w:ascii="Arial" w:hAnsi="Arial" w:cs="Arial"/>
        </w:rPr>
        <w:noBreakHyphen/>
        <w:t xml:space="preserve">Wales evaluation. Comparative UK policy research similarly </w:t>
      </w:r>
      <w:proofErr w:type="spellStart"/>
      <w:r w:rsidRPr="00AF6BDC">
        <w:rPr>
          <w:rFonts w:ascii="Arial" w:hAnsi="Arial" w:cs="Arial"/>
        </w:rPr>
        <w:t>characterises</w:t>
      </w:r>
      <w:proofErr w:type="spellEnd"/>
      <w:r w:rsidRPr="00AF6BDC">
        <w:rPr>
          <w:rFonts w:ascii="Arial" w:hAnsi="Arial" w:cs="Arial"/>
        </w:rPr>
        <w:t xml:space="preserve"> COVID</w:t>
      </w:r>
      <w:r w:rsidRPr="00AF6BDC">
        <w:rPr>
          <w:rFonts w:ascii="Arial" w:hAnsi="Arial" w:cs="Arial"/>
        </w:rPr>
        <w:noBreakHyphen/>
        <w:t>19 as a “</w:t>
      </w:r>
      <w:r w:rsidRPr="00AF6BDC">
        <w:rPr>
          <w:rStyle w:val="Strong"/>
          <w:rFonts w:ascii="Arial" w:hAnsi="Arial" w:cs="Arial"/>
          <w:b w:val="0"/>
          <w:bCs w:val="0"/>
        </w:rPr>
        <w:t>burning platform</w:t>
      </w:r>
      <w:r w:rsidRPr="00AF6BDC">
        <w:rPr>
          <w:rFonts w:ascii="Arial" w:hAnsi="Arial" w:cs="Arial"/>
        </w:rPr>
        <w:t xml:space="preserve">” that </w:t>
      </w:r>
      <w:proofErr w:type="spellStart"/>
      <w:r w:rsidRPr="00AF6BDC">
        <w:rPr>
          <w:rFonts w:ascii="Arial" w:hAnsi="Arial" w:cs="Arial"/>
        </w:rPr>
        <w:t>legitimised</w:t>
      </w:r>
      <w:proofErr w:type="spellEnd"/>
      <w:r w:rsidRPr="00AF6BDC">
        <w:rPr>
          <w:rFonts w:ascii="Arial" w:hAnsi="Arial" w:cs="Arial"/>
        </w:rPr>
        <w:t xml:space="preserve"> rapid scale</w:t>
      </w:r>
      <w:r w:rsidR="004C70E8" w:rsidRPr="00AF6BDC">
        <w:rPr>
          <w:rFonts w:ascii="Arial" w:hAnsi="Arial" w:cs="Arial"/>
        </w:rPr>
        <w:t xml:space="preserve"> </w:t>
      </w:r>
      <w:r w:rsidRPr="00AF6BDC">
        <w:rPr>
          <w:rFonts w:ascii="Arial" w:hAnsi="Arial" w:cs="Arial"/>
        </w:rPr>
        <w:t>up of video consulting, while revealing nation variation in how pre</w:t>
      </w:r>
      <w:r w:rsidRPr="00AF6BDC">
        <w:rPr>
          <w:rFonts w:ascii="Arial" w:hAnsi="Arial" w:cs="Arial"/>
        </w:rPr>
        <w:noBreakHyphen/>
        <w:t xml:space="preserve">existing infrastructure and </w:t>
      </w:r>
      <w:proofErr w:type="spellStart"/>
      <w:r w:rsidRPr="00AF6BDC">
        <w:rPr>
          <w:rFonts w:ascii="Arial" w:hAnsi="Arial" w:cs="Arial"/>
        </w:rPr>
        <w:t>programme</w:t>
      </w:r>
      <w:proofErr w:type="spellEnd"/>
      <w:r w:rsidRPr="00AF6BDC">
        <w:rPr>
          <w:rFonts w:ascii="Arial" w:hAnsi="Arial" w:cs="Arial"/>
        </w:rPr>
        <w:t xml:space="preserve"> governance shaped delivery and uptake</w:t>
      </w:r>
      <w:r w:rsidR="004C70E8" w:rsidRPr="00AF6BDC">
        <w:rPr>
          <w:rFonts w:ascii="Arial" w:hAnsi="Arial" w:cs="Arial"/>
        </w:rPr>
        <w:t xml:space="preserve"> </w:t>
      </w:r>
      <w:r w:rsidR="004C70E8" w:rsidRPr="00AF6BDC">
        <w:rPr>
          <w:rFonts w:ascii="Arial" w:eastAsia="Times New Roman" w:hAnsi="Arial" w:cs="Arial"/>
          <w:lang w:val="en-GB" w:eastAsia="en-GB"/>
        </w:rPr>
        <w:t>(Welsh Government &amp; TEC Cymru, 2020)</w:t>
      </w:r>
      <w:r w:rsidR="004C70E8" w:rsidRPr="00AF6BDC">
        <w:rPr>
          <w:rFonts w:ascii="Arial" w:eastAsia="Times New Roman" w:hAnsi="Arial" w:cs="Arial"/>
          <w:lang w:val="en-GB" w:eastAsia="en-GB"/>
        </w:rPr>
        <w:t xml:space="preserve"> </w:t>
      </w:r>
      <w:r w:rsidR="004C70E8" w:rsidRPr="00AF6BDC">
        <w:rPr>
          <w:rFonts w:ascii="Arial" w:eastAsia="Times New Roman" w:hAnsi="Arial" w:cs="Arial"/>
          <w:lang w:val="en-GB" w:eastAsia="en-GB"/>
        </w:rPr>
        <w:t>(Life Sciences Hub Wales, 2020)</w:t>
      </w:r>
      <w:r w:rsidR="004C70E8" w:rsidRPr="00AF6BDC">
        <w:rPr>
          <w:rFonts w:ascii="Arial" w:eastAsia="Times New Roman" w:hAnsi="Arial" w:cs="Arial"/>
          <w:lang w:val="en-GB" w:eastAsia="en-GB"/>
        </w:rPr>
        <w:t>.</w:t>
      </w:r>
    </w:p>
    <w:p w14:paraId="71B5D78A" w14:textId="0AC229F2" w:rsidR="00E5073E" w:rsidRPr="00AF6BDC" w:rsidRDefault="00E5073E" w:rsidP="00AF6BDC">
      <w:pPr>
        <w:pStyle w:val="NormalWeb"/>
        <w:spacing w:line="480" w:lineRule="auto"/>
        <w:rPr>
          <w:rFonts w:ascii="Arial" w:hAnsi="Arial" w:cs="Arial"/>
          <w:sz w:val="22"/>
          <w:szCs w:val="22"/>
        </w:rPr>
      </w:pPr>
      <w:r w:rsidRPr="00AF6BDC">
        <w:rPr>
          <w:rStyle w:val="Strong"/>
          <w:rFonts w:ascii="Arial" w:hAnsi="Arial" w:cs="Arial"/>
          <w:b w:val="0"/>
          <w:bCs w:val="0"/>
          <w:sz w:val="22"/>
          <w:szCs w:val="22"/>
        </w:rPr>
        <w:t>Critically, the speed dividend came with governance and sustainability trade</w:t>
      </w:r>
      <w:r w:rsidRPr="00AF6BDC">
        <w:rPr>
          <w:rStyle w:val="Strong"/>
          <w:rFonts w:ascii="Arial" w:hAnsi="Arial" w:cs="Arial"/>
          <w:b w:val="0"/>
          <w:bCs w:val="0"/>
          <w:sz w:val="22"/>
          <w:szCs w:val="22"/>
        </w:rPr>
        <w:noBreakHyphen/>
        <w:t>offs.</w:t>
      </w:r>
      <w:r w:rsidRPr="00AF6BDC">
        <w:rPr>
          <w:rFonts w:ascii="Arial" w:hAnsi="Arial" w:cs="Arial"/>
          <w:b/>
          <w:bCs/>
          <w:sz w:val="22"/>
          <w:szCs w:val="22"/>
        </w:rPr>
        <w:t xml:space="preserve"> </w:t>
      </w:r>
      <w:r w:rsidRPr="00AF6BDC">
        <w:rPr>
          <w:rFonts w:ascii="Arial" w:hAnsi="Arial" w:cs="Arial"/>
          <w:sz w:val="22"/>
          <w:szCs w:val="22"/>
        </w:rPr>
        <w:t>First,</w:t>
      </w:r>
      <w:r w:rsidRPr="00AF6BDC">
        <w:rPr>
          <w:rFonts w:ascii="Arial" w:hAnsi="Arial" w:cs="Arial"/>
          <w:b/>
          <w:bCs/>
          <w:sz w:val="22"/>
          <w:szCs w:val="22"/>
        </w:rPr>
        <w:t xml:space="preserve"> </w:t>
      </w:r>
      <w:r w:rsidRPr="00AF6BDC">
        <w:rPr>
          <w:rStyle w:val="Strong"/>
          <w:rFonts w:ascii="Arial" w:hAnsi="Arial" w:cs="Arial"/>
          <w:b w:val="0"/>
          <w:bCs w:val="0"/>
          <w:sz w:val="22"/>
          <w:szCs w:val="22"/>
        </w:rPr>
        <w:t>crisis</w:t>
      </w:r>
      <w:r w:rsidR="004C70E8" w:rsidRPr="00AF6BDC">
        <w:rPr>
          <w:rStyle w:val="Strong"/>
          <w:rFonts w:ascii="Arial" w:hAnsi="Arial" w:cs="Arial"/>
          <w:b w:val="0"/>
          <w:bCs w:val="0"/>
          <w:sz w:val="22"/>
          <w:szCs w:val="22"/>
        </w:rPr>
        <w:t xml:space="preserve"> </w:t>
      </w:r>
      <w:r w:rsidRPr="00AF6BDC">
        <w:rPr>
          <w:rStyle w:val="Strong"/>
          <w:rFonts w:ascii="Arial" w:hAnsi="Arial" w:cs="Arial"/>
          <w:b w:val="0"/>
          <w:bCs w:val="0"/>
          <w:sz w:val="22"/>
          <w:szCs w:val="22"/>
        </w:rPr>
        <w:t>driven procurement and assurance</w:t>
      </w:r>
      <w:r w:rsidRPr="00AF6BDC">
        <w:rPr>
          <w:rFonts w:ascii="Arial" w:hAnsi="Arial" w:cs="Arial"/>
          <w:sz w:val="22"/>
          <w:szCs w:val="22"/>
        </w:rPr>
        <w:t xml:space="preserve"> compressed options appraisal and market testing. While this was proportionate to an infection</w:t>
      </w:r>
      <w:r w:rsidR="004C70E8" w:rsidRPr="00AF6BDC">
        <w:rPr>
          <w:rFonts w:ascii="Arial" w:hAnsi="Arial" w:cs="Arial"/>
          <w:sz w:val="22"/>
          <w:szCs w:val="22"/>
        </w:rPr>
        <w:t xml:space="preserve"> </w:t>
      </w:r>
      <w:r w:rsidRPr="00AF6BDC">
        <w:rPr>
          <w:rFonts w:ascii="Arial" w:hAnsi="Arial" w:cs="Arial"/>
          <w:sz w:val="22"/>
          <w:szCs w:val="22"/>
        </w:rPr>
        <w:t xml:space="preserve">control emergency, it risked </w:t>
      </w:r>
      <w:r w:rsidRPr="00AF6BDC">
        <w:rPr>
          <w:rStyle w:val="Strong"/>
          <w:rFonts w:ascii="Arial" w:hAnsi="Arial" w:cs="Arial"/>
          <w:b w:val="0"/>
          <w:bCs w:val="0"/>
          <w:sz w:val="22"/>
          <w:szCs w:val="22"/>
        </w:rPr>
        <w:t>path</w:t>
      </w:r>
      <w:r w:rsidRPr="00AF6BDC">
        <w:rPr>
          <w:rStyle w:val="Strong"/>
          <w:rFonts w:ascii="Arial" w:hAnsi="Arial" w:cs="Arial"/>
          <w:b w:val="0"/>
          <w:bCs w:val="0"/>
          <w:sz w:val="22"/>
          <w:szCs w:val="22"/>
        </w:rPr>
        <w:noBreakHyphen/>
        <w:t>dependence</w:t>
      </w:r>
      <w:r w:rsidR="004C70E8" w:rsidRPr="00AF6BDC">
        <w:rPr>
          <w:rFonts w:ascii="Arial" w:hAnsi="Arial" w:cs="Arial"/>
          <w:sz w:val="22"/>
          <w:szCs w:val="22"/>
        </w:rPr>
        <w:t xml:space="preserve"> </w:t>
      </w:r>
      <w:r w:rsidRPr="00AF6BDC">
        <w:rPr>
          <w:rFonts w:ascii="Arial" w:hAnsi="Arial" w:cs="Arial"/>
          <w:sz w:val="22"/>
          <w:szCs w:val="22"/>
        </w:rPr>
        <w:t>locking services into a single platform and workflow before fuller consideration of specialty</w:t>
      </w:r>
      <w:r w:rsidR="004C70E8" w:rsidRPr="00AF6BDC">
        <w:rPr>
          <w:rFonts w:ascii="Arial" w:hAnsi="Arial" w:cs="Arial"/>
          <w:sz w:val="22"/>
          <w:szCs w:val="22"/>
        </w:rPr>
        <w:t xml:space="preserve"> </w:t>
      </w:r>
      <w:r w:rsidRPr="00AF6BDC">
        <w:rPr>
          <w:rFonts w:ascii="Arial" w:hAnsi="Arial" w:cs="Arial"/>
          <w:sz w:val="22"/>
          <w:szCs w:val="22"/>
        </w:rPr>
        <w:t>specific needs, accessibility features, or long</w:t>
      </w:r>
      <w:r w:rsidRPr="00AF6BDC">
        <w:rPr>
          <w:rFonts w:ascii="Arial" w:hAnsi="Arial" w:cs="Arial"/>
          <w:sz w:val="22"/>
          <w:szCs w:val="22"/>
        </w:rPr>
        <w:noBreakHyphen/>
        <w:t xml:space="preserve">run integration requirements (e.g., </w:t>
      </w:r>
      <w:r w:rsidR="004C70E8" w:rsidRPr="00AF6BDC">
        <w:rPr>
          <w:rFonts w:ascii="Arial" w:hAnsi="Arial" w:cs="Arial"/>
          <w:sz w:val="22"/>
          <w:szCs w:val="22"/>
        </w:rPr>
        <w:t>electronic health record</w:t>
      </w:r>
      <w:r w:rsidRPr="00AF6BDC">
        <w:rPr>
          <w:rFonts w:ascii="Arial" w:hAnsi="Arial" w:cs="Arial"/>
          <w:sz w:val="22"/>
          <w:szCs w:val="22"/>
        </w:rPr>
        <w:t xml:space="preserve"> workflows, structured outcome capture). Wales achieved coherence through a single national service, but the very uniformity that enabled fast roll</w:t>
      </w:r>
      <w:r w:rsidRPr="00AF6BDC">
        <w:rPr>
          <w:rFonts w:ascii="Arial" w:hAnsi="Arial" w:cs="Arial"/>
          <w:sz w:val="22"/>
          <w:szCs w:val="22"/>
        </w:rPr>
        <w:noBreakHyphen/>
        <w:t>out constrained local experimentation and may have deferred open evaluation of alternative modalities</w:t>
      </w:r>
      <w:r w:rsidR="004C70E8" w:rsidRPr="00AF6BDC">
        <w:rPr>
          <w:rFonts w:ascii="Arial" w:hAnsi="Arial" w:cs="Arial"/>
          <w:sz w:val="22"/>
          <w:szCs w:val="22"/>
        </w:rPr>
        <w:t xml:space="preserve"> </w:t>
      </w:r>
      <w:r w:rsidR="004C70E8" w:rsidRPr="00AF6BDC">
        <w:rPr>
          <w:rFonts w:ascii="Arial" w:hAnsi="Arial" w:cs="Arial"/>
          <w:sz w:val="22"/>
          <w:szCs w:val="22"/>
        </w:rPr>
        <w:t>(Welsh Government &amp; TEC Cymru, 2020</w:t>
      </w:r>
      <w:r w:rsidR="004C70E8" w:rsidRPr="00AF6BDC">
        <w:rPr>
          <w:rFonts w:ascii="Arial" w:hAnsi="Arial" w:cs="Arial"/>
          <w:sz w:val="22"/>
          <w:szCs w:val="22"/>
        </w:rPr>
        <w:t>).</w:t>
      </w:r>
    </w:p>
    <w:p w14:paraId="681AC1FD" w14:textId="732E525C" w:rsidR="00E5073E" w:rsidRPr="00AF6BDC" w:rsidRDefault="00E5073E" w:rsidP="00AF6BDC">
      <w:pPr>
        <w:pStyle w:val="NormalWeb"/>
        <w:spacing w:line="480" w:lineRule="auto"/>
        <w:rPr>
          <w:rFonts w:ascii="Arial" w:hAnsi="Arial" w:cs="Arial"/>
          <w:sz w:val="22"/>
          <w:szCs w:val="22"/>
        </w:rPr>
      </w:pPr>
      <w:r w:rsidRPr="00AF6BDC">
        <w:rPr>
          <w:rFonts w:ascii="Arial" w:hAnsi="Arial" w:cs="Arial"/>
          <w:sz w:val="22"/>
          <w:szCs w:val="22"/>
        </w:rPr>
        <w:t xml:space="preserve">Second, national success metrics (e.g., volumes and satisfaction) can </w:t>
      </w:r>
      <w:r w:rsidRPr="00AF6BDC">
        <w:rPr>
          <w:rStyle w:val="Strong"/>
          <w:rFonts w:ascii="Arial" w:hAnsi="Arial" w:cs="Arial"/>
          <w:b w:val="0"/>
          <w:bCs w:val="0"/>
          <w:sz w:val="22"/>
          <w:szCs w:val="22"/>
        </w:rPr>
        <w:t>mask local variability</w:t>
      </w:r>
      <w:r w:rsidR="004C70E8" w:rsidRPr="00AF6BDC">
        <w:rPr>
          <w:rFonts w:ascii="Arial" w:hAnsi="Arial" w:cs="Arial"/>
          <w:sz w:val="22"/>
          <w:szCs w:val="22"/>
        </w:rPr>
        <w:t xml:space="preserve"> </w:t>
      </w:r>
      <w:r w:rsidRPr="00AF6BDC">
        <w:rPr>
          <w:rFonts w:ascii="Arial" w:hAnsi="Arial" w:cs="Arial"/>
          <w:sz w:val="22"/>
          <w:szCs w:val="22"/>
        </w:rPr>
        <w:t>pockets of weak network coverage, inconsistent clinic</w:t>
      </w:r>
      <w:r w:rsidRPr="00AF6BDC">
        <w:rPr>
          <w:rFonts w:ascii="Arial" w:hAnsi="Arial" w:cs="Arial"/>
          <w:sz w:val="22"/>
          <w:szCs w:val="22"/>
        </w:rPr>
        <w:noBreakHyphen/>
        <w:t>side peripherals, and uneven staff competence in troubleshooting persisted even as headline indicators improved. This echoes TEC Cymru’s own mixed</w:t>
      </w:r>
      <w:r w:rsidRPr="00AF6BDC">
        <w:rPr>
          <w:rFonts w:ascii="Arial" w:hAnsi="Arial" w:cs="Arial"/>
          <w:sz w:val="22"/>
          <w:szCs w:val="22"/>
        </w:rPr>
        <w:noBreakHyphen/>
        <w:t>methods findings (Phase 1 → 2a) showing high acceptance while also documenting operational frictions and the need for ongoing support</w:t>
      </w:r>
      <w:r w:rsidR="004C70E8" w:rsidRPr="00AF6BDC">
        <w:rPr>
          <w:rFonts w:ascii="Arial" w:hAnsi="Arial" w:cs="Arial"/>
          <w:sz w:val="22"/>
          <w:szCs w:val="22"/>
        </w:rPr>
        <w:t>. A</w:t>
      </w:r>
      <w:r w:rsidRPr="00AF6BDC">
        <w:rPr>
          <w:rFonts w:ascii="Arial" w:hAnsi="Arial" w:cs="Arial"/>
          <w:sz w:val="22"/>
          <w:szCs w:val="22"/>
        </w:rPr>
        <w:t xml:space="preserve">t ministerial level these evaluations underpinned positive statements about scale and sentiment but did not fully resolve </w:t>
      </w:r>
      <w:r w:rsidR="00AD7CCB" w:rsidRPr="00AF6BDC">
        <w:rPr>
          <w:rStyle w:val="Strong"/>
          <w:rFonts w:ascii="Arial" w:hAnsi="Arial" w:cs="Arial"/>
          <w:b w:val="0"/>
          <w:bCs w:val="0"/>
          <w:sz w:val="22"/>
          <w:szCs w:val="22"/>
        </w:rPr>
        <w:t>diversity</w:t>
      </w:r>
      <w:r w:rsidRPr="00AF6BDC">
        <w:rPr>
          <w:rFonts w:ascii="Arial" w:hAnsi="Arial" w:cs="Arial"/>
          <w:sz w:val="22"/>
          <w:szCs w:val="22"/>
        </w:rPr>
        <w:t>. In short, without routine pre</w:t>
      </w:r>
      <w:r w:rsidRPr="00AF6BDC">
        <w:rPr>
          <w:rFonts w:ascii="Arial" w:hAnsi="Arial" w:cs="Arial"/>
          <w:sz w:val="22"/>
          <w:szCs w:val="22"/>
        </w:rPr>
        <w:noBreakHyphen/>
        <w:t>call testing, wired connectivity where feasible, standardised peripherals, and assisted</w:t>
      </w:r>
      <w:r w:rsidRPr="00AF6BDC">
        <w:rPr>
          <w:rFonts w:ascii="Arial" w:hAnsi="Arial" w:cs="Arial"/>
          <w:sz w:val="22"/>
          <w:szCs w:val="22"/>
        </w:rPr>
        <w:noBreakHyphen/>
        <w:t>digital routes, FITT misalignments can persist despite a capable product</w:t>
      </w:r>
      <w:r w:rsidR="00AD7CCB" w:rsidRPr="00AF6BDC">
        <w:rPr>
          <w:rFonts w:ascii="Arial" w:hAnsi="Arial" w:cs="Arial"/>
          <w:sz w:val="22"/>
          <w:szCs w:val="22"/>
        </w:rPr>
        <w:t xml:space="preserve"> </w:t>
      </w:r>
      <w:r w:rsidR="00AD7CCB" w:rsidRPr="00AF6BDC">
        <w:rPr>
          <w:rFonts w:ascii="Arial" w:hAnsi="Arial" w:cs="Arial"/>
          <w:sz w:val="22"/>
          <w:szCs w:val="22"/>
        </w:rPr>
        <w:t>(Welsh Government &amp; TEC Cymru, 2020).</w:t>
      </w:r>
    </w:p>
    <w:p w14:paraId="781B271E" w14:textId="77777777" w:rsidR="00AD7CCB" w:rsidRPr="00AF6BDC" w:rsidRDefault="00E5073E" w:rsidP="00AF6BDC">
      <w:pPr>
        <w:spacing w:line="480" w:lineRule="auto"/>
        <w:rPr>
          <w:rFonts w:ascii="Arial" w:eastAsia="Times New Roman" w:hAnsi="Arial" w:cs="Arial"/>
          <w:lang w:val="en-GB" w:eastAsia="en-GB"/>
        </w:rPr>
      </w:pPr>
      <w:r w:rsidRPr="00AF6BDC">
        <w:rPr>
          <w:rFonts w:ascii="Arial" w:hAnsi="Arial" w:cs="Arial"/>
        </w:rPr>
        <w:lastRenderedPageBreak/>
        <w:t xml:space="preserve">Third, the </w:t>
      </w:r>
      <w:r w:rsidRPr="00AF6BDC">
        <w:rPr>
          <w:rStyle w:val="Strong"/>
          <w:rFonts w:ascii="Arial" w:hAnsi="Arial" w:cs="Arial"/>
          <w:b w:val="0"/>
          <w:bCs w:val="0"/>
        </w:rPr>
        <w:t>equity</w:t>
      </w:r>
      <w:r w:rsidRPr="00AF6BDC">
        <w:rPr>
          <w:rStyle w:val="Strong"/>
          <w:rFonts w:ascii="Arial" w:hAnsi="Arial" w:cs="Arial"/>
        </w:rPr>
        <w:t xml:space="preserve"> </w:t>
      </w:r>
      <w:r w:rsidRPr="00AF6BDC">
        <w:rPr>
          <w:rStyle w:val="Strong"/>
          <w:rFonts w:ascii="Arial" w:hAnsi="Arial" w:cs="Arial"/>
          <w:b w:val="0"/>
          <w:bCs w:val="0"/>
        </w:rPr>
        <w:t>signal</w:t>
      </w:r>
      <w:r w:rsidRPr="00AF6BDC">
        <w:rPr>
          <w:rFonts w:ascii="Arial" w:hAnsi="Arial" w:cs="Arial"/>
        </w:rPr>
        <w:t xml:space="preserve"> during rapid adoption is complex. TEC Cymru reported high and broadly representative uptake across demographics and settings during the pandemic phases, challenging crude assumptions about a digital divide. Yet emergency</w:t>
      </w:r>
      <w:r w:rsidR="00AD7CCB" w:rsidRPr="00AF6BDC">
        <w:rPr>
          <w:rFonts w:ascii="Arial" w:hAnsi="Arial" w:cs="Arial"/>
        </w:rPr>
        <w:t xml:space="preserve"> response</w:t>
      </w:r>
      <w:r w:rsidRPr="00AF6BDC">
        <w:rPr>
          <w:rFonts w:ascii="Arial" w:hAnsi="Arial" w:cs="Arial"/>
        </w:rPr>
        <w:t xml:space="preserve"> acceptance does not automatically translate to </w:t>
      </w:r>
      <w:r w:rsidRPr="00AF6BDC">
        <w:rPr>
          <w:rStyle w:val="Strong"/>
          <w:rFonts w:ascii="Arial" w:hAnsi="Arial" w:cs="Arial"/>
          <w:b w:val="0"/>
          <w:bCs w:val="0"/>
        </w:rPr>
        <w:t>equitable</w:t>
      </w:r>
      <w:r w:rsidR="00AD7CCB" w:rsidRPr="00AF6BDC">
        <w:rPr>
          <w:rStyle w:val="Strong"/>
          <w:rFonts w:ascii="Arial" w:hAnsi="Arial" w:cs="Arial"/>
          <w:b w:val="0"/>
          <w:bCs w:val="0"/>
        </w:rPr>
        <w:t xml:space="preserve"> and </w:t>
      </w:r>
      <w:r w:rsidRPr="00AF6BDC">
        <w:rPr>
          <w:rStyle w:val="Strong"/>
          <w:rFonts w:ascii="Arial" w:hAnsi="Arial" w:cs="Arial"/>
          <w:b w:val="0"/>
          <w:bCs w:val="0"/>
        </w:rPr>
        <w:t>long</w:t>
      </w:r>
      <w:r w:rsidRPr="00AF6BDC">
        <w:rPr>
          <w:rStyle w:val="Strong"/>
          <w:rFonts w:ascii="Arial" w:hAnsi="Arial" w:cs="Arial"/>
          <w:b w:val="0"/>
          <w:bCs w:val="0"/>
        </w:rPr>
        <w:noBreakHyphen/>
        <w:t>term access</w:t>
      </w:r>
      <w:r w:rsidRPr="00AF6BDC">
        <w:rPr>
          <w:rFonts w:ascii="Arial" w:hAnsi="Arial" w:cs="Arial"/>
        </w:rPr>
        <w:t xml:space="preserve"> once the crisis</w:t>
      </w:r>
      <w:r w:rsidR="00AD7CCB" w:rsidRPr="00AF6BDC">
        <w:rPr>
          <w:rFonts w:ascii="Arial" w:hAnsi="Arial" w:cs="Arial"/>
        </w:rPr>
        <w:t xml:space="preserve"> resolves and, </w:t>
      </w:r>
      <w:r w:rsidRPr="00AF6BDC">
        <w:rPr>
          <w:rFonts w:ascii="Arial" w:hAnsi="Arial" w:cs="Arial"/>
        </w:rPr>
        <w:t>sustained inclusion requires targeted onboarding</w:t>
      </w:r>
      <w:r w:rsidR="00AD7CCB" w:rsidRPr="00AF6BDC">
        <w:rPr>
          <w:rFonts w:ascii="Arial" w:hAnsi="Arial" w:cs="Arial"/>
        </w:rPr>
        <w:t xml:space="preserve"> </w:t>
      </w:r>
      <w:r w:rsidRPr="00AF6BDC">
        <w:rPr>
          <w:rFonts w:ascii="Arial" w:hAnsi="Arial" w:cs="Arial"/>
        </w:rPr>
        <w:t>and fallback pathways (e.g., telephone/in</w:t>
      </w:r>
      <w:r w:rsidRPr="00AF6BDC">
        <w:rPr>
          <w:rFonts w:ascii="Arial" w:hAnsi="Arial" w:cs="Arial"/>
        </w:rPr>
        <w:noBreakHyphen/>
        <w:t>person), especially for populations with cognitive, sensory, or linguistic needs. Crisis</w:t>
      </w:r>
      <w:r w:rsidRPr="00AF6BDC">
        <w:rPr>
          <w:rFonts w:ascii="Arial" w:hAnsi="Arial" w:cs="Arial"/>
        </w:rPr>
        <w:noBreakHyphen/>
        <w:t xml:space="preserve">period positivity may therefore </w:t>
      </w:r>
      <w:r w:rsidR="00AD7CCB" w:rsidRPr="00AF6BDC">
        <w:rPr>
          <w:rStyle w:val="Strong"/>
          <w:rFonts w:ascii="Arial" w:hAnsi="Arial" w:cs="Arial"/>
          <w:b w:val="0"/>
          <w:bCs w:val="0"/>
        </w:rPr>
        <w:t>overestimate</w:t>
      </w:r>
      <w:r w:rsidRPr="00AF6BDC">
        <w:rPr>
          <w:rStyle w:val="Strong"/>
          <w:rFonts w:ascii="Arial" w:hAnsi="Arial" w:cs="Arial"/>
          <w:b w:val="0"/>
          <w:bCs w:val="0"/>
        </w:rPr>
        <w:t xml:space="preserve"> suitability</w:t>
      </w:r>
      <w:r w:rsidRPr="00AF6BDC">
        <w:rPr>
          <w:rFonts w:ascii="Arial" w:hAnsi="Arial" w:cs="Arial"/>
        </w:rPr>
        <w:t xml:space="preserve"> unless accompanied by structured inclusion strategies at service level</w:t>
      </w:r>
      <w:r w:rsidR="00AD7CCB" w:rsidRPr="00AF6BDC">
        <w:rPr>
          <w:rFonts w:ascii="Arial" w:hAnsi="Arial" w:cs="Arial"/>
        </w:rPr>
        <w:t xml:space="preserve"> </w:t>
      </w:r>
      <w:r w:rsidR="00AD7CCB" w:rsidRPr="00AF6BDC">
        <w:rPr>
          <w:rFonts w:ascii="Arial" w:eastAsia="Times New Roman" w:hAnsi="Arial" w:cs="Arial"/>
          <w:lang w:val="en-GB" w:eastAsia="en-GB"/>
        </w:rPr>
        <w:t>(Welsh Government, 2021)</w:t>
      </w:r>
    </w:p>
    <w:p w14:paraId="07B975FD" w14:textId="50A45D06" w:rsidR="00E5073E" w:rsidRPr="00AF6BDC" w:rsidRDefault="00E5073E" w:rsidP="00AF6BDC">
      <w:pPr>
        <w:pStyle w:val="NormalWeb"/>
        <w:spacing w:line="480" w:lineRule="auto"/>
        <w:rPr>
          <w:rFonts w:ascii="Arial" w:hAnsi="Arial" w:cs="Arial"/>
          <w:sz w:val="22"/>
          <w:szCs w:val="22"/>
        </w:rPr>
      </w:pPr>
      <w:r w:rsidRPr="00AF6BDC">
        <w:rPr>
          <w:rFonts w:ascii="Arial" w:hAnsi="Arial" w:cs="Arial"/>
          <w:sz w:val="22"/>
          <w:szCs w:val="22"/>
        </w:rPr>
        <w:t xml:space="preserve">Finally, </w:t>
      </w:r>
      <w:proofErr w:type="spellStart"/>
      <w:r w:rsidRPr="00AF6BDC">
        <w:rPr>
          <w:rFonts w:ascii="Arial" w:hAnsi="Arial" w:cs="Arial"/>
          <w:sz w:val="22"/>
          <w:szCs w:val="22"/>
        </w:rPr>
        <w:t>Wales’</w:t>
      </w:r>
      <w:proofErr w:type="spellEnd"/>
      <w:r w:rsidRPr="00AF6BDC">
        <w:rPr>
          <w:rFonts w:ascii="Arial" w:hAnsi="Arial" w:cs="Arial"/>
          <w:sz w:val="22"/>
          <w:szCs w:val="22"/>
        </w:rPr>
        <w:t xml:space="preserve"> centralised model</w:t>
      </w:r>
      <w:r w:rsidR="00AD7CCB" w:rsidRPr="00AF6BDC">
        <w:rPr>
          <w:rFonts w:ascii="Arial" w:hAnsi="Arial" w:cs="Arial"/>
          <w:sz w:val="22"/>
          <w:szCs w:val="22"/>
        </w:rPr>
        <w:t xml:space="preserve"> </w:t>
      </w:r>
      <w:r w:rsidRPr="00AF6BDC">
        <w:rPr>
          <w:rFonts w:ascii="Arial" w:hAnsi="Arial" w:cs="Arial"/>
          <w:sz w:val="22"/>
          <w:szCs w:val="22"/>
        </w:rPr>
        <w:t xml:space="preserve">was a </w:t>
      </w:r>
      <w:r w:rsidRPr="00AF6BDC">
        <w:rPr>
          <w:rStyle w:val="Strong"/>
          <w:rFonts w:ascii="Arial" w:hAnsi="Arial" w:cs="Arial"/>
          <w:b w:val="0"/>
          <w:bCs w:val="0"/>
          <w:sz w:val="22"/>
          <w:szCs w:val="22"/>
        </w:rPr>
        <w:t>material enabler</w:t>
      </w:r>
      <w:r w:rsidRPr="00AF6BDC">
        <w:rPr>
          <w:rFonts w:ascii="Arial" w:hAnsi="Arial" w:cs="Arial"/>
          <w:sz w:val="22"/>
          <w:szCs w:val="22"/>
        </w:rPr>
        <w:t xml:space="preserve"> of adoption but also </w:t>
      </w:r>
      <w:r w:rsidRPr="00AF6BDC">
        <w:rPr>
          <w:rStyle w:val="Strong"/>
          <w:rFonts w:ascii="Arial" w:hAnsi="Arial" w:cs="Arial"/>
          <w:b w:val="0"/>
          <w:bCs w:val="0"/>
          <w:sz w:val="22"/>
          <w:szCs w:val="22"/>
        </w:rPr>
        <w:t>outsourced</w:t>
      </w:r>
      <w:r w:rsidRPr="00AF6BDC">
        <w:rPr>
          <w:rStyle w:val="Strong"/>
          <w:rFonts w:ascii="Arial" w:hAnsi="Arial" w:cs="Arial"/>
          <w:sz w:val="22"/>
          <w:szCs w:val="22"/>
        </w:rPr>
        <w:t xml:space="preserve"> </w:t>
      </w:r>
      <w:r w:rsidRPr="00AF6BDC">
        <w:rPr>
          <w:rStyle w:val="Strong"/>
          <w:rFonts w:ascii="Arial" w:hAnsi="Arial" w:cs="Arial"/>
          <w:b w:val="0"/>
          <w:bCs w:val="0"/>
          <w:sz w:val="22"/>
          <w:szCs w:val="22"/>
        </w:rPr>
        <w:t>assurance</w:t>
      </w:r>
      <w:r w:rsidRPr="00AF6BDC">
        <w:rPr>
          <w:rFonts w:ascii="Arial" w:hAnsi="Arial" w:cs="Arial"/>
          <w:sz w:val="22"/>
          <w:szCs w:val="22"/>
        </w:rPr>
        <w:t xml:space="preserve"> of </w:t>
      </w:r>
      <w:proofErr w:type="gramStart"/>
      <w:r w:rsidRPr="00AF6BDC">
        <w:rPr>
          <w:rFonts w:ascii="Arial" w:hAnsi="Arial" w:cs="Arial"/>
          <w:sz w:val="22"/>
          <w:szCs w:val="22"/>
        </w:rPr>
        <w:t>real</w:t>
      </w:r>
      <w:r w:rsidR="00AD7CCB" w:rsidRPr="00AF6BDC">
        <w:rPr>
          <w:rFonts w:ascii="Arial" w:hAnsi="Arial" w:cs="Arial"/>
          <w:sz w:val="22"/>
          <w:szCs w:val="22"/>
        </w:rPr>
        <w:t xml:space="preserve"> </w:t>
      </w:r>
      <w:r w:rsidRPr="00AF6BDC">
        <w:rPr>
          <w:rFonts w:ascii="Arial" w:hAnsi="Arial" w:cs="Arial"/>
          <w:sz w:val="22"/>
          <w:szCs w:val="22"/>
        </w:rPr>
        <w:t>world</w:t>
      </w:r>
      <w:proofErr w:type="gramEnd"/>
      <w:r w:rsidRPr="00AF6BDC">
        <w:rPr>
          <w:rFonts w:ascii="Arial" w:hAnsi="Arial" w:cs="Arial"/>
          <w:sz w:val="22"/>
          <w:szCs w:val="22"/>
        </w:rPr>
        <w:t xml:space="preserve"> performance to a small number of programme</w:t>
      </w:r>
      <w:r w:rsidR="00AD7CCB" w:rsidRPr="00AF6BDC">
        <w:rPr>
          <w:rFonts w:ascii="Arial" w:hAnsi="Arial" w:cs="Arial"/>
          <w:sz w:val="22"/>
          <w:szCs w:val="22"/>
        </w:rPr>
        <w:t xml:space="preserve"> </w:t>
      </w:r>
      <w:r w:rsidRPr="00AF6BDC">
        <w:rPr>
          <w:rFonts w:ascii="Arial" w:hAnsi="Arial" w:cs="Arial"/>
          <w:sz w:val="22"/>
          <w:szCs w:val="22"/>
        </w:rPr>
        <w:t>linked evaluation teams during the crisis. While the BMJ Open Quality study provides important, transparent early</w:t>
      </w:r>
      <w:r w:rsidRPr="00AF6BDC">
        <w:rPr>
          <w:rFonts w:ascii="Arial" w:hAnsi="Arial" w:cs="Arial"/>
          <w:sz w:val="22"/>
          <w:szCs w:val="22"/>
        </w:rPr>
        <w:noBreakHyphen/>
        <w:t xml:space="preserve">use data, its timing and design reflect </w:t>
      </w:r>
      <w:r w:rsidRPr="00AF6BDC">
        <w:rPr>
          <w:rStyle w:val="Strong"/>
          <w:rFonts w:ascii="Arial" w:hAnsi="Arial" w:cs="Arial"/>
          <w:b w:val="0"/>
          <w:bCs w:val="0"/>
          <w:sz w:val="22"/>
          <w:szCs w:val="22"/>
        </w:rPr>
        <w:t>pragmatic observational constraints</w:t>
      </w:r>
      <w:r w:rsidRPr="00AF6BDC">
        <w:rPr>
          <w:rFonts w:ascii="Arial" w:hAnsi="Arial" w:cs="Arial"/>
          <w:sz w:val="22"/>
          <w:szCs w:val="22"/>
        </w:rPr>
        <w:t xml:space="preserve"> and cannot address all </w:t>
      </w:r>
      <w:proofErr w:type="gramStart"/>
      <w:r w:rsidRPr="00AF6BDC">
        <w:rPr>
          <w:rFonts w:ascii="Arial" w:hAnsi="Arial" w:cs="Arial"/>
          <w:sz w:val="22"/>
          <w:szCs w:val="22"/>
        </w:rPr>
        <w:t>longer</w:t>
      </w:r>
      <w:r w:rsidR="00AD7CCB" w:rsidRPr="00AF6BDC">
        <w:rPr>
          <w:rFonts w:ascii="Arial" w:hAnsi="Arial" w:cs="Arial"/>
          <w:sz w:val="22"/>
          <w:szCs w:val="22"/>
        </w:rPr>
        <w:t xml:space="preserve"> </w:t>
      </w:r>
      <w:r w:rsidRPr="00AF6BDC">
        <w:rPr>
          <w:rFonts w:ascii="Arial" w:hAnsi="Arial" w:cs="Arial"/>
          <w:sz w:val="22"/>
          <w:szCs w:val="22"/>
        </w:rPr>
        <w:t>term</w:t>
      </w:r>
      <w:proofErr w:type="gramEnd"/>
      <w:r w:rsidRPr="00AF6BDC">
        <w:rPr>
          <w:rFonts w:ascii="Arial" w:hAnsi="Arial" w:cs="Arial"/>
          <w:sz w:val="22"/>
          <w:szCs w:val="22"/>
        </w:rPr>
        <w:t xml:space="preserve"> effectiveness, cost</w:t>
      </w:r>
      <w:r w:rsidRPr="00AF6BDC">
        <w:rPr>
          <w:rFonts w:ascii="Arial" w:hAnsi="Arial" w:cs="Arial"/>
          <w:sz w:val="22"/>
          <w:szCs w:val="22"/>
        </w:rPr>
        <w:noBreakHyphen/>
        <w:t>effectiveness, or substitution effects (e.g., impact on no</w:t>
      </w:r>
      <w:r w:rsidRPr="00AF6BDC">
        <w:rPr>
          <w:rFonts w:ascii="Arial" w:hAnsi="Arial" w:cs="Arial"/>
          <w:sz w:val="22"/>
          <w:szCs w:val="22"/>
        </w:rPr>
        <w:noBreakHyphen/>
        <w:t>shows versus deferred demand). Continued independent evaluation beyond the emergency period is therefore essential to validate sustainability claims and to recalibrate triage, inclusion and integration policies.</w:t>
      </w:r>
    </w:p>
    <w:p w14:paraId="4BD323A5" w14:textId="238D2C71" w:rsidR="006A00A7" w:rsidRPr="00AF6BDC" w:rsidRDefault="008032A3" w:rsidP="00AF6BDC">
      <w:pPr>
        <w:spacing w:line="480" w:lineRule="auto"/>
        <w:rPr>
          <w:rFonts w:ascii="Arial" w:hAnsi="Arial" w:cs="Arial"/>
        </w:rPr>
      </w:pPr>
      <w:r w:rsidRPr="00AF6BDC">
        <w:rPr>
          <w:rFonts w:ascii="Arial" w:hAnsi="Arial" w:cs="Arial"/>
        </w:rPr>
        <w:t>Future work could examine long</w:t>
      </w:r>
      <w:r w:rsidRPr="00AF6BDC">
        <w:rPr>
          <w:rFonts w:ascii="Cambria Math" w:hAnsi="Cambria Math" w:cs="Cambria Math"/>
        </w:rPr>
        <w:t>‑</w:t>
      </w:r>
      <w:r w:rsidRPr="00AF6BDC">
        <w:rPr>
          <w:rFonts w:ascii="Arial" w:hAnsi="Arial" w:cs="Arial"/>
        </w:rPr>
        <w:t>term sustainability costs (licensing, support, peripherals), environmental impacts at scale, and comparative modality effectiveness by specialty and patient characteristic (Johns et al., 2022; ABUHB, 2019).</w:t>
      </w:r>
    </w:p>
    <w:p w14:paraId="73D3B457" w14:textId="64AC48BB" w:rsidR="00337567" w:rsidRPr="00AF6BDC" w:rsidRDefault="00337567" w:rsidP="00AF6BDC">
      <w:pPr>
        <w:pStyle w:val="Heading2"/>
        <w:spacing w:line="480" w:lineRule="auto"/>
        <w:rPr>
          <w:rFonts w:ascii="Arial" w:hAnsi="Arial" w:cs="Arial"/>
          <w:sz w:val="22"/>
          <w:szCs w:val="22"/>
        </w:rPr>
      </w:pPr>
      <w:r w:rsidRPr="00AF6BDC">
        <w:rPr>
          <w:rFonts w:ascii="Arial" w:hAnsi="Arial" w:cs="Arial"/>
          <w:sz w:val="22"/>
          <w:szCs w:val="22"/>
        </w:rPr>
        <w:t>Conclusion</w:t>
      </w:r>
    </w:p>
    <w:p w14:paraId="7F6BEA53" w14:textId="0071C1FB" w:rsidR="00337567" w:rsidRPr="00337567" w:rsidRDefault="00337567" w:rsidP="00AF6BDC">
      <w:pPr>
        <w:spacing w:after="0" w:line="480" w:lineRule="auto"/>
        <w:rPr>
          <w:rFonts w:ascii="Arial" w:eastAsia="Times New Roman" w:hAnsi="Arial" w:cs="Arial"/>
          <w:lang w:val="en-GB" w:eastAsia="en-GB"/>
        </w:rPr>
      </w:pPr>
      <w:r w:rsidRPr="00337567">
        <w:rPr>
          <w:rFonts w:ascii="Arial" w:eastAsia="Times New Roman" w:hAnsi="Arial" w:cs="Arial"/>
          <w:lang w:val="en-GB" w:eastAsia="en-GB"/>
        </w:rPr>
        <w:t xml:space="preserve">Overall, the evidence indicates that Attend Anywhere occupies a strong but inherently conditional position within </w:t>
      </w:r>
      <w:proofErr w:type="spellStart"/>
      <w:r w:rsidRPr="00337567">
        <w:rPr>
          <w:rFonts w:ascii="Arial" w:eastAsia="Times New Roman" w:hAnsi="Arial" w:cs="Arial"/>
          <w:lang w:val="en-GB" w:eastAsia="en-GB"/>
        </w:rPr>
        <w:t>Wales’</w:t>
      </w:r>
      <w:proofErr w:type="spellEnd"/>
      <w:r w:rsidRPr="00337567">
        <w:rPr>
          <w:rFonts w:ascii="Arial" w:eastAsia="Times New Roman" w:hAnsi="Arial" w:cs="Arial"/>
          <w:lang w:val="en-GB" w:eastAsia="en-GB"/>
        </w:rPr>
        <w:t xml:space="preserve"> digital health ecosystem</w:t>
      </w:r>
      <w:r w:rsidRPr="00AF6BDC">
        <w:rPr>
          <w:rFonts w:ascii="Arial" w:eastAsia="Times New Roman" w:hAnsi="Arial" w:cs="Arial"/>
          <w:lang w:val="en-GB" w:eastAsia="en-GB"/>
        </w:rPr>
        <w:t>,</w:t>
      </w:r>
      <w:r w:rsidRPr="00337567">
        <w:rPr>
          <w:rFonts w:ascii="Arial" w:eastAsia="Times New Roman" w:hAnsi="Arial" w:cs="Arial"/>
          <w:lang w:val="en-GB" w:eastAsia="en-GB"/>
        </w:rPr>
        <w:t xml:space="preserve"> it is a platform whose strengths become most visible when sociotechnical conditions are aligned, and whose </w:t>
      </w:r>
      <w:r w:rsidRPr="00337567">
        <w:rPr>
          <w:rFonts w:ascii="Arial" w:eastAsia="Times New Roman" w:hAnsi="Arial" w:cs="Arial"/>
          <w:lang w:val="en-GB" w:eastAsia="en-GB"/>
        </w:rPr>
        <w:lastRenderedPageBreak/>
        <w:t>limitations surface when user capability, environmental constraints or clinical complexity diverge from the ideal. The FITT framework demonstrates that high</w:t>
      </w:r>
      <w:r w:rsidRPr="00337567">
        <w:rPr>
          <w:rFonts w:ascii="Arial" w:eastAsia="Times New Roman" w:hAnsi="Arial" w:cs="Arial"/>
          <w:lang w:val="en-GB" w:eastAsia="en-GB"/>
        </w:rPr>
        <w:noBreakHyphen/>
        <w:t>quality video consulting depends not only on product design but on the maturity of supporting systems</w:t>
      </w:r>
      <w:r w:rsidRPr="00AF6BDC">
        <w:rPr>
          <w:rFonts w:ascii="Arial" w:eastAsia="Times New Roman" w:hAnsi="Arial" w:cs="Arial"/>
          <w:lang w:val="en-GB" w:eastAsia="en-GB"/>
        </w:rPr>
        <w:t xml:space="preserve"> such as </w:t>
      </w:r>
      <w:r w:rsidRPr="00337567">
        <w:rPr>
          <w:rFonts w:ascii="Arial" w:eastAsia="Times New Roman" w:hAnsi="Arial" w:cs="Arial"/>
          <w:lang w:val="en-GB" w:eastAsia="en-GB"/>
        </w:rPr>
        <w:t xml:space="preserve">triage, training, infrastructure, accessibility provision and inclusive service design. </w:t>
      </w:r>
      <w:proofErr w:type="spellStart"/>
      <w:r w:rsidRPr="00337567">
        <w:rPr>
          <w:rFonts w:ascii="Arial" w:eastAsia="Times New Roman" w:hAnsi="Arial" w:cs="Arial"/>
          <w:lang w:val="en-GB" w:eastAsia="en-GB"/>
        </w:rPr>
        <w:t>Wales’</w:t>
      </w:r>
      <w:proofErr w:type="spellEnd"/>
      <w:r w:rsidRPr="00337567">
        <w:rPr>
          <w:rFonts w:ascii="Arial" w:eastAsia="Times New Roman" w:hAnsi="Arial" w:cs="Arial"/>
          <w:lang w:val="en-GB" w:eastAsia="en-GB"/>
        </w:rPr>
        <w:t xml:space="preserve"> pandemic</w:t>
      </w:r>
      <w:r w:rsidRPr="00337567">
        <w:rPr>
          <w:rFonts w:ascii="Arial" w:eastAsia="Times New Roman" w:hAnsi="Arial" w:cs="Arial"/>
          <w:lang w:val="en-GB" w:eastAsia="en-GB"/>
        </w:rPr>
        <w:noBreakHyphen/>
        <w:t xml:space="preserve">driven implementation showcased what rapid, nationally coordinated digital transformation can achieve, but also highlighted the risks of assuming that scale equates to sustained fit. As services now transition from emergency adoption to routine practice, the challenge is to consolidate what works while addressing persistent inequities, contextual barriers and clinical scope boundaries. Attend </w:t>
      </w:r>
      <w:proofErr w:type="spellStart"/>
      <w:r w:rsidRPr="00337567">
        <w:rPr>
          <w:rFonts w:ascii="Arial" w:eastAsia="Times New Roman" w:hAnsi="Arial" w:cs="Arial"/>
          <w:lang w:val="en-GB" w:eastAsia="en-GB"/>
        </w:rPr>
        <w:t>Anywhere’s</w:t>
      </w:r>
      <w:proofErr w:type="spellEnd"/>
      <w:r w:rsidRPr="00337567">
        <w:rPr>
          <w:rFonts w:ascii="Arial" w:eastAsia="Times New Roman" w:hAnsi="Arial" w:cs="Arial"/>
          <w:lang w:val="en-GB" w:eastAsia="en-GB"/>
        </w:rPr>
        <w:t xml:space="preserve"> future success within NHS Wales will therefore rest less on technological enhancement alone and more on embedding continuous evaluation, strengthening assisted digital pathways and ensuring that triage, governance and digital inclusion strategies evolve in step with clinical need.</w:t>
      </w:r>
    </w:p>
    <w:p w14:paraId="5B106490" w14:textId="77777777" w:rsidR="00337567" w:rsidRPr="00AF6BDC" w:rsidRDefault="00337567" w:rsidP="00AF6BDC">
      <w:pPr>
        <w:spacing w:line="480" w:lineRule="auto"/>
        <w:rPr>
          <w:rFonts w:ascii="Arial" w:hAnsi="Arial" w:cs="Arial"/>
        </w:rPr>
      </w:pPr>
    </w:p>
    <w:p w14:paraId="4E42B9DE" w14:textId="77777777" w:rsidR="00825692" w:rsidRPr="00AF6BDC" w:rsidRDefault="008032A3" w:rsidP="00AF6BDC">
      <w:pPr>
        <w:pStyle w:val="Heading2"/>
        <w:spacing w:line="480" w:lineRule="auto"/>
        <w:rPr>
          <w:rFonts w:ascii="Arial" w:hAnsi="Arial" w:cs="Arial"/>
          <w:sz w:val="22"/>
          <w:szCs w:val="22"/>
        </w:rPr>
      </w:pPr>
      <w:r w:rsidRPr="00AF6BDC">
        <w:rPr>
          <w:rFonts w:ascii="Arial" w:hAnsi="Arial" w:cs="Arial"/>
          <w:sz w:val="22"/>
          <w:szCs w:val="22"/>
        </w:rPr>
        <w:t>References</w:t>
      </w:r>
    </w:p>
    <w:p w14:paraId="70E1676A" w14:textId="77777777" w:rsidR="00825692" w:rsidRPr="00AF6BDC" w:rsidRDefault="008032A3" w:rsidP="00AF6BDC">
      <w:pPr>
        <w:spacing w:line="480" w:lineRule="auto"/>
        <w:rPr>
          <w:rFonts w:ascii="Arial" w:hAnsi="Arial" w:cs="Arial"/>
        </w:rPr>
      </w:pPr>
      <w:r w:rsidRPr="00AF6BDC">
        <w:rPr>
          <w:rFonts w:ascii="Arial" w:hAnsi="Arial" w:cs="Arial"/>
        </w:rPr>
        <w:t xml:space="preserve">ABUHB (Aneurin Bevan University Health Board) (2019) Digital Strategy: Transformation through Digital. Available at: https://abuhb.nhs.wales/files/key-documents/digital-strategy/ (Accessed </w:t>
      </w:r>
      <w:r w:rsidR="00CB1FC2" w:rsidRPr="00AF6BDC">
        <w:rPr>
          <w:rFonts w:ascii="Arial" w:hAnsi="Arial" w:cs="Arial"/>
        </w:rPr>
        <w:t xml:space="preserve">21 January </w:t>
      </w:r>
      <w:r w:rsidRPr="00AF6BDC">
        <w:rPr>
          <w:rFonts w:ascii="Arial" w:hAnsi="Arial" w:cs="Arial"/>
        </w:rPr>
        <w:t>2026).</w:t>
      </w:r>
    </w:p>
    <w:p w14:paraId="124951AF" w14:textId="77777777" w:rsidR="00825692" w:rsidRPr="00AF6BDC" w:rsidRDefault="008032A3" w:rsidP="00AF6BDC">
      <w:pPr>
        <w:spacing w:line="480" w:lineRule="auto"/>
        <w:rPr>
          <w:rFonts w:ascii="Arial" w:hAnsi="Arial" w:cs="Arial"/>
        </w:rPr>
      </w:pPr>
      <w:r w:rsidRPr="00AF6BDC">
        <w:rPr>
          <w:rFonts w:ascii="Arial" w:hAnsi="Arial" w:cs="Arial"/>
        </w:rPr>
        <w:t xml:space="preserve">ABUHB (Aneurin Bevan University Health Board) (n.d.) Video Consultations – service page and patient leaflet. Available at: https://abuhb.nhs.wales/hospitals/video-consultations/ and https://abuhb.nhs.wales/files/video-consultation/vct-guide-attend-anywhere-patient-information-leaflet-eng-pdf/ (Accessed </w:t>
      </w:r>
      <w:r w:rsidR="00CB1FC2" w:rsidRPr="00AF6BDC">
        <w:rPr>
          <w:rFonts w:ascii="Arial" w:hAnsi="Arial" w:cs="Arial"/>
        </w:rPr>
        <w:t>2</w:t>
      </w:r>
      <w:r w:rsidRPr="00AF6BDC">
        <w:rPr>
          <w:rFonts w:ascii="Arial" w:hAnsi="Arial" w:cs="Arial"/>
        </w:rPr>
        <w:t xml:space="preserve">1 </w:t>
      </w:r>
      <w:r w:rsidR="00CB1FC2" w:rsidRPr="00AF6BDC">
        <w:rPr>
          <w:rFonts w:ascii="Arial" w:hAnsi="Arial" w:cs="Arial"/>
        </w:rPr>
        <w:t>January</w:t>
      </w:r>
      <w:r w:rsidRPr="00AF6BDC">
        <w:rPr>
          <w:rFonts w:ascii="Arial" w:hAnsi="Arial" w:cs="Arial"/>
        </w:rPr>
        <w:t xml:space="preserve"> 2026).</w:t>
      </w:r>
    </w:p>
    <w:p w14:paraId="21CF69F0" w14:textId="77777777" w:rsidR="00825692" w:rsidRPr="00AF6BDC" w:rsidRDefault="008032A3" w:rsidP="00AF6BDC">
      <w:pPr>
        <w:spacing w:line="480" w:lineRule="auto"/>
        <w:rPr>
          <w:rFonts w:ascii="Arial" w:hAnsi="Arial" w:cs="Arial"/>
        </w:rPr>
      </w:pPr>
      <w:r w:rsidRPr="00AF6BDC">
        <w:rPr>
          <w:rFonts w:ascii="Arial" w:hAnsi="Arial" w:cs="Arial"/>
        </w:rPr>
        <w:t xml:space="preserve">DHCW (Digital Health and Care Wales) (2021a) IG Guidance for Primary Care Service Providers on Patient Consultations via Video Conferencing. Available at: </w:t>
      </w:r>
      <w:r w:rsidRPr="00AF6BDC">
        <w:rPr>
          <w:rFonts w:ascii="Arial" w:hAnsi="Arial" w:cs="Arial"/>
        </w:rPr>
        <w:lastRenderedPageBreak/>
        <w:t xml:space="preserve">https://dhcw.nhs.wales/ig/ig-documents/ig-support-for-primary-care/ig-guidance-for-primary-care-service-providers-on-patient-consultations-via-video-conferencing-v3/ (Accessed </w:t>
      </w:r>
      <w:r w:rsidR="00CB1FC2" w:rsidRPr="00AF6BDC">
        <w:rPr>
          <w:rFonts w:ascii="Arial" w:hAnsi="Arial" w:cs="Arial"/>
        </w:rPr>
        <w:t>2</w:t>
      </w:r>
      <w:r w:rsidRPr="00AF6BDC">
        <w:rPr>
          <w:rFonts w:ascii="Arial" w:hAnsi="Arial" w:cs="Arial"/>
        </w:rPr>
        <w:t xml:space="preserve">1 </w:t>
      </w:r>
      <w:r w:rsidR="00CB1FC2" w:rsidRPr="00AF6BDC">
        <w:rPr>
          <w:rFonts w:ascii="Arial" w:hAnsi="Arial" w:cs="Arial"/>
        </w:rPr>
        <w:t>January</w:t>
      </w:r>
      <w:r w:rsidRPr="00AF6BDC">
        <w:rPr>
          <w:rFonts w:ascii="Arial" w:hAnsi="Arial" w:cs="Arial"/>
        </w:rPr>
        <w:t xml:space="preserve"> 2026).</w:t>
      </w:r>
    </w:p>
    <w:p w14:paraId="2D1FDAFB" w14:textId="77777777" w:rsidR="00825692" w:rsidRPr="00AF6BDC" w:rsidRDefault="008032A3" w:rsidP="00AF6BDC">
      <w:pPr>
        <w:spacing w:line="480" w:lineRule="auto"/>
        <w:rPr>
          <w:rFonts w:ascii="Arial" w:hAnsi="Arial" w:cs="Arial"/>
        </w:rPr>
      </w:pPr>
      <w:r w:rsidRPr="00AF6BDC">
        <w:rPr>
          <w:rFonts w:ascii="Arial" w:hAnsi="Arial" w:cs="Arial"/>
        </w:rPr>
        <w:t>DHCW (Digital Health and Care Wales) (2021b) All</w:t>
      </w:r>
      <w:r w:rsidRPr="00AF6BDC">
        <w:rPr>
          <w:rFonts w:ascii="Cambria Math" w:hAnsi="Cambria Math" w:cs="Cambria Math"/>
        </w:rPr>
        <w:t>‑</w:t>
      </w:r>
      <w:r w:rsidRPr="00AF6BDC">
        <w:rPr>
          <w:rFonts w:ascii="Arial" w:hAnsi="Arial" w:cs="Arial"/>
        </w:rPr>
        <w:t xml:space="preserve">Wales Information Governance Policy. Available at: https://dhcw.nhs.wales/ig/ig-documents/ig-framework/all-wales-information-governance-policy-v1-pdf/ (Accessed </w:t>
      </w:r>
      <w:r w:rsidR="00CB1FC2" w:rsidRPr="00AF6BDC">
        <w:rPr>
          <w:rFonts w:ascii="Arial" w:hAnsi="Arial" w:cs="Arial"/>
        </w:rPr>
        <w:t>2</w:t>
      </w:r>
      <w:r w:rsidRPr="00AF6BDC">
        <w:rPr>
          <w:rFonts w:ascii="Arial" w:hAnsi="Arial" w:cs="Arial"/>
        </w:rPr>
        <w:t xml:space="preserve">1 </w:t>
      </w:r>
      <w:r w:rsidR="00CB1FC2" w:rsidRPr="00AF6BDC">
        <w:rPr>
          <w:rFonts w:ascii="Arial" w:hAnsi="Arial" w:cs="Arial"/>
        </w:rPr>
        <w:t>January</w:t>
      </w:r>
      <w:r w:rsidRPr="00AF6BDC">
        <w:rPr>
          <w:rFonts w:ascii="Arial" w:hAnsi="Arial" w:cs="Arial"/>
        </w:rPr>
        <w:t xml:space="preserve"> 2026).</w:t>
      </w:r>
    </w:p>
    <w:p w14:paraId="3A208AE7" w14:textId="77777777" w:rsidR="00825692" w:rsidRPr="00AF6BDC" w:rsidRDefault="008032A3" w:rsidP="00AF6BDC">
      <w:pPr>
        <w:spacing w:line="480" w:lineRule="auto"/>
        <w:rPr>
          <w:rFonts w:ascii="Arial" w:hAnsi="Arial" w:cs="Arial"/>
        </w:rPr>
      </w:pPr>
      <w:r w:rsidRPr="00AF6BDC">
        <w:rPr>
          <w:rFonts w:ascii="Arial" w:hAnsi="Arial" w:cs="Arial"/>
        </w:rPr>
        <w:t xml:space="preserve">DHCW (Digital Health and Care Wales) (2021c) IG Guidance on Patient Consultations via Video Conferencing (exceptional use of consumer apps). Available at: https://dhcw.nhs.wales/ig/ig-documents/ig-support-for-primary-care/ig-guidance-on-patient-consultations-via-video-conferencing/ (Accessed </w:t>
      </w:r>
      <w:r w:rsidR="00CB1FC2" w:rsidRPr="00AF6BDC">
        <w:rPr>
          <w:rFonts w:ascii="Arial" w:hAnsi="Arial" w:cs="Arial"/>
        </w:rPr>
        <w:t>2</w:t>
      </w:r>
      <w:r w:rsidRPr="00AF6BDC">
        <w:rPr>
          <w:rFonts w:ascii="Arial" w:hAnsi="Arial" w:cs="Arial"/>
        </w:rPr>
        <w:t xml:space="preserve">1 </w:t>
      </w:r>
      <w:r w:rsidR="00CB1FC2" w:rsidRPr="00AF6BDC">
        <w:rPr>
          <w:rFonts w:ascii="Arial" w:hAnsi="Arial" w:cs="Arial"/>
        </w:rPr>
        <w:t>Janu</w:t>
      </w:r>
      <w:r w:rsidRPr="00AF6BDC">
        <w:rPr>
          <w:rFonts w:ascii="Arial" w:hAnsi="Arial" w:cs="Arial"/>
        </w:rPr>
        <w:t>ary 2026).</w:t>
      </w:r>
    </w:p>
    <w:p w14:paraId="0D7D90D8" w14:textId="77777777" w:rsidR="00825692" w:rsidRPr="00AF6BDC" w:rsidRDefault="008032A3" w:rsidP="00AF6BDC">
      <w:pPr>
        <w:spacing w:line="480" w:lineRule="auto"/>
        <w:rPr>
          <w:rFonts w:ascii="Arial" w:hAnsi="Arial" w:cs="Arial"/>
        </w:rPr>
      </w:pPr>
      <w:r w:rsidRPr="00AF6BDC">
        <w:rPr>
          <w:rFonts w:ascii="Arial" w:hAnsi="Arial" w:cs="Arial"/>
        </w:rPr>
        <w:t>Health Foundation (n.d.) CWTCH: Connecting with Telehealth to Healthcare and Communities. Available at: https://www.health.org.uk/funding-and-fellowships/projects/cwtch-connecting-with-telehealth-to-healthcare-and-communities (Accessed 1 February 2026).</w:t>
      </w:r>
    </w:p>
    <w:p w14:paraId="252A688A" w14:textId="77777777" w:rsidR="00825692" w:rsidRPr="00AF6BDC" w:rsidRDefault="008032A3" w:rsidP="00AF6BDC">
      <w:pPr>
        <w:spacing w:line="480" w:lineRule="auto"/>
        <w:rPr>
          <w:rFonts w:ascii="Arial" w:hAnsi="Arial" w:cs="Arial"/>
        </w:rPr>
      </w:pPr>
      <w:r w:rsidRPr="00AF6BDC">
        <w:rPr>
          <w:rFonts w:ascii="Arial" w:hAnsi="Arial" w:cs="Arial"/>
        </w:rPr>
        <w:t>Johns, G., Whistance, B., Khalil, S., Whistance, M., Thomas, B., Ogonovsky, M. and Ahuja, A. (2022) Digital NHS Wales: a coding reliability analysis based on the voices of 22,978 patients and clinicians on the benefits, challenges and sustainability of video consulting. BMJ Open, 12(4), e057874. Available at: https://bmjopen.bmj.com/content/12/4/e057874 (Accessed 1 February 2026).</w:t>
      </w:r>
    </w:p>
    <w:p w14:paraId="66F94734" w14:textId="77777777" w:rsidR="00825692" w:rsidRPr="00AF6BDC" w:rsidRDefault="008032A3" w:rsidP="00AF6BDC">
      <w:pPr>
        <w:spacing w:line="480" w:lineRule="auto"/>
        <w:rPr>
          <w:rFonts w:ascii="Arial" w:hAnsi="Arial" w:cs="Arial"/>
        </w:rPr>
      </w:pPr>
      <w:r w:rsidRPr="00AF6BDC">
        <w:rPr>
          <w:rFonts w:ascii="Arial" w:hAnsi="Arial" w:cs="Arial"/>
        </w:rPr>
        <w:t>Johns, G., Khalil, S., Ogonovsky, M. et al. (2021) Taming the chaos: NHS professionals’ perspective of using video consulting during COVID</w:t>
      </w:r>
      <w:r w:rsidRPr="00AF6BDC">
        <w:rPr>
          <w:rFonts w:ascii="Cambria Math" w:hAnsi="Cambria Math" w:cs="Cambria Math"/>
        </w:rPr>
        <w:t>‑</w:t>
      </w:r>
      <w:r w:rsidRPr="00AF6BDC">
        <w:rPr>
          <w:rFonts w:ascii="Arial" w:hAnsi="Arial" w:cs="Arial"/>
        </w:rPr>
        <w:t>19 in Wales. BMJ Open Quality, 10(4), e001318. Available at: https://bmjopenquality.bmj.com/content/bmjqir/10/4/e001318.full.pdf (Accessed 1 February 2026).</w:t>
      </w:r>
    </w:p>
    <w:p w14:paraId="042D8444" w14:textId="77777777" w:rsidR="00825692" w:rsidRPr="00AF6BDC" w:rsidRDefault="008032A3" w:rsidP="00AF6BDC">
      <w:pPr>
        <w:spacing w:line="480" w:lineRule="auto"/>
        <w:rPr>
          <w:rFonts w:ascii="Arial" w:hAnsi="Arial" w:cs="Arial"/>
        </w:rPr>
      </w:pPr>
      <w:r w:rsidRPr="00AF6BDC">
        <w:rPr>
          <w:rFonts w:ascii="Arial" w:hAnsi="Arial" w:cs="Arial"/>
        </w:rPr>
        <w:lastRenderedPageBreak/>
        <w:t>Johns, G., Khalil, S. and Ogonovsky, M. et al. (2022) Early evidence and lessons learnt from an NHS Wales Video Consulting Service. Health Informatics Journal. Available at: https://journals.sagepub.com/doi/pdf/10.1177/14604582211069030 (Accessed 1 February 2026).</w:t>
      </w:r>
    </w:p>
    <w:p w14:paraId="6137C72B" w14:textId="77777777" w:rsidR="00825692" w:rsidRPr="00AF6BDC" w:rsidRDefault="008032A3" w:rsidP="00AF6BDC">
      <w:pPr>
        <w:spacing w:line="480" w:lineRule="auto"/>
        <w:rPr>
          <w:rFonts w:ascii="Arial" w:hAnsi="Arial" w:cs="Arial"/>
        </w:rPr>
      </w:pPr>
      <w:r w:rsidRPr="00AF6BDC">
        <w:rPr>
          <w:rFonts w:ascii="Arial" w:hAnsi="Arial" w:cs="Arial"/>
        </w:rPr>
        <w:t>Morgan, E. (2021) Written Statement: 250,000 NHS Video Consultations undertaken in Wales. Welsh Government. Available at: https://www.gov.wales/written-statement-250000-nhs-video-consultations-undertaken-wales (Accessed 1 February 2026).</w:t>
      </w:r>
    </w:p>
    <w:p w14:paraId="33E0ABBE" w14:textId="77777777" w:rsidR="00825692" w:rsidRPr="00AF6BDC" w:rsidRDefault="008032A3" w:rsidP="00AF6BDC">
      <w:pPr>
        <w:spacing w:line="480" w:lineRule="auto"/>
        <w:rPr>
          <w:rFonts w:ascii="Arial" w:hAnsi="Arial" w:cs="Arial"/>
        </w:rPr>
      </w:pPr>
      <w:r w:rsidRPr="00AF6BDC">
        <w:rPr>
          <w:rFonts w:ascii="Arial" w:hAnsi="Arial" w:cs="Arial"/>
        </w:rPr>
        <w:t>Prgomet, M., Georgiou, A., Callen, J. and Westbrook, J. (2019) Fit between individuals, tasks, technology, and environment (FITTE): extension of FITT. In: MEDINFO 2019, pp. 744–748. Available at: https://researchers.mq.edu.au/en/publications/fit-between-individuals-tasks-technology-and-environment-fitte-fr/ (Accessed 1 February 2026).</w:t>
      </w:r>
    </w:p>
    <w:p w14:paraId="4D2959CF" w14:textId="77777777" w:rsidR="00825692" w:rsidRPr="00AF6BDC" w:rsidRDefault="008032A3" w:rsidP="00AF6BDC">
      <w:pPr>
        <w:spacing w:line="480" w:lineRule="auto"/>
        <w:rPr>
          <w:rFonts w:ascii="Arial" w:hAnsi="Arial" w:cs="Arial"/>
        </w:rPr>
      </w:pPr>
      <w:r w:rsidRPr="00AF6BDC">
        <w:rPr>
          <w:rFonts w:ascii="Arial" w:hAnsi="Arial" w:cs="Arial"/>
        </w:rPr>
        <w:t>Ruyobeza, B., Grobbelaar, S.S. and Botha, A. (2023) From FITT to FISTT: The task</w:t>
      </w:r>
      <w:r w:rsidRPr="00AF6BDC">
        <w:rPr>
          <w:rFonts w:ascii="Cambria Math" w:hAnsi="Cambria Math" w:cs="Cambria Math"/>
        </w:rPr>
        <w:t>‑</w:t>
      </w:r>
      <w:r w:rsidRPr="00AF6BDC">
        <w:rPr>
          <w:rFonts w:ascii="Arial" w:hAnsi="Arial" w:cs="Arial"/>
        </w:rPr>
        <w:t>skills fit before the introduction of assistive digital health technologies. Heliyon, 9(6), e16885. Available at: https://www.cell.com/heliyon/fulltext/S2405-8440(23)04092-6 (Accessed 1 February 2026).</w:t>
      </w:r>
    </w:p>
    <w:p w14:paraId="46674678" w14:textId="0D275E1F" w:rsidR="00825692" w:rsidRPr="00AF6BDC" w:rsidRDefault="008032A3" w:rsidP="00AF6BDC">
      <w:pPr>
        <w:spacing w:line="480" w:lineRule="auto"/>
        <w:rPr>
          <w:rFonts w:ascii="Arial" w:hAnsi="Arial" w:cs="Arial"/>
        </w:rPr>
      </w:pPr>
      <w:r w:rsidRPr="00AF6BDC">
        <w:rPr>
          <w:rFonts w:ascii="Arial" w:hAnsi="Arial" w:cs="Arial"/>
        </w:rPr>
        <w:t>Saraswat, C. and Bright, C. (2022) Review of remote consultations in learning disability during COVID pandemic. BJPsych Open, 8(S1). Available at: https://www.cambridge.org/core/journals/bjpsych-open/article/review-of-remote-consultations-in-learning-disability-during-covid-pandemic/00B4B9E254DEA7FB55BA80D2A51D625C (Accessed 1 February 2026).</w:t>
      </w:r>
    </w:p>
    <w:p w14:paraId="137AF0F7" w14:textId="3375822E" w:rsidR="00493A8F" w:rsidRPr="00493A8F" w:rsidRDefault="00493A8F" w:rsidP="00AF6BDC">
      <w:pPr>
        <w:spacing w:after="0" w:line="480" w:lineRule="auto"/>
        <w:rPr>
          <w:rFonts w:ascii="Arial" w:eastAsia="Times New Roman" w:hAnsi="Arial" w:cs="Arial"/>
          <w:lang w:val="en-GB" w:eastAsia="en-GB"/>
        </w:rPr>
      </w:pPr>
      <w:proofErr w:type="spellStart"/>
      <w:r w:rsidRPr="00493A8F">
        <w:rPr>
          <w:rFonts w:ascii="Arial" w:eastAsia="Times New Roman" w:hAnsi="Arial" w:cs="Arial"/>
          <w:lang w:val="en-GB" w:eastAsia="en-GB"/>
        </w:rPr>
        <w:t>Ammenwerth</w:t>
      </w:r>
      <w:proofErr w:type="spellEnd"/>
      <w:r w:rsidRPr="00493A8F">
        <w:rPr>
          <w:rFonts w:ascii="Arial" w:eastAsia="Times New Roman" w:hAnsi="Arial" w:cs="Arial"/>
          <w:lang w:val="en-GB" w:eastAsia="en-GB"/>
        </w:rPr>
        <w:t xml:space="preserve">, E., </w:t>
      </w:r>
      <w:proofErr w:type="spellStart"/>
      <w:r w:rsidRPr="00493A8F">
        <w:rPr>
          <w:rFonts w:ascii="Arial" w:eastAsia="Times New Roman" w:hAnsi="Arial" w:cs="Arial"/>
          <w:lang w:val="en-GB" w:eastAsia="en-GB"/>
        </w:rPr>
        <w:t>Iller</w:t>
      </w:r>
      <w:proofErr w:type="spellEnd"/>
      <w:r w:rsidRPr="00493A8F">
        <w:rPr>
          <w:rFonts w:ascii="Arial" w:eastAsia="Times New Roman" w:hAnsi="Arial" w:cs="Arial"/>
          <w:lang w:val="en-GB" w:eastAsia="en-GB"/>
        </w:rPr>
        <w:t xml:space="preserve">, C. &amp; Mahler, C. (2006) </w:t>
      </w:r>
      <w:r w:rsidRPr="00493A8F">
        <w:rPr>
          <w:rFonts w:ascii="Arial" w:eastAsia="Times New Roman" w:hAnsi="Arial" w:cs="Arial"/>
          <w:i/>
          <w:iCs/>
          <w:lang w:val="en-GB" w:eastAsia="en-GB"/>
        </w:rPr>
        <w:t>IT-adoption and the interaction of task, technology and individuals: a fit framework and a case study.</w:t>
      </w:r>
      <w:r w:rsidRPr="00493A8F">
        <w:rPr>
          <w:rFonts w:ascii="Arial" w:eastAsia="Times New Roman" w:hAnsi="Arial" w:cs="Arial"/>
          <w:lang w:val="en-GB" w:eastAsia="en-GB"/>
        </w:rPr>
        <w:t xml:space="preserve"> BMC Medical Informatics and Decision Making, 6, p.3. Available at: https://europepmc.org/article/MED/16401336 (Accessed: </w:t>
      </w:r>
      <w:r w:rsidRPr="00AF6BDC">
        <w:rPr>
          <w:rFonts w:ascii="Arial" w:eastAsia="Times New Roman" w:hAnsi="Arial" w:cs="Arial"/>
          <w:lang w:val="en-GB" w:eastAsia="en-GB"/>
        </w:rPr>
        <w:t>1</w:t>
      </w:r>
      <w:r w:rsidRPr="00493A8F">
        <w:rPr>
          <w:rFonts w:ascii="Arial" w:eastAsia="Times New Roman" w:hAnsi="Arial" w:cs="Arial"/>
          <w:lang w:val="en-GB" w:eastAsia="en-GB"/>
        </w:rPr>
        <w:t xml:space="preserve"> February 2026)</w:t>
      </w:r>
    </w:p>
    <w:p w14:paraId="3A527539" w14:textId="453F98AE" w:rsidR="00493A8F" w:rsidRPr="00AF6BDC" w:rsidRDefault="00493A8F" w:rsidP="00AF6BDC">
      <w:pPr>
        <w:spacing w:line="480" w:lineRule="auto"/>
        <w:rPr>
          <w:rFonts w:ascii="Arial" w:hAnsi="Arial" w:cs="Arial"/>
        </w:rPr>
      </w:pPr>
    </w:p>
    <w:p w14:paraId="05D0C98E" w14:textId="77777777" w:rsidR="004C70E8" w:rsidRPr="004C70E8" w:rsidRDefault="004C70E8" w:rsidP="00AF6BDC">
      <w:pPr>
        <w:spacing w:after="0" w:line="480" w:lineRule="auto"/>
        <w:rPr>
          <w:rFonts w:ascii="Arial" w:eastAsia="Times New Roman" w:hAnsi="Arial" w:cs="Arial"/>
          <w:lang w:val="en-GB" w:eastAsia="en-GB"/>
        </w:rPr>
      </w:pPr>
      <w:r w:rsidRPr="004C70E8">
        <w:rPr>
          <w:rFonts w:ascii="Arial" w:eastAsia="Times New Roman" w:hAnsi="Arial" w:cs="Arial"/>
          <w:lang w:val="en-GB" w:eastAsia="en-GB"/>
        </w:rPr>
        <w:t xml:space="preserve">Welsh Government &amp; TEC Cymru (2020) </w:t>
      </w:r>
      <w:r w:rsidRPr="004C70E8">
        <w:rPr>
          <w:rFonts w:ascii="Arial" w:eastAsia="Times New Roman" w:hAnsi="Arial" w:cs="Arial"/>
          <w:i/>
          <w:iCs/>
          <w:lang w:val="en-GB" w:eastAsia="en-GB"/>
        </w:rPr>
        <w:t>Information for GPs regarding the rapid large</w:t>
      </w:r>
      <w:r w:rsidRPr="004C70E8">
        <w:rPr>
          <w:rFonts w:ascii="Arial" w:eastAsia="Times New Roman" w:hAnsi="Arial" w:cs="Arial"/>
          <w:i/>
          <w:iCs/>
          <w:lang w:val="en-GB" w:eastAsia="en-GB"/>
        </w:rPr>
        <w:noBreakHyphen/>
        <w:t>scale rollout of Video Consultations.</w:t>
      </w:r>
      <w:r w:rsidRPr="004C70E8">
        <w:rPr>
          <w:rFonts w:ascii="Arial" w:eastAsia="Times New Roman" w:hAnsi="Arial" w:cs="Arial"/>
          <w:lang w:val="en-GB" w:eastAsia="en-GB"/>
        </w:rPr>
        <w:t xml:space="preserve"> (Dated 9 March 2020), published via the Royal College of Psychiatrists in Wales.</w:t>
      </w:r>
    </w:p>
    <w:p w14:paraId="33D1304A" w14:textId="3A28F0F8" w:rsidR="004C70E8" w:rsidRPr="00AF6BDC" w:rsidRDefault="004C70E8" w:rsidP="00AF6BDC">
      <w:pPr>
        <w:spacing w:line="480" w:lineRule="auto"/>
        <w:rPr>
          <w:rFonts w:ascii="Arial" w:hAnsi="Arial" w:cs="Arial"/>
        </w:rPr>
      </w:pPr>
    </w:p>
    <w:p w14:paraId="7F05CB27" w14:textId="77777777" w:rsidR="004C70E8" w:rsidRPr="004C70E8" w:rsidRDefault="004C70E8" w:rsidP="00AF6BDC">
      <w:pPr>
        <w:spacing w:after="0" w:line="480" w:lineRule="auto"/>
        <w:rPr>
          <w:rFonts w:ascii="Arial" w:eastAsia="Times New Roman" w:hAnsi="Arial" w:cs="Arial"/>
          <w:lang w:val="en-GB" w:eastAsia="en-GB"/>
        </w:rPr>
      </w:pPr>
      <w:r w:rsidRPr="004C70E8">
        <w:rPr>
          <w:rFonts w:ascii="Arial" w:eastAsia="Times New Roman" w:hAnsi="Arial" w:cs="Arial"/>
          <w:lang w:val="en-GB" w:eastAsia="en-GB"/>
        </w:rPr>
        <w:t xml:space="preserve">Life Sciences Hub Wales (2020) </w:t>
      </w:r>
      <w:r w:rsidRPr="004C70E8">
        <w:rPr>
          <w:rFonts w:ascii="Arial" w:eastAsia="Times New Roman" w:hAnsi="Arial" w:cs="Arial"/>
          <w:i/>
          <w:iCs/>
          <w:lang w:val="en-GB" w:eastAsia="en-GB"/>
        </w:rPr>
        <w:t>DHEW supports TEC Cymru’s rollout of the NHS Wales Video Consulting Service</w:t>
      </w:r>
      <w:r w:rsidRPr="004C70E8">
        <w:rPr>
          <w:rFonts w:ascii="Arial" w:eastAsia="Times New Roman" w:hAnsi="Arial" w:cs="Arial"/>
          <w:lang w:val="en-GB" w:eastAsia="en-GB"/>
        </w:rPr>
        <w:t>, published 9 September 2020</w:t>
      </w:r>
    </w:p>
    <w:p w14:paraId="4FB12F10" w14:textId="3C4D9907" w:rsidR="004C70E8" w:rsidRPr="00AF6BDC" w:rsidRDefault="004C70E8" w:rsidP="00AF6BDC">
      <w:pPr>
        <w:spacing w:line="480" w:lineRule="auto"/>
        <w:rPr>
          <w:rFonts w:ascii="Arial" w:hAnsi="Arial" w:cs="Arial"/>
        </w:rPr>
      </w:pPr>
    </w:p>
    <w:p w14:paraId="58C49887" w14:textId="77777777" w:rsidR="00337567" w:rsidRPr="00337567" w:rsidRDefault="00337567" w:rsidP="00AF6BDC">
      <w:pPr>
        <w:spacing w:after="0" w:line="480" w:lineRule="auto"/>
        <w:rPr>
          <w:rFonts w:ascii="Arial" w:eastAsia="Times New Roman" w:hAnsi="Arial" w:cs="Arial"/>
          <w:lang w:val="en-GB" w:eastAsia="en-GB"/>
        </w:rPr>
      </w:pPr>
      <w:proofErr w:type="spellStart"/>
      <w:r w:rsidRPr="00337567">
        <w:rPr>
          <w:rFonts w:ascii="Arial" w:eastAsia="Times New Roman" w:hAnsi="Arial" w:cs="Arial"/>
          <w:lang w:val="en-GB" w:eastAsia="en-GB"/>
        </w:rPr>
        <w:t>Kujala</w:t>
      </w:r>
      <w:proofErr w:type="spellEnd"/>
      <w:r w:rsidRPr="00337567">
        <w:rPr>
          <w:rFonts w:ascii="Arial" w:eastAsia="Times New Roman" w:hAnsi="Arial" w:cs="Arial"/>
          <w:lang w:val="en-GB" w:eastAsia="en-GB"/>
        </w:rPr>
        <w:t xml:space="preserve">, S., </w:t>
      </w:r>
      <w:proofErr w:type="spellStart"/>
      <w:r w:rsidRPr="00337567">
        <w:rPr>
          <w:rFonts w:ascii="Arial" w:eastAsia="Times New Roman" w:hAnsi="Arial" w:cs="Arial"/>
          <w:lang w:val="en-GB" w:eastAsia="en-GB"/>
        </w:rPr>
        <w:t>Ammenwerth</w:t>
      </w:r>
      <w:proofErr w:type="spellEnd"/>
      <w:r w:rsidRPr="00337567">
        <w:rPr>
          <w:rFonts w:ascii="Arial" w:eastAsia="Times New Roman" w:hAnsi="Arial" w:cs="Arial"/>
          <w:lang w:val="en-GB" w:eastAsia="en-GB"/>
        </w:rPr>
        <w:t xml:space="preserve">, E., </w:t>
      </w:r>
      <w:proofErr w:type="spellStart"/>
      <w:r w:rsidRPr="00337567">
        <w:rPr>
          <w:rFonts w:ascii="Arial" w:eastAsia="Times New Roman" w:hAnsi="Arial" w:cs="Arial"/>
          <w:lang w:val="en-GB" w:eastAsia="en-GB"/>
        </w:rPr>
        <w:t>Kolanen</w:t>
      </w:r>
      <w:proofErr w:type="spellEnd"/>
      <w:r w:rsidRPr="00337567">
        <w:rPr>
          <w:rFonts w:ascii="Arial" w:eastAsia="Times New Roman" w:hAnsi="Arial" w:cs="Arial"/>
          <w:lang w:val="en-GB" w:eastAsia="en-GB"/>
        </w:rPr>
        <w:t xml:space="preserve">, H. &amp; </w:t>
      </w:r>
      <w:proofErr w:type="spellStart"/>
      <w:r w:rsidRPr="00337567">
        <w:rPr>
          <w:rFonts w:ascii="Arial" w:eastAsia="Times New Roman" w:hAnsi="Arial" w:cs="Arial"/>
          <w:lang w:val="en-GB" w:eastAsia="en-GB"/>
        </w:rPr>
        <w:t>Ervast</w:t>
      </w:r>
      <w:proofErr w:type="spellEnd"/>
      <w:r w:rsidRPr="00337567">
        <w:rPr>
          <w:rFonts w:ascii="Arial" w:eastAsia="Times New Roman" w:hAnsi="Arial" w:cs="Arial"/>
          <w:lang w:val="en-GB" w:eastAsia="en-GB"/>
        </w:rPr>
        <w:t xml:space="preserve">, M. (2020) </w:t>
      </w:r>
      <w:r w:rsidRPr="00337567">
        <w:rPr>
          <w:rFonts w:ascii="Arial" w:eastAsia="Times New Roman" w:hAnsi="Arial" w:cs="Arial"/>
          <w:i/>
          <w:iCs/>
          <w:lang w:val="en-GB" w:eastAsia="en-GB"/>
        </w:rPr>
        <w:t>Applying and Extending the FITT Framework to Identify the Challenges and Opportunities of Successful eHealth Services for Patient Self</w:t>
      </w:r>
      <w:r w:rsidRPr="00337567">
        <w:rPr>
          <w:rFonts w:ascii="Arial" w:eastAsia="Times New Roman" w:hAnsi="Arial" w:cs="Arial"/>
          <w:i/>
          <w:iCs/>
          <w:lang w:val="en-GB" w:eastAsia="en-GB"/>
        </w:rPr>
        <w:noBreakHyphen/>
        <w:t>Management: Qualitative Interview Study.</w:t>
      </w:r>
      <w:r w:rsidRPr="00337567">
        <w:rPr>
          <w:rFonts w:ascii="Arial" w:eastAsia="Times New Roman" w:hAnsi="Arial" w:cs="Arial"/>
          <w:lang w:val="en-GB" w:eastAsia="en-GB"/>
        </w:rPr>
        <w:t xml:space="preserve"> Journal of Medical Internet Research, 22(8), e17696.</w:t>
      </w:r>
    </w:p>
    <w:p w14:paraId="07F486B3" w14:textId="77777777" w:rsidR="00337567" w:rsidRPr="00AF6BDC" w:rsidRDefault="00337567" w:rsidP="00AF6BDC">
      <w:pPr>
        <w:spacing w:line="480" w:lineRule="auto"/>
        <w:rPr>
          <w:rFonts w:ascii="Arial" w:hAnsi="Arial" w:cs="Arial"/>
        </w:rPr>
      </w:pPr>
    </w:p>
    <w:sectPr w:rsidR="00337567" w:rsidRPr="00AF6BDC"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37A34" w14:textId="77777777" w:rsidR="00C27AEF" w:rsidRDefault="00C27AEF" w:rsidP="006A110A">
      <w:pPr>
        <w:spacing w:after="0" w:line="240" w:lineRule="auto"/>
      </w:pPr>
      <w:r>
        <w:separator/>
      </w:r>
    </w:p>
  </w:endnote>
  <w:endnote w:type="continuationSeparator" w:id="0">
    <w:p w14:paraId="6AEF3DD3" w14:textId="77777777" w:rsidR="00C27AEF" w:rsidRDefault="00C27AEF" w:rsidP="006A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38737"/>
      <w:docPartObj>
        <w:docPartGallery w:val="Page Numbers (Bottom of Page)"/>
        <w:docPartUnique/>
      </w:docPartObj>
    </w:sdtPr>
    <w:sdtEndPr/>
    <w:sdtContent>
      <w:p w14:paraId="4ED3AFAE" w14:textId="77777777" w:rsidR="006A110A" w:rsidRDefault="006A110A">
        <w:pPr>
          <w:pStyle w:val="Footer"/>
          <w:jc w:val="right"/>
        </w:pPr>
        <w:r>
          <w:fldChar w:fldCharType="begin"/>
        </w:r>
        <w:r>
          <w:instrText>PAGE   \* MERGEFORMAT</w:instrText>
        </w:r>
        <w:r>
          <w:fldChar w:fldCharType="separate"/>
        </w:r>
        <w:r>
          <w:rPr>
            <w:lang w:val="en-GB"/>
          </w:rPr>
          <w:t>2</w:t>
        </w:r>
        <w:r>
          <w:fldChar w:fldCharType="end"/>
        </w:r>
      </w:p>
    </w:sdtContent>
  </w:sdt>
  <w:p w14:paraId="2A078EAA" w14:textId="77777777" w:rsidR="006A110A" w:rsidRDefault="006A1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462C6" w14:textId="77777777" w:rsidR="00C27AEF" w:rsidRDefault="00C27AEF" w:rsidP="006A110A">
      <w:pPr>
        <w:spacing w:after="0" w:line="240" w:lineRule="auto"/>
      </w:pPr>
      <w:r>
        <w:separator/>
      </w:r>
    </w:p>
  </w:footnote>
  <w:footnote w:type="continuationSeparator" w:id="0">
    <w:p w14:paraId="2D7568A7" w14:textId="77777777" w:rsidR="00C27AEF" w:rsidRDefault="00C27AEF" w:rsidP="006A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176BC" w14:textId="77777777" w:rsidR="006A110A" w:rsidRDefault="006A110A">
    <w:pPr>
      <w:pStyle w:val="Header"/>
    </w:pPr>
    <w:r>
      <w:t>Jess Kirkham-Jones 2512250</w:t>
    </w:r>
  </w:p>
  <w:p w14:paraId="67B4C304" w14:textId="77777777" w:rsidR="006A110A" w:rsidRDefault="006A11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9B0"/>
    <w:rsid w:val="00034616"/>
    <w:rsid w:val="00051963"/>
    <w:rsid w:val="0006063C"/>
    <w:rsid w:val="0014383D"/>
    <w:rsid w:val="0015074B"/>
    <w:rsid w:val="00210BBB"/>
    <w:rsid w:val="002874B0"/>
    <w:rsid w:val="0029639D"/>
    <w:rsid w:val="002E3334"/>
    <w:rsid w:val="003040CF"/>
    <w:rsid w:val="00326F90"/>
    <w:rsid w:val="00337567"/>
    <w:rsid w:val="0049022F"/>
    <w:rsid w:val="00493A8F"/>
    <w:rsid w:val="004C70E8"/>
    <w:rsid w:val="00503F12"/>
    <w:rsid w:val="00573A4D"/>
    <w:rsid w:val="00620E84"/>
    <w:rsid w:val="006A00A7"/>
    <w:rsid w:val="006A110A"/>
    <w:rsid w:val="00753CD7"/>
    <w:rsid w:val="008032A3"/>
    <w:rsid w:val="00825692"/>
    <w:rsid w:val="008265C1"/>
    <w:rsid w:val="00967073"/>
    <w:rsid w:val="00982835"/>
    <w:rsid w:val="009F2A5B"/>
    <w:rsid w:val="00AA1D8D"/>
    <w:rsid w:val="00AD7CCB"/>
    <w:rsid w:val="00AF6BDC"/>
    <w:rsid w:val="00B47730"/>
    <w:rsid w:val="00BC661A"/>
    <w:rsid w:val="00BF6186"/>
    <w:rsid w:val="00C27AEF"/>
    <w:rsid w:val="00C31996"/>
    <w:rsid w:val="00C42D3B"/>
    <w:rsid w:val="00CB0664"/>
    <w:rsid w:val="00CB1FC2"/>
    <w:rsid w:val="00E0521F"/>
    <w:rsid w:val="00E10B69"/>
    <w:rsid w:val="00E5073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9D2144"/>
  <w14:defaultImageDpi w14:val="300"/>
  <w15:docId w15:val="{9FEA83A7-EED2-4344-8C71-3511F2AF7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5Dark-Accent1">
    <w:name w:val="Grid Table 5 Dark Accent 1"/>
    <w:basedOn w:val="TableNormal"/>
    <w:uiPriority w:val="50"/>
    <w:rsid w:val="009F2A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CommentReference">
    <w:name w:val="annotation reference"/>
    <w:basedOn w:val="DefaultParagraphFont"/>
    <w:uiPriority w:val="99"/>
    <w:semiHidden/>
    <w:unhideWhenUsed/>
    <w:rsid w:val="009F2A5B"/>
    <w:rPr>
      <w:sz w:val="16"/>
      <w:szCs w:val="16"/>
    </w:rPr>
  </w:style>
  <w:style w:type="paragraph" w:styleId="CommentText">
    <w:name w:val="annotation text"/>
    <w:basedOn w:val="Normal"/>
    <w:link w:val="CommentTextChar"/>
    <w:uiPriority w:val="99"/>
    <w:semiHidden/>
    <w:unhideWhenUsed/>
    <w:rsid w:val="009F2A5B"/>
    <w:pPr>
      <w:spacing w:line="240" w:lineRule="auto"/>
    </w:pPr>
    <w:rPr>
      <w:sz w:val="20"/>
      <w:szCs w:val="20"/>
    </w:rPr>
  </w:style>
  <w:style w:type="character" w:customStyle="1" w:styleId="CommentTextChar">
    <w:name w:val="Comment Text Char"/>
    <w:basedOn w:val="DefaultParagraphFont"/>
    <w:link w:val="CommentText"/>
    <w:uiPriority w:val="99"/>
    <w:semiHidden/>
    <w:rsid w:val="009F2A5B"/>
    <w:rPr>
      <w:sz w:val="20"/>
      <w:szCs w:val="20"/>
    </w:rPr>
  </w:style>
  <w:style w:type="paragraph" w:styleId="CommentSubject">
    <w:name w:val="annotation subject"/>
    <w:basedOn w:val="CommentText"/>
    <w:next w:val="CommentText"/>
    <w:link w:val="CommentSubjectChar"/>
    <w:uiPriority w:val="99"/>
    <w:semiHidden/>
    <w:unhideWhenUsed/>
    <w:rsid w:val="009F2A5B"/>
    <w:rPr>
      <w:b/>
      <w:bCs/>
    </w:rPr>
  </w:style>
  <w:style w:type="character" w:customStyle="1" w:styleId="CommentSubjectChar">
    <w:name w:val="Comment Subject Char"/>
    <w:basedOn w:val="CommentTextChar"/>
    <w:link w:val="CommentSubject"/>
    <w:uiPriority w:val="99"/>
    <w:semiHidden/>
    <w:rsid w:val="009F2A5B"/>
    <w:rPr>
      <w:b/>
      <w:bCs/>
      <w:sz w:val="20"/>
      <w:szCs w:val="20"/>
    </w:rPr>
  </w:style>
  <w:style w:type="paragraph" w:styleId="NormalWeb">
    <w:name w:val="Normal (Web)"/>
    <w:basedOn w:val="Normal"/>
    <w:uiPriority w:val="99"/>
    <w:semiHidden/>
    <w:unhideWhenUsed/>
    <w:rsid w:val="006A00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E5073E"/>
    <w:rPr>
      <w:strike w:val="0"/>
      <w:dstrike w:val="0"/>
      <w:color w:val="464FEB"/>
      <w:u w:val="none"/>
      <w:effect w:val="none"/>
    </w:rPr>
  </w:style>
  <w:style w:type="character" w:styleId="FollowedHyperlink">
    <w:name w:val="FollowedHyperlink"/>
    <w:basedOn w:val="DefaultParagraphFont"/>
    <w:uiPriority w:val="99"/>
    <w:semiHidden/>
    <w:unhideWhenUsed/>
    <w:rsid w:val="004C70E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80440">
      <w:bodyDiv w:val="1"/>
      <w:marLeft w:val="0"/>
      <w:marRight w:val="0"/>
      <w:marTop w:val="0"/>
      <w:marBottom w:val="0"/>
      <w:divBdr>
        <w:top w:val="none" w:sz="0" w:space="0" w:color="auto"/>
        <w:left w:val="none" w:sz="0" w:space="0" w:color="auto"/>
        <w:bottom w:val="none" w:sz="0" w:space="0" w:color="auto"/>
        <w:right w:val="none" w:sz="0" w:space="0" w:color="auto"/>
      </w:divBdr>
      <w:divsChild>
        <w:div w:id="1968465303">
          <w:marLeft w:val="0"/>
          <w:marRight w:val="0"/>
          <w:marTop w:val="0"/>
          <w:marBottom w:val="0"/>
          <w:divBdr>
            <w:top w:val="none" w:sz="0" w:space="0" w:color="auto"/>
            <w:left w:val="none" w:sz="0" w:space="0" w:color="auto"/>
            <w:bottom w:val="none" w:sz="0" w:space="0" w:color="auto"/>
            <w:right w:val="none" w:sz="0" w:space="0" w:color="auto"/>
          </w:divBdr>
        </w:div>
      </w:divsChild>
    </w:div>
    <w:div w:id="256595677">
      <w:bodyDiv w:val="1"/>
      <w:marLeft w:val="0"/>
      <w:marRight w:val="0"/>
      <w:marTop w:val="0"/>
      <w:marBottom w:val="0"/>
      <w:divBdr>
        <w:top w:val="none" w:sz="0" w:space="0" w:color="auto"/>
        <w:left w:val="none" w:sz="0" w:space="0" w:color="auto"/>
        <w:bottom w:val="none" w:sz="0" w:space="0" w:color="auto"/>
        <w:right w:val="none" w:sz="0" w:space="0" w:color="auto"/>
      </w:divBdr>
      <w:divsChild>
        <w:div w:id="1937639128">
          <w:marLeft w:val="0"/>
          <w:marRight w:val="0"/>
          <w:marTop w:val="0"/>
          <w:marBottom w:val="0"/>
          <w:divBdr>
            <w:top w:val="none" w:sz="0" w:space="0" w:color="auto"/>
            <w:left w:val="none" w:sz="0" w:space="0" w:color="auto"/>
            <w:bottom w:val="none" w:sz="0" w:space="0" w:color="auto"/>
            <w:right w:val="none" w:sz="0" w:space="0" w:color="auto"/>
          </w:divBdr>
        </w:div>
      </w:divsChild>
    </w:div>
    <w:div w:id="376393860">
      <w:bodyDiv w:val="1"/>
      <w:marLeft w:val="0"/>
      <w:marRight w:val="0"/>
      <w:marTop w:val="0"/>
      <w:marBottom w:val="0"/>
      <w:divBdr>
        <w:top w:val="none" w:sz="0" w:space="0" w:color="auto"/>
        <w:left w:val="none" w:sz="0" w:space="0" w:color="auto"/>
        <w:bottom w:val="none" w:sz="0" w:space="0" w:color="auto"/>
        <w:right w:val="none" w:sz="0" w:space="0" w:color="auto"/>
      </w:divBdr>
      <w:divsChild>
        <w:div w:id="21323853">
          <w:marLeft w:val="0"/>
          <w:marRight w:val="0"/>
          <w:marTop w:val="0"/>
          <w:marBottom w:val="0"/>
          <w:divBdr>
            <w:top w:val="none" w:sz="0" w:space="0" w:color="auto"/>
            <w:left w:val="none" w:sz="0" w:space="0" w:color="auto"/>
            <w:bottom w:val="none" w:sz="0" w:space="0" w:color="auto"/>
            <w:right w:val="none" w:sz="0" w:space="0" w:color="auto"/>
          </w:divBdr>
        </w:div>
      </w:divsChild>
    </w:div>
    <w:div w:id="466823478">
      <w:bodyDiv w:val="1"/>
      <w:marLeft w:val="0"/>
      <w:marRight w:val="0"/>
      <w:marTop w:val="0"/>
      <w:marBottom w:val="0"/>
      <w:divBdr>
        <w:top w:val="none" w:sz="0" w:space="0" w:color="auto"/>
        <w:left w:val="none" w:sz="0" w:space="0" w:color="auto"/>
        <w:bottom w:val="none" w:sz="0" w:space="0" w:color="auto"/>
        <w:right w:val="none" w:sz="0" w:space="0" w:color="auto"/>
      </w:divBdr>
      <w:divsChild>
        <w:div w:id="1562134167">
          <w:marLeft w:val="0"/>
          <w:marRight w:val="0"/>
          <w:marTop w:val="0"/>
          <w:marBottom w:val="0"/>
          <w:divBdr>
            <w:top w:val="none" w:sz="0" w:space="0" w:color="auto"/>
            <w:left w:val="none" w:sz="0" w:space="0" w:color="auto"/>
            <w:bottom w:val="none" w:sz="0" w:space="0" w:color="auto"/>
            <w:right w:val="none" w:sz="0" w:space="0" w:color="auto"/>
          </w:divBdr>
        </w:div>
      </w:divsChild>
    </w:div>
    <w:div w:id="656885821">
      <w:bodyDiv w:val="1"/>
      <w:marLeft w:val="0"/>
      <w:marRight w:val="0"/>
      <w:marTop w:val="0"/>
      <w:marBottom w:val="0"/>
      <w:divBdr>
        <w:top w:val="none" w:sz="0" w:space="0" w:color="auto"/>
        <w:left w:val="none" w:sz="0" w:space="0" w:color="auto"/>
        <w:bottom w:val="none" w:sz="0" w:space="0" w:color="auto"/>
        <w:right w:val="none" w:sz="0" w:space="0" w:color="auto"/>
      </w:divBdr>
      <w:divsChild>
        <w:div w:id="1391029146">
          <w:marLeft w:val="0"/>
          <w:marRight w:val="0"/>
          <w:marTop w:val="0"/>
          <w:marBottom w:val="0"/>
          <w:divBdr>
            <w:top w:val="none" w:sz="0" w:space="0" w:color="auto"/>
            <w:left w:val="none" w:sz="0" w:space="0" w:color="auto"/>
            <w:bottom w:val="none" w:sz="0" w:space="0" w:color="auto"/>
            <w:right w:val="none" w:sz="0" w:space="0" w:color="auto"/>
          </w:divBdr>
        </w:div>
      </w:divsChild>
    </w:div>
    <w:div w:id="663243201">
      <w:bodyDiv w:val="1"/>
      <w:marLeft w:val="0"/>
      <w:marRight w:val="0"/>
      <w:marTop w:val="0"/>
      <w:marBottom w:val="0"/>
      <w:divBdr>
        <w:top w:val="none" w:sz="0" w:space="0" w:color="auto"/>
        <w:left w:val="none" w:sz="0" w:space="0" w:color="auto"/>
        <w:bottom w:val="none" w:sz="0" w:space="0" w:color="auto"/>
        <w:right w:val="none" w:sz="0" w:space="0" w:color="auto"/>
      </w:divBdr>
      <w:divsChild>
        <w:div w:id="465048321">
          <w:marLeft w:val="0"/>
          <w:marRight w:val="0"/>
          <w:marTop w:val="0"/>
          <w:marBottom w:val="0"/>
          <w:divBdr>
            <w:top w:val="none" w:sz="0" w:space="0" w:color="auto"/>
            <w:left w:val="none" w:sz="0" w:space="0" w:color="auto"/>
            <w:bottom w:val="none" w:sz="0" w:space="0" w:color="auto"/>
            <w:right w:val="none" w:sz="0" w:space="0" w:color="auto"/>
          </w:divBdr>
        </w:div>
      </w:divsChild>
    </w:div>
    <w:div w:id="941300494">
      <w:bodyDiv w:val="1"/>
      <w:marLeft w:val="0"/>
      <w:marRight w:val="0"/>
      <w:marTop w:val="0"/>
      <w:marBottom w:val="0"/>
      <w:divBdr>
        <w:top w:val="none" w:sz="0" w:space="0" w:color="auto"/>
        <w:left w:val="none" w:sz="0" w:space="0" w:color="auto"/>
        <w:bottom w:val="none" w:sz="0" w:space="0" w:color="auto"/>
        <w:right w:val="none" w:sz="0" w:space="0" w:color="auto"/>
      </w:divBdr>
    </w:div>
    <w:div w:id="943415834">
      <w:bodyDiv w:val="1"/>
      <w:marLeft w:val="0"/>
      <w:marRight w:val="0"/>
      <w:marTop w:val="0"/>
      <w:marBottom w:val="0"/>
      <w:divBdr>
        <w:top w:val="none" w:sz="0" w:space="0" w:color="auto"/>
        <w:left w:val="none" w:sz="0" w:space="0" w:color="auto"/>
        <w:bottom w:val="none" w:sz="0" w:space="0" w:color="auto"/>
        <w:right w:val="none" w:sz="0" w:space="0" w:color="auto"/>
      </w:divBdr>
      <w:divsChild>
        <w:div w:id="975254193">
          <w:marLeft w:val="0"/>
          <w:marRight w:val="0"/>
          <w:marTop w:val="0"/>
          <w:marBottom w:val="0"/>
          <w:divBdr>
            <w:top w:val="none" w:sz="0" w:space="0" w:color="auto"/>
            <w:left w:val="none" w:sz="0" w:space="0" w:color="auto"/>
            <w:bottom w:val="none" w:sz="0" w:space="0" w:color="auto"/>
            <w:right w:val="none" w:sz="0" w:space="0" w:color="auto"/>
          </w:divBdr>
        </w:div>
      </w:divsChild>
    </w:div>
    <w:div w:id="1073116118">
      <w:bodyDiv w:val="1"/>
      <w:marLeft w:val="0"/>
      <w:marRight w:val="0"/>
      <w:marTop w:val="0"/>
      <w:marBottom w:val="0"/>
      <w:divBdr>
        <w:top w:val="none" w:sz="0" w:space="0" w:color="auto"/>
        <w:left w:val="none" w:sz="0" w:space="0" w:color="auto"/>
        <w:bottom w:val="none" w:sz="0" w:space="0" w:color="auto"/>
        <w:right w:val="none" w:sz="0" w:space="0" w:color="auto"/>
      </w:divBdr>
      <w:divsChild>
        <w:div w:id="2139033933">
          <w:marLeft w:val="0"/>
          <w:marRight w:val="0"/>
          <w:marTop w:val="0"/>
          <w:marBottom w:val="0"/>
          <w:divBdr>
            <w:top w:val="none" w:sz="0" w:space="0" w:color="auto"/>
            <w:left w:val="none" w:sz="0" w:space="0" w:color="auto"/>
            <w:bottom w:val="none" w:sz="0" w:space="0" w:color="auto"/>
            <w:right w:val="none" w:sz="0" w:space="0" w:color="auto"/>
          </w:divBdr>
        </w:div>
      </w:divsChild>
    </w:div>
    <w:div w:id="1127896278">
      <w:bodyDiv w:val="1"/>
      <w:marLeft w:val="0"/>
      <w:marRight w:val="0"/>
      <w:marTop w:val="0"/>
      <w:marBottom w:val="0"/>
      <w:divBdr>
        <w:top w:val="none" w:sz="0" w:space="0" w:color="auto"/>
        <w:left w:val="none" w:sz="0" w:space="0" w:color="auto"/>
        <w:bottom w:val="none" w:sz="0" w:space="0" w:color="auto"/>
        <w:right w:val="none" w:sz="0" w:space="0" w:color="auto"/>
      </w:divBdr>
      <w:divsChild>
        <w:div w:id="1386370653">
          <w:marLeft w:val="0"/>
          <w:marRight w:val="0"/>
          <w:marTop w:val="0"/>
          <w:marBottom w:val="0"/>
          <w:divBdr>
            <w:top w:val="none" w:sz="0" w:space="0" w:color="auto"/>
            <w:left w:val="none" w:sz="0" w:space="0" w:color="auto"/>
            <w:bottom w:val="none" w:sz="0" w:space="0" w:color="auto"/>
            <w:right w:val="none" w:sz="0" w:space="0" w:color="auto"/>
          </w:divBdr>
        </w:div>
      </w:divsChild>
    </w:div>
    <w:div w:id="1423993650">
      <w:bodyDiv w:val="1"/>
      <w:marLeft w:val="0"/>
      <w:marRight w:val="0"/>
      <w:marTop w:val="0"/>
      <w:marBottom w:val="0"/>
      <w:divBdr>
        <w:top w:val="none" w:sz="0" w:space="0" w:color="auto"/>
        <w:left w:val="none" w:sz="0" w:space="0" w:color="auto"/>
        <w:bottom w:val="none" w:sz="0" w:space="0" w:color="auto"/>
        <w:right w:val="none" w:sz="0" w:space="0" w:color="auto"/>
      </w:divBdr>
      <w:divsChild>
        <w:div w:id="1107122064">
          <w:marLeft w:val="0"/>
          <w:marRight w:val="0"/>
          <w:marTop w:val="0"/>
          <w:marBottom w:val="0"/>
          <w:divBdr>
            <w:top w:val="none" w:sz="0" w:space="0" w:color="auto"/>
            <w:left w:val="none" w:sz="0" w:space="0" w:color="auto"/>
            <w:bottom w:val="none" w:sz="0" w:space="0" w:color="auto"/>
            <w:right w:val="none" w:sz="0" w:space="0" w:color="auto"/>
          </w:divBdr>
        </w:div>
      </w:divsChild>
    </w:div>
    <w:div w:id="1441605447">
      <w:bodyDiv w:val="1"/>
      <w:marLeft w:val="0"/>
      <w:marRight w:val="0"/>
      <w:marTop w:val="0"/>
      <w:marBottom w:val="0"/>
      <w:divBdr>
        <w:top w:val="none" w:sz="0" w:space="0" w:color="auto"/>
        <w:left w:val="none" w:sz="0" w:space="0" w:color="auto"/>
        <w:bottom w:val="none" w:sz="0" w:space="0" w:color="auto"/>
        <w:right w:val="none" w:sz="0" w:space="0" w:color="auto"/>
      </w:divBdr>
      <w:divsChild>
        <w:div w:id="1111165575">
          <w:marLeft w:val="0"/>
          <w:marRight w:val="0"/>
          <w:marTop w:val="0"/>
          <w:marBottom w:val="0"/>
          <w:divBdr>
            <w:top w:val="none" w:sz="0" w:space="0" w:color="auto"/>
            <w:left w:val="none" w:sz="0" w:space="0" w:color="auto"/>
            <w:bottom w:val="none" w:sz="0" w:space="0" w:color="auto"/>
            <w:right w:val="none" w:sz="0" w:space="0" w:color="auto"/>
          </w:divBdr>
        </w:div>
      </w:divsChild>
    </w:div>
    <w:div w:id="1548956931">
      <w:bodyDiv w:val="1"/>
      <w:marLeft w:val="0"/>
      <w:marRight w:val="0"/>
      <w:marTop w:val="0"/>
      <w:marBottom w:val="0"/>
      <w:divBdr>
        <w:top w:val="none" w:sz="0" w:space="0" w:color="auto"/>
        <w:left w:val="none" w:sz="0" w:space="0" w:color="auto"/>
        <w:bottom w:val="none" w:sz="0" w:space="0" w:color="auto"/>
        <w:right w:val="none" w:sz="0" w:space="0" w:color="auto"/>
      </w:divBdr>
      <w:divsChild>
        <w:div w:id="2124759651">
          <w:marLeft w:val="0"/>
          <w:marRight w:val="0"/>
          <w:marTop w:val="0"/>
          <w:marBottom w:val="0"/>
          <w:divBdr>
            <w:top w:val="none" w:sz="0" w:space="0" w:color="auto"/>
            <w:left w:val="none" w:sz="0" w:space="0" w:color="auto"/>
            <w:bottom w:val="none" w:sz="0" w:space="0" w:color="auto"/>
            <w:right w:val="none" w:sz="0" w:space="0" w:color="auto"/>
          </w:divBdr>
        </w:div>
      </w:divsChild>
    </w:div>
    <w:div w:id="1611013434">
      <w:bodyDiv w:val="1"/>
      <w:marLeft w:val="0"/>
      <w:marRight w:val="0"/>
      <w:marTop w:val="0"/>
      <w:marBottom w:val="0"/>
      <w:divBdr>
        <w:top w:val="none" w:sz="0" w:space="0" w:color="auto"/>
        <w:left w:val="none" w:sz="0" w:space="0" w:color="auto"/>
        <w:bottom w:val="none" w:sz="0" w:space="0" w:color="auto"/>
        <w:right w:val="none" w:sz="0" w:space="0" w:color="auto"/>
      </w:divBdr>
      <w:divsChild>
        <w:div w:id="13773422">
          <w:marLeft w:val="0"/>
          <w:marRight w:val="0"/>
          <w:marTop w:val="0"/>
          <w:marBottom w:val="0"/>
          <w:divBdr>
            <w:top w:val="none" w:sz="0" w:space="0" w:color="auto"/>
            <w:left w:val="none" w:sz="0" w:space="0" w:color="auto"/>
            <w:bottom w:val="none" w:sz="0" w:space="0" w:color="auto"/>
            <w:right w:val="none" w:sz="0" w:space="0" w:color="auto"/>
          </w:divBdr>
        </w:div>
      </w:divsChild>
    </w:div>
    <w:div w:id="1918009110">
      <w:bodyDiv w:val="1"/>
      <w:marLeft w:val="0"/>
      <w:marRight w:val="0"/>
      <w:marTop w:val="0"/>
      <w:marBottom w:val="0"/>
      <w:divBdr>
        <w:top w:val="none" w:sz="0" w:space="0" w:color="auto"/>
        <w:left w:val="none" w:sz="0" w:space="0" w:color="auto"/>
        <w:bottom w:val="none" w:sz="0" w:space="0" w:color="auto"/>
        <w:right w:val="none" w:sz="0" w:space="0" w:color="auto"/>
      </w:divBdr>
      <w:divsChild>
        <w:div w:id="430705938">
          <w:marLeft w:val="0"/>
          <w:marRight w:val="0"/>
          <w:marTop w:val="0"/>
          <w:marBottom w:val="0"/>
          <w:divBdr>
            <w:top w:val="none" w:sz="0" w:space="0" w:color="auto"/>
            <w:left w:val="none" w:sz="0" w:space="0" w:color="auto"/>
            <w:bottom w:val="none" w:sz="0" w:space="0" w:color="auto"/>
            <w:right w:val="none" w:sz="0" w:space="0" w:color="auto"/>
          </w:divBdr>
        </w:div>
      </w:divsChild>
    </w:div>
    <w:div w:id="2091925483">
      <w:bodyDiv w:val="1"/>
      <w:marLeft w:val="0"/>
      <w:marRight w:val="0"/>
      <w:marTop w:val="0"/>
      <w:marBottom w:val="0"/>
      <w:divBdr>
        <w:top w:val="none" w:sz="0" w:space="0" w:color="auto"/>
        <w:left w:val="none" w:sz="0" w:space="0" w:color="auto"/>
        <w:bottom w:val="none" w:sz="0" w:space="0" w:color="auto"/>
        <w:right w:val="none" w:sz="0" w:space="0" w:color="auto"/>
      </w:divBdr>
      <w:divsChild>
        <w:div w:id="425544429">
          <w:marLeft w:val="0"/>
          <w:marRight w:val="0"/>
          <w:marTop w:val="0"/>
          <w:marBottom w:val="0"/>
          <w:divBdr>
            <w:top w:val="none" w:sz="0" w:space="0" w:color="auto"/>
            <w:left w:val="none" w:sz="0" w:space="0" w:color="auto"/>
            <w:bottom w:val="none" w:sz="0" w:space="0" w:color="auto"/>
            <w:right w:val="none" w:sz="0" w:space="0" w:color="auto"/>
          </w:divBdr>
        </w:div>
      </w:divsChild>
    </w:div>
    <w:div w:id="2119371916">
      <w:bodyDiv w:val="1"/>
      <w:marLeft w:val="0"/>
      <w:marRight w:val="0"/>
      <w:marTop w:val="0"/>
      <w:marBottom w:val="0"/>
      <w:divBdr>
        <w:top w:val="none" w:sz="0" w:space="0" w:color="auto"/>
        <w:left w:val="none" w:sz="0" w:space="0" w:color="auto"/>
        <w:bottom w:val="none" w:sz="0" w:space="0" w:color="auto"/>
        <w:right w:val="none" w:sz="0" w:space="0" w:color="auto"/>
      </w:divBdr>
      <w:divsChild>
        <w:div w:id="777142400">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3545</Words>
  <Characters>20209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23707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Jessica Kirkham-jones (Aneurin Bevan UHB - Sleep Clinic)</cp:lastModifiedBy>
  <cp:revision>2</cp:revision>
  <dcterms:created xsi:type="dcterms:W3CDTF">2026-02-06T20:06:00Z</dcterms:created>
  <dcterms:modified xsi:type="dcterms:W3CDTF">2026-02-06T20:06:00Z</dcterms:modified>
  <cp:category/>
</cp:coreProperties>
</file>