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E32F7" w14:textId="77777777" w:rsidR="00505D76" w:rsidRPr="003316FD" w:rsidRDefault="2F3DF074" w:rsidP="001011A7">
      <w:pPr>
        <w:suppressAutoHyphens/>
        <w:autoSpaceDN w:val="0"/>
        <w:spacing w:after="200" w:line="480" w:lineRule="auto"/>
        <w:textAlignment w:val="baseline"/>
        <w:rPr>
          <w:b/>
          <w:bCs/>
        </w:rPr>
      </w:pPr>
      <w:r w:rsidRPr="2F3DF074">
        <w:rPr>
          <w:b/>
          <w:bCs/>
        </w:rPr>
        <w:t>The emergence of political cooperation and coalition government during the First World War in Britain was the inevitable consequence of fighting ‘total war’. Discuss, while comparing the administrations of Herbert Asquith and David Lloyd George.</w:t>
      </w:r>
    </w:p>
    <w:p w14:paraId="00660926" w14:textId="7F96B548" w:rsidR="00505D76" w:rsidRDefault="2F3DF074" w:rsidP="001011A7">
      <w:pPr>
        <w:spacing w:line="480" w:lineRule="auto"/>
      </w:pPr>
      <w:r>
        <w:t xml:space="preserve">Throughout human history, political rivalry and infighting has almost always been set aside when faced with a looming exterior enemy and </w:t>
      </w:r>
      <w:r w:rsidR="00E33C69">
        <w:t xml:space="preserve">for the most part </w:t>
      </w:r>
      <w:r>
        <w:t>it was no different in World War One (WW1)</w:t>
      </w:r>
      <w:r w:rsidR="00E33C69">
        <w:t>.</w:t>
      </w:r>
      <w:r>
        <w:t xml:space="preserve"> In general, the governments of both Asquith and Lloyd George realised that they had to work with old political enemies and try to unify the house of Commons to avoid the seemingly huge threat that Germany posed to Britain’s sovereignty and security. The coalition governments under Lloyd George and Asquith are clear examples pointing to this innate ability to try and essentially ‘survive’ as an establishment and a nation. Of course, not everyone agreed with each other</w:t>
      </w:r>
      <w:r w:rsidR="00DC65EB">
        <w:t>,</w:t>
      </w:r>
      <w:r>
        <w:t xml:space="preserve"> what with the apparent failure of the Asquith government over the issue of national conscription and Asquith’s apparent lack of willingness to support the war. Thus, </w:t>
      </w:r>
      <w:r w:rsidR="007725D9">
        <w:t xml:space="preserve">while </w:t>
      </w:r>
      <w:r>
        <w:t>it was clear that not all factions were exactly united, ultimately there is too much significant evidence that presents the inevitability of fighting ‘total war’ causing political cooperation.</w:t>
      </w:r>
    </w:p>
    <w:p w14:paraId="599299B6" w14:textId="7775B77B" w:rsidR="0056579A" w:rsidRDefault="00137097" w:rsidP="001011A7">
      <w:pPr>
        <w:spacing w:line="480" w:lineRule="auto"/>
      </w:pPr>
      <w:r>
        <w:t>Historian</w:t>
      </w:r>
      <w:r w:rsidR="00FD4143">
        <w:t>,</w:t>
      </w:r>
      <w:r>
        <w:t xml:space="preserve"> Micha</w:t>
      </w:r>
      <w:r w:rsidR="00352D54">
        <w:t>e</w:t>
      </w:r>
      <w:r>
        <w:t>l Fry</w:t>
      </w:r>
      <w:r w:rsidR="00FD4143">
        <w:t>,</w:t>
      </w:r>
      <w:r w:rsidR="00AF20E2">
        <w:t xml:space="preserve"> notes that Lloyd George’s </w:t>
      </w:r>
      <w:r w:rsidR="00352D54">
        <w:t>Coalition government of 1916 was an incredibly peculiar time in British politics notably because for perhaps the first time since the government of national unity of William Pitt</w:t>
      </w:r>
      <w:r w:rsidR="00DC65EB">
        <w:t xml:space="preserve"> </w:t>
      </w:r>
      <w:r w:rsidR="00FD4143">
        <w:t>w</w:t>
      </w:r>
      <w:r w:rsidR="00352D54">
        <w:t>hat one would normally deign to be political rivals actively worked together to completely change the shape of the House of Commons</w:t>
      </w:r>
      <w:r w:rsidR="00FD1601">
        <w:t xml:space="preserve">. </w:t>
      </w:r>
      <w:r w:rsidR="00FD4143">
        <w:t>B</w:t>
      </w:r>
      <w:r w:rsidR="00352D54">
        <w:t xml:space="preserve">efore the outbreak of </w:t>
      </w:r>
      <w:r w:rsidR="00FD4143">
        <w:t xml:space="preserve">WW1 </w:t>
      </w:r>
      <w:r w:rsidR="00264C15">
        <w:t>not one political observer would have suggested that Liberals, Conservatives</w:t>
      </w:r>
      <w:r w:rsidR="00FD4143">
        <w:t>,</w:t>
      </w:r>
      <w:r w:rsidR="00264C15">
        <w:t xml:space="preserve"> and even Labour</w:t>
      </w:r>
      <w:r w:rsidR="00FD4143">
        <w:t>,</w:t>
      </w:r>
      <w:r w:rsidR="00264C15">
        <w:t xml:space="preserve"> could work together in a Government that was essentially Socialist in nature</w:t>
      </w:r>
      <w:r w:rsidR="00FD4143">
        <w:t>,</w:t>
      </w:r>
      <w:r w:rsidR="00264C15">
        <w:t xml:space="preserve"> as the Government themselves perpetuated the notion of all classes and politicians working together for the good of the Liberal nation of G</w:t>
      </w:r>
      <w:r w:rsidR="00FD1601">
        <w:t>reat Britain.</w:t>
      </w:r>
      <w:r w:rsidR="00193E65">
        <w:rPr>
          <w:rStyle w:val="FootnoteReference"/>
        </w:rPr>
        <w:footnoteReference w:id="1"/>
      </w:r>
      <w:r w:rsidR="00FD1601">
        <w:t xml:space="preserve"> This reinforces the sentiment that</w:t>
      </w:r>
      <w:r w:rsidR="00F46BD2">
        <w:t xml:space="preserve"> the Government was by all means co-operating with one another and that </w:t>
      </w:r>
      <w:r w:rsidR="002A5BB3">
        <w:t xml:space="preserve">this was because of the general threat posed to Britain by Germany. </w:t>
      </w:r>
    </w:p>
    <w:p w14:paraId="65799AFE" w14:textId="1F173F2A" w:rsidR="0056579A" w:rsidRDefault="007304FF" w:rsidP="001011A7">
      <w:pPr>
        <w:spacing w:line="480" w:lineRule="auto"/>
      </w:pPr>
      <w:r>
        <w:lastRenderedPageBreak/>
        <w:t>Adding even further to this idea</w:t>
      </w:r>
      <w:r w:rsidR="007725D9">
        <w:t>,</w:t>
      </w:r>
      <w:r>
        <w:t xml:space="preserve"> is the fact that revisionist historians have recently challenged the consensus that Asquith was a weak war leader and by extension </w:t>
      </w:r>
      <w:r w:rsidR="00DA1A74">
        <w:t>a weak politician,</w:t>
      </w:r>
      <w:r w:rsidR="00CA027D">
        <w:rPr>
          <w:rStyle w:val="FootnoteReference"/>
        </w:rPr>
        <w:footnoteReference w:id="2"/>
      </w:r>
      <w:r w:rsidR="00DA1A74">
        <w:t xml:space="preserve"> citing the fact that Asquith was more or less an unfortunate victim of circumstance</w:t>
      </w:r>
      <w:r w:rsidR="007725D9">
        <w:t>, w</w:t>
      </w:r>
      <w:r w:rsidR="00DA1A74">
        <w:t>hat with media barons</w:t>
      </w:r>
      <w:r w:rsidR="00FD4143">
        <w:t>,</w:t>
      </w:r>
      <w:r w:rsidR="00DA1A74">
        <w:t xml:space="preserve"> such as Lord Northcliffe and Lord Beaverbrook</w:t>
      </w:r>
      <w:r w:rsidR="00FD4143">
        <w:t>,</w:t>
      </w:r>
      <w:r w:rsidR="00DA1A74">
        <w:t xml:space="preserve"> perpetuating the</w:t>
      </w:r>
      <w:r w:rsidR="002A5BB3">
        <w:t xml:space="preserve"> </w:t>
      </w:r>
      <w:r w:rsidR="009B6E07">
        <w:t xml:space="preserve">sentiment of Asquith being too inactive and essentially </w:t>
      </w:r>
      <w:r w:rsidR="00FD4143">
        <w:t>‘</w:t>
      </w:r>
      <w:r w:rsidR="009B6E07">
        <w:t>lily</w:t>
      </w:r>
      <w:r w:rsidR="00FD4143">
        <w:t>-</w:t>
      </w:r>
      <w:r w:rsidR="009B6E07">
        <w:t>livered</w:t>
      </w:r>
      <w:r w:rsidR="00FD4143">
        <w:t>’</w:t>
      </w:r>
      <w:r w:rsidR="004D57A1">
        <w:t>,</w:t>
      </w:r>
      <w:r w:rsidR="009B6E07">
        <w:t xml:space="preserve"> particularly on the issue of national conscription</w:t>
      </w:r>
      <w:r w:rsidR="005A4C11">
        <w:t>.</w:t>
      </w:r>
      <w:r w:rsidR="00A549B8">
        <w:rPr>
          <w:rStyle w:val="FootnoteReference"/>
        </w:rPr>
        <w:footnoteReference w:id="3"/>
      </w:r>
      <w:r w:rsidR="005A4C11">
        <w:t xml:space="preserve"> Although in reality</w:t>
      </w:r>
      <w:r w:rsidR="007725D9">
        <w:t>,</w:t>
      </w:r>
      <w:r w:rsidR="005A4C11">
        <w:t xml:space="preserve"> Asquith was never really that responsible for his own downfall</w:t>
      </w:r>
      <w:r w:rsidR="004D57A1">
        <w:t>,</w:t>
      </w:r>
      <w:r w:rsidR="005A4C11">
        <w:t xml:space="preserve"> as he was ultimately let down by those around him such as Lord Derby. In fact</w:t>
      </w:r>
      <w:r w:rsidR="0056579A">
        <w:t>,</w:t>
      </w:r>
      <w:r w:rsidR="005A4C11">
        <w:t xml:space="preserve"> Asquith kept the Liberal party alive far longer than</w:t>
      </w:r>
      <w:r w:rsidR="007725D9">
        <w:t xml:space="preserve"> it</w:t>
      </w:r>
      <w:r w:rsidR="005A4C11">
        <w:t xml:space="preserve"> would</w:t>
      </w:r>
      <w:r w:rsidR="004D57A1">
        <w:t xml:space="preserve"> ha</w:t>
      </w:r>
      <w:r w:rsidR="005A4C11">
        <w:t>ve perhaps lasted</w:t>
      </w:r>
      <w:r w:rsidR="004D57A1">
        <w:t>,</w:t>
      </w:r>
      <w:r w:rsidR="00664170">
        <w:rPr>
          <w:rStyle w:val="FootnoteReference"/>
        </w:rPr>
        <w:footnoteReference w:id="4"/>
      </w:r>
      <w:r w:rsidR="005A4C11">
        <w:t xml:space="preserve"> since </w:t>
      </w:r>
      <w:r w:rsidR="001464EF">
        <w:t>it was fairly well</w:t>
      </w:r>
      <w:r w:rsidR="004D57A1">
        <w:t xml:space="preserve"> </w:t>
      </w:r>
      <w:r w:rsidR="001464EF">
        <w:t xml:space="preserve">known that David Lloyd George was working with the </w:t>
      </w:r>
      <w:r w:rsidR="004D57A1">
        <w:t>C</w:t>
      </w:r>
      <w:r w:rsidR="001464EF">
        <w:t>onservative</w:t>
      </w:r>
      <w:r w:rsidR="004D57A1">
        <w:t>s</w:t>
      </w:r>
      <w:r w:rsidR="001464EF">
        <w:t xml:space="preserve"> to try and unite a government with him at its helm</w:t>
      </w:r>
      <w:r w:rsidR="00FE088D">
        <w:t>. Therefore</w:t>
      </w:r>
      <w:r w:rsidR="0056579A">
        <w:t>,</w:t>
      </w:r>
      <w:r w:rsidR="00FE088D">
        <w:t xml:space="preserve"> to delay this until 1916 was a fairly </w:t>
      </w:r>
      <w:r w:rsidR="00FD408E">
        <w:t xml:space="preserve">significant </w:t>
      </w:r>
      <w:r w:rsidR="00FE088D">
        <w:t>achievemen</w:t>
      </w:r>
      <w:r w:rsidR="0056579A">
        <w:t>t</w:t>
      </w:r>
      <w:r w:rsidR="004D57A1">
        <w:t>,</w:t>
      </w:r>
      <w:r w:rsidR="0056579A">
        <w:t xml:space="preserve"> and revisionist historians have indeed noted that</w:t>
      </w:r>
      <w:r w:rsidR="004D57A1">
        <w:t>,</w:t>
      </w:r>
      <w:r w:rsidR="0056579A">
        <w:t xml:space="preserve"> up until things</w:t>
      </w:r>
      <w:r w:rsidR="004D57A1">
        <w:t>,</w:t>
      </w:r>
      <w:r w:rsidR="0056579A">
        <w:t xml:space="preserve"> perhaps inevitably, went wrong for Asquith’s government</w:t>
      </w:r>
      <w:r w:rsidR="004D57A1">
        <w:t>,</w:t>
      </w:r>
      <w:r w:rsidR="0056579A">
        <w:t xml:space="preserve"> his coalition government was no less united than that of David Lloyd George’s.</w:t>
      </w:r>
      <w:r w:rsidR="00664170">
        <w:rPr>
          <w:rStyle w:val="FootnoteReference"/>
        </w:rPr>
        <w:footnoteReference w:id="5"/>
      </w:r>
      <w:r w:rsidR="00747792">
        <w:t xml:space="preserve"> With Lynch noting that in terms of actual economic policy Lloyd George and Asquith were not that different</w:t>
      </w:r>
      <w:r w:rsidR="00BB5AF1">
        <w:t>,</w:t>
      </w:r>
      <w:r w:rsidR="00BB5AF1" w:rsidRPr="00BB5AF1">
        <w:rPr>
          <w:rStyle w:val="FootnoteReference"/>
        </w:rPr>
        <w:t xml:space="preserve"> </w:t>
      </w:r>
      <w:r w:rsidR="00BB5AF1">
        <w:rPr>
          <w:rStyle w:val="FootnoteReference"/>
        </w:rPr>
        <w:footnoteReference w:id="6"/>
      </w:r>
      <w:r w:rsidR="00BB5AF1">
        <w:t xml:space="preserve"> as Lloyd George initially agreed with the policy of ‘Business as usual’ coined by Churchill until it became clear that more resources and labour  needed to by employed</w:t>
      </w:r>
      <w:r w:rsidR="00747792">
        <w:t>.</w:t>
      </w:r>
      <w:r w:rsidR="00CC551B">
        <w:rPr>
          <w:rStyle w:val="FootnoteReference"/>
        </w:rPr>
        <w:footnoteReference w:id="7"/>
      </w:r>
    </w:p>
    <w:p w14:paraId="053BF837" w14:textId="471EE70D" w:rsidR="0056579A" w:rsidRDefault="0056579A" w:rsidP="001011A7">
      <w:pPr>
        <w:spacing w:line="480" w:lineRule="auto"/>
      </w:pPr>
      <w:r>
        <w:t xml:space="preserve">However, the fact that </w:t>
      </w:r>
      <w:r w:rsidR="00CF5258">
        <w:t xml:space="preserve">there was quite a significant portion of political upheaval, particularly in 1916, clearly presents something of an oxymoron since clearly the population </w:t>
      </w:r>
      <w:r w:rsidR="00CC551B">
        <w:t>riled</w:t>
      </w:r>
      <w:r w:rsidR="00CF5258">
        <w:t xml:space="preserve"> against the Asquit</w:t>
      </w:r>
      <w:r w:rsidR="00435446">
        <w:t>h</w:t>
      </w:r>
      <w:r w:rsidR="00CF5258">
        <w:t xml:space="preserve"> Liberal government</w:t>
      </w:r>
      <w:r w:rsidR="004D57A1">
        <w:t xml:space="preserve"> which</w:t>
      </w:r>
      <w:r w:rsidR="00CF5258">
        <w:t xml:space="preserve"> was deemed ineffectual (regardless of whether it was or not)</w:t>
      </w:r>
      <w:r w:rsidR="004D57A1">
        <w:t>,</w:t>
      </w:r>
      <w:r w:rsidR="00CF5258">
        <w:t xml:space="preserve"> </w:t>
      </w:r>
      <w:r w:rsidR="00654A5E">
        <w:t>which</w:t>
      </w:r>
      <w:r w:rsidR="0021132E">
        <w:t xml:space="preserve"> ultimately led to political upheaval</w:t>
      </w:r>
      <w:r w:rsidR="004D57A1">
        <w:t>. In addition</w:t>
      </w:r>
      <w:r w:rsidR="0021132E">
        <w:t>, as noted by Fry,</w:t>
      </w:r>
      <w:r w:rsidR="00D121DE">
        <w:t xml:space="preserve"> </w:t>
      </w:r>
      <w:r w:rsidR="00D121DE">
        <w:rPr>
          <w:rStyle w:val="FootnoteReference"/>
        </w:rPr>
        <w:footnoteReference w:id="8"/>
      </w:r>
      <w:r w:rsidR="0021132E">
        <w:t xml:space="preserve"> political chaos</w:t>
      </w:r>
      <w:r w:rsidR="004D57A1">
        <w:t>,</w:t>
      </w:r>
      <w:r w:rsidR="00D121DE">
        <w:t xml:space="preserve"> </w:t>
      </w:r>
      <w:r w:rsidR="0021132E">
        <w:t>in which ther</w:t>
      </w:r>
      <w:r w:rsidR="004D57A1">
        <w:t>e</w:t>
      </w:r>
      <w:r w:rsidR="0021132E">
        <w:t xml:space="preserve"> was a massive amount of</w:t>
      </w:r>
      <w:r w:rsidR="00F63521">
        <w:t xml:space="preserve"> factionalism</w:t>
      </w:r>
      <w:r w:rsidR="0021132E">
        <w:t xml:space="preserve"> </w:t>
      </w:r>
      <w:r w:rsidR="00F63521">
        <w:t>between L</w:t>
      </w:r>
      <w:r w:rsidR="0021132E">
        <w:t>loyd George</w:t>
      </w:r>
      <w:r w:rsidR="00F63521">
        <w:t xml:space="preserve"> with Asquith being moderate and Lloyd George radical.</w:t>
      </w:r>
      <w:r w:rsidR="00F63521">
        <w:rPr>
          <w:rStyle w:val="FootnoteReference"/>
        </w:rPr>
        <w:footnoteReference w:id="9"/>
      </w:r>
      <w:r w:rsidR="00F63521">
        <w:t xml:space="preserve"> This</w:t>
      </w:r>
      <w:r w:rsidR="0021132E">
        <w:t xml:space="preserve"> was</w:t>
      </w:r>
      <w:r w:rsidR="00F63521">
        <w:t xml:space="preserve"> entirely</w:t>
      </w:r>
      <w:r w:rsidR="0021132E">
        <w:t xml:space="preserve"> unique since this </w:t>
      </w:r>
      <w:r w:rsidR="004D57A1">
        <w:t xml:space="preserve">was </w:t>
      </w:r>
      <w:r w:rsidR="0021132E">
        <w:t xml:space="preserve">clear </w:t>
      </w:r>
      <w:r w:rsidR="00654A5E">
        <w:t xml:space="preserve">a </w:t>
      </w:r>
      <w:r w:rsidR="0021132E">
        <w:t xml:space="preserve">polarisation within a </w:t>
      </w:r>
      <w:r w:rsidR="0021132E">
        <w:lastRenderedPageBreak/>
        <w:t>political</w:t>
      </w:r>
      <w:r w:rsidR="00F11253">
        <w:t xml:space="preserve"> the</w:t>
      </w:r>
      <w:r w:rsidR="0021132E">
        <w:t xml:space="preserve"> </w:t>
      </w:r>
      <w:r w:rsidR="00435446">
        <w:t xml:space="preserve">Liberal party. This is almost certainly what doomed it and led to the resurgence of the Conservative party </w:t>
      </w:r>
      <w:r w:rsidR="00BF59CE">
        <w:t>and the rise of Labour. These are historic and pivotal moments in British politics</w:t>
      </w:r>
      <w:r w:rsidR="004D57A1">
        <w:t>,</w:t>
      </w:r>
      <w:r w:rsidR="00BF59CE">
        <w:t xml:space="preserve"> since they led t</w:t>
      </w:r>
      <w:r w:rsidR="0095532E">
        <w:t>o a complete overhaul of the political hierarchy. Such a movement clearly suggests that there was not so much political co-operation as originally thought</w:t>
      </w:r>
      <w:r w:rsidR="004D57A1">
        <w:t>,</w:t>
      </w:r>
      <w:r w:rsidR="0095532E">
        <w:t xml:space="preserve"> </w:t>
      </w:r>
      <w:r w:rsidR="00F70793">
        <w:t>since clearly the Liberal party itself was not united</w:t>
      </w:r>
      <w:r w:rsidR="004D57A1">
        <w:t>. T</w:t>
      </w:r>
      <w:r w:rsidR="00F70793">
        <w:t xml:space="preserve">his is </w:t>
      </w:r>
      <w:r w:rsidR="002C4424">
        <w:t>argued</w:t>
      </w:r>
      <w:r w:rsidR="00F70793">
        <w:t xml:space="preserve"> by the </w:t>
      </w:r>
      <w:r w:rsidR="00AA676F">
        <w:t>h</w:t>
      </w:r>
      <w:r w:rsidR="00F70793">
        <w:t>istorian Lynch</w:t>
      </w:r>
      <w:r w:rsidR="00AA676F">
        <w:t>,</w:t>
      </w:r>
      <w:r w:rsidR="00F70793">
        <w:t xml:space="preserve"> who suggests that Lloyd George had something of a ‘Liberal Dilemma’ and that ultimately Lloyd George’s policies were</w:t>
      </w:r>
      <w:r w:rsidR="00BF3E6A">
        <w:t xml:space="preserve"> more reactionary to events, rather than following a specific political belief</w:t>
      </w:r>
      <w:r w:rsidR="00F70793">
        <w:t>.</w:t>
      </w:r>
      <w:r w:rsidR="00664170">
        <w:rPr>
          <w:rStyle w:val="FootnoteReference"/>
        </w:rPr>
        <w:footnoteReference w:id="10"/>
      </w:r>
      <w:r w:rsidR="003656BA">
        <w:t xml:space="preserve"> This </w:t>
      </w:r>
      <w:r w:rsidR="00AE7D92">
        <w:t xml:space="preserve">was a </w:t>
      </w:r>
      <w:r w:rsidR="003656BA">
        <w:t>clear polarisation between the two factions</w:t>
      </w:r>
      <w:r w:rsidR="00333046">
        <w:t>,</w:t>
      </w:r>
      <w:r w:rsidR="003656BA">
        <w:t xml:space="preserve"> as well as the systematic destruction of Asquith’s political reputation</w:t>
      </w:r>
      <w:r w:rsidR="004F7759">
        <w:t>. Interestingly</w:t>
      </w:r>
      <w:r w:rsidR="00333046">
        <w:t>,</w:t>
      </w:r>
      <w:r w:rsidR="004F7759">
        <w:t xml:space="preserve"> this was despite the fact that Lloyd George initially supported the Asquith government</w:t>
      </w:r>
      <w:r w:rsidR="00AE7D92">
        <w:t>,</w:t>
      </w:r>
      <w:r w:rsidR="004F7759">
        <w:t xml:space="preserve"> </w:t>
      </w:r>
      <w:r w:rsidR="007C7959">
        <w:t>since he believed it to be capable of perpetuating the notion of centrist politics</w:t>
      </w:r>
      <w:r w:rsidR="00C84B8D">
        <w:t>. H</w:t>
      </w:r>
      <w:r w:rsidR="007C7959">
        <w:t>owever</w:t>
      </w:r>
      <w:r w:rsidR="00C84B8D">
        <w:t>,</w:t>
      </w:r>
      <w:r w:rsidR="007C7959">
        <w:t xml:space="preserve"> Taylor</w:t>
      </w:r>
      <w:r w:rsidR="00E86411">
        <w:rPr>
          <w:rStyle w:val="FootnoteReference"/>
        </w:rPr>
        <w:footnoteReference w:id="11"/>
      </w:r>
      <w:r w:rsidR="00E86411">
        <w:t xml:space="preserve"> suggests that Lloyd was seen by the general public as more of an extremist figure</w:t>
      </w:r>
      <w:r w:rsidR="00606D21">
        <w:t>,</w:t>
      </w:r>
      <w:r w:rsidR="00E86411">
        <w:t xml:space="preserve"> in that his supporters were portrayed as more ‘grass roots’</w:t>
      </w:r>
      <w:r w:rsidR="00C751C2">
        <w:t>,</w:t>
      </w:r>
      <w:r w:rsidR="00E86411">
        <w:t xml:space="preserve"> in that they were not bankers or merchants and </w:t>
      </w:r>
      <w:r w:rsidR="003A0328">
        <w:t>that this did wonder</w:t>
      </w:r>
      <w:r w:rsidR="00C751C2">
        <w:t>s</w:t>
      </w:r>
      <w:r w:rsidR="003A0328">
        <w:t xml:space="preserve"> for Lloyd George’s image. This clearly emphasises the fact that there was </w:t>
      </w:r>
      <w:r w:rsidR="00AE7D92">
        <w:t xml:space="preserve">a </w:t>
      </w:r>
      <w:r w:rsidR="003A0328">
        <w:t xml:space="preserve">huge political polarisation </w:t>
      </w:r>
      <w:r w:rsidR="00C84B8D">
        <w:t>within</w:t>
      </w:r>
      <w:r w:rsidR="003A0328">
        <w:t xml:space="preserve"> the Liberal party, one that was extremely reformist and was </w:t>
      </w:r>
      <w:r w:rsidR="00C751C2">
        <w:t xml:space="preserve">also </w:t>
      </w:r>
      <w:r w:rsidR="003A0328">
        <w:t>seen to be conservative. This clearly shows a l</w:t>
      </w:r>
      <w:r w:rsidR="004E1B28">
        <w:t>ack of unity and co-operation</w:t>
      </w:r>
      <w:r w:rsidR="00C751C2">
        <w:t>,</w:t>
      </w:r>
      <w:r w:rsidR="004E1B28">
        <w:t xml:space="preserve"> </w:t>
      </w:r>
      <w:r w:rsidR="002461CA">
        <w:t>and judging by this evidence</w:t>
      </w:r>
      <w:r w:rsidR="00AE7D92">
        <w:t>,</w:t>
      </w:r>
      <w:r w:rsidR="002461CA">
        <w:t xml:space="preserve"> it is very difficult to suggest that the only real coalitions and governmental unity were by name only.</w:t>
      </w:r>
    </w:p>
    <w:p w14:paraId="1C70B6DC" w14:textId="0B522866" w:rsidR="002461CA" w:rsidRDefault="2F3DF074" w:rsidP="001011A7">
      <w:pPr>
        <w:spacing w:line="480" w:lineRule="auto"/>
      </w:pPr>
      <w:r>
        <w:t>Nevertheless, the fact still remains</w:t>
      </w:r>
      <w:r w:rsidR="00AE7D92">
        <w:t>,</w:t>
      </w:r>
      <w:r>
        <w:t xml:space="preserve"> that even though there undoubtedly was a large number of private political dealings in the coalition</w:t>
      </w:r>
      <w:r w:rsidR="000B1BAF">
        <w:t xml:space="preserve"> although</w:t>
      </w:r>
      <w:r>
        <w:t xml:space="preserve"> this </w:t>
      </w:r>
      <w:r w:rsidR="00AE7D92">
        <w:t>was</w:t>
      </w:r>
      <w:r>
        <w:t xml:space="preserve"> not exactly indicative of anything that different from </w:t>
      </w:r>
      <w:r w:rsidR="000B1BAF">
        <w:t>normality</w:t>
      </w:r>
      <w:r>
        <w:t xml:space="preserve"> in politics. The coalition governments, particularly that of Lloyd George’s, were a venerable collection of various parties eac</w:t>
      </w:r>
      <w:r w:rsidR="000B1BAF">
        <w:t>h</w:t>
      </w:r>
      <w:r>
        <w:t xml:space="preserve"> with their own differing political aim</w:t>
      </w:r>
      <w:r w:rsidR="00AE7D92">
        <w:t>s</w:t>
      </w:r>
      <w:r>
        <w:t xml:space="preserve">, but </w:t>
      </w:r>
      <w:r w:rsidR="00116163">
        <w:t xml:space="preserve">who </w:t>
      </w:r>
      <w:r>
        <w:t xml:space="preserve">were united under a single goal; that being Britain’s victory in the First World War which clearly overshadowed all other objectives. To </w:t>
      </w:r>
      <w:r w:rsidR="00116163">
        <w:t>achieve</w:t>
      </w:r>
      <w:r>
        <w:t xml:space="preserve"> this</w:t>
      </w:r>
      <w:r w:rsidR="00116163">
        <w:t>,</w:t>
      </w:r>
      <w:r>
        <w:t xml:space="preserve"> Britain needed to have a strong political base on which to stand, so that its economic policy and industry could keep up with demands. The point being here that, because Britain was ultimately united in the Commons, it was fairly easy for </w:t>
      </w:r>
      <w:r>
        <w:lastRenderedPageBreak/>
        <w:t>industri</w:t>
      </w:r>
      <w:commentRangeStart w:id="0"/>
      <w:commentRangeEnd w:id="0"/>
      <w:r>
        <w:t>al demand (for things such as ammunition and equipment) to be met.  This was because, during the War, Britain had a reformist Liberal government which allowed women to take up positions in Industry, which they otherwise never would have, and as result of this</w:t>
      </w:r>
      <w:r w:rsidR="006A7BE5">
        <w:t>,</w:t>
      </w:r>
      <w:r>
        <w:t xml:space="preserve"> it essentially kept Britain in the War, since demand was obviously incredulously high, and this workforce was able to meet these demands.</w:t>
      </w:r>
      <w:r w:rsidR="000B1BAF">
        <w:rPr>
          <w:rStyle w:val="FootnoteReference"/>
        </w:rPr>
        <w:footnoteReference w:id="12"/>
      </w:r>
      <w:r>
        <w:t xml:space="preserve"> As </w:t>
      </w:r>
      <w:r w:rsidR="005D78A1">
        <w:t>Sheffield</w:t>
      </w:r>
      <w:r>
        <w:t xml:space="preserve"> notes, prior to 1914</w:t>
      </w:r>
      <w:r w:rsidR="006A7BE5">
        <w:t>,</w:t>
      </w:r>
      <w:r>
        <w:t xml:space="preserve"> Britain was not as scientifically or industrially advanced as France or Germany, but during the War, several key advancements were made, since the united government increased spending and greatly invested in industry;</w:t>
      </w:r>
      <w:r w:rsidR="00570F42">
        <w:rPr>
          <w:rStyle w:val="FootnoteReference"/>
        </w:rPr>
        <w:footnoteReference w:id="13"/>
      </w:r>
      <w:r>
        <w:t xml:space="preserve"> for example, by 1918 Britain had built the world’s first heavy bomber, and in 1919 had built an aircraft that was capable of transatlantic flight</w:t>
      </w:r>
      <w:r w:rsidR="00B2668C">
        <w:t>, as James notes</w:t>
      </w:r>
      <w:r>
        <w:t>.</w:t>
      </w:r>
      <w:r w:rsidR="00034FE6">
        <w:rPr>
          <w:rStyle w:val="FootnoteReference"/>
        </w:rPr>
        <w:footnoteReference w:id="14"/>
      </w:r>
      <w:r w:rsidR="00B2668C">
        <w:t xml:space="preserve"> </w:t>
      </w:r>
      <w:r>
        <w:t xml:space="preserve">These technological and industrial advancements could simply not have been made had the Government not increased spending and investment in this sector, which furthermore could only have happened if the governments of both Asquith and Lloyd George realised the demand Britain needed and </w:t>
      </w:r>
      <w:r w:rsidR="006A7BE5">
        <w:t>had taken</w:t>
      </w:r>
      <w:r>
        <w:t xml:space="preserve"> steps to ensure that this demand was met. Had there not been a coalition government at the time</w:t>
      </w:r>
      <w:r w:rsidR="006A7BE5">
        <w:t>,</w:t>
      </w:r>
      <w:r>
        <w:t xml:space="preserve"> then it would have simply been impossible to pass the necessary legislation needed to meet the required demands. By far the most important point that can be garnered from this is that the coalition that passed the necessary legislation which greatly helped Britain’s industry and this, it could well be argued, helped win the war, but it would not have happened had there not been this sense of urgency to work in coalition with all sectors. Had the government not done this, then their policies would have been far more laissez-faire and not as effective but because the government realised the need for collusion this was avoided and clearly this shows that, because of industrial and economic need, this inevitably led to political cooperation and was a result of fighting ‘total war’.</w:t>
      </w:r>
    </w:p>
    <w:p w14:paraId="7ECCD560" w14:textId="1E0652E6" w:rsidR="002E740D" w:rsidRDefault="00F34E0E" w:rsidP="001011A7">
      <w:pPr>
        <w:spacing w:line="480" w:lineRule="auto"/>
      </w:pPr>
      <w:r>
        <w:t>However, not all policy was exactly successful</w:t>
      </w:r>
      <w:r w:rsidR="00A9270C">
        <w:t xml:space="preserve">, </w:t>
      </w:r>
      <w:r>
        <w:t xml:space="preserve">especially David Lloyd George’s </w:t>
      </w:r>
      <w:r w:rsidR="001D28DB">
        <w:t>military policy, as the</w:t>
      </w:r>
      <w:r w:rsidR="00381792">
        <w:t xml:space="preserve">re </w:t>
      </w:r>
      <w:r w:rsidR="001D28DB">
        <w:t>were suspicions that he was withholding troops</w:t>
      </w:r>
      <w:r w:rsidR="00A9270C">
        <w:t>,</w:t>
      </w:r>
      <w:r w:rsidR="001D28DB">
        <w:t xml:space="preserve"> and that the British troops simply were</w:t>
      </w:r>
      <w:r w:rsidR="00A9270C">
        <w:t xml:space="preserve"> not </w:t>
      </w:r>
      <w:r w:rsidR="001D28DB">
        <w:lastRenderedPageBreak/>
        <w:t>prepared</w:t>
      </w:r>
      <w:r w:rsidR="00A9270C">
        <w:t>,</w:t>
      </w:r>
      <w:r w:rsidR="001D28DB">
        <w:t xml:space="preserve"> or even </w:t>
      </w:r>
      <w:r w:rsidR="00A9270C">
        <w:t xml:space="preserve">well enough </w:t>
      </w:r>
      <w:r w:rsidR="001D28DB">
        <w:t>equipped</w:t>
      </w:r>
      <w:r w:rsidR="00A9270C">
        <w:t>,</w:t>
      </w:r>
      <w:r w:rsidR="001D28DB">
        <w:t xml:space="preserve"> to win the war.</w:t>
      </w:r>
      <w:r w:rsidR="00D96637">
        <w:rPr>
          <w:rStyle w:val="FootnoteReference"/>
        </w:rPr>
        <w:footnoteReference w:id="15"/>
      </w:r>
      <w:r w:rsidR="001D28DB">
        <w:t xml:space="preserve"> These fears </w:t>
      </w:r>
      <w:r w:rsidR="00116163">
        <w:t xml:space="preserve">were </w:t>
      </w:r>
      <w:r w:rsidR="001D28DB">
        <w:t xml:space="preserve">ignited when the German Kaiserschlaut </w:t>
      </w:r>
      <w:r w:rsidR="007B22AC">
        <w:t>offensive of 1918</w:t>
      </w:r>
      <w:r w:rsidR="006A7BE5">
        <w:t>,</w:t>
      </w:r>
      <w:r w:rsidR="007B22AC">
        <w:t xml:space="preserve"> initially made massive inroads into Allied territory. Historian Woodward expands on this by noting that even general Douglas Haig believed David Lloyd George to be ‘an organiser of defeat’ and </w:t>
      </w:r>
      <w:r w:rsidR="00A9270C">
        <w:t>he goes on</w:t>
      </w:r>
      <w:r w:rsidR="007B22AC">
        <w:t xml:space="preserve"> to suggest that the only real reason the British won the war was because Germany’s economic and military situation was even worse than Britain’s</w:t>
      </w:r>
      <w:r w:rsidR="00A9270C">
        <w:t>,</w:t>
      </w:r>
      <w:r w:rsidR="00C37B63">
        <w:rPr>
          <w:rStyle w:val="FootnoteReference"/>
        </w:rPr>
        <w:footnoteReference w:id="16"/>
      </w:r>
      <w:r w:rsidR="007B22AC">
        <w:t xml:space="preserve"> and also because of the advancing American forces</w:t>
      </w:r>
      <w:r w:rsidR="00381792">
        <w:t>. This odd lack of confidence in the coalition government during this time</w:t>
      </w:r>
      <w:r w:rsidR="006A7BE5">
        <w:t>,</w:t>
      </w:r>
      <w:r w:rsidR="00381792">
        <w:t xml:space="preserve"> was personified by the fact that </w:t>
      </w:r>
      <w:r w:rsidR="006A7BE5">
        <w:t xml:space="preserve">the </w:t>
      </w:r>
      <w:r w:rsidR="00381792">
        <w:t xml:space="preserve">Liberal member Sir Godfrey Baring raised poignant questions as to how the British army positions could be essentially rolled over with relative ease and questioned whether Lloyd George was ‘starving’ the army of resources </w:t>
      </w:r>
      <w:r w:rsidR="00AE0083">
        <w:t>and manpower.</w:t>
      </w:r>
      <w:r w:rsidR="0085084F">
        <w:rPr>
          <w:rStyle w:val="FootnoteReference"/>
        </w:rPr>
        <w:footnoteReference w:id="17"/>
      </w:r>
      <w:r w:rsidR="00AE0083">
        <w:t xml:space="preserve"> This lack of faith in the coalition government </w:t>
      </w:r>
      <w:r w:rsidR="006A7BE5">
        <w:t>was</w:t>
      </w:r>
      <w:r w:rsidR="00AE0083">
        <w:t xml:space="preserve"> apparently exemplary of a lack of cohesion in the government</w:t>
      </w:r>
      <w:r w:rsidR="00C62CA6">
        <w:t>,</w:t>
      </w:r>
      <w:r w:rsidR="00AE0083">
        <w:t xml:space="preserve"> </w:t>
      </w:r>
      <w:r w:rsidR="0021558F">
        <w:t>as these types of questions would simply not have happened in a government that was united. Therefore, despite the fact that it is true that coalition governments are often formed in times of crisis</w:t>
      </w:r>
      <w:r w:rsidR="00C62CA6">
        <w:t>,</w:t>
      </w:r>
      <w:r w:rsidR="0021558F">
        <w:t xml:space="preserve"> this is a clear example of how </w:t>
      </w:r>
      <w:r w:rsidR="00223218">
        <w:t>if a coalition government looks as if it is losing then it will likely fall apart</w:t>
      </w:r>
      <w:r w:rsidR="00C62CA6">
        <w:t>; a</w:t>
      </w:r>
      <w:r w:rsidR="00223218">
        <w:t>s it so very nearly did for David Lloyd George.</w:t>
      </w:r>
      <w:r w:rsidR="0046643D">
        <w:rPr>
          <w:rStyle w:val="FootnoteReference"/>
        </w:rPr>
        <w:footnoteReference w:id="18"/>
      </w:r>
    </w:p>
    <w:p w14:paraId="45EF16EE" w14:textId="6EEFFC05" w:rsidR="004A37E5" w:rsidRDefault="00F61855" w:rsidP="001011A7">
      <w:pPr>
        <w:spacing w:line="480" w:lineRule="auto"/>
      </w:pPr>
      <w:r>
        <w:t>Also</w:t>
      </w:r>
      <w:r w:rsidR="00BB03C4">
        <w:t>,</w:t>
      </w:r>
      <w:r>
        <w:t xml:space="preserve"> another problem that the government faced </w:t>
      </w:r>
      <w:r w:rsidR="00C62CA6">
        <w:t>was</w:t>
      </w:r>
      <w:r>
        <w:t xml:space="preserve"> that the coalition government</w:t>
      </w:r>
      <w:r w:rsidR="00C62CA6">
        <w:t>,</w:t>
      </w:r>
      <w:r>
        <w:t xml:space="preserve"> led by Asquith</w:t>
      </w:r>
      <w:r w:rsidR="00C62CA6">
        <w:t>,</w:t>
      </w:r>
      <w:r>
        <w:t xml:space="preserve"> was rife</w:t>
      </w:r>
      <w:r w:rsidR="00C62CA6">
        <w:t xml:space="preserve"> </w:t>
      </w:r>
      <w:r>
        <w:t>with political drama and a lot of embarrassment which befell Asquith and his supporters</w:t>
      </w:r>
      <w:r w:rsidR="00C62CA6">
        <w:t>,</w:t>
      </w:r>
      <w:r w:rsidR="001631F1">
        <w:rPr>
          <w:rStyle w:val="FootnoteReference"/>
        </w:rPr>
        <w:footnoteReference w:id="19"/>
      </w:r>
      <w:r w:rsidR="00C62CA6">
        <w:t xml:space="preserve"> al</w:t>
      </w:r>
      <w:r>
        <w:t xml:space="preserve">though this was certainly not helped by </w:t>
      </w:r>
      <w:r w:rsidR="00BB03C4">
        <w:t>the intervention of media barons</w:t>
      </w:r>
      <w:r w:rsidR="00C62CA6">
        <w:t>,</w:t>
      </w:r>
      <w:r w:rsidR="00BB03C4">
        <w:t xml:space="preserve"> such as Lord Northcliffe.</w:t>
      </w:r>
      <w:r w:rsidR="00F25CC0">
        <w:rPr>
          <w:rStyle w:val="FootnoteReference"/>
        </w:rPr>
        <w:footnoteReference w:id="20"/>
      </w:r>
      <w:r w:rsidR="00BB03C4">
        <w:t xml:space="preserve"> </w:t>
      </w:r>
      <w:r w:rsidR="00010BE3">
        <w:t>However, t</w:t>
      </w:r>
      <w:r w:rsidR="00BB03C4">
        <w:t>he actions of Asquith and his subordinates definitely did not help matters, for example Asquith himself sent many love letters to socialite Venetia Stanley that made it all too easy for them to muddy his reputation. Th</w:t>
      </w:r>
      <w:r w:rsidR="00010BE3">
        <w:t>u</w:t>
      </w:r>
      <w:r w:rsidR="00BB03C4">
        <w:t>s</w:t>
      </w:r>
      <w:r w:rsidR="00010BE3">
        <w:t>,</w:t>
      </w:r>
      <w:r w:rsidR="00BB03C4">
        <w:t xml:space="preserve"> despite the fact that Asquith himself was not actually a bad political operator</w:t>
      </w:r>
      <w:r w:rsidR="00AF5B35">
        <w:t>;</w:t>
      </w:r>
      <w:r w:rsidR="00D55AA6">
        <w:t xml:space="preserve"> as</w:t>
      </w:r>
      <w:r w:rsidR="00BB03C4">
        <w:t xml:space="preserve"> he </w:t>
      </w:r>
      <w:r w:rsidR="0041466C">
        <w:t xml:space="preserve">successfully kept the Liberal </w:t>
      </w:r>
      <w:r w:rsidR="00010BE3">
        <w:t>P</w:t>
      </w:r>
      <w:r w:rsidR="0041466C">
        <w:t xml:space="preserve">arty united and strong for quite some </w:t>
      </w:r>
      <w:r w:rsidR="0041466C">
        <w:lastRenderedPageBreak/>
        <w:t>time, despite its unenviable position during the war</w:t>
      </w:r>
      <w:r w:rsidR="00010BE3">
        <w:t xml:space="preserve">, </w:t>
      </w:r>
      <w:r w:rsidR="0041466C">
        <w:t xml:space="preserve">the fact still remains that a lot of his policies were not exactly popular. </w:t>
      </w:r>
    </w:p>
    <w:p w14:paraId="1A12AC21" w14:textId="16FE2AA3" w:rsidR="00F61855" w:rsidRDefault="0041466C" w:rsidP="001011A7">
      <w:pPr>
        <w:spacing w:line="480" w:lineRule="auto"/>
      </w:pPr>
      <w:r>
        <w:t>James mention</w:t>
      </w:r>
      <w:r w:rsidR="00E7613F">
        <w:t>s</w:t>
      </w:r>
      <w:r>
        <w:t xml:space="preserve"> </w:t>
      </w:r>
      <w:r w:rsidR="00010BE3">
        <w:t xml:space="preserve">that the </w:t>
      </w:r>
      <w:r w:rsidR="00E7613F">
        <w:t>Liberal party was very much preoccupied by domestic affairs and that the reason they were not exactly popular is that they were seen as far too conservative.</w:t>
      </w:r>
      <w:r w:rsidR="00B02315">
        <w:rPr>
          <w:rStyle w:val="FootnoteReference"/>
        </w:rPr>
        <w:footnoteReference w:id="21"/>
      </w:r>
      <w:r w:rsidR="00E7613F">
        <w:t xml:space="preserve"> This would explain the sudden shift in popularity towards David Lloyd George. In addition</w:t>
      </w:r>
      <w:r w:rsidR="00FE5670">
        <w:t xml:space="preserve">, </w:t>
      </w:r>
      <w:r w:rsidR="00E7613F">
        <w:t>other failures took their toll on Asquith’s government</w:t>
      </w:r>
      <w:r w:rsidR="00FE5670">
        <w:t xml:space="preserve">, for example the Derby </w:t>
      </w:r>
      <w:r w:rsidR="00010BE3">
        <w:t>S</w:t>
      </w:r>
      <w:r w:rsidR="00FE5670">
        <w:t>cheme</w:t>
      </w:r>
      <w:r w:rsidR="00010BE3">
        <w:t>,</w:t>
      </w:r>
      <w:r w:rsidR="00D7131E" w:rsidRPr="00D7131E">
        <w:rPr>
          <w:rStyle w:val="FootnoteReference"/>
        </w:rPr>
        <w:t xml:space="preserve"> </w:t>
      </w:r>
      <w:r w:rsidR="00D7131E">
        <w:rPr>
          <w:rStyle w:val="FootnoteReference"/>
        </w:rPr>
        <w:footnoteReference w:id="22"/>
      </w:r>
      <w:r w:rsidR="00D7131E">
        <w:t xml:space="preserve"> </w:t>
      </w:r>
      <w:r w:rsidR="00FE5670">
        <w:t xml:space="preserve"> which was offered as an alternative to forced conscription was a complete failure</w:t>
      </w:r>
      <w:r w:rsidR="00010BE3">
        <w:t>,</w:t>
      </w:r>
      <w:r w:rsidR="00FE5670">
        <w:t xml:space="preserve"> since by the time it was set up in 1916 the War had been going on for a couple of years and it was already fairly well known just how </w:t>
      </w:r>
      <w:r w:rsidR="00F1690B">
        <w:t>high the mortality rate</w:t>
      </w:r>
      <w:r w:rsidR="00FE5670">
        <w:t xml:space="preserve"> was</w:t>
      </w:r>
      <w:r w:rsidR="00A53A40">
        <w:t>.</w:t>
      </w:r>
      <w:r w:rsidR="00CA7C05">
        <w:rPr>
          <w:rStyle w:val="FootnoteReference"/>
        </w:rPr>
        <w:footnoteReference w:id="23"/>
      </w:r>
      <w:r w:rsidR="00A53A40">
        <w:t xml:space="preserve"> Also, Asquith’s reaction to the </w:t>
      </w:r>
      <w:r w:rsidR="00F1690B">
        <w:t>S</w:t>
      </w:r>
      <w:r w:rsidR="00A53A40">
        <w:t>uffragette</w:t>
      </w:r>
      <w:r w:rsidR="00F1690B">
        <w:t xml:space="preserve"> M</w:t>
      </w:r>
      <w:r w:rsidR="00A53A40">
        <w:t>ovement was met with criticism</w:t>
      </w:r>
      <w:r w:rsidR="00F1690B">
        <w:t>,</w:t>
      </w:r>
      <w:r w:rsidR="00A53A40">
        <w:t xml:space="preserve"> both at the time and by </w:t>
      </w:r>
      <w:r w:rsidR="00F1690B">
        <w:t xml:space="preserve">later </w:t>
      </w:r>
      <w:r w:rsidR="00A53A40">
        <w:t>historians for essentially ignoring it</w:t>
      </w:r>
      <w:r w:rsidR="00F1690B">
        <w:t>;</w:t>
      </w:r>
      <w:r w:rsidR="00D96637">
        <w:rPr>
          <w:rStyle w:val="FootnoteReference"/>
        </w:rPr>
        <w:footnoteReference w:id="24"/>
      </w:r>
      <w:r w:rsidR="00A53A40">
        <w:t xml:space="preserve"> </w:t>
      </w:r>
      <w:r w:rsidR="00F1690B">
        <w:t>t</w:t>
      </w:r>
      <w:r w:rsidR="00A53A40">
        <w:t>his only furthered his image as that of a weak and inactive leader</w:t>
      </w:r>
      <w:r w:rsidR="008C68BB">
        <w:t>. Furthermore</w:t>
      </w:r>
      <w:r w:rsidR="002C0438">
        <w:t>,</w:t>
      </w:r>
      <w:r w:rsidR="008C68BB">
        <w:t xml:space="preserve"> from the memoirs of Asquith’s son, Herbert,</w:t>
      </w:r>
      <w:r w:rsidR="00212899">
        <w:rPr>
          <w:rStyle w:val="FootnoteReference"/>
        </w:rPr>
        <w:footnoteReference w:id="25"/>
      </w:r>
      <w:r w:rsidR="008C68BB">
        <w:t xml:space="preserve"> it was clear that </w:t>
      </w:r>
      <w:r w:rsidR="00F1690B">
        <w:t>Asquith</w:t>
      </w:r>
      <w:r w:rsidR="008C68BB">
        <w:t xml:space="preserve"> never really desired war and thought the whole thing </w:t>
      </w:r>
      <w:r w:rsidR="002C0438">
        <w:t>pointless</w:t>
      </w:r>
      <w:r w:rsidR="00F1690B">
        <w:t>,</w:t>
      </w:r>
      <w:r w:rsidR="002C0438">
        <w:t xml:space="preserve"> </w:t>
      </w:r>
      <w:r w:rsidR="00F1690B">
        <w:t>so</w:t>
      </w:r>
      <w:r w:rsidR="002C0438">
        <w:t xml:space="preserve"> was not exactly motivated for politics</w:t>
      </w:r>
      <w:r w:rsidR="00F1690B">
        <w:t xml:space="preserve"> e</w:t>
      </w:r>
      <w:r w:rsidR="002C0438">
        <w:t>specially when his eldest son Raymond died in the war</w:t>
      </w:r>
      <w:r w:rsidR="00F1690B">
        <w:t>. B</w:t>
      </w:r>
      <w:r w:rsidR="00D6520E">
        <w:t>y this point</w:t>
      </w:r>
      <w:r w:rsidR="00AF5B35">
        <w:t>,</w:t>
      </w:r>
      <w:r w:rsidR="00D6520E">
        <w:t xml:space="preserve"> </w:t>
      </w:r>
      <w:r w:rsidR="00AF5B35">
        <w:t xml:space="preserve">even </w:t>
      </w:r>
      <w:r w:rsidR="00D6520E">
        <w:t>Asquith himself remarked that his policies during the War were a mistake</w:t>
      </w:r>
      <w:r w:rsidR="00A35CCB">
        <w:t>.</w:t>
      </w:r>
      <w:r w:rsidR="00E75884">
        <w:rPr>
          <w:rStyle w:val="FootnoteReference"/>
        </w:rPr>
        <w:footnoteReference w:id="26"/>
      </w:r>
      <w:r w:rsidR="00A35CCB">
        <w:t xml:space="preserve"> It was perhaps this reason as to why Asquith’s government </w:t>
      </w:r>
      <w:r w:rsidR="00714EE0">
        <w:t>i</w:t>
      </w:r>
      <w:r w:rsidR="00A35CCB">
        <w:t>s viewed today as being nowhere near as successful as that of David Lloyd George’s.</w:t>
      </w:r>
    </w:p>
    <w:p w14:paraId="0BDA812A" w14:textId="077111A6" w:rsidR="00E30257" w:rsidRDefault="2F3DF074" w:rsidP="001011A7">
      <w:pPr>
        <w:spacing w:line="480" w:lineRule="auto"/>
      </w:pPr>
      <w:r>
        <w:t>However, perhaps the key reason why the Government of David Lloyd George is seen by most modern-day historians to be somewhat more successful in government is the fact that Lloyd George and the policies perpetrated by his coalition government ultimately won the war. With historians such as Woodward referring to the economic policies laid out by Lloyd George, such as greater state intervention and more expenditure on industry that led to the success of Britain in WW1.</w:t>
      </w:r>
      <w:r w:rsidR="005F5A45">
        <w:rPr>
          <w:rStyle w:val="FootnoteReference"/>
        </w:rPr>
        <w:footnoteReference w:id="27"/>
      </w:r>
      <w:r>
        <w:t xml:space="preserve"> Because </w:t>
      </w:r>
      <w:r>
        <w:lastRenderedPageBreak/>
        <w:t>of this sheer fact alon</w:t>
      </w:r>
      <w:r w:rsidR="00714EE0">
        <w:t>e</w:t>
      </w:r>
      <w:r>
        <w:t xml:space="preserve"> the government of David Lloyd George is seen as far more successful than Herbert Asquith’s, although the reasons why Lloyd George’s government had far more success in the war was much more complicated, as in reality</w:t>
      </w:r>
      <w:r w:rsidR="005065FC">
        <w:t>,</w:t>
      </w:r>
      <w:r>
        <w:t xml:space="preserve"> Lloyd George was </w:t>
      </w:r>
      <w:r w:rsidR="00E30257">
        <w:t>fortunate</w:t>
      </w:r>
      <w:r>
        <w:t xml:space="preserve"> in that external factors beyond his control were the greatest contributors to his victory in WW1. </w:t>
      </w:r>
    </w:p>
    <w:p w14:paraId="3D7D7A75" w14:textId="17BEB6D1" w:rsidR="00A35CCB" w:rsidRDefault="2F3DF074" w:rsidP="001011A7">
      <w:pPr>
        <w:spacing w:line="480" w:lineRule="auto"/>
      </w:pPr>
      <w:r>
        <w:t>For example, Germany’s faltering economy and political strife, as well the arrival of the Americans to the Western Front, meant that by 1916 onwards when Germany never achieved the decisive and quick victory it needed to expand, it was all but doomed.</w:t>
      </w:r>
      <w:r w:rsidR="00A624AE">
        <w:rPr>
          <w:rStyle w:val="FootnoteReference"/>
        </w:rPr>
        <w:footnoteReference w:id="28"/>
      </w:r>
      <w:r>
        <w:t xml:space="preserve"> Therefore, one could argue with reasonable certainty that the government of Lloyd George was ultimately helped by sheer luck and by the fact that after Asquith’s fall</w:t>
      </w:r>
      <w:r w:rsidR="005065FC">
        <w:t>,</w:t>
      </w:r>
      <w:r>
        <w:t xml:space="preserve"> the necessity for at least some level of co-operation was </w:t>
      </w:r>
      <w:r w:rsidR="00C444FC">
        <w:t>necessary</w:t>
      </w:r>
      <w:r>
        <w:t xml:space="preserve"> due to the political upheaval Lloyd George’s ascension caused. Furthermore, this point exemplifies the fact that during the transitional period between the governments of David Lloyd George and Herbert Asquith </w:t>
      </w:r>
      <w:r w:rsidR="005065FC">
        <w:t xml:space="preserve">this </w:t>
      </w:r>
      <w:r>
        <w:t>was quite clearly not a period of political co-operation for fairly apparent reasons, since during this period in 1916</w:t>
      </w:r>
      <w:r w:rsidR="005065FC">
        <w:t>,</w:t>
      </w:r>
      <w:r>
        <w:t xml:space="preserve"> the focus </w:t>
      </w:r>
      <w:r w:rsidR="005065FC">
        <w:t xml:space="preserve">was </w:t>
      </w:r>
      <w:r>
        <w:t>much more on how much of a positive shift Lloyd George would cause as it was believed and stated that he would be far more active and decisive than Asquith,</w:t>
      </w:r>
      <w:r w:rsidR="000B7D83">
        <w:rPr>
          <w:rStyle w:val="FootnoteReference"/>
        </w:rPr>
        <w:footnoteReference w:id="29"/>
      </w:r>
      <w:r>
        <w:t xml:space="preserve"> which almost proved </w:t>
      </w:r>
      <w:commentRangeStart w:id="1"/>
      <w:commentRangeEnd w:id="1"/>
      <w:r>
        <w:t>to be somewhat untrue since he was accused of withholding troops and supplies.</w:t>
      </w:r>
      <w:r w:rsidR="0094013F">
        <w:rPr>
          <w:rStyle w:val="FootnoteReference"/>
        </w:rPr>
        <w:footnoteReference w:id="30"/>
      </w:r>
      <w:r>
        <w:t xml:space="preserve"> But ultimately this lack of success and a surprising reliance on luck, as well as obvious political divides clearly reflect the lack of political co-operation in the coalition governments.</w:t>
      </w:r>
    </w:p>
    <w:p w14:paraId="5655D6DD" w14:textId="18958855" w:rsidR="00AC5A35" w:rsidRDefault="2F3DF074" w:rsidP="001011A7">
      <w:pPr>
        <w:spacing w:line="480" w:lineRule="auto"/>
      </w:pPr>
      <w:r>
        <w:t xml:space="preserve">On the actual nature of 'total war' itself, 'total war' is a state where all resources are committed to fighting the war itself, and Britain, like so many other countries in the war, halted production of other industries in order to focus entirely on </w:t>
      </w:r>
      <w:r w:rsidR="00502FDD">
        <w:t xml:space="preserve">the war </w:t>
      </w:r>
      <w:r>
        <w:t>industry. This of course led to a reduction of production in areas such a</w:t>
      </w:r>
      <w:bookmarkStart w:id="2" w:name="_GoBack"/>
      <w:bookmarkEnd w:id="2"/>
      <w:r>
        <w:t>s food. This gives credence to the idea that the main reason for why the government of Herbert Asquith fell so quickly</w:t>
      </w:r>
      <w:r w:rsidR="00502FDD">
        <w:t xml:space="preserve"> was</w:t>
      </w:r>
      <w:r>
        <w:t xml:space="preserve"> that because the overall standard of living fell </w:t>
      </w:r>
      <w:r>
        <w:lastRenderedPageBreak/>
        <w:t>fairly dramatically and as a result because of the necessity for Britain to go to a state of 'total war'</w:t>
      </w:r>
      <w:r w:rsidR="00360784">
        <w:t>, despite Asquith’s clear reluctance to do so.</w:t>
      </w:r>
      <w:r w:rsidR="00360784">
        <w:rPr>
          <w:rStyle w:val="FootnoteReference"/>
        </w:rPr>
        <w:footnoteReference w:id="31"/>
      </w:r>
      <w:r w:rsidR="00502FDD">
        <w:t xml:space="preserve"> i</w:t>
      </w:r>
      <w:r>
        <w:t>t then led to political unrest and rebellion because, as Davis explains, ‘it was essential to give civilians and soldiers a reason to keep fighting.’</w:t>
      </w:r>
      <w:r w:rsidR="000A25ED">
        <w:rPr>
          <w:rStyle w:val="FootnoteReference"/>
        </w:rPr>
        <w:footnoteReference w:id="32"/>
      </w:r>
      <w:r>
        <w:t xml:space="preserve"> </w:t>
      </w:r>
      <w:r w:rsidR="00F25CC0">
        <w:t>F</w:t>
      </w:r>
      <w:r w:rsidR="00502FDD">
        <w:t xml:space="preserve">or </w:t>
      </w:r>
      <w:r>
        <w:t>Asquith ultimately to do that, th</w:t>
      </w:r>
      <w:r w:rsidR="00F25CC0">
        <w:t>i</w:t>
      </w:r>
      <w:r>
        <w:t>s leads to something of an oxymoron</w:t>
      </w:r>
      <w:r w:rsidR="00502FDD">
        <w:t>,</w:t>
      </w:r>
      <w:r>
        <w:t xml:space="preserve"> since instead of causing political co-operation and unity it very much caused the opposite effect to occur. This therefore is the evidence given by traditionalist historians, such as</w:t>
      </w:r>
      <w:r w:rsidR="000A25ED">
        <w:t xml:space="preserve"> James</w:t>
      </w:r>
      <w:r>
        <w:t>, who argues that it was Asquith’s failure to commit to the notion of tota</w:t>
      </w:r>
      <w:commentRangeStart w:id="3"/>
      <w:commentRangeEnd w:id="3"/>
      <w:r>
        <w:t>l war that was the key reason for his downfall,</w:t>
      </w:r>
      <w:r w:rsidR="000A25ED">
        <w:rPr>
          <w:rStyle w:val="FootnoteReference"/>
        </w:rPr>
        <w:footnoteReference w:id="33"/>
      </w:r>
      <w:r>
        <w:t xml:space="preserve"> as exemplified by his refusal to commit to national conscription and his overall lack of support for the war, as shown by the memoirs of his son Herbert. </w:t>
      </w:r>
      <w:r w:rsidR="00360784">
        <w:rPr>
          <w:rStyle w:val="FootnoteReference"/>
        </w:rPr>
        <w:footnoteReference w:id="34"/>
      </w:r>
      <w:r>
        <w:t>Clearly then this gives credit to the traditionalist view of Asquith’s government, in that it was riddled by political infighting and virtually no co-operation. It also did not help matters that Asquith himself was also focused mainly on dealing with the troubles in Ireland and in his own words Ireland and its Nationalist movement was far more threatening than Germany ever was</w:t>
      </w:r>
      <w:r w:rsidR="00A61936">
        <w:t>, Ferguson even goes further to suggest that the only real reason he declared war on Germany was that he was a ‘Germanophobe’</w:t>
      </w:r>
      <w:r>
        <w:t>.</w:t>
      </w:r>
      <w:r w:rsidR="00A61936">
        <w:rPr>
          <w:rStyle w:val="FootnoteReference"/>
        </w:rPr>
        <w:footnoteReference w:id="35"/>
      </w:r>
      <w:r>
        <w:t xml:space="preserve"> Therefore, this clearly highlights the fact </w:t>
      </w:r>
      <w:r w:rsidR="000E649E">
        <w:t>that he was not an effective leader for Britain and as a result not prepared for total war.</w:t>
      </w:r>
    </w:p>
    <w:p w14:paraId="23472FC5" w14:textId="2584A4DE" w:rsidR="004F0D01" w:rsidRDefault="2F3DF074" w:rsidP="001011A7">
      <w:pPr>
        <w:spacing w:line="480" w:lineRule="auto"/>
      </w:pPr>
      <w:r>
        <w:t>However, revisionists such as Fry point out that Asquith was in fact well aware of what a war with Germany could mean, the memoirs of Herbert Asquith clearly show this.</w:t>
      </w:r>
      <w:r w:rsidR="00AA17E4">
        <w:rPr>
          <w:rStyle w:val="FootnoteReference"/>
        </w:rPr>
        <w:footnoteReference w:id="36"/>
      </w:r>
      <w:r>
        <w:t xml:space="preserve"> Therefore, by extension, if Asquith knew the consequences of what intervening in Belgium and France would mean, then he therefore must have known that WW1 would be a 'total war'. Indeed, </w:t>
      </w:r>
      <w:r w:rsidR="00AA17E4">
        <w:t>Cassar</w:t>
      </w:r>
      <w:r>
        <w:t xml:space="preserve"> refers to the fact that new advancements were made in the industrial sector and that this was the reason that Britain was ultimately able to win the war,</w:t>
      </w:r>
      <w:r w:rsidR="000E649E">
        <w:rPr>
          <w:rStyle w:val="FootnoteReference"/>
        </w:rPr>
        <w:footnoteReference w:id="37"/>
      </w:r>
      <w:r>
        <w:t xml:space="preserve"> on the back of its industry, and that these developments were made during the government of Asquith. It is fairly undeniable that David Lloyd George’s </w:t>
      </w:r>
      <w:r>
        <w:lastRenderedPageBreak/>
        <w:t>government had greater unity, since by this point the need for co-operation was obvious despite all the political disagreements that quite clearly did occur during the time. Therefore, if anything, the actual differences between the two are actually far smaller than originally thought, as both had their fair share of challenges and disagreements, but the reasons Asquith’s government is seen as a failure is that his government ultimately fell apart.</w:t>
      </w:r>
      <w:r w:rsidR="00897DB0">
        <w:rPr>
          <w:rStyle w:val="FootnoteReference"/>
        </w:rPr>
        <w:footnoteReference w:id="38"/>
      </w:r>
      <w:r>
        <w:t xml:space="preserve"> Traditionalists would argue that this is because of his failure to adapt to 'total war',</w:t>
      </w:r>
      <w:commentRangeStart w:id="4"/>
      <w:commentRangeEnd w:id="4"/>
      <w:r>
        <w:t xml:space="preserve"> but in reality, Asquith knew full well what was necessary but was failed by other circumstances; such as the </w:t>
      </w:r>
      <w:r w:rsidR="004143C1">
        <w:t>disastrous</w:t>
      </w:r>
      <w:r>
        <w:t xml:space="preserve"> Gallipoli campaign and the failure of the Derby Scheme. As a result of this evidence, revisionist historians have reflected the fact that his rule was not so different than David Lloyd George’s</w:t>
      </w:r>
      <w:r w:rsidR="005E41E5">
        <w:t>,</w:t>
      </w:r>
      <w:r w:rsidR="000B7D83">
        <w:rPr>
          <w:rStyle w:val="FootnoteReference"/>
        </w:rPr>
        <w:footnoteReference w:id="39"/>
      </w:r>
      <w:r>
        <w:t xml:space="preserve"> in that both were governments of national unity and both fit that description fairly well.</w:t>
      </w:r>
    </w:p>
    <w:p w14:paraId="14B45502" w14:textId="044CE71B" w:rsidR="004F0D01" w:rsidRDefault="00857BD7" w:rsidP="001011A7">
      <w:pPr>
        <w:spacing w:line="480" w:lineRule="auto"/>
        <w:rPr>
          <w:ins w:id="5" w:author="Liam Raybould" w:date="2018-01-08T15:00:00Z"/>
        </w:rPr>
      </w:pPr>
      <w:r>
        <w:t>In conclusion, b</w:t>
      </w:r>
      <w:r w:rsidR="2F3DF074">
        <w:t>ased on the given evidence it is clear that the emergence of political cooperation and coalition government, during WW1 in Britain</w:t>
      </w:r>
      <w:r w:rsidR="005E41E5">
        <w:t>,</w:t>
      </w:r>
      <w:r w:rsidR="2F3DF074">
        <w:t xml:space="preserve"> was the inevitable consequence of fighting 'total war'</w:t>
      </w:r>
      <w:r w:rsidR="007F7D03">
        <w:t>,</w:t>
      </w:r>
      <w:r w:rsidR="2F3DF074">
        <w:t xml:space="preserve"> based on facts such as the clear need for governmental stimulation of the industrial sector to meet demand. Thus, whilst there were clear disagreements between parties and internally, the apparent threat by German Imperialism clearly cause</w:t>
      </w:r>
      <w:r w:rsidR="007F7D03">
        <w:t>d</w:t>
      </w:r>
      <w:r w:rsidR="2F3DF074">
        <w:t xml:space="preserve"> unity in the f</w:t>
      </w:r>
      <w:commentRangeStart w:id="6"/>
      <w:commentRangeStart w:id="7"/>
      <w:commentRangeEnd w:id="6"/>
      <w:commentRangeEnd w:id="7"/>
      <w:r w:rsidR="2F3DF074">
        <w:t>ace of external opposition.</w:t>
      </w:r>
      <w:r w:rsidR="008269AC">
        <w:t xml:space="preserve"> </w:t>
      </w:r>
      <w:r w:rsidR="007F7D03">
        <w:t>Also,</w:t>
      </w:r>
      <w:r w:rsidR="008269AC">
        <w:t xml:space="preserve"> there is </w:t>
      </w:r>
      <w:r w:rsidR="007F7D03">
        <w:t xml:space="preserve">further </w:t>
      </w:r>
      <w:r w:rsidR="008269AC">
        <w:t xml:space="preserve">evidence that Asquith and Lloyd George were not that different in terms of war-time policy, as initially Lloyd George was somewhat in agreement with </w:t>
      </w:r>
      <w:r w:rsidR="007F7D03">
        <w:t xml:space="preserve">the </w:t>
      </w:r>
      <w:r w:rsidR="008269AC">
        <w:t>‘Business as Usual’ strategy that Asquith employed</w:t>
      </w:r>
      <w:r w:rsidR="007F7D03">
        <w:t>,</w:t>
      </w:r>
      <w:r w:rsidR="008269AC">
        <w:t xml:space="preserve"> until it became obvious that more resources needed</w:t>
      </w:r>
      <w:r>
        <w:t xml:space="preserve"> to be used. Therefore</w:t>
      </w:r>
      <w:r w:rsidR="007F7D03">
        <w:t>,</w:t>
      </w:r>
      <w:r>
        <w:t xml:space="preserve"> one could suggest that Asquith had tried to avoid ‘</w:t>
      </w:r>
      <w:r w:rsidR="005E41E5">
        <w:t>t</w:t>
      </w:r>
      <w:r>
        <w:t xml:space="preserve">otal war’ but ultimately both </w:t>
      </w:r>
      <w:r w:rsidR="007F7D03">
        <w:t xml:space="preserve">men </w:t>
      </w:r>
      <w:r>
        <w:t>saw the need for political co-operation as it soon became clear that this was needed and both made significant attempts to unite their respective governments.</w:t>
      </w:r>
    </w:p>
    <w:p w14:paraId="505D00CD" w14:textId="77777777" w:rsidR="00857BD7" w:rsidRDefault="00857BD7" w:rsidP="001011A7">
      <w:pPr>
        <w:spacing w:line="480" w:lineRule="auto"/>
      </w:pPr>
    </w:p>
    <w:p w14:paraId="31C66DF2" w14:textId="77777777" w:rsidR="00857BD7" w:rsidRDefault="00857BD7" w:rsidP="001011A7">
      <w:pPr>
        <w:spacing w:line="480" w:lineRule="auto"/>
      </w:pPr>
    </w:p>
    <w:p w14:paraId="2A4F35E9" w14:textId="77777777" w:rsidR="00857BD7" w:rsidRDefault="00857BD7" w:rsidP="001011A7">
      <w:pPr>
        <w:spacing w:line="480" w:lineRule="auto"/>
      </w:pPr>
    </w:p>
    <w:p w14:paraId="4E174C69" w14:textId="77777777" w:rsidR="00857BD7" w:rsidRDefault="00857BD7" w:rsidP="001011A7">
      <w:pPr>
        <w:spacing w:line="480" w:lineRule="auto"/>
      </w:pPr>
    </w:p>
    <w:p w14:paraId="6B1C1694" w14:textId="77777777" w:rsidR="00857BD7" w:rsidRDefault="00857BD7" w:rsidP="001011A7">
      <w:pPr>
        <w:spacing w:line="480" w:lineRule="auto"/>
      </w:pPr>
    </w:p>
    <w:p w14:paraId="6B0A47D8" w14:textId="77777777" w:rsidR="00857BD7" w:rsidRDefault="00857BD7" w:rsidP="001011A7">
      <w:pPr>
        <w:spacing w:line="480" w:lineRule="auto"/>
      </w:pPr>
    </w:p>
    <w:p w14:paraId="4E803AEC" w14:textId="77777777" w:rsidR="00857BD7" w:rsidRDefault="00857BD7" w:rsidP="001011A7">
      <w:pPr>
        <w:spacing w:line="480" w:lineRule="auto"/>
      </w:pPr>
    </w:p>
    <w:p w14:paraId="3708814F" w14:textId="77777777" w:rsidR="00857BD7" w:rsidRDefault="00857BD7" w:rsidP="001011A7">
      <w:pPr>
        <w:spacing w:line="480" w:lineRule="auto"/>
      </w:pPr>
    </w:p>
    <w:p w14:paraId="5743AE67" w14:textId="77777777" w:rsidR="00857BD7" w:rsidRDefault="00857BD7" w:rsidP="001011A7">
      <w:pPr>
        <w:spacing w:line="480" w:lineRule="auto"/>
      </w:pPr>
    </w:p>
    <w:p w14:paraId="74627D6E" w14:textId="77777777" w:rsidR="00857BD7" w:rsidRDefault="00857BD7" w:rsidP="001011A7">
      <w:pPr>
        <w:spacing w:line="480" w:lineRule="auto"/>
      </w:pPr>
    </w:p>
    <w:p w14:paraId="2F97B063" w14:textId="77777777" w:rsidR="00857BD7" w:rsidRDefault="00857BD7" w:rsidP="001011A7">
      <w:pPr>
        <w:spacing w:line="480" w:lineRule="auto"/>
      </w:pPr>
    </w:p>
    <w:p w14:paraId="3B689D12" w14:textId="77777777" w:rsidR="00857BD7" w:rsidRDefault="00857BD7" w:rsidP="001011A7">
      <w:pPr>
        <w:spacing w:line="480" w:lineRule="auto"/>
      </w:pPr>
    </w:p>
    <w:p w14:paraId="4133EBD1" w14:textId="77777777" w:rsidR="00857BD7" w:rsidRDefault="00857BD7" w:rsidP="001011A7">
      <w:pPr>
        <w:spacing w:line="480" w:lineRule="auto"/>
      </w:pPr>
    </w:p>
    <w:p w14:paraId="6502658D" w14:textId="77777777" w:rsidR="00857BD7" w:rsidRDefault="00857BD7" w:rsidP="001011A7">
      <w:pPr>
        <w:spacing w:line="480" w:lineRule="auto"/>
      </w:pPr>
    </w:p>
    <w:p w14:paraId="756E362E" w14:textId="77777777" w:rsidR="00857BD7" w:rsidRDefault="00857BD7" w:rsidP="001011A7">
      <w:pPr>
        <w:spacing w:line="480" w:lineRule="auto"/>
      </w:pPr>
    </w:p>
    <w:p w14:paraId="410F9819" w14:textId="77777777" w:rsidR="00857BD7" w:rsidRDefault="00857BD7" w:rsidP="001011A7">
      <w:pPr>
        <w:spacing w:line="480" w:lineRule="auto"/>
      </w:pPr>
    </w:p>
    <w:p w14:paraId="68FB4B5C" w14:textId="77777777" w:rsidR="00857BD7" w:rsidRDefault="00857BD7" w:rsidP="001011A7">
      <w:pPr>
        <w:spacing w:line="480" w:lineRule="auto"/>
      </w:pPr>
    </w:p>
    <w:p w14:paraId="52943FA3" w14:textId="77777777" w:rsidR="00857BD7" w:rsidRDefault="00857BD7" w:rsidP="001011A7">
      <w:pPr>
        <w:spacing w:line="480" w:lineRule="auto"/>
      </w:pPr>
    </w:p>
    <w:p w14:paraId="4C5F31FD" w14:textId="77777777" w:rsidR="00857BD7" w:rsidRDefault="00857BD7" w:rsidP="001011A7">
      <w:pPr>
        <w:spacing w:line="480" w:lineRule="auto"/>
      </w:pPr>
    </w:p>
    <w:p w14:paraId="5109D7D8" w14:textId="77777777" w:rsidR="00857BD7" w:rsidRDefault="00857BD7" w:rsidP="001011A7">
      <w:pPr>
        <w:spacing w:line="480" w:lineRule="auto"/>
      </w:pPr>
    </w:p>
    <w:p w14:paraId="01EE2579" w14:textId="77777777" w:rsidR="00857BD7" w:rsidRDefault="00857BD7" w:rsidP="001011A7">
      <w:pPr>
        <w:spacing w:line="480" w:lineRule="auto"/>
      </w:pPr>
    </w:p>
    <w:p w14:paraId="7A492CD6" w14:textId="77777777" w:rsidR="00857BD7" w:rsidRDefault="00857BD7" w:rsidP="001011A7">
      <w:pPr>
        <w:spacing w:line="480" w:lineRule="auto"/>
      </w:pPr>
    </w:p>
    <w:p w14:paraId="04E3D2AC" w14:textId="77777777" w:rsidR="00857BD7" w:rsidRDefault="00857BD7" w:rsidP="001011A7">
      <w:pPr>
        <w:spacing w:line="480" w:lineRule="auto"/>
      </w:pPr>
    </w:p>
    <w:p w14:paraId="64CF28C1" w14:textId="77777777" w:rsidR="00857BD7" w:rsidRDefault="00857BD7" w:rsidP="001011A7">
      <w:pPr>
        <w:spacing w:line="480" w:lineRule="auto"/>
      </w:pPr>
    </w:p>
    <w:p w14:paraId="1D31AB26" w14:textId="77777777" w:rsidR="00857BD7" w:rsidRDefault="00857BD7" w:rsidP="001011A7">
      <w:pPr>
        <w:spacing w:line="480" w:lineRule="auto"/>
      </w:pPr>
    </w:p>
    <w:p w14:paraId="5B3E6A95" w14:textId="77777777" w:rsidR="00857BD7" w:rsidRDefault="00857BD7" w:rsidP="001011A7">
      <w:pPr>
        <w:spacing w:line="480" w:lineRule="auto"/>
      </w:pPr>
    </w:p>
    <w:p w14:paraId="7E354B66" w14:textId="77777777" w:rsidR="00857BD7" w:rsidRDefault="00857BD7" w:rsidP="001011A7">
      <w:pPr>
        <w:spacing w:line="480" w:lineRule="auto"/>
      </w:pPr>
    </w:p>
    <w:p w14:paraId="0D8990CB" w14:textId="77777777" w:rsidR="00857BD7" w:rsidRDefault="00857BD7" w:rsidP="001011A7">
      <w:pPr>
        <w:spacing w:line="480" w:lineRule="auto"/>
      </w:pPr>
    </w:p>
    <w:p w14:paraId="3CD3D451" w14:textId="77777777" w:rsidR="00D5226E" w:rsidRDefault="00D5226E" w:rsidP="001011A7">
      <w:pPr>
        <w:spacing w:line="480" w:lineRule="auto"/>
      </w:pPr>
    </w:p>
    <w:p w14:paraId="2083FE0B" w14:textId="01B94D36" w:rsidR="0050281C" w:rsidRDefault="0050281C" w:rsidP="001011A7">
      <w:pPr>
        <w:spacing w:line="480" w:lineRule="auto"/>
      </w:pPr>
      <w:r>
        <w:t>Bibliography:</w:t>
      </w:r>
    </w:p>
    <w:p w14:paraId="0704F78A" w14:textId="6E86FBA2" w:rsidR="0050281C" w:rsidRDefault="0050281C" w:rsidP="001011A7">
      <w:pPr>
        <w:spacing w:line="480" w:lineRule="auto"/>
      </w:pPr>
      <w:r>
        <w:t>Primary Source Material:</w:t>
      </w:r>
    </w:p>
    <w:p w14:paraId="4B7067AB" w14:textId="05A226F9" w:rsidR="0050281C" w:rsidRDefault="0050281C" w:rsidP="001011A7">
      <w:pPr>
        <w:spacing w:line="480" w:lineRule="auto"/>
      </w:pPr>
      <w:r>
        <w:t xml:space="preserve">Asquith. H. </w:t>
      </w:r>
      <w:r>
        <w:rPr>
          <w:i/>
        </w:rPr>
        <w:t xml:space="preserve">Moments of Memory. </w:t>
      </w:r>
      <w:r>
        <w:t>(London. Hamiliton. 1937)</w:t>
      </w:r>
    </w:p>
    <w:p w14:paraId="38BDD408" w14:textId="5CF8E906" w:rsidR="0050281C" w:rsidRDefault="0050281C" w:rsidP="001011A7">
      <w:pPr>
        <w:spacing w:line="480" w:lineRule="auto"/>
      </w:pPr>
      <w:r>
        <w:t>Secondary Source Material</w:t>
      </w:r>
    </w:p>
    <w:p w14:paraId="180B9358" w14:textId="5F53AC2C" w:rsidR="0050281C" w:rsidRDefault="0050281C" w:rsidP="001011A7">
      <w:pPr>
        <w:spacing w:line="480" w:lineRule="auto"/>
      </w:pPr>
      <w:r>
        <w:t xml:space="preserve">Cassar. G. </w:t>
      </w:r>
      <w:r>
        <w:rPr>
          <w:i/>
        </w:rPr>
        <w:t>Asquith as War Leader.</w:t>
      </w:r>
      <w:r>
        <w:t xml:space="preserve"> (London: Hutchinson. 1994)</w:t>
      </w:r>
    </w:p>
    <w:p w14:paraId="2800FF49" w14:textId="47328504" w:rsidR="00897DB0" w:rsidRDefault="00897DB0" w:rsidP="001011A7">
      <w:pPr>
        <w:spacing w:line="480" w:lineRule="auto"/>
      </w:pPr>
      <w:r>
        <w:t xml:space="preserve">Clarke. P. </w:t>
      </w:r>
      <w:r w:rsidRPr="00360784">
        <w:rPr>
          <w:i/>
        </w:rPr>
        <w:t>Hope and Glory</w:t>
      </w:r>
      <w:r>
        <w:rPr>
          <w:i/>
        </w:rPr>
        <w:t xml:space="preserve">. </w:t>
      </w:r>
      <w:r>
        <w:t>(London. Penguin Books. 1996)</w:t>
      </w:r>
    </w:p>
    <w:p w14:paraId="370D2D52" w14:textId="74A8E06E" w:rsidR="0050281C" w:rsidRDefault="0050281C" w:rsidP="001011A7">
      <w:pPr>
        <w:spacing w:line="480" w:lineRule="auto"/>
      </w:pPr>
      <w:r>
        <w:t>Davis.</w:t>
      </w:r>
      <w:r w:rsidR="000D5C9E">
        <w:t xml:space="preserve"> J.</w:t>
      </w:r>
      <w:r>
        <w:t xml:space="preserve"> </w:t>
      </w:r>
      <w:r>
        <w:rPr>
          <w:i/>
        </w:rPr>
        <w:t xml:space="preserve">A History of Britain, 1885-1939. </w:t>
      </w:r>
      <w:r>
        <w:t>(London. Macmillan Press LTD. 1999)</w:t>
      </w:r>
    </w:p>
    <w:p w14:paraId="0DB6D101" w14:textId="7A71313B" w:rsidR="000D5C9E" w:rsidRDefault="000D5C9E" w:rsidP="001011A7">
      <w:pPr>
        <w:spacing w:line="480" w:lineRule="auto"/>
      </w:pPr>
      <w:r>
        <w:t xml:space="preserve">Ferguson. N. </w:t>
      </w:r>
      <w:r>
        <w:rPr>
          <w:i/>
        </w:rPr>
        <w:t xml:space="preserve">The Pity of War. </w:t>
      </w:r>
      <w:r>
        <w:t>(London. Penguin Books. 1998)</w:t>
      </w:r>
    </w:p>
    <w:p w14:paraId="637A9340" w14:textId="4A6FB482" w:rsidR="003342CF" w:rsidRDefault="003342CF" w:rsidP="001011A7">
      <w:pPr>
        <w:spacing w:line="480" w:lineRule="auto"/>
      </w:pPr>
      <w:r>
        <w:t xml:space="preserve">French. D. </w:t>
      </w:r>
      <w:r w:rsidRPr="009B2344">
        <w:rPr>
          <w:i/>
        </w:rPr>
        <w:t>The Strategy of the Lloyd George Coalition</w:t>
      </w:r>
      <w:r w:rsidRPr="00212899">
        <w:rPr>
          <w:i/>
        </w:rPr>
        <w:t>, 1916-1918</w:t>
      </w:r>
      <w:r>
        <w:rPr>
          <w:i/>
        </w:rPr>
        <w:t xml:space="preserve">. </w:t>
      </w:r>
      <w:r>
        <w:t>(Oxford. Oxford University Press)</w:t>
      </w:r>
    </w:p>
    <w:p w14:paraId="48E5D8CA" w14:textId="2B8C8040" w:rsidR="000D5C9E" w:rsidRDefault="000D5C9E" w:rsidP="001011A7">
      <w:pPr>
        <w:spacing w:line="480" w:lineRule="auto"/>
      </w:pPr>
      <w:r>
        <w:t xml:space="preserve">Fry. M. </w:t>
      </w:r>
      <w:r>
        <w:rPr>
          <w:i/>
        </w:rPr>
        <w:t xml:space="preserve">Political change in Britain. </w:t>
      </w:r>
      <w:r>
        <w:t>(Colombia. University of South Carolina. 1988)</w:t>
      </w:r>
    </w:p>
    <w:p w14:paraId="4820D24B" w14:textId="27624DC5" w:rsidR="003342CF" w:rsidRDefault="003342CF" w:rsidP="001011A7">
      <w:pPr>
        <w:spacing w:line="480" w:lineRule="auto"/>
      </w:pPr>
      <w:r>
        <w:t xml:space="preserve">Grigg. J. </w:t>
      </w:r>
      <w:r>
        <w:rPr>
          <w:i/>
        </w:rPr>
        <w:t>Lloyd George: From Peace to War 1912-1916.</w:t>
      </w:r>
      <w:r>
        <w:t xml:space="preserve"> (London: Meuthen. 1985.)</w:t>
      </w:r>
    </w:p>
    <w:p w14:paraId="691E9A62" w14:textId="77777777" w:rsidR="00C444FC" w:rsidRDefault="003342CF" w:rsidP="001011A7">
      <w:pPr>
        <w:spacing w:line="480" w:lineRule="auto"/>
      </w:pPr>
      <w:r>
        <w:t xml:space="preserve">James. R.R. </w:t>
      </w:r>
      <w:r>
        <w:rPr>
          <w:i/>
        </w:rPr>
        <w:t xml:space="preserve">The British Revolution. </w:t>
      </w:r>
      <w:r>
        <w:t>(London. Hamish Hamilton. 1977)</w:t>
      </w:r>
      <w:r w:rsidR="00C444FC">
        <w:t xml:space="preserve"> </w:t>
      </w:r>
    </w:p>
    <w:p w14:paraId="70D83238" w14:textId="56115675" w:rsidR="00C444FC" w:rsidRDefault="00C444FC" w:rsidP="001011A7">
      <w:pPr>
        <w:spacing w:line="480" w:lineRule="auto"/>
      </w:pPr>
      <w:r>
        <w:t xml:space="preserve">Koss. S. </w:t>
      </w:r>
      <w:r>
        <w:rPr>
          <w:i/>
        </w:rPr>
        <w:t xml:space="preserve">Asquith. </w:t>
      </w:r>
      <w:r>
        <w:t>(London. Hamish Hamilton. 1985)</w:t>
      </w:r>
    </w:p>
    <w:p w14:paraId="52559217" w14:textId="22F8F3EB" w:rsidR="003342CF" w:rsidRDefault="003342CF" w:rsidP="001011A7">
      <w:pPr>
        <w:spacing w:line="480" w:lineRule="auto"/>
      </w:pPr>
      <w:r>
        <w:lastRenderedPageBreak/>
        <w:t xml:space="preserve">Lynch. M. </w:t>
      </w:r>
      <w:r>
        <w:rPr>
          <w:i/>
        </w:rPr>
        <w:t xml:space="preserve">Lloyd George and the Liberal Dilemma. </w:t>
      </w:r>
      <w:r>
        <w:t>(London. British Library Cataloguing. 1993)</w:t>
      </w:r>
    </w:p>
    <w:p w14:paraId="43B23F09" w14:textId="61178B9B" w:rsidR="00897DB0" w:rsidRDefault="00897DB0" w:rsidP="001011A7">
      <w:pPr>
        <w:spacing w:line="480" w:lineRule="auto"/>
      </w:pPr>
      <w:r w:rsidRPr="00897DB0">
        <w:t>McEwen.</w:t>
      </w:r>
      <w:r>
        <w:t xml:space="preserve"> J.M.</w:t>
      </w:r>
      <w:r w:rsidRPr="00897DB0">
        <w:t xml:space="preserve"> </w:t>
      </w:r>
      <w:r w:rsidRPr="00897DB0">
        <w:rPr>
          <w:i/>
        </w:rPr>
        <w:t>Northcliffe and Lloyd George at War, 1914-1918</w:t>
      </w:r>
      <w:r w:rsidRPr="00897DB0">
        <w:t>. (Cambridge. Cambridge University Press. 1981)</w:t>
      </w:r>
    </w:p>
    <w:p w14:paraId="55AB7028" w14:textId="68036220" w:rsidR="0099795C" w:rsidRDefault="0099795C" w:rsidP="001011A7">
      <w:pPr>
        <w:spacing w:line="480" w:lineRule="auto"/>
      </w:pPr>
      <w:r>
        <w:t xml:space="preserve">Sheffield. G. </w:t>
      </w:r>
      <w:r>
        <w:rPr>
          <w:i/>
        </w:rPr>
        <w:t xml:space="preserve">A Short History of the First World War. </w:t>
      </w:r>
      <w:r>
        <w:t>(London. Oneworld Publications. 2014)</w:t>
      </w:r>
    </w:p>
    <w:p w14:paraId="64D85F75" w14:textId="50F16CD2" w:rsidR="005D78A1" w:rsidRDefault="005D78A1" w:rsidP="001011A7">
      <w:pPr>
        <w:spacing w:line="480" w:lineRule="auto"/>
      </w:pPr>
      <w:r>
        <w:t>Simmonds</w:t>
      </w:r>
      <w:r>
        <w:t xml:space="preserve"> </w:t>
      </w:r>
      <w:r>
        <w:t xml:space="preserve">A. G. V, </w:t>
      </w:r>
      <w:r>
        <w:rPr>
          <w:i/>
        </w:rPr>
        <w:t xml:space="preserve">Britain and World War One. </w:t>
      </w:r>
      <w:r>
        <w:t xml:space="preserve">(Abingdon: Routledge. 2012)  </w:t>
      </w:r>
    </w:p>
    <w:p w14:paraId="3EE5598F" w14:textId="5743AE5D" w:rsidR="00A549B8" w:rsidRDefault="00A549B8" w:rsidP="001011A7">
      <w:pPr>
        <w:spacing w:line="480" w:lineRule="auto"/>
      </w:pPr>
      <w:r>
        <w:t>Taylor</w:t>
      </w:r>
      <w:r>
        <w:t>. A.J.P.</w:t>
      </w:r>
      <w:r>
        <w:t xml:space="preserve"> </w:t>
      </w:r>
      <w:r w:rsidRPr="00A549B8">
        <w:rPr>
          <w:i/>
        </w:rPr>
        <w:t xml:space="preserve">Beaverbrook </w:t>
      </w:r>
      <w:r>
        <w:t>(New York: Simon and Schuster. 1972)</w:t>
      </w:r>
    </w:p>
    <w:p w14:paraId="07D6E43B" w14:textId="178447AA" w:rsidR="00A549B8" w:rsidRPr="001B6FE2" w:rsidRDefault="00A2403D" w:rsidP="001011A7">
      <w:pPr>
        <w:spacing w:line="480" w:lineRule="auto"/>
      </w:pPr>
      <w:r>
        <w:t>Taylor. A.J</w:t>
      </w:r>
      <w:r w:rsidR="001B6FE2">
        <w:t xml:space="preserve">.P. </w:t>
      </w:r>
      <w:r w:rsidR="001B6FE2">
        <w:rPr>
          <w:i/>
        </w:rPr>
        <w:t xml:space="preserve">Lloyd George: Essays. </w:t>
      </w:r>
      <w:r w:rsidR="001B6FE2">
        <w:t>(London: Hamilton. 1971)</w:t>
      </w:r>
    </w:p>
    <w:p w14:paraId="02B0174C" w14:textId="7519EE07" w:rsidR="00C444FC" w:rsidRDefault="00C444FC" w:rsidP="001011A7">
      <w:pPr>
        <w:spacing w:line="480" w:lineRule="auto"/>
      </w:pPr>
      <w:r>
        <w:t xml:space="preserve">Woodward. D. </w:t>
      </w:r>
      <w:r>
        <w:rPr>
          <w:i/>
        </w:rPr>
        <w:t xml:space="preserve">Did Lloyd George starve the army? </w:t>
      </w:r>
      <w:r>
        <w:t>(Huntington. The Historical Journal. 1984)</w:t>
      </w:r>
    </w:p>
    <w:sectPr w:rsidR="00C444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5DDDE" w14:textId="77777777" w:rsidR="00652E8D" w:rsidRDefault="00652E8D" w:rsidP="00E86411">
      <w:pPr>
        <w:spacing w:after="0" w:line="240" w:lineRule="auto"/>
      </w:pPr>
      <w:r>
        <w:separator/>
      </w:r>
    </w:p>
  </w:endnote>
  <w:endnote w:type="continuationSeparator" w:id="0">
    <w:p w14:paraId="054AB0C6" w14:textId="77777777" w:rsidR="00652E8D" w:rsidRDefault="00652E8D" w:rsidP="00E86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F489A" w14:textId="77777777" w:rsidR="00652E8D" w:rsidRDefault="00652E8D" w:rsidP="00E86411">
      <w:pPr>
        <w:spacing w:after="0" w:line="240" w:lineRule="auto"/>
      </w:pPr>
      <w:r>
        <w:separator/>
      </w:r>
    </w:p>
  </w:footnote>
  <w:footnote w:type="continuationSeparator" w:id="0">
    <w:p w14:paraId="5EB51D96" w14:textId="77777777" w:rsidR="00652E8D" w:rsidRDefault="00652E8D" w:rsidP="00E86411">
      <w:pPr>
        <w:spacing w:after="0" w:line="240" w:lineRule="auto"/>
      </w:pPr>
      <w:r>
        <w:continuationSeparator/>
      </w:r>
    </w:p>
  </w:footnote>
  <w:footnote w:id="1">
    <w:p w14:paraId="2500EBEF" w14:textId="54C4DACE" w:rsidR="00193E65" w:rsidRPr="00CA027D" w:rsidRDefault="00193E65">
      <w:pPr>
        <w:pStyle w:val="FootnoteText"/>
      </w:pPr>
      <w:r>
        <w:rPr>
          <w:rStyle w:val="FootnoteReference"/>
        </w:rPr>
        <w:footnoteRef/>
      </w:r>
      <w:r>
        <w:t xml:space="preserve"> M. Fry. </w:t>
      </w:r>
      <w:r>
        <w:rPr>
          <w:i/>
        </w:rPr>
        <w:t xml:space="preserve">Political change in Britain. </w:t>
      </w:r>
      <w:r w:rsidR="00CA027D">
        <w:t>(Colombia. University of South Carolina. 1988) p. 1</w:t>
      </w:r>
    </w:p>
  </w:footnote>
  <w:footnote w:id="2">
    <w:p w14:paraId="66B9ECEA" w14:textId="5AB94EDE" w:rsidR="00664170" w:rsidRPr="00664170" w:rsidRDefault="00CA027D">
      <w:pPr>
        <w:pStyle w:val="FootnoteText"/>
      </w:pPr>
      <w:r>
        <w:rPr>
          <w:rStyle w:val="FootnoteReference"/>
        </w:rPr>
        <w:footnoteRef/>
      </w:r>
      <w:r>
        <w:t xml:space="preserve"> </w:t>
      </w:r>
      <w:r w:rsidR="005100C3">
        <w:t xml:space="preserve">J. </w:t>
      </w:r>
      <w:r w:rsidR="00664170">
        <w:t xml:space="preserve">Davis. </w:t>
      </w:r>
      <w:r w:rsidR="00664170">
        <w:rPr>
          <w:i/>
        </w:rPr>
        <w:t xml:space="preserve">A History of Britain, 1885-1939. </w:t>
      </w:r>
      <w:r w:rsidR="00664170">
        <w:t>(London. Macmillan Press LTD. 1999) p.123</w:t>
      </w:r>
    </w:p>
  </w:footnote>
  <w:footnote w:id="3">
    <w:p w14:paraId="7AA35764" w14:textId="74912463" w:rsidR="00A549B8" w:rsidRDefault="00A549B8">
      <w:pPr>
        <w:pStyle w:val="FootnoteText"/>
      </w:pPr>
      <w:r>
        <w:rPr>
          <w:rStyle w:val="FootnoteReference"/>
        </w:rPr>
        <w:footnoteRef/>
      </w:r>
      <w:r>
        <w:t xml:space="preserve"> </w:t>
      </w:r>
      <w:r>
        <w:t>A. J. P. Taylor, Beaverbrook (New York</w:t>
      </w:r>
      <w:r>
        <w:t>: Simon and Schuster.</w:t>
      </w:r>
      <w:r>
        <w:t xml:space="preserve"> </w:t>
      </w:r>
      <w:r>
        <w:t>1</w:t>
      </w:r>
      <w:r>
        <w:t>972), p. I02.</w:t>
      </w:r>
    </w:p>
  </w:footnote>
  <w:footnote w:id="4">
    <w:p w14:paraId="1A30E5DB" w14:textId="6F172A3F" w:rsidR="00664170" w:rsidRDefault="00664170">
      <w:pPr>
        <w:pStyle w:val="FootnoteText"/>
      </w:pPr>
      <w:r>
        <w:rPr>
          <w:rStyle w:val="FootnoteReference"/>
        </w:rPr>
        <w:footnoteRef/>
      </w:r>
      <w:r>
        <w:t xml:space="preserve"> </w:t>
      </w:r>
      <w:r w:rsidR="00BB5AF1">
        <w:t xml:space="preserve">J. Davis. </w:t>
      </w:r>
      <w:r w:rsidR="00BB5AF1">
        <w:rPr>
          <w:i/>
        </w:rPr>
        <w:t xml:space="preserve">A History of Britain, 1885-1939. </w:t>
      </w:r>
      <w:r w:rsidR="00BB5AF1">
        <w:t>(London. Macmillan Press LTD. 1999) p.12</w:t>
      </w:r>
      <w:r w:rsidR="00BB5AF1">
        <w:t>9</w:t>
      </w:r>
    </w:p>
  </w:footnote>
  <w:footnote w:id="5">
    <w:p w14:paraId="0F077F10" w14:textId="1DE3F832" w:rsidR="00664170" w:rsidRDefault="00664170">
      <w:pPr>
        <w:pStyle w:val="FootnoteText"/>
      </w:pPr>
      <w:r>
        <w:rPr>
          <w:rStyle w:val="FootnoteReference"/>
        </w:rPr>
        <w:footnoteRef/>
      </w:r>
      <w:r>
        <w:t xml:space="preserve"> Ibid. p. 129</w:t>
      </w:r>
    </w:p>
  </w:footnote>
  <w:footnote w:id="6">
    <w:p w14:paraId="44A190C8" w14:textId="38AD75AF" w:rsidR="00BB5AF1" w:rsidRDefault="00BB5AF1" w:rsidP="00BB5AF1">
      <w:pPr>
        <w:pStyle w:val="FootnoteText"/>
      </w:pPr>
      <w:r>
        <w:rPr>
          <w:rStyle w:val="FootnoteReference"/>
        </w:rPr>
        <w:footnoteRef/>
      </w:r>
      <w:r>
        <w:t xml:space="preserve"> M. Lynch. </w:t>
      </w:r>
      <w:r>
        <w:rPr>
          <w:i/>
        </w:rPr>
        <w:t xml:space="preserve">Lloyd George and the Liberal Dilemma. </w:t>
      </w:r>
      <w:r>
        <w:t xml:space="preserve">(London. British Library Cataloguing. 1993) p. </w:t>
      </w:r>
      <w:r w:rsidR="00CC551B">
        <w:t>42</w:t>
      </w:r>
    </w:p>
  </w:footnote>
  <w:footnote w:id="7">
    <w:p w14:paraId="59DF0001" w14:textId="478C29AC" w:rsidR="00CC551B" w:rsidRDefault="00CC551B">
      <w:pPr>
        <w:pStyle w:val="FootnoteText"/>
      </w:pPr>
      <w:r>
        <w:rPr>
          <w:rStyle w:val="FootnoteReference"/>
        </w:rPr>
        <w:footnoteRef/>
      </w:r>
      <w:r>
        <w:t xml:space="preserve"> Ibid. p.74</w:t>
      </w:r>
    </w:p>
  </w:footnote>
  <w:footnote w:id="8">
    <w:p w14:paraId="409DE419" w14:textId="6F95CB53" w:rsidR="00D121DE" w:rsidRDefault="00D121DE" w:rsidP="00D121DE">
      <w:pPr>
        <w:pStyle w:val="FootnoteText"/>
      </w:pPr>
      <w:r>
        <w:rPr>
          <w:rStyle w:val="FootnoteReference"/>
        </w:rPr>
        <w:footnoteRef/>
      </w:r>
      <w:r>
        <w:t xml:space="preserve"> M. Fry. </w:t>
      </w:r>
      <w:r>
        <w:rPr>
          <w:i/>
        </w:rPr>
        <w:t xml:space="preserve">Political change in Britain. </w:t>
      </w:r>
      <w:r>
        <w:t>(Colombia. University of South Carolina. 1988) p. 1</w:t>
      </w:r>
    </w:p>
  </w:footnote>
  <w:footnote w:id="9">
    <w:p w14:paraId="668AC064" w14:textId="5611CC4E" w:rsidR="00F63521" w:rsidRDefault="00F63521">
      <w:pPr>
        <w:pStyle w:val="FootnoteText"/>
      </w:pPr>
      <w:r>
        <w:rPr>
          <w:rStyle w:val="FootnoteReference"/>
        </w:rPr>
        <w:footnoteRef/>
      </w:r>
      <w:r>
        <w:t xml:space="preserve"> </w:t>
      </w:r>
      <w:r>
        <w:t xml:space="preserve">M. Lynch. </w:t>
      </w:r>
      <w:r>
        <w:rPr>
          <w:i/>
        </w:rPr>
        <w:t xml:space="preserve">Lloyd George and the Liberal Dilemma. </w:t>
      </w:r>
      <w:r>
        <w:t>(London. British Library Cataloguing. 1993)</w:t>
      </w:r>
      <w:r>
        <w:t xml:space="preserve"> p. 42</w:t>
      </w:r>
    </w:p>
  </w:footnote>
  <w:footnote w:id="10">
    <w:p w14:paraId="30BE0C28" w14:textId="2E3A6DB5" w:rsidR="00664170" w:rsidRPr="007F199B" w:rsidRDefault="00664170">
      <w:pPr>
        <w:pStyle w:val="FootnoteText"/>
      </w:pPr>
      <w:r>
        <w:rPr>
          <w:rStyle w:val="FootnoteReference"/>
        </w:rPr>
        <w:footnoteRef/>
      </w:r>
      <w:r>
        <w:t xml:space="preserve"> </w:t>
      </w:r>
      <w:r w:rsidR="007F199B">
        <w:t xml:space="preserve">M. Lynch. </w:t>
      </w:r>
      <w:r w:rsidR="007F199B">
        <w:rPr>
          <w:i/>
        </w:rPr>
        <w:t xml:space="preserve">Lloyd George and the Liberal Dilemma. </w:t>
      </w:r>
      <w:r w:rsidR="007F199B">
        <w:t>(London. British Library Cataloguing. 1993)</w:t>
      </w:r>
      <w:r w:rsidR="00BF3E6A">
        <w:t xml:space="preserve"> p. 18</w:t>
      </w:r>
    </w:p>
  </w:footnote>
  <w:footnote w:id="11">
    <w:p w14:paraId="4CD30BDB" w14:textId="0EC64F14" w:rsidR="00E86411" w:rsidRPr="001B6FE2" w:rsidRDefault="00E86411">
      <w:pPr>
        <w:pStyle w:val="FootnoteText"/>
      </w:pPr>
      <w:r>
        <w:rPr>
          <w:rStyle w:val="FootnoteReference"/>
        </w:rPr>
        <w:footnoteRef/>
      </w:r>
      <w:r>
        <w:t xml:space="preserve"> A.J.P Taylor. </w:t>
      </w:r>
      <w:r w:rsidRPr="001B6FE2">
        <w:rPr>
          <w:i/>
        </w:rPr>
        <w:t>Lloyd George twelve essays</w:t>
      </w:r>
      <w:r w:rsidR="001B6FE2" w:rsidRPr="001B6FE2">
        <w:rPr>
          <w:i/>
        </w:rPr>
        <w:t xml:space="preserve"> </w:t>
      </w:r>
      <w:r w:rsidR="001B6FE2">
        <w:t>(London: Hamilton. 1971)</w:t>
      </w:r>
    </w:p>
  </w:footnote>
  <w:footnote w:id="12">
    <w:p w14:paraId="61F41DBB" w14:textId="0E3C557F" w:rsidR="000B1BAF" w:rsidRPr="005D78A1" w:rsidRDefault="000B1BAF">
      <w:pPr>
        <w:pStyle w:val="FootnoteText"/>
      </w:pPr>
      <w:r>
        <w:rPr>
          <w:rStyle w:val="FootnoteReference"/>
        </w:rPr>
        <w:footnoteRef/>
      </w:r>
      <w:r>
        <w:t xml:space="preserve"> </w:t>
      </w:r>
      <w:r w:rsidR="005D78A1">
        <w:t xml:space="preserve">A. G. V Simmonds, </w:t>
      </w:r>
      <w:r w:rsidR="005D78A1">
        <w:rPr>
          <w:i/>
        </w:rPr>
        <w:t xml:space="preserve">Britain and World War One. </w:t>
      </w:r>
      <w:r w:rsidR="005D78A1">
        <w:t>(Abingdon: Routledge. 2012)  p.40</w:t>
      </w:r>
    </w:p>
  </w:footnote>
  <w:footnote w:id="13">
    <w:p w14:paraId="2A8D1FD8" w14:textId="4A762FE1" w:rsidR="00570F42" w:rsidRDefault="00570F42">
      <w:pPr>
        <w:pStyle w:val="FootnoteText"/>
      </w:pPr>
      <w:r>
        <w:rPr>
          <w:rStyle w:val="FootnoteReference"/>
        </w:rPr>
        <w:footnoteRef/>
      </w:r>
      <w:r>
        <w:t xml:space="preserve"> </w:t>
      </w:r>
      <w:r>
        <w:t xml:space="preserve">G. Sheffield. </w:t>
      </w:r>
      <w:r>
        <w:rPr>
          <w:i/>
        </w:rPr>
        <w:t xml:space="preserve">A Short History of the First World War. </w:t>
      </w:r>
      <w:r>
        <w:t>(London. Oneworld Publications. 2014)</w:t>
      </w:r>
      <w:r>
        <w:t xml:space="preserve"> p. 149</w:t>
      </w:r>
    </w:p>
  </w:footnote>
  <w:footnote w:id="14">
    <w:p w14:paraId="79A88212" w14:textId="529AB409" w:rsidR="00034FE6" w:rsidRDefault="00034FE6">
      <w:pPr>
        <w:pStyle w:val="FootnoteText"/>
      </w:pPr>
      <w:r>
        <w:rPr>
          <w:rStyle w:val="FootnoteReference"/>
        </w:rPr>
        <w:footnoteRef/>
      </w:r>
      <w:r w:rsidR="00C32501">
        <w:t xml:space="preserve"> R.R. James. </w:t>
      </w:r>
      <w:r w:rsidR="00C32501">
        <w:rPr>
          <w:i/>
        </w:rPr>
        <w:t xml:space="preserve">The British Revolution. </w:t>
      </w:r>
      <w:r w:rsidR="00C32501">
        <w:t xml:space="preserve">(London. Hamish Hamilton. 1977) p. </w:t>
      </w:r>
      <w:r w:rsidR="005704C0">
        <w:t>83</w:t>
      </w:r>
    </w:p>
  </w:footnote>
  <w:footnote w:id="15">
    <w:p w14:paraId="0BE60892" w14:textId="1BD10243" w:rsidR="00D96637" w:rsidRDefault="00D96637">
      <w:pPr>
        <w:pStyle w:val="FootnoteText"/>
      </w:pPr>
      <w:r>
        <w:rPr>
          <w:rStyle w:val="FootnoteReference"/>
        </w:rPr>
        <w:footnoteRef/>
      </w:r>
      <w:r>
        <w:t xml:space="preserve"> D. Woodward. </w:t>
      </w:r>
      <w:r>
        <w:rPr>
          <w:i/>
        </w:rPr>
        <w:t xml:space="preserve">Did Lloyd George starve the army? </w:t>
      </w:r>
      <w:r>
        <w:t>(Huntington. The Historical Journal. 1984) p. 241</w:t>
      </w:r>
    </w:p>
  </w:footnote>
  <w:footnote w:id="16">
    <w:p w14:paraId="073C374B" w14:textId="4B260FD5" w:rsidR="00C37B63" w:rsidRPr="00C37B63" w:rsidRDefault="00C37B63">
      <w:pPr>
        <w:pStyle w:val="FootnoteText"/>
      </w:pPr>
      <w:r>
        <w:rPr>
          <w:rStyle w:val="FootnoteReference"/>
        </w:rPr>
        <w:footnoteRef/>
      </w:r>
      <w:r w:rsidR="00D96637">
        <w:t xml:space="preserve"> Ibid p. 241</w:t>
      </w:r>
    </w:p>
  </w:footnote>
  <w:footnote w:id="17">
    <w:p w14:paraId="1C6BAA6C" w14:textId="58D5AFAB" w:rsidR="0085084F" w:rsidRDefault="0085084F">
      <w:pPr>
        <w:pStyle w:val="FootnoteText"/>
      </w:pPr>
      <w:r>
        <w:rPr>
          <w:rStyle w:val="FootnoteReference"/>
        </w:rPr>
        <w:footnoteRef/>
      </w:r>
      <w:r>
        <w:t xml:space="preserve"> Ibid. 242</w:t>
      </w:r>
    </w:p>
  </w:footnote>
  <w:footnote w:id="18">
    <w:p w14:paraId="52BFA8A6" w14:textId="69F54CD4" w:rsidR="0046643D" w:rsidRPr="00212899" w:rsidRDefault="0046643D" w:rsidP="009B2344">
      <w:pPr>
        <w:pStyle w:val="FootnoteText"/>
      </w:pPr>
      <w:r>
        <w:rPr>
          <w:rStyle w:val="FootnoteReference"/>
        </w:rPr>
        <w:footnoteRef/>
      </w:r>
      <w:r w:rsidR="009B2344">
        <w:t xml:space="preserve"> D. French.</w:t>
      </w:r>
      <w:r>
        <w:t xml:space="preserve"> </w:t>
      </w:r>
      <w:r w:rsidR="009B2344" w:rsidRPr="009B2344">
        <w:rPr>
          <w:i/>
        </w:rPr>
        <w:t>The Strategy of the Lloyd George Coalition</w:t>
      </w:r>
      <w:r w:rsidR="009B2344" w:rsidRPr="00212899">
        <w:rPr>
          <w:i/>
        </w:rPr>
        <w:t>, 1916-1918</w:t>
      </w:r>
      <w:r w:rsidR="00212899">
        <w:rPr>
          <w:i/>
        </w:rPr>
        <w:t xml:space="preserve">. </w:t>
      </w:r>
      <w:r w:rsidR="00212899">
        <w:t>(Oxford. Oxford University Press) p. 139</w:t>
      </w:r>
    </w:p>
  </w:footnote>
  <w:footnote w:id="19">
    <w:p w14:paraId="3D3598D4" w14:textId="56A013D6" w:rsidR="001631F1" w:rsidRDefault="001631F1">
      <w:pPr>
        <w:pStyle w:val="FootnoteText"/>
      </w:pPr>
      <w:r>
        <w:rPr>
          <w:rStyle w:val="FootnoteReference"/>
        </w:rPr>
        <w:footnoteRef/>
      </w:r>
      <w:r>
        <w:t xml:space="preserve"> </w:t>
      </w:r>
      <w:r w:rsidR="005628BE">
        <w:t xml:space="preserve">R.R James. </w:t>
      </w:r>
      <w:r w:rsidR="005628BE">
        <w:rPr>
          <w:i/>
        </w:rPr>
        <w:t xml:space="preserve">The British Revolution. </w:t>
      </w:r>
      <w:r w:rsidR="005628BE">
        <w:t>(London. Hamish Hamilton. 1977) p. 40</w:t>
      </w:r>
    </w:p>
  </w:footnote>
  <w:footnote w:id="20">
    <w:p w14:paraId="1D1836CE" w14:textId="613D15C5" w:rsidR="00F25CC0" w:rsidRDefault="00F25CC0">
      <w:pPr>
        <w:pStyle w:val="FootnoteText"/>
      </w:pPr>
      <w:r>
        <w:rPr>
          <w:rStyle w:val="FootnoteReference"/>
        </w:rPr>
        <w:footnoteRef/>
      </w:r>
      <w:r>
        <w:t xml:space="preserve"> </w:t>
      </w:r>
      <w:r w:rsidRPr="00F25CC0">
        <w:t xml:space="preserve">Jenkins, R. </w:t>
      </w:r>
      <w:r w:rsidRPr="00F25CC0">
        <w:rPr>
          <w:i/>
        </w:rPr>
        <w:t>Asquith</w:t>
      </w:r>
      <w:r w:rsidRPr="00F25CC0">
        <w:t xml:space="preserve">. </w:t>
      </w:r>
      <w:r>
        <w:t>(</w:t>
      </w:r>
      <w:r w:rsidRPr="00F25CC0">
        <w:t>London: Collins.</w:t>
      </w:r>
      <w:r>
        <w:t xml:space="preserve"> 1964) p. 450</w:t>
      </w:r>
    </w:p>
  </w:footnote>
  <w:footnote w:id="21">
    <w:p w14:paraId="7DF802E1" w14:textId="2A1A7533" w:rsidR="00B02315" w:rsidRPr="00CA7C05" w:rsidRDefault="00B02315">
      <w:pPr>
        <w:pStyle w:val="FootnoteText"/>
      </w:pPr>
      <w:r>
        <w:rPr>
          <w:rStyle w:val="FootnoteReference"/>
        </w:rPr>
        <w:footnoteRef/>
      </w:r>
      <w:r>
        <w:t xml:space="preserve"> </w:t>
      </w:r>
      <w:r w:rsidR="005628BE">
        <w:t xml:space="preserve">Ibid </w:t>
      </w:r>
      <w:r w:rsidR="00FD408E">
        <w:t>p. 19</w:t>
      </w:r>
    </w:p>
  </w:footnote>
  <w:footnote w:id="22">
    <w:p w14:paraId="129AEBA5" w14:textId="54C5B95C" w:rsidR="00D7131E" w:rsidRPr="00D7131E" w:rsidRDefault="00D7131E" w:rsidP="00D7131E">
      <w:pPr>
        <w:pStyle w:val="FootnoteText"/>
      </w:pPr>
      <w:r>
        <w:rPr>
          <w:rStyle w:val="FootnoteReference"/>
        </w:rPr>
        <w:footnoteRef/>
      </w:r>
      <w:r>
        <w:t xml:space="preserve"> J. Grigg. </w:t>
      </w:r>
      <w:r>
        <w:rPr>
          <w:i/>
        </w:rPr>
        <w:t>Lloyd George: From Peace to War 1912-1916.</w:t>
      </w:r>
      <w:r>
        <w:t xml:space="preserve"> (London: Meuthen. 1985.)</w:t>
      </w:r>
      <w:r w:rsidR="00D96637">
        <w:t xml:space="preserve"> p.330</w:t>
      </w:r>
    </w:p>
  </w:footnote>
  <w:footnote w:id="23">
    <w:p w14:paraId="6F1B5C4B" w14:textId="3A8B8B93" w:rsidR="00D7131E" w:rsidRPr="00C37B63" w:rsidRDefault="00CA7C05">
      <w:pPr>
        <w:pStyle w:val="FootnoteText"/>
      </w:pPr>
      <w:r>
        <w:rPr>
          <w:rStyle w:val="FootnoteReference"/>
        </w:rPr>
        <w:footnoteRef/>
      </w:r>
      <w:r>
        <w:t xml:space="preserve"> </w:t>
      </w:r>
      <w:r w:rsidR="00C37B63">
        <w:t xml:space="preserve">Z. Steiner. </w:t>
      </w:r>
      <w:r w:rsidR="00C37B63">
        <w:rPr>
          <w:i/>
        </w:rPr>
        <w:t xml:space="preserve">Britain and the First World War. </w:t>
      </w:r>
      <w:r w:rsidR="00C37B63">
        <w:t>(London. Macmillan Press LTD. 1977.</w:t>
      </w:r>
      <w:r w:rsidR="00D165C5">
        <w:t>)</w:t>
      </w:r>
      <w:r w:rsidR="00C37B63">
        <w:t xml:space="preserve"> P. 183</w:t>
      </w:r>
    </w:p>
  </w:footnote>
  <w:footnote w:id="24">
    <w:p w14:paraId="6901BFBB" w14:textId="2AE094CB" w:rsidR="00D96637" w:rsidRDefault="00D96637">
      <w:pPr>
        <w:pStyle w:val="FootnoteText"/>
      </w:pPr>
      <w:r>
        <w:rPr>
          <w:rStyle w:val="FootnoteReference"/>
        </w:rPr>
        <w:footnoteRef/>
      </w:r>
      <w:r>
        <w:t xml:space="preserve"> S. Koss. </w:t>
      </w:r>
      <w:r>
        <w:rPr>
          <w:i/>
        </w:rPr>
        <w:t xml:space="preserve">Asquith. </w:t>
      </w:r>
      <w:r>
        <w:t xml:space="preserve">(London. Hamish Hamilton. </w:t>
      </w:r>
      <w:r w:rsidR="0085084F">
        <w:t>1985) p.223</w:t>
      </w:r>
    </w:p>
  </w:footnote>
  <w:footnote w:id="25">
    <w:p w14:paraId="1CBEC4DD" w14:textId="32A02854" w:rsidR="00212899" w:rsidRPr="00212899" w:rsidRDefault="00212899">
      <w:pPr>
        <w:pStyle w:val="FootnoteText"/>
      </w:pPr>
      <w:r>
        <w:rPr>
          <w:rStyle w:val="FootnoteReference"/>
        </w:rPr>
        <w:footnoteRef/>
      </w:r>
      <w:r>
        <w:t xml:space="preserve"> H. Asquith. </w:t>
      </w:r>
      <w:r>
        <w:rPr>
          <w:i/>
        </w:rPr>
        <w:t xml:space="preserve">Moments of Memory. </w:t>
      </w:r>
      <w:r>
        <w:t>(</w:t>
      </w:r>
      <w:r w:rsidR="000B7D83">
        <w:t>London. Hamiliton. 1937) p. 194</w:t>
      </w:r>
    </w:p>
  </w:footnote>
  <w:footnote w:id="26">
    <w:p w14:paraId="651E89AC" w14:textId="73DD0AB7" w:rsidR="00E75884" w:rsidRDefault="00E75884">
      <w:pPr>
        <w:pStyle w:val="FootnoteText"/>
      </w:pPr>
      <w:r>
        <w:rPr>
          <w:rStyle w:val="FootnoteReference"/>
        </w:rPr>
        <w:footnoteRef/>
      </w:r>
      <w:r>
        <w:t xml:space="preserve"> </w:t>
      </w:r>
      <w:r w:rsidR="005A67B3" w:rsidRPr="00F25CC0">
        <w:t xml:space="preserve">Jenkins, R. </w:t>
      </w:r>
      <w:r w:rsidR="005A67B3" w:rsidRPr="00F25CC0">
        <w:rPr>
          <w:i/>
        </w:rPr>
        <w:t>Asquith</w:t>
      </w:r>
      <w:r w:rsidR="005A67B3" w:rsidRPr="00F25CC0">
        <w:t xml:space="preserve">. </w:t>
      </w:r>
      <w:r w:rsidR="005A67B3">
        <w:t>(</w:t>
      </w:r>
      <w:r w:rsidR="005A67B3" w:rsidRPr="00F25CC0">
        <w:t>London: Collins.</w:t>
      </w:r>
      <w:r w:rsidR="005A67B3">
        <w:t xml:space="preserve"> 1964) p. 4</w:t>
      </w:r>
      <w:r w:rsidR="00714EE0">
        <w:t>15</w:t>
      </w:r>
    </w:p>
  </w:footnote>
  <w:footnote w:id="27">
    <w:p w14:paraId="624BC6E0" w14:textId="0B62B406" w:rsidR="005F5A45" w:rsidRDefault="005F5A45">
      <w:pPr>
        <w:pStyle w:val="FootnoteText"/>
      </w:pPr>
      <w:r>
        <w:rPr>
          <w:rStyle w:val="FootnoteReference"/>
        </w:rPr>
        <w:footnoteRef/>
      </w:r>
      <w:r>
        <w:t xml:space="preserve"> D. Woodward. </w:t>
      </w:r>
      <w:r>
        <w:rPr>
          <w:i/>
        </w:rPr>
        <w:t xml:space="preserve">Did Lloyd George starve the army? </w:t>
      </w:r>
      <w:r>
        <w:t>(Huntington. The Historical Journal. 1984) p. 241</w:t>
      </w:r>
    </w:p>
  </w:footnote>
  <w:footnote w:id="28">
    <w:p w14:paraId="3E961CFC" w14:textId="0FA60B43" w:rsidR="00A624AE" w:rsidRPr="0099795C" w:rsidRDefault="00A624AE">
      <w:pPr>
        <w:pStyle w:val="FootnoteText"/>
      </w:pPr>
      <w:r>
        <w:rPr>
          <w:rStyle w:val="FootnoteReference"/>
        </w:rPr>
        <w:footnoteRef/>
      </w:r>
      <w:r>
        <w:t xml:space="preserve"> </w:t>
      </w:r>
      <w:r w:rsidR="0099795C">
        <w:t xml:space="preserve">G. Sheffield. </w:t>
      </w:r>
      <w:r w:rsidR="0099795C">
        <w:rPr>
          <w:i/>
        </w:rPr>
        <w:t xml:space="preserve">A Short History of the First World War. </w:t>
      </w:r>
      <w:r w:rsidR="0099795C">
        <w:t>(London. Oneworld Publications. 2014) p. 165</w:t>
      </w:r>
    </w:p>
  </w:footnote>
  <w:footnote w:id="29">
    <w:p w14:paraId="0AB640FB" w14:textId="79E43912" w:rsidR="000B7D83" w:rsidRPr="00A61936" w:rsidRDefault="000B7D83">
      <w:pPr>
        <w:pStyle w:val="FootnoteText"/>
      </w:pPr>
      <w:r>
        <w:rPr>
          <w:rStyle w:val="FootnoteReference"/>
        </w:rPr>
        <w:footnoteRef/>
      </w:r>
      <w:r>
        <w:t xml:space="preserve"> </w:t>
      </w:r>
      <w:r w:rsidR="00D674D6">
        <w:t>J.M</w:t>
      </w:r>
      <w:r w:rsidR="00A61936">
        <w:t xml:space="preserve">. McEwen. </w:t>
      </w:r>
      <w:r w:rsidR="00A61936" w:rsidRPr="00A61936">
        <w:rPr>
          <w:i/>
        </w:rPr>
        <w:t>Northcliffe and Lloyd George at War, 1914-1918</w:t>
      </w:r>
      <w:r w:rsidR="00A61936">
        <w:rPr>
          <w:i/>
        </w:rPr>
        <w:t xml:space="preserve">. </w:t>
      </w:r>
      <w:r w:rsidR="00A61936">
        <w:t>(Cambridge. Cambridge University Press. 1981)</w:t>
      </w:r>
      <w:r w:rsidR="00A549B8">
        <w:t xml:space="preserve"> p. 864</w:t>
      </w:r>
    </w:p>
  </w:footnote>
  <w:footnote w:id="30">
    <w:p w14:paraId="57DA2811" w14:textId="0A6407DD" w:rsidR="0094013F" w:rsidRDefault="0094013F">
      <w:pPr>
        <w:pStyle w:val="FootnoteText"/>
      </w:pPr>
      <w:r>
        <w:rPr>
          <w:rStyle w:val="FootnoteReference"/>
        </w:rPr>
        <w:footnoteRef/>
      </w:r>
      <w:r>
        <w:t xml:space="preserve"> </w:t>
      </w:r>
      <w:r>
        <w:t xml:space="preserve">D. Woodward. </w:t>
      </w:r>
      <w:r>
        <w:rPr>
          <w:i/>
        </w:rPr>
        <w:t xml:space="preserve">Did Lloyd George starve the army? </w:t>
      </w:r>
      <w:r>
        <w:t>(Huntington. The Historical Journal. 1984) p. 241</w:t>
      </w:r>
    </w:p>
  </w:footnote>
  <w:footnote w:id="31">
    <w:p w14:paraId="3A0BE1BF" w14:textId="3871F83B" w:rsidR="00360784" w:rsidRPr="00360784" w:rsidRDefault="00360784">
      <w:pPr>
        <w:pStyle w:val="FootnoteText"/>
      </w:pPr>
      <w:r>
        <w:rPr>
          <w:rStyle w:val="FootnoteReference"/>
        </w:rPr>
        <w:footnoteRef/>
      </w:r>
      <w:r>
        <w:t xml:space="preserve"> P. Clarke. </w:t>
      </w:r>
      <w:r w:rsidRPr="00360784">
        <w:rPr>
          <w:i/>
        </w:rPr>
        <w:t>Hope and Glory</w:t>
      </w:r>
      <w:r>
        <w:rPr>
          <w:i/>
        </w:rPr>
        <w:t xml:space="preserve">. </w:t>
      </w:r>
      <w:r>
        <w:t>(London. Penguin Books. 1996) p.73</w:t>
      </w:r>
    </w:p>
  </w:footnote>
  <w:footnote w:id="32">
    <w:p w14:paraId="16AA4C8C" w14:textId="1C1887BA" w:rsidR="000A25ED" w:rsidRDefault="000A25ED">
      <w:pPr>
        <w:pStyle w:val="FootnoteText"/>
      </w:pPr>
      <w:r>
        <w:rPr>
          <w:rStyle w:val="FootnoteReference"/>
        </w:rPr>
        <w:footnoteRef/>
      </w:r>
      <w:r w:rsidR="005F5A45">
        <w:t xml:space="preserve"> J. Davis. </w:t>
      </w:r>
      <w:r w:rsidR="005F5A45">
        <w:rPr>
          <w:i/>
        </w:rPr>
        <w:t xml:space="preserve">A History of Britain, 1885-1939. </w:t>
      </w:r>
      <w:r w:rsidR="005F5A45">
        <w:t>(London. Macmillan Press LTD. 1999) p. 136</w:t>
      </w:r>
    </w:p>
  </w:footnote>
  <w:footnote w:id="33">
    <w:p w14:paraId="339F91B0" w14:textId="69D5C2AB" w:rsidR="000A25ED" w:rsidRDefault="000A25ED">
      <w:pPr>
        <w:pStyle w:val="FootnoteText"/>
      </w:pPr>
      <w:r>
        <w:rPr>
          <w:rStyle w:val="FootnoteReference"/>
        </w:rPr>
        <w:footnoteRef/>
      </w:r>
      <w:r w:rsidR="000D5C9E">
        <w:t xml:space="preserve">Ibid. </w:t>
      </w:r>
      <w:r>
        <w:t xml:space="preserve"> p. 44</w:t>
      </w:r>
    </w:p>
  </w:footnote>
  <w:footnote w:id="34">
    <w:p w14:paraId="70FBACF7" w14:textId="5EB52961" w:rsidR="00360784" w:rsidRDefault="00360784">
      <w:pPr>
        <w:pStyle w:val="FootnoteText"/>
      </w:pPr>
      <w:r>
        <w:rPr>
          <w:rStyle w:val="FootnoteReference"/>
        </w:rPr>
        <w:footnoteRef/>
      </w:r>
      <w:r>
        <w:t xml:space="preserve"> H. Asquith. </w:t>
      </w:r>
      <w:r>
        <w:rPr>
          <w:i/>
        </w:rPr>
        <w:t xml:space="preserve">Moments of Memory. </w:t>
      </w:r>
      <w:r>
        <w:t>(London. Hamiliton. 1937) p. 194</w:t>
      </w:r>
    </w:p>
  </w:footnote>
  <w:footnote w:id="35">
    <w:p w14:paraId="0BDE874B" w14:textId="3F1BF455" w:rsidR="00A61936" w:rsidRPr="00A61936" w:rsidRDefault="00A61936">
      <w:pPr>
        <w:pStyle w:val="FootnoteText"/>
      </w:pPr>
      <w:r>
        <w:rPr>
          <w:rStyle w:val="FootnoteReference"/>
        </w:rPr>
        <w:footnoteRef/>
      </w:r>
      <w:r>
        <w:t xml:space="preserve"> N. Ferguon. </w:t>
      </w:r>
      <w:r>
        <w:rPr>
          <w:i/>
        </w:rPr>
        <w:t xml:space="preserve">The Pity of War. </w:t>
      </w:r>
      <w:r>
        <w:t>(London. Penguin Books. 1998) p.58</w:t>
      </w:r>
    </w:p>
  </w:footnote>
  <w:footnote w:id="36">
    <w:p w14:paraId="61B5D47E" w14:textId="2A15C56D" w:rsidR="00AA17E4" w:rsidRDefault="00AA17E4">
      <w:pPr>
        <w:pStyle w:val="FootnoteText"/>
      </w:pPr>
      <w:r>
        <w:rPr>
          <w:rStyle w:val="FootnoteReference"/>
        </w:rPr>
        <w:footnoteRef/>
      </w:r>
      <w:r>
        <w:t xml:space="preserve"> H. Asquith. </w:t>
      </w:r>
      <w:r>
        <w:rPr>
          <w:i/>
        </w:rPr>
        <w:t xml:space="preserve">Moments of Memory. </w:t>
      </w:r>
      <w:r>
        <w:t>(London. Hamiliton. 1937) p. 196</w:t>
      </w:r>
    </w:p>
  </w:footnote>
  <w:footnote w:id="37">
    <w:p w14:paraId="391BDAF1" w14:textId="785F693D" w:rsidR="000E649E" w:rsidRDefault="000E649E">
      <w:pPr>
        <w:pStyle w:val="FootnoteText"/>
      </w:pPr>
      <w:r>
        <w:rPr>
          <w:rStyle w:val="FootnoteReference"/>
        </w:rPr>
        <w:footnoteRef/>
      </w:r>
      <w:r>
        <w:t xml:space="preserve"> </w:t>
      </w:r>
      <w:r w:rsidR="00AA17E4">
        <w:t xml:space="preserve">G. Cassar. </w:t>
      </w:r>
      <w:r w:rsidR="00AA17E4">
        <w:rPr>
          <w:i/>
        </w:rPr>
        <w:t>Asquith as War Leader.</w:t>
      </w:r>
      <w:r w:rsidR="00AA17E4">
        <w:t xml:space="preserve"> (London: Hutchinson. 1994) p. 84</w:t>
      </w:r>
    </w:p>
  </w:footnote>
  <w:footnote w:id="38">
    <w:p w14:paraId="5EC821CF" w14:textId="14555D56" w:rsidR="00897DB0" w:rsidRDefault="00897DB0">
      <w:pPr>
        <w:pStyle w:val="FootnoteText"/>
      </w:pPr>
      <w:r>
        <w:rPr>
          <w:rStyle w:val="FootnoteReference"/>
        </w:rPr>
        <w:footnoteRef/>
      </w:r>
      <w:r>
        <w:t xml:space="preserve"> Ibid, p. 44</w:t>
      </w:r>
    </w:p>
  </w:footnote>
  <w:footnote w:id="39">
    <w:p w14:paraId="34081F0D" w14:textId="46EF5D37" w:rsidR="000B7D83" w:rsidRPr="000E649E" w:rsidRDefault="000B7D83">
      <w:pPr>
        <w:pStyle w:val="FootnoteText"/>
      </w:pPr>
      <w:r>
        <w:rPr>
          <w:rStyle w:val="FootnoteReference"/>
        </w:rPr>
        <w:footnoteRef/>
      </w:r>
      <w:r>
        <w:t xml:space="preserve"> </w:t>
      </w:r>
      <w:r w:rsidR="00AA17E4">
        <w:t xml:space="preserve">Ibid </w:t>
      </w:r>
      <w:r w:rsidR="004163A1">
        <w:t>p. 85</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iam Raybould">
    <w15:presenceInfo w15:providerId="Windows Live" w15:userId="5f50940f93f369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D76"/>
    <w:rsid w:val="00010BE3"/>
    <w:rsid w:val="000117F8"/>
    <w:rsid w:val="000255B5"/>
    <w:rsid w:val="00034FE6"/>
    <w:rsid w:val="000A25ED"/>
    <w:rsid w:val="000B1BAF"/>
    <w:rsid w:val="000B7D83"/>
    <w:rsid w:val="000D5C9E"/>
    <w:rsid w:val="000E649E"/>
    <w:rsid w:val="001011A7"/>
    <w:rsid w:val="00116163"/>
    <w:rsid w:val="00137097"/>
    <w:rsid w:val="001464EF"/>
    <w:rsid w:val="00147C0A"/>
    <w:rsid w:val="001631F1"/>
    <w:rsid w:val="00180DCE"/>
    <w:rsid w:val="00193E65"/>
    <w:rsid w:val="001B62A0"/>
    <w:rsid w:val="001B6FE2"/>
    <w:rsid w:val="001D28DB"/>
    <w:rsid w:val="001E1953"/>
    <w:rsid w:val="0021132E"/>
    <w:rsid w:val="00212899"/>
    <w:rsid w:val="0021558F"/>
    <w:rsid w:val="00217F6E"/>
    <w:rsid w:val="00222A1B"/>
    <w:rsid w:val="00223218"/>
    <w:rsid w:val="00240CF8"/>
    <w:rsid w:val="002461CA"/>
    <w:rsid w:val="00264C15"/>
    <w:rsid w:val="002A5BB3"/>
    <w:rsid w:val="002B7111"/>
    <w:rsid w:val="002C0438"/>
    <w:rsid w:val="002C4424"/>
    <w:rsid w:val="002C6F9A"/>
    <w:rsid w:val="002E740D"/>
    <w:rsid w:val="002E7E19"/>
    <w:rsid w:val="00333046"/>
    <w:rsid w:val="003342CF"/>
    <w:rsid w:val="0035063F"/>
    <w:rsid w:val="00352D54"/>
    <w:rsid w:val="00360784"/>
    <w:rsid w:val="003656BA"/>
    <w:rsid w:val="00381792"/>
    <w:rsid w:val="003A0328"/>
    <w:rsid w:val="003A56D0"/>
    <w:rsid w:val="003C272B"/>
    <w:rsid w:val="003D1463"/>
    <w:rsid w:val="004143C1"/>
    <w:rsid w:val="0041466C"/>
    <w:rsid w:val="004163A1"/>
    <w:rsid w:val="00431D1F"/>
    <w:rsid w:val="00435446"/>
    <w:rsid w:val="00436365"/>
    <w:rsid w:val="00437FFD"/>
    <w:rsid w:val="00443F1A"/>
    <w:rsid w:val="0046643D"/>
    <w:rsid w:val="00485010"/>
    <w:rsid w:val="004A37E5"/>
    <w:rsid w:val="004A591B"/>
    <w:rsid w:val="004D39F0"/>
    <w:rsid w:val="004D57A1"/>
    <w:rsid w:val="004E1B28"/>
    <w:rsid w:val="004F0D01"/>
    <w:rsid w:val="004F7759"/>
    <w:rsid w:val="0050281C"/>
    <w:rsid w:val="00502FDD"/>
    <w:rsid w:val="00505D76"/>
    <w:rsid w:val="005065FC"/>
    <w:rsid w:val="005100C3"/>
    <w:rsid w:val="00514723"/>
    <w:rsid w:val="00527EB9"/>
    <w:rsid w:val="00555492"/>
    <w:rsid w:val="005628BE"/>
    <w:rsid w:val="00563302"/>
    <w:rsid w:val="0056579A"/>
    <w:rsid w:val="005704C0"/>
    <w:rsid w:val="00570F42"/>
    <w:rsid w:val="00583A85"/>
    <w:rsid w:val="005A4C11"/>
    <w:rsid w:val="005A67B3"/>
    <w:rsid w:val="005C72C1"/>
    <w:rsid w:val="005D17E9"/>
    <w:rsid w:val="005D78A1"/>
    <w:rsid w:val="005E41E5"/>
    <w:rsid w:val="005F5A45"/>
    <w:rsid w:val="00606D21"/>
    <w:rsid w:val="0062223C"/>
    <w:rsid w:val="0063592D"/>
    <w:rsid w:val="006379ED"/>
    <w:rsid w:val="00652E8D"/>
    <w:rsid w:val="00654A5E"/>
    <w:rsid w:val="00664170"/>
    <w:rsid w:val="00673636"/>
    <w:rsid w:val="006A7BE5"/>
    <w:rsid w:val="006B6C1C"/>
    <w:rsid w:val="006D3F8F"/>
    <w:rsid w:val="006F54EA"/>
    <w:rsid w:val="00714EE0"/>
    <w:rsid w:val="007304FF"/>
    <w:rsid w:val="00747792"/>
    <w:rsid w:val="007512B3"/>
    <w:rsid w:val="007725D9"/>
    <w:rsid w:val="007B22AC"/>
    <w:rsid w:val="007C0B73"/>
    <w:rsid w:val="007C7959"/>
    <w:rsid w:val="007F199B"/>
    <w:rsid w:val="007F7D03"/>
    <w:rsid w:val="00821124"/>
    <w:rsid w:val="008269AC"/>
    <w:rsid w:val="0085084F"/>
    <w:rsid w:val="00857BD7"/>
    <w:rsid w:val="00864946"/>
    <w:rsid w:val="00870CE9"/>
    <w:rsid w:val="008808FA"/>
    <w:rsid w:val="00897DB0"/>
    <w:rsid w:val="008B56C2"/>
    <w:rsid w:val="008C68BB"/>
    <w:rsid w:val="008E3CCB"/>
    <w:rsid w:val="009162F7"/>
    <w:rsid w:val="0094013F"/>
    <w:rsid w:val="00952AE5"/>
    <w:rsid w:val="0095532E"/>
    <w:rsid w:val="00973C1A"/>
    <w:rsid w:val="009928C7"/>
    <w:rsid w:val="0099795C"/>
    <w:rsid w:val="009B2344"/>
    <w:rsid w:val="009B6E07"/>
    <w:rsid w:val="009D52AA"/>
    <w:rsid w:val="00A2403D"/>
    <w:rsid w:val="00A35512"/>
    <w:rsid w:val="00A35CCB"/>
    <w:rsid w:val="00A53A40"/>
    <w:rsid w:val="00A549B8"/>
    <w:rsid w:val="00A61936"/>
    <w:rsid w:val="00A624AE"/>
    <w:rsid w:val="00A9270C"/>
    <w:rsid w:val="00AA17E4"/>
    <w:rsid w:val="00AA676F"/>
    <w:rsid w:val="00AC5A35"/>
    <w:rsid w:val="00AC774A"/>
    <w:rsid w:val="00AE0083"/>
    <w:rsid w:val="00AE7D92"/>
    <w:rsid w:val="00AF20E2"/>
    <w:rsid w:val="00AF5B35"/>
    <w:rsid w:val="00B02315"/>
    <w:rsid w:val="00B167B5"/>
    <w:rsid w:val="00B2668C"/>
    <w:rsid w:val="00B560E2"/>
    <w:rsid w:val="00B61802"/>
    <w:rsid w:val="00B86DE7"/>
    <w:rsid w:val="00BB03C4"/>
    <w:rsid w:val="00BB5AF1"/>
    <w:rsid w:val="00BD3C94"/>
    <w:rsid w:val="00BF37A1"/>
    <w:rsid w:val="00BF3E6A"/>
    <w:rsid w:val="00BF59CE"/>
    <w:rsid w:val="00C119F2"/>
    <w:rsid w:val="00C32501"/>
    <w:rsid w:val="00C37B63"/>
    <w:rsid w:val="00C444FC"/>
    <w:rsid w:val="00C52380"/>
    <w:rsid w:val="00C62CA6"/>
    <w:rsid w:val="00C751C2"/>
    <w:rsid w:val="00C84B8D"/>
    <w:rsid w:val="00CA027D"/>
    <w:rsid w:val="00CA68DF"/>
    <w:rsid w:val="00CA7C05"/>
    <w:rsid w:val="00CC551B"/>
    <w:rsid w:val="00CD23C5"/>
    <w:rsid w:val="00CF5258"/>
    <w:rsid w:val="00D06992"/>
    <w:rsid w:val="00D121DE"/>
    <w:rsid w:val="00D165C5"/>
    <w:rsid w:val="00D20716"/>
    <w:rsid w:val="00D5226E"/>
    <w:rsid w:val="00D55AA6"/>
    <w:rsid w:val="00D6520E"/>
    <w:rsid w:val="00D674D6"/>
    <w:rsid w:val="00D7131E"/>
    <w:rsid w:val="00D96637"/>
    <w:rsid w:val="00DA1A74"/>
    <w:rsid w:val="00DB73AE"/>
    <w:rsid w:val="00DC65EB"/>
    <w:rsid w:val="00DE4A5D"/>
    <w:rsid w:val="00E30257"/>
    <w:rsid w:val="00E33C69"/>
    <w:rsid w:val="00E75884"/>
    <w:rsid w:val="00E7613F"/>
    <w:rsid w:val="00E86411"/>
    <w:rsid w:val="00EA0E44"/>
    <w:rsid w:val="00EF4A35"/>
    <w:rsid w:val="00F0351C"/>
    <w:rsid w:val="00F11253"/>
    <w:rsid w:val="00F1690B"/>
    <w:rsid w:val="00F25CC0"/>
    <w:rsid w:val="00F34E0E"/>
    <w:rsid w:val="00F428AF"/>
    <w:rsid w:val="00F46BD2"/>
    <w:rsid w:val="00F61855"/>
    <w:rsid w:val="00F63521"/>
    <w:rsid w:val="00F669FB"/>
    <w:rsid w:val="00F70793"/>
    <w:rsid w:val="00F7088E"/>
    <w:rsid w:val="00F8404A"/>
    <w:rsid w:val="00FB2EAC"/>
    <w:rsid w:val="00FD1601"/>
    <w:rsid w:val="00FD408E"/>
    <w:rsid w:val="00FD4143"/>
    <w:rsid w:val="00FE088D"/>
    <w:rsid w:val="00FE5670"/>
    <w:rsid w:val="2F3DF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1EAA8D"/>
  <w15:chartTrackingRefBased/>
  <w15:docId w15:val="{A29DE9DA-024D-4536-B6CF-508383A69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5D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B2EAC"/>
    <w:rPr>
      <w:sz w:val="16"/>
      <w:szCs w:val="16"/>
    </w:rPr>
  </w:style>
  <w:style w:type="paragraph" w:styleId="CommentText">
    <w:name w:val="annotation text"/>
    <w:basedOn w:val="Normal"/>
    <w:link w:val="CommentTextChar"/>
    <w:uiPriority w:val="99"/>
    <w:semiHidden/>
    <w:unhideWhenUsed/>
    <w:rsid w:val="00FB2EAC"/>
    <w:pPr>
      <w:spacing w:line="240" w:lineRule="auto"/>
    </w:pPr>
    <w:rPr>
      <w:sz w:val="20"/>
      <w:szCs w:val="20"/>
    </w:rPr>
  </w:style>
  <w:style w:type="character" w:customStyle="1" w:styleId="CommentTextChar">
    <w:name w:val="Comment Text Char"/>
    <w:basedOn w:val="DefaultParagraphFont"/>
    <w:link w:val="CommentText"/>
    <w:uiPriority w:val="99"/>
    <w:semiHidden/>
    <w:rsid w:val="00FB2EAC"/>
    <w:rPr>
      <w:sz w:val="20"/>
      <w:szCs w:val="20"/>
    </w:rPr>
  </w:style>
  <w:style w:type="paragraph" w:styleId="CommentSubject">
    <w:name w:val="annotation subject"/>
    <w:basedOn w:val="CommentText"/>
    <w:next w:val="CommentText"/>
    <w:link w:val="CommentSubjectChar"/>
    <w:uiPriority w:val="99"/>
    <w:semiHidden/>
    <w:unhideWhenUsed/>
    <w:rsid w:val="00FB2EAC"/>
    <w:rPr>
      <w:b/>
      <w:bCs/>
    </w:rPr>
  </w:style>
  <w:style w:type="character" w:customStyle="1" w:styleId="CommentSubjectChar">
    <w:name w:val="Comment Subject Char"/>
    <w:basedOn w:val="CommentTextChar"/>
    <w:link w:val="CommentSubject"/>
    <w:uiPriority w:val="99"/>
    <w:semiHidden/>
    <w:rsid w:val="00FB2EAC"/>
    <w:rPr>
      <w:b/>
      <w:bCs/>
      <w:sz w:val="20"/>
      <w:szCs w:val="20"/>
    </w:rPr>
  </w:style>
  <w:style w:type="paragraph" w:styleId="BalloonText">
    <w:name w:val="Balloon Text"/>
    <w:basedOn w:val="Normal"/>
    <w:link w:val="BalloonTextChar"/>
    <w:uiPriority w:val="99"/>
    <w:semiHidden/>
    <w:unhideWhenUsed/>
    <w:rsid w:val="00FB2E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2EAC"/>
    <w:rPr>
      <w:rFonts w:ascii="Segoe UI" w:hAnsi="Segoe UI" w:cs="Segoe UI"/>
      <w:sz w:val="18"/>
      <w:szCs w:val="18"/>
    </w:rPr>
  </w:style>
  <w:style w:type="paragraph" w:styleId="Revision">
    <w:name w:val="Revision"/>
    <w:hidden/>
    <w:uiPriority w:val="99"/>
    <w:semiHidden/>
    <w:rsid w:val="00FB2EAC"/>
    <w:pPr>
      <w:spacing w:after="0" w:line="240" w:lineRule="auto"/>
    </w:pPr>
  </w:style>
  <w:style w:type="paragraph" w:styleId="FootnoteText">
    <w:name w:val="footnote text"/>
    <w:basedOn w:val="Normal"/>
    <w:link w:val="FootnoteTextChar"/>
    <w:uiPriority w:val="99"/>
    <w:semiHidden/>
    <w:unhideWhenUsed/>
    <w:rsid w:val="00E864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6411"/>
    <w:rPr>
      <w:sz w:val="20"/>
      <w:szCs w:val="20"/>
    </w:rPr>
  </w:style>
  <w:style w:type="character" w:styleId="FootnoteReference">
    <w:name w:val="footnote reference"/>
    <w:basedOn w:val="DefaultParagraphFont"/>
    <w:uiPriority w:val="99"/>
    <w:semiHidden/>
    <w:unhideWhenUsed/>
    <w:rsid w:val="00E864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04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813D60-760F-49E1-9E97-D692EE01B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3292</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cp:lastModifiedBy>
  <cp:revision>2</cp:revision>
  <dcterms:created xsi:type="dcterms:W3CDTF">2018-01-09T15:02:00Z</dcterms:created>
  <dcterms:modified xsi:type="dcterms:W3CDTF">2018-01-09T15:02:00Z</dcterms:modified>
</cp:coreProperties>
</file>