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511BEE" w14:textId="10C2BB9C" w:rsidR="00B14E48" w:rsidRDefault="00B14E48" w:rsidP="00B14E48">
      <w:pPr>
        <w:pStyle w:val="Header"/>
        <w:jc w:val="center"/>
        <w:rPr>
          <w:rFonts w:asciiTheme="majorHAnsi" w:hAnsiTheme="majorHAnsi"/>
          <w:b/>
          <w:sz w:val="28"/>
        </w:rPr>
      </w:pPr>
      <w:r w:rsidRPr="00B14E48">
        <w:rPr>
          <w:rFonts w:asciiTheme="majorHAnsi" w:hAnsiTheme="majorHAnsi"/>
          <w:b/>
          <w:sz w:val="28"/>
        </w:rPr>
        <w:t>ACTIVITY -</w:t>
      </w:r>
      <w:r w:rsidRPr="00B14E48">
        <w:rPr>
          <w:i/>
          <w:sz w:val="28"/>
        </w:rPr>
        <w:t xml:space="preserve"> </w:t>
      </w:r>
      <w:r w:rsidR="002458E8">
        <w:rPr>
          <w:rFonts w:asciiTheme="majorHAnsi" w:hAnsiTheme="majorHAnsi"/>
          <w:b/>
          <w:sz w:val="28"/>
        </w:rPr>
        <w:t xml:space="preserve">Showing critical writing in your work </w:t>
      </w:r>
    </w:p>
    <w:p w14:paraId="297FB9A4" w14:textId="5ED50C98" w:rsidR="00B14E48" w:rsidRPr="00112100" w:rsidRDefault="00B14E48" w:rsidP="00B14E48">
      <w:pPr>
        <w:pStyle w:val="Header"/>
        <w:jc w:val="center"/>
        <w:rPr>
          <w:rFonts w:asciiTheme="majorHAnsi" w:hAnsiTheme="majorHAnsi" w:cstheme="majorHAnsi"/>
          <w:b/>
        </w:rPr>
      </w:pPr>
      <w:r w:rsidRPr="009177D0">
        <w:rPr>
          <w:rFonts w:asciiTheme="majorHAnsi" w:hAnsiTheme="majorHAnsi" w:cstheme="majorHAnsi"/>
          <w:b/>
          <w:sz w:val="20"/>
        </w:rPr>
        <w:t xml:space="preserve">(adapted </w:t>
      </w:r>
      <w:r>
        <w:rPr>
          <w:rFonts w:asciiTheme="majorHAnsi" w:hAnsiTheme="majorHAnsi" w:cstheme="majorHAnsi"/>
          <w:b/>
          <w:sz w:val="20"/>
        </w:rPr>
        <w:t xml:space="preserve">from Barrow, C., and Westrup, R. </w:t>
      </w:r>
      <w:r w:rsidRPr="009177D0">
        <w:rPr>
          <w:rFonts w:asciiTheme="majorHAnsi" w:hAnsiTheme="majorHAnsi" w:cstheme="majorHAnsi"/>
          <w:b/>
          <w:sz w:val="20"/>
        </w:rPr>
        <w:t>2019)</w:t>
      </w:r>
    </w:p>
    <w:p w14:paraId="04F31280" w14:textId="77777777" w:rsidR="004E19AC" w:rsidRPr="00916589" w:rsidRDefault="004E19AC" w:rsidP="004E19AC">
      <w:pPr>
        <w:jc w:val="both"/>
        <w:rPr>
          <w:rFonts w:asciiTheme="majorHAnsi" w:hAnsiTheme="majorHAnsi"/>
          <w:b/>
          <w:sz w:val="28"/>
        </w:rPr>
      </w:pPr>
    </w:p>
    <w:p w14:paraId="77025F79" w14:textId="19A3F883" w:rsidR="00916589" w:rsidRDefault="00916589" w:rsidP="004E19AC">
      <w:pPr>
        <w:jc w:val="both"/>
        <w:rPr>
          <w:i/>
        </w:rPr>
      </w:pPr>
    </w:p>
    <w:tbl>
      <w:tblPr>
        <w:tblStyle w:val="TableGrid"/>
        <w:tblW w:w="0" w:type="auto"/>
        <w:tblLook w:val="04A0" w:firstRow="1" w:lastRow="0" w:firstColumn="1" w:lastColumn="0" w:noHBand="0" w:noVBand="1"/>
      </w:tblPr>
      <w:tblGrid>
        <w:gridCol w:w="8966"/>
      </w:tblGrid>
      <w:tr w:rsidR="004E19AC" w14:paraId="153E8D71" w14:textId="77777777" w:rsidTr="004E19AC">
        <w:tc>
          <w:tcPr>
            <w:tcW w:w="9016" w:type="dxa"/>
            <w:tcBorders>
              <w:top w:val="single" w:sz="24" w:space="0" w:color="auto"/>
              <w:left w:val="single" w:sz="24" w:space="0" w:color="auto"/>
              <w:bottom w:val="single" w:sz="24" w:space="0" w:color="auto"/>
              <w:right w:val="single" w:sz="24" w:space="0" w:color="auto"/>
            </w:tcBorders>
          </w:tcPr>
          <w:p w14:paraId="31158B63" w14:textId="77777777" w:rsidR="004E19AC" w:rsidRDefault="004E19AC" w:rsidP="004E19AC">
            <w:pPr>
              <w:jc w:val="both"/>
            </w:pPr>
            <w:r w:rsidRPr="004E19AC">
              <w:rPr>
                <w:b/>
              </w:rPr>
              <w:t>Source 1</w:t>
            </w:r>
            <w:r>
              <w:t>: Crowley, C., Hallam, S., Harre, R. and Lunt, I. (2003)’Peer support for people with same-sex attraction’, in Nind, M., Sheehy, K. and Simmons, K. (eds) Inclusive Education: Learners and Learning Contexts. London: David Fulton Publishers.</w:t>
            </w:r>
          </w:p>
          <w:p w14:paraId="22911422" w14:textId="77777777" w:rsidR="004E19AC" w:rsidRDefault="004E19AC" w:rsidP="004E19AC">
            <w:pPr>
              <w:jc w:val="both"/>
            </w:pPr>
          </w:p>
          <w:p w14:paraId="32BE148D" w14:textId="77777777" w:rsidR="004E19AC" w:rsidRDefault="004E19AC" w:rsidP="004E19AC">
            <w:pPr>
              <w:jc w:val="both"/>
              <w:rPr>
                <w:i/>
              </w:rPr>
            </w:pPr>
            <w:r w:rsidRPr="004E19AC">
              <w:rPr>
                <w:i/>
              </w:rPr>
              <w:t>This chapter recounts the findings of research carried out with a small number of 15 to 16 year old pupils in the late 1990s in Manchester- hence it is fair to say this is now a somewhat dated perspective. Through interviews with the young people, researchers found that insults, isolation, fear and prejudice were all common experiences which caused a great deal of distress and pressure throughout schooling. Consequently, all agreed that there had been a severe impact upon their education as they were inclined to attend less, and there were difficult times communicating with the school and trying to get support – some even moved schools. The research then looked at their experiences of a Peer Su</w:t>
            </w:r>
            <w:r>
              <w:rPr>
                <w:i/>
              </w:rPr>
              <w:t>p</w:t>
            </w:r>
            <w:r w:rsidRPr="004E19AC">
              <w:rPr>
                <w:i/>
              </w:rPr>
              <w:t>port Project and found that their involvements with this had been positive, creating a safe space for them to access study support and helping them to cope at school.</w:t>
            </w:r>
          </w:p>
          <w:p w14:paraId="4127218A" w14:textId="77777777" w:rsidR="004E19AC" w:rsidRDefault="004E19AC" w:rsidP="004E19AC">
            <w:pPr>
              <w:jc w:val="both"/>
              <w:rPr>
                <w:i/>
              </w:rPr>
            </w:pPr>
          </w:p>
        </w:tc>
      </w:tr>
    </w:tbl>
    <w:p w14:paraId="1BC4E785" w14:textId="77777777" w:rsidR="004E19AC" w:rsidRDefault="004E19AC" w:rsidP="004E19AC">
      <w:pPr>
        <w:jc w:val="both"/>
        <w:rPr>
          <w:i/>
        </w:rPr>
      </w:pPr>
    </w:p>
    <w:tbl>
      <w:tblPr>
        <w:tblStyle w:val="TableGrid"/>
        <w:tblW w:w="0" w:type="auto"/>
        <w:tblLook w:val="04A0" w:firstRow="1" w:lastRow="0" w:firstColumn="1" w:lastColumn="0" w:noHBand="0" w:noVBand="1"/>
      </w:tblPr>
      <w:tblGrid>
        <w:gridCol w:w="8966"/>
      </w:tblGrid>
      <w:tr w:rsidR="004E19AC" w14:paraId="4EC48FE8" w14:textId="77777777" w:rsidTr="00676D91">
        <w:tc>
          <w:tcPr>
            <w:tcW w:w="9016" w:type="dxa"/>
            <w:tcBorders>
              <w:top w:val="single" w:sz="24" w:space="0" w:color="auto"/>
              <w:left w:val="single" w:sz="24" w:space="0" w:color="auto"/>
              <w:bottom w:val="single" w:sz="24" w:space="0" w:color="auto"/>
              <w:right w:val="single" w:sz="24" w:space="0" w:color="auto"/>
            </w:tcBorders>
          </w:tcPr>
          <w:p w14:paraId="6BF28705" w14:textId="77777777" w:rsidR="004E19AC" w:rsidRDefault="004E19AC" w:rsidP="00676D91">
            <w:pPr>
              <w:jc w:val="both"/>
            </w:pPr>
            <w:r w:rsidRPr="004E19AC">
              <w:rPr>
                <w:b/>
              </w:rPr>
              <w:t>Source 2</w:t>
            </w:r>
            <w:r>
              <w:t>: Rivers, I and Cowie, H. (2006) ‘Bullying and homophobia in UK schools: A perspective on factors affecting resilience and recovery.’, Journal of Gay &amp; Lesbian Issues in Education, Vol. 3, NO. 4, p11-43</w:t>
            </w:r>
          </w:p>
          <w:p w14:paraId="5232C360" w14:textId="77777777" w:rsidR="004E19AC" w:rsidRDefault="004E19AC" w:rsidP="00676D91">
            <w:pPr>
              <w:jc w:val="both"/>
            </w:pPr>
          </w:p>
          <w:p w14:paraId="007E1DC2" w14:textId="77777777" w:rsidR="004E19AC" w:rsidRDefault="004E19AC" w:rsidP="00676D91">
            <w:pPr>
              <w:jc w:val="both"/>
              <w:rPr>
                <w:i/>
              </w:rPr>
            </w:pPr>
            <w:r>
              <w:rPr>
                <w:i/>
              </w:rPr>
              <w:t>This journal article reports on the findings of a three year study with people who were victimized in their school days due to their sexuality. Early on in the article, the authors review what has already been writ</w:t>
            </w:r>
            <w:r w:rsidR="00E06EE2">
              <w:rPr>
                <w:i/>
              </w:rPr>
              <w:t>ten in this area and refer to</w:t>
            </w:r>
            <w:r>
              <w:rPr>
                <w:i/>
              </w:rPr>
              <w:t xml:space="preserve"> a number of studies that have previously identified homophobic</w:t>
            </w:r>
            <w:r w:rsidR="00E06EE2">
              <w:rPr>
                <w:i/>
              </w:rPr>
              <w:t xml:space="preserve"> bullying in the UK, so it is clear that this is not a new problem. By gathering data through two questionnaires and interviews, the researchers found that individuals had consistently experiences bullying over many years throughout their education, most frequently name calling, but also physical abuse, fear, isolation and even sexual assault. They also concluded that the kind of social support offered at school (if any) had been important and ‘acted as a buffer’ (Rivers and Cowie, 2006, p.33)</w:t>
            </w:r>
          </w:p>
          <w:p w14:paraId="014853D4" w14:textId="77777777" w:rsidR="00E06EE2" w:rsidRPr="004E19AC" w:rsidRDefault="00E06EE2" w:rsidP="00676D91">
            <w:pPr>
              <w:jc w:val="both"/>
              <w:rPr>
                <w:i/>
              </w:rPr>
            </w:pPr>
          </w:p>
        </w:tc>
      </w:tr>
    </w:tbl>
    <w:p w14:paraId="65D19CD8" w14:textId="77777777" w:rsidR="004E19AC" w:rsidRDefault="004E19AC" w:rsidP="004E19AC">
      <w:pPr>
        <w:jc w:val="both"/>
        <w:rPr>
          <w:i/>
        </w:rPr>
      </w:pPr>
    </w:p>
    <w:p w14:paraId="357AE8BB" w14:textId="77777777" w:rsidR="00067649" w:rsidRDefault="00067649" w:rsidP="004E19AC">
      <w:pPr>
        <w:jc w:val="both"/>
        <w:rPr>
          <w:i/>
        </w:rPr>
      </w:pPr>
    </w:p>
    <w:p w14:paraId="473F14BE" w14:textId="77777777" w:rsidR="00067649" w:rsidRDefault="00067649" w:rsidP="004E19AC">
      <w:pPr>
        <w:jc w:val="both"/>
        <w:rPr>
          <w:i/>
        </w:rPr>
      </w:pPr>
    </w:p>
    <w:p w14:paraId="5A0B8973" w14:textId="77777777" w:rsidR="00067649" w:rsidRDefault="00067649" w:rsidP="004E19AC">
      <w:pPr>
        <w:jc w:val="both"/>
        <w:rPr>
          <w:i/>
        </w:rPr>
      </w:pPr>
    </w:p>
    <w:p w14:paraId="07A4E51C" w14:textId="77777777" w:rsidR="00067649" w:rsidRDefault="00067649" w:rsidP="004E19AC">
      <w:pPr>
        <w:jc w:val="both"/>
        <w:rPr>
          <w:i/>
        </w:rPr>
      </w:pPr>
    </w:p>
    <w:p w14:paraId="5BF61EF7" w14:textId="77777777" w:rsidR="00067649" w:rsidRDefault="00067649" w:rsidP="004E19AC">
      <w:pPr>
        <w:jc w:val="both"/>
        <w:rPr>
          <w:i/>
        </w:rPr>
      </w:pPr>
    </w:p>
    <w:p w14:paraId="0C0EC1A0" w14:textId="77777777" w:rsidR="00067649" w:rsidRDefault="00067649" w:rsidP="004E19AC">
      <w:pPr>
        <w:jc w:val="both"/>
        <w:rPr>
          <w:i/>
        </w:rPr>
      </w:pPr>
    </w:p>
    <w:p w14:paraId="2D26CD13" w14:textId="77777777" w:rsidR="00067649" w:rsidRDefault="00067649" w:rsidP="004E19AC">
      <w:pPr>
        <w:jc w:val="both"/>
        <w:rPr>
          <w:i/>
        </w:rPr>
      </w:pPr>
    </w:p>
    <w:p w14:paraId="7EBC4707" w14:textId="77777777" w:rsidR="00B14E48" w:rsidRDefault="00B14E48" w:rsidP="004E19AC">
      <w:pPr>
        <w:jc w:val="both"/>
        <w:rPr>
          <w:b/>
        </w:rPr>
      </w:pPr>
    </w:p>
    <w:p w14:paraId="4AE93D7D" w14:textId="23C2AEE5" w:rsidR="00067649" w:rsidRDefault="00067649" w:rsidP="004E19AC">
      <w:pPr>
        <w:jc w:val="both"/>
        <w:rPr>
          <w:b/>
        </w:rPr>
      </w:pPr>
      <w:bookmarkStart w:id="0" w:name="_GoBack"/>
      <w:bookmarkEnd w:id="0"/>
      <w:r>
        <w:rPr>
          <w:b/>
        </w:rPr>
        <w:lastRenderedPageBreak/>
        <w:t>Student Discussion</w:t>
      </w:r>
    </w:p>
    <w:p w14:paraId="70E8B661" w14:textId="77777777" w:rsidR="00067649" w:rsidRDefault="00067649" w:rsidP="004E19AC">
      <w:pPr>
        <w:jc w:val="both"/>
      </w:pPr>
      <w:r>
        <w:t xml:space="preserve">These two studies both supply convincing evidence that people who identify as gay or lesbian experience discrimination in their schooling, despite their very different approaches. Crowley et al’s study was of a small scale but in-depth nature which gathered qualitative data (interviews) about experiences that had occurred relatively recently for the participants. In contrast, Rivers and Cowie’s participants were aged 16-66, and so many were reporting on experiences from several decades ago, and this should be taken into account as social attitudes and awareness towards sexuality are ever-changing. It was also a much larger scale study, with 190 participants. </w:t>
      </w:r>
    </w:p>
    <w:p w14:paraId="2AA99C81" w14:textId="77777777" w:rsidR="00067649" w:rsidRDefault="00067649" w:rsidP="004E19AC">
      <w:pPr>
        <w:jc w:val="both"/>
      </w:pPr>
      <w:r>
        <w:t>Both studies identified some common negative experiences of bullying, verbal and physical, as a result of having a different sexuality. Insults, name calling, fear of walking home alone and being beaten up were all experienced by one pupil in Crowley et al’s study who said that ‘All the grief I get is sexually oriented’ (2003, p.117). Participants in Rivers and Cowie’s study also identified these experiences, but added that they had also been subjected to having their belongings stolen and even sexual assault.</w:t>
      </w:r>
    </w:p>
    <w:p w14:paraId="47E5BEAE" w14:textId="77777777" w:rsidR="00067649" w:rsidRDefault="00067649" w:rsidP="004E19AC">
      <w:pPr>
        <w:jc w:val="both"/>
      </w:pPr>
      <w:r>
        <w:t xml:space="preserve">The consequences of such victimization at school were found to have a lasting impact in both studies. </w:t>
      </w:r>
      <w:r w:rsidR="00916589">
        <w:t xml:space="preserve">Rivers and Cowie found that fifty-three per cent of pupils said they had self-harmed as a result of the bullying (2006, p.25), and that seventeen per cent displayed symptoms of Post-Traumatic Stress Disorder, a psychological condition that according to De Bellis (2001) can have a significant impact upon linguistic, social, behavioural and cognitive skills. This is demonstrated through the experience of Mark, a participant in Crowley et al’s study, who recalls being in class once when the teacher left, and other pupils quickly starting to taunt him. As a result of this he says, ‘…totally switched off and went into my own little world and didn’t come out of it again till 3.30 when the bell rang’ (2003, p.180). This lack of engagement at school then progressed to him truanting and missing nearly half of school across one term. </w:t>
      </w:r>
    </w:p>
    <w:p w14:paraId="53D0ED6E" w14:textId="77777777" w:rsidR="00916589" w:rsidRDefault="00916589" w:rsidP="004E19AC">
      <w:pPr>
        <w:jc w:val="both"/>
      </w:pPr>
      <w:r>
        <w:t xml:space="preserve">Discrimination on the grounds of sexuality is illegal and this was incorporated into the Equality Act (2010). However legislation cannot govern behaviour, and so schools should consider wheat they can do to try and tackle this, just as they have been trying to do with regard to racism since the 1990s. </w:t>
      </w:r>
    </w:p>
    <w:p w14:paraId="11317519" w14:textId="77777777" w:rsidR="00916589" w:rsidRDefault="00916589" w:rsidP="004E19AC">
      <w:pPr>
        <w:jc w:val="both"/>
      </w:pPr>
    </w:p>
    <w:p w14:paraId="3165F548" w14:textId="77777777" w:rsidR="00916589" w:rsidRPr="00916589" w:rsidRDefault="00916589" w:rsidP="004E19AC">
      <w:pPr>
        <w:jc w:val="both"/>
        <w:rPr>
          <w:b/>
        </w:rPr>
      </w:pPr>
      <w:r w:rsidRPr="00916589">
        <w:rPr>
          <w:b/>
        </w:rPr>
        <w:t>Activity</w:t>
      </w:r>
    </w:p>
    <w:p w14:paraId="2F7FA3A6" w14:textId="77777777" w:rsidR="00916589" w:rsidRDefault="00916589" w:rsidP="004E19AC">
      <w:pPr>
        <w:jc w:val="both"/>
      </w:pPr>
      <w:r>
        <w:t>Read through the text again and try to consider where the work demonstrates evidence of critical thinking:</w:t>
      </w:r>
    </w:p>
    <w:p w14:paraId="4EB5DEA3" w14:textId="77777777" w:rsidR="00916589" w:rsidRDefault="00916589" w:rsidP="00916589">
      <w:pPr>
        <w:pStyle w:val="ListParagraph"/>
        <w:numPr>
          <w:ilvl w:val="0"/>
          <w:numId w:val="1"/>
        </w:numPr>
        <w:jc w:val="both"/>
      </w:pPr>
      <w:r>
        <w:t>Can you identify where the writer is making any judgements or decisions about particular issues or points under consideration? Do you feel these judgements have been reached through sufficient consideration and comparison of both sources?</w:t>
      </w:r>
    </w:p>
    <w:p w14:paraId="322AEA0F" w14:textId="77777777" w:rsidR="00916589" w:rsidRDefault="00916589" w:rsidP="00916589">
      <w:pPr>
        <w:pStyle w:val="ListParagraph"/>
        <w:numPr>
          <w:ilvl w:val="0"/>
          <w:numId w:val="1"/>
        </w:numPr>
        <w:jc w:val="both"/>
      </w:pPr>
      <w:r>
        <w:t>Are there clear lines of reasoning? That is, can you see where the writer’s thinking, logic and rationale for the points they’re making are apparent?</w:t>
      </w:r>
    </w:p>
    <w:p w14:paraId="336208EF" w14:textId="77777777" w:rsidR="00916589" w:rsidRDefault="00916589" w:rsidP="00916589">
      <w:pPr>
        <w:pStyle w:val="ListParagraph"/>
        <w:numPr>
          <w:ilvl w:val="0"/>
          <w:numId w:val="1"/>
        </w:numPr>
        <w:jc w:val="both"/>
      </w:pPr>
      <w:r>
        <w:t>Is there evidence (in addition to the two sources being compared) supplied to support claims that are made? Is the kind of evidence used appropriate and sufficient?</w:t>
      </w:r>
    </w:p>
    <w:p w14:paraId="52FD773D" w14:textId="77777777" w:rsidR="00916589" w:rsidRDefault="00916589" w:rsidP="00916589">
      <w:pPr>
        <w:pStyle w:val="ListParagraph"/>
        <w:numPr>
          <w:ilvl w:val="0"/>
          <w:numId w:val="1"/>
        </w:numPr>
        <w:jc w:val="both"/>
      </w:pPr>
      <w:r>
        <w:t>Is there evidence of a questioning approach, where it is apparent that the writer is being sceptical or analytical?</w:t>
      </w:r>
    </w:p>
    <w:p w14:paraId="60D444C3" w14:textId="77777777" w:rsidR="00916589" w:rsidRPr="00067649" w:rsidRDefault="00916589" w:rsidP="00916589">
      <w:pPr>
        <w:pStyle w:val="ListParagraph"/>
        <w:numPr>
          <w:ilvl w:val="0"/>
          <w:numId w:val="1"/>
        </w:numPr>
        <w:jc w:val="both"/>
      </w:pPr>
      <w:r>
        <w:t>Lastly, can you identify ways in which it might be improved in order to demonstrate more critical thinking?</w:t>
      </w:r>
    </w:p>
    <w:sectPr w:rsidR="00916589" w:rsidRPr="000676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4D555CA"/>
    <w:multiLevelType w:val="hybridMultilevel"/>
    <w:tmpl w:val="225C8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19AC"/>
    <w:rsid w:val="00067649"/>
    <w:rsid w:val="000769B0"/>
    <w:rsid w:val="002458E8"/>
    <w:rsid w:val="002560C9"/>
    <w:rsid w:val="00275036"/>
    <w:rsid w:val="004E19AC"/>
    <w:rsid w:val="005208A7"/>
    <w:rsid w:val="005B79F0"/>
    <w:rsid w:val="006A3E88"/>
    <w:rsid w:val="00763771"/>
    <w:rsid w:val="00785F4C"/>
    <w:rsid w:val="007E4355"/>
    <w:rsid w:val="00916589"/>
    <w:rsid w:val="00922A16"/>
    <w:rsid w:val="00B14E48"/>
    <w:rsid w:val="00B87C8B"/>
    <w:rsid w:val="00C54E87"/>
    <w:rsid w:val="00D13858"/>
    <w:rsid w:val="00D4375C"/>
    <w:rsid w:val="00E06EE2"/>
    <w:rsid w:val="00E16510"/>
    <w:rsid w:val="00E74285"/>
    <w:rsid w:val="00E97070"/>
    <w:rsid w:val="00FE5C1F"/>
    <w:rsid w:val="00FF4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41375"/>
  <w15:chartTrackingRefBased/>
  <w15:docId w15:val="{90281BFD-C3AF-4ADD-98AB-4B57522F5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19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1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16589"/>
    <w:pPr>
      <w:ind w:left="720"/>
      <w:contextualSpacing/>
    </w:pPr>
  </w:style>
  <w:style w:type="paragraph" w:styleId="Header">
    <w:name w:val="header"/>
    <w:basedOn w:val="Normal"/>
    <w:link w:val="HeaderChar"/>
    <w:uiPriority w:val="99"/>
    <w:unhideWhenUsed/>
    <w:rsid w:val="00B14E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5E044E-1475-48A8-882C-A6D722F081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D7B2E4-C75E-4835-9DB0-488F46067D8F}">
  <ds:schemaRefs>
    <ds:schemaRef ds:uri="http://schemas.microsoft.com/sharepoint/v3/contenttype/forms"/>
  </ds:schemaRefs>
</ds:datastoreItem>
</file>

<file path=customXml/itemProps3.xml><?xml version="1.0" encoding="utf-8"?>
<ds:datastoreItem xmlns:ds="http://schemas.openxmlformats.org/officeDocument/2006/customXml" ds:itemID="{EF09C0EB-6E6B-4739-A11F-73233C7042A5}">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a3276f14-397d-4ed7-b8c7-ece791485ff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Pages>
  <Words>834</Words>
  <Characters>4758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Caroline Lewis</cp:lastModifiedBy>
  <cp:revision>2</cp:revision>
  <dcterms:created xsi:type="dcterms:W3CDTF">2019-10-17T10:03:00Z</dcterms:created>
  <dcterms:modified xsi:type="dcterms:W3CDTF">2019-10-17T10:59:00Z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