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A5D1C7" w14:textId="77777777" w:rsidR="00923CC5" w:rsidRDefault="00A12A87">
      <w:r>
        <w:rPr>
          <w:noProof/>
        </w:rPr>
        <w:drawing>
          <wp:inline distT="0" distB="0" distL="0" distR="0" wp14:anchorId="37A5D1C7" wp14:editId="37A5D1C8">
            <wp:extent cx="2939695" cy="1341680"/>
            <wp:effectExtent l="0" t="0" r="0" b="0"/>
            <wp:docPr id="161296808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939695" cy="1341680"/>
                    </a:xfrm>
                    <a:prstGeom prst="rect">
                      <a:avLst/>
                    </a:prstGeom>
                    <a:noFill/>
                    <a:ln>
                      <a:noFill/>
                      <a:prstDash/>
                    </a:ln>
                  </pic:spPr>
                </pic:pic>
              </a:graphicData>
            </a:graphic>
          </wp:inline>
        </w:drawing>
      </w:r>
    </w:p>
    <w:p w14:paraId="37A5D1C8" w14:textId="77777777" w:rsidR="00923CC5" w:rsidRDefault="00923CC5"/>
    <w:p w14:paraId="37A5D1C9" w14:textId="77777777" w:rsidR="00923CC5" w:rsidRDefault="00A12A87">
      <w:pPr>
        <w:jc w:val="center"/>
        <w:rPr>
          <w:rFonts w:ascii="Arial" w:hAnsi="Arial" w:cs="Arial"/>
          <w:b/>
          <w:bCs/>
          <w:sz w:val="40"/>
          <w:szCs w:val="40"/>
        </w:rPr>
      </w:pPr>
      <w:r>
        <w:rPr>
          <w:rFonts w:ascii="Arial" w:hAnsi="Arial" w:cs="Arial"/>
          <w:b/>
          <w:bCs/>
          <w:sz w:val="40"/>
          <w:szCs w:val="40"/>
        </w:rPr>
        <w:t>BMHP6029-Psychopathological Classifications and Provisions</w:t>
      </w:r>
    </w:p>
    <w:p w14:paraId="37A5D1CA" w14:textId="77777777" w:rsidR="00923CC5" w:rsidRDefault="00923CC5">
      <w:pPr>
        <w:jc w:val="center"/>
        <w:rPr>
          <w:rFonts w:ascii="Arial" w:hAnsi="Arial" w:cs="Arial"/>
          <w:b/>
          <w:bCs/>
          <w:sz w:val="40"/>
          <w:szCs w:val="40"/>
        </w:rPr>
      </w:pPr>
    </w:p>
    <w:p w14:paraId="37A5D1CB" w14:textId="77777777" w:rsidR="00923CC5" w:rsidRDefault="00A12A87">
      <w:pPr>
        <w:jc w:val="center"/>
        <w:rPr>
          <w:rFonts w:ascii="Arial" w:hAnsi="Arial" w:cs="Arial"/>
          <w:b/>
          <w:bCs/>
          <w:sz w:val="40"/>
          <w:szCs w:val="40"/>
        </w:rPr>
      </w:pPr>
      <w:r>
        <w:rPr>
          <w:rFonts w:ascii="Arial" w:hAnsi="Arial" w:cs="Arial"/>
          <w:b/>
          <w:bCs/>
          <w:sz w:val="40"/>
          <w:szCs w:val="40"/>
        </w:rPr>
        <w:t>Post-Traumatic Stress Disorder (PTSD)</w:t>
      </w:r>
    </w:p>
    <w:p w14:paraId="37A5D1CC" w14:textId="77777777" w:rsidR="00923CC5" w:rsidRDefault="00923CC5">
      <w:pPr>
        <w:rPr>
          <w:rFonts w:ascii="Arial" w:hAnsi="Arial" w:cs="Arial"/>
          <w:b/>
          <w:bCs/>
        </w:rPr>
      </w:pPr>
    </w:p>
    <w:p w14:paraId="37A5D1CD" w14:textId="77777777" w:rsidR="00923CC5" w:rsidRDefault="00A12A87">
      <w:pPr>
        <w:jc w:val="center"/>
      </w:pPr>
      <w:r>
        <w:rPr>
          <w:rFonts w:ascii="Arial" w:hAnsi="Arial" w:cs="Arial"/>
          <w:b/>
          <w:bCs/>
          <w:noProof/>
        </w:rPr>
        <w:drawing>
          <wp:inline distT="0" distB="0" distL="0" distR="0" wp14:anchorId="37A5D1C9" wp14:editId="37A5D1CA">
            <wp:extent cx="5556159" cy="2606771"/>
            <wp:effectExtent l="0" t="0" r="6441" b="3079"/>
            <wp:docPr id="700114577"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556159" cy="2606771"/>
                    </a:xfrm>
                    <a:prstGeom prst="rect">
                      <a:avLst/>
                    </a:prstGeom>
                    <a:noFill/>
                    <a:ln>
                      <a:noFill/>
                      <a:prstDash/>
                    </a:ln>
                  </pic:spPr>
                </pic:pic>
              </a:graphicData>
            </a:graphic>
          </wp:inline>
        </w:drawing>
      </w:r>
    </w:p>
    <w:p w14:paraId="37A5D1CE" w14:textId="77777777" w:rsidR="00923CC5" w:rsidRDefault="00923CC5">
      <w:pPr>
        <w:rPr>
          <w:rFonts w:ascii="Arial" w:hAnsi="Arial" w:cs="Arial"/>
          <w:b/>
          <w:bCs/>
        </w:rPr>
      </w:pPr>
    </w:p>
    <w:p w14:paraId="37A5D1CF" w14:textId="77777777" w:rsidR="00923CC5" w:rsidRDefault="00923CC5">
      <w:pPr>
        <w:rPr>
          <w:rFonts w:ascii="Arial" w:hAnsi="Arial" w:cs="Arial"/>
          <w:b/>
          <w:bCs/>
          <w:sz w:val="36"/>
          <w:szCs w:val="36"/>
        </w:rPr>
      </w:pPr>
    </w:p>
    <w:p w14:paraId="37A5D1D0" w14:textId="77777777" w:rsidR="00923CC5" w:rsidRDefault="00A12A87">
      <w:pPr>
        <w:rPr>
          <w:rFonts w:ascii="Arial" w:hAnsi="Arial" w:cs="Arial"/>
          <w:b/>
          <w:bCs/>
          <w:sz w:val="36"/>
          <w:szCs w:val="36"/>
        </w:rPr>
      </w:pPr>
      <w:r>
        <w:rPr>
          <w:rFonts w:ascii="Arial" w:hAnsi="Arial" w:cs="Arial"/>
          <w:b/>
          <w:bCs/>
          <w:sz w:val="36"/>
          <w:szCs w:val="36"/>
        </w:rPr>
        <w:t xml:space="preserve">Component 2: Written Assignment (Report) </w:t>
      </w:r>
    </w:p>
    <w:p w14:paraId="37A5D1D1" w14:textId="147244AB" w:rsidR="00923CC5" w:rsidRDefault="00A12A87">
      <w:pPr>
        <w:rPr>
          <w:rFonts w:ascii="Arial" w:hAnsi="Arial" w:cs="Arial"/>
          <w:b/>
          <w:bCs/>
          <w:sz w:val="36"/>
          <w:szCs w:val="36"/>
        </w:rPr>
      </w:pPr>
      <w:r>
        <w:rPr>
          <w:rFonts w:ascii="Arial" w:hAnsi="Arial" w:cs="Arial"/>
          <w:b/>
          <w:bCs/>
          <w:sz w:val="36"/>
          <w:szCs w:val="36"/>
        </w:rPr>
        <w:t>Student name:  Carla</w:t>
      </w:r>
      <w:r w:rsidR="00BC4D2C">
        <w:rPr>
          <w:rFonts w:ascii="Arial" w:hAnsi="Arial" w:cs="Arial"/>
          <w:b/>
          <w:bCs/>
          <w:sz w:val="36"/>
          <w:szCs w:val="36"/>
        </w:rPr>
        <w:t xml:space="preserve"> Suzana</w:t>
      </w:r>
      <w:r>
        <w:rPr>
          <w:rFonts w:ascii="Arial" w:hAnsi="Arial" w:cs="Arial"/>
          <w:b/>
          <w:bCs/>
          <w:sz w:val="36"/>
          <w:szCs w:val="36"/>
        </w:rPr>
        <w:t xml:space="preserve"> Cardoso</w:t>
      </w:r>
    </w:p>
    <w:p w14:paraId="37A5D1D2" w14:textId="52273DE5" w:rsidR="00923CC5" w:rsidRDefault="00A12A87">
      <w:pPr>
        <w:rPr>
          <w:rFonts w:ascii="Arial" w:hAnsi="Arial" w:cs="Arial"/>
          <w:b/>
          <w:bCs/>
          <w:sz w:val="36"/>
          <w:szCs w:val="36"/>
        </w:rPr>
      </w:pPr>
      <w:r>
        <w:rPr>
          <w:rFonts w:ascii="Arial" w:hAnsi="Arial" w:cs="Arial"/>
          <w:b/>
          <w:bCs/>
          <w:sz w:val="36"/>
          <w:szCs w:val="36"/>
        </w:rPr>
        <w:t>Student numbe</w:t>
      </w:r>
      <w:r w:rsidR="00BC4D2C">
        <w:rPr>
          <w:rFonts w:ascii="Arial" w:hAnsi="Arial" w:cs="Arial"/>
          <w:b/>
          <w:bCs/>
          <w:sz w:val="36"/>
          <w:szCs w:val="36"/>
        </w:rPr>
        <w:t>r</w:t>
      </w:r>
      <w:r>
        <w:rPr>
          <w:rFonts w:ascii="Arial" w:hAnsi="Arial" w:cs="Arial"/>
          <w:b/>
          <w:bCs/>
          <w:sz w:val="36"/>
          <w:szCs w:val="36"/>
        </w:rPr>
        <w:t>:</w:t>
      </w:r>
      <w:r w:rsidR="00BC4D2C">
        <w:rPr>
          <w:rFonts w:ascii="Arial" w:hAnsi="Arial" w:cs="Arial"/>
          <w:b/>
          <w:bCs/>
          <w:sz w:val="36"/>
          <w:szCs w:val="36"/>
        </w:rPr>
        <w:t xml:space="preserve"> </w:t>
      </w:r>
      <w:r>
        <w:rPr>
          <w:rFonts w:ascii="Arial" w:hAnsi="Arial" w:cs="Arial"/>
          <w:b/>
          <w:bCs/>
          <w:sz w:val="36"/>
          <w:szCs w:val="36"/>
        </w:rPr>
        <w:t xml:space="preserve">1818222 </w:t>
      </w:r>
    </w:p>
    <w:p w14:paraId="37A5D1D3" w14:textId="77777777" w:rsidR="00923CC5" w:rsidRDefault="00A12A87">
      <w:pPr>
        <w:rPr>
          <w:rFonts w:ascii="Arial" w:hAnsi="Arial" w:cs="Arial"/>
          <w:b/>
          <w:bCs/>
          <w:sz w:val="36"/>
          <w:szCs w:val="36"/>
        </w:rPr>
      </w:pPr>
      <w:r>
        <w:rPr>
          <w:rFonts w:ascii="Arial" w:hAnsi="Arial" w:cs="Arial"/>
          <w:b/>
          <w:bCs/>
          <w:sz w:val="36"/>
          <w:szCs w:val="36"/>
        </w:rPr>
        <w:t>Lecturer’s name: Bianca Sanfilippo</w:t>
      </w:r>
    </w:p>
    <w:p w14:paraId="37A5D1D4" w14:textId="4403557A" w:rsidR="00923CC5" w:rsidRDefault="00A12A87">
      <w:pPr>
        <w:rPr>
          <w:rFonts w:ascii="Arial" w:hAnsi="Arial" w:cs="Arial"/>
          <w:b/>
          <w:bCs/>
          <w:sz w:val="36"/>
          <w:szCs w:val="36"/>
        </w:rPr>
      </w:pPr>
      <w:r>
        <w:rPr>
          <w:rFonts w:ascii="Arial" w:hAnsi="Arial" w:cs="Arial"/>
          <w:b/>
          <w:bCs/>
          <w:sz w:val="36"/>
          <w:szCs w:val="36"/>
        </w:rPr>
        <w:t xml:space="preserve">Submission deadline: 24th April 2026 14:00 </w:t>
      </w:r>
    </w:p>
    <w:p w14:paraId="37A5D1D6" w14:textId="77777777" w:rsidR="00923CC5" w:rsidRDefault="00923CC5">
      <w:pPr>
        <w:rPr>
          <w:rFonts w:ascii="Arial" w:hAnsi="Arial" w:cs="Arial"/>
        </w:rPr>
      </w:pPr>
    </w:p>
    <w:p w14:paraId="37A5D1D7" w14:textId="77777777" w:rsidR="00923CC5" w:rsidRDefault="00923CC5">
      <w:pPr>
        <w:rPr>
          <w:rFonts w:ascii="Arial" w:hAnsi="Arial" w:cs="Arial"/>
          <w:b/>
          <w:bCs/>
        </w:rPr>
      </w:pPr>
    </w:p>
    <w:sdt>
      <w:sdtPr>
        <w:rPr>
          <w:rFonts w:ascii="Aptos" w:eastAsia="Aptos" w:hAnsi="Aptos" w:cs="Times New Roman"/>
          <w:color w:val="auto"/>
          <w:sz w:val="22"/>
          <w:szCs w:val="22"/>
          <w:lang w:val="en-GB"/>
        </w:rPr>
        <w:id w:val="1671444731"/>
        <w:docPartObj>
          <w:docPartGallery w:val="Table of Contents"/>
          <w:docPartUnique/>
        </w:docPartObj>
      </w:sdtPr>
      <w:sdtEndPr>
        <w:rPr>
          <w:b/>
          <w:bCs/>
          <w:noProof/>
        </w:rPr>
      </w:sdtEndPr>
      <w:sdtContent>
        <w:p w14:paraId="45EE37AA" w14:textId="27D2769D" w:rsidR="00157CC7" w:rsidRDefault="00157CC7">
          <w:pPr>
            <w:pStyle w:val="TOCHeading"/>
          </w:pPr>
          <w:r>
            <w:t>Table of Contents</w:t>
          </w:r>
        </w:p>
        <w:p w14:paraId="39AA6B6A" w14:textId="130B5737" w:rsidR="00F2503F" w:rsidRDefault="00157CC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7442129" w:history="1">
            <w:r w:rsidR="00F2503F" w:rsidRPr="00F259F6">
              <w:rPr>
                <w:rStyle w:val="Hyperlink"/>
                <w:rFonts w:ascii="Arial" w:hAnsi="Arial" w:cs="Arial"/>
                <w:noProof/>
              </w:rPr>
              <w:t>Introduction</w:t>
            </w:r>
            <w:r w:rsidR="00F2503F">
              <w:rPr>
                <w:noProof/>
                <w:webHidden/>
              </w:rPr>
              <w:tab/>
            </w:r>
            <w:r w:rsidR="00F2503F">
              <w:rPr>
                <w:noProof/>
                <w:webHidden/>
              </w:rPr>
              <w:fldChar w:fldCharType="begin"/>
            </w:r>
            <w:r w:rsidR="00F2503F">
              <w:rPr>
                <w:noProof/>
                <w:webHidden/>
              </w:rPr>
              <w:instrText xml:space="preserve"> PAGEREF _Toc227442129 \h </w:instrText>
            </w:r>
            <w:r w:rsidR="00F2503F">
              <w:rPr>
                <w:noProof/>
                <w:webHidden/>
              </w:rPr>
            </w:r>
            <w:r w:rsidR="00F2503F">
              <w:rPr>
                <w:noProof/>
                <w:webHidden/>
              </w:rPr>
              <w:fldChar w:fldCharType="separate"/>
            </w:r>
            <w:r w:rsidR="00F2503F">
              <w:rPr>
                <w:noProof/>
                <w:webHidden/>
              </w:rPr>
              <w:t>3</w:t>
            </w:r>
            <w:r w:rsidR="00F2503F">
              <w:rPr>
                <w:noProof/>
                <w:webHidden/>
              </w:rPr>
              <w:fldChar w:fldCharType="end"/>
            </w:r>
          </w:hyperlink>
        </w:p>
        <w:p w14:paraId="59E79653" w14:textId="4A79CC7A" w:rsidR="00F2503F" w:rsidRDefault="00F2503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7442130" w:history="1">
            <w:r w:rsidRPr="00F259F6">
              <w:rPr>
                <w:rStyle w:val="Hyperlink"/>
                <w:rFonts w:ascii="Arial" w:hAnsi="Arial" w:cs="Arial"/>
                <w:noProof/>
              </w:rPr>
              <w:t>2. Classification and Diagnosis</w:t>
            </w:r>
            <w:r>
              <w:rPr>
                <w:noProof/>
                <w:webHidden/>
              </w:rPr>
              <w:tab/>
            </w:r>
            <w:r>
              <w:rPr>
                <w:noProof/>
                <w:webHidden/>
              </w:rPr>
              <w:fldChar w:fldCharType="begin"/>
            </w:r>
            <w:r>
              <w:rPr>
                <w:noProof/>
                <w:webHidden/>
              </w:rPr>
              <w:instrText xml:space="preserve"> PAGEREF _Toc227442130 \h </w:instrText>
            </w:r>
            <w:r>
              <w:rPr>
                <w:noProof/>
                <w:webHidden/>
              </w:rPr>
            </w:r>
            <w:r>
              <w:rPr>
                <w:noProof/>
                <w:webHidden/>
              </w:rPr>
              <w:fldChar w:fldCharType="separate"/>
            </w:r>
            <w:r>
              <w:rPr>
                <w:noProof/>
                <w:webHidden/>
              </w:rPr>
              <w:t>4</w:t>
            </w:r>
            <w:r>
              <w:rPr>
                <w:noProof/>
                <w:webHidden/>
              </w:rPr>
              <w:fldChar w:fldCharType="end"/>
            </w:r>
          </w:hyperlink>
        </w:p>
        <w:p w14:paraId="247EDFAC" w14:textId="2D46E118" w:rsidR="00F2503F" w:rsidRDefault="00F2503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7442131" w:history="1">
            <w:r w:rsidRPr="00F259F6">
              <w:rPr>
                <w:rStyle w:val="Hyperlink"/>
                <w:rFonts w:ascii="Arial" w:hAnsi="Arial" w:cs="Arial"/>
                <w:noProof/>
              </w:rPr>
              <w:t>3. Treatment and Rehabilitation</w:t>
            </w:r>
            <w:r>
              <w:rPr>
                <w:noProof/>
                <w:webHidden/>
              </w:rPr>
              <w:tab/>
            </w:r>
            <w:r>
              <w:rPr>
                <w:noProof/>
                <w:webHidden/>
              </w:rPr>
              <w:fldChar w:fldCharType="begin"/>
            </w:r>
            <w:r>
              <w:rPr>
                <w:noProof/>
                <w:webHidden/>
              </w:rPr>
              <w:instrText xml:space="preserve"> PAGEREF _Toc227442131 \h </w:instrText>
            </w:r>
            <w:r>
              <w:rPr>
                <w:noProof/>
                <w:webHidden/>
              </w:rPr>
            </w:r>
            <w:r>
              <w:rPr>
                <w:noProof/>
                <w:webHidden/>
              </w:rPr>
              <w:fldChar w:fldCharType="separate"/>
            </w:r>
            <w:r>
              <w:rPr>
                <w:noProof/>
                <w:webHidden/>
              </w:rPr>
              <w:t>5</w:t>
            </w:r>
            <w:r>
              <w:rPr>
                <w:noProof/>
                <w:webHidden/>
              </w:rPr>
              <w:fldChar w:fldCharType="end"/>
            </w:r>
          </w:hyperlink>
        </w:p>
        <w:p w14:paraId="32578414" w14:textId="1F58834E" w:rsidR="00F2503F" w:rsidRDefault="00F2503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7442132" w:history="1">
            <w:r w:rsidRPr="00F259F6">
              <w:rPr>
                <w:rStyle w:val="Hyperlink"/>
                <w:rFonts w:ascii="Arial" w:hAnsi="Arial" w:cs="Arial"/>
                <w:noProof/>
              </w:rPr>
              <w:t>4. Effectiveness and Limitations of Treatment Approaches</w:t>
            </w:r>
            <w:r>
              <w:rPr>
                <w:noProof/>
                <w:webHidden/>
              </w:rPr>
              <w:tab/>
            </w:r>
            <w:r>
              <w:rPr>
                <w:noProof/>
                <w:webHidden/>
              </w:rPr>
              <w:fldChar w:fldCharType="begin"/>
            </w:r>
            <w:r>
              <w:rPr>
                <w:noProof/>
                <w:webHidden/>
              </w:rPr>
              <w:instrText xml:space="preserve"> PAGEREF _Toc227442132 \h </w:instrText>
            </w:r>
            <w:r>
              <w:rPr>
                <w:noProof/>
                <w:webHidden/>
              </w:rPr>
            </w:r>
            <w:r>
              <w:rPr>
                <w:noProof/>
                <w:webHidden/>
              </w:rPr>
              <w:fldChar w:fldCharType="separate"/>
            </w:r>
            <w:r>
              <w:rPr>
                <w:noProof/>
                <w:webHidden/>
              </w:rPr>
              <w:t>7</w:t>
            </w:r>
            <w:r>
              <w:rPr>
                <w:noProof/>
                <w:webHidden/>
              </w:rPr>
              <w:fldChar w:fldCharType="end"/>
            </w:r>
          </w:hyperlink>
        </w:p>
        <w:p w14:paraId="6272CEC0" w14:textId="48CC773C" w:rsidR="00F2503F" w:rsidRDefault="00F2503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7442133" w:history="1">
            <w:r w:rsidRPr="00F259F6">
              <w:rPr>
                <w:rStyle w:val="Hyperlink"/>
                <w:rFonts w:ascii="Arial" w:hAnsi="Arial" w:cs="Arial"/>
                <w:noProof/>
              </w:rPr>
              <w:t>5. Current Debates and Emerging Issues</w:t>
            </w:r>
            <w:r>
              <w:rPr>
                <w:noProof/>
                <w:webHidden/>
              </w:rPr>
              <w:tab/>
            </w:r>
            <w:r>
              <w:rPr>
                <w:noProof/>
                <w:webHidden/>
              </w:rPr>
              <w:fldChar w:fldCharType="begin"/>
            </w:r>
            <w:r>
              <w:rPr>
                <w:noProof/>
                <w:webHidden/>
              </w:rPr>
              <w:instrText xml:space="preserve"> PAGEREF _Toc227442133 \h </w:instrText>
            </w:r>
            <w:r>
              <w:rPr>
                <w:noProof/>
                <w:webHidden/>
              </w:rPr>
            </w:r>
            <w:r>
              <w:rPr>
                <w:noProof/>
                <w:webHidden/>
              </w:rPr>
              <w:fldChar w:fldCharType="separate"/>
            </w:r>
            <w:r>
              <w:rPr>
                <w:noProof/>
                <w:webHidden/>
              </w:rPr>
              <w:t>8</w:t>
            </w:r>
            <w:r>
              <w:rPr>
                <w:noProof/>
                <w:webHidden/>
              </w:rPr>
              <w:fldChar w:fldCharType="end"/>
            </w:r>
          </w:hyperlink>
        </w:p>
        <w:p w14:paraId="697293A2" w14:textId="181D4977" w:rsidR="00F2503F" w:rsidRDefault="00F2503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7442134" w:history="1">
            <w:r w:rsidRPr="00F259F6">
              <w:rPr>
                <w:rStyle w:val="Hyperlink"/>
                <w:rFonts w:ascii="Arial" w:hAnsi="Arial" w:cs="Arial"/>
                <w:noProof/>
              </w:rPr>
              <w:t>6. Recommendations</w:t>
            </w:r>
            <w:r>
              <w:rPr>
                <w:noProof/>
                <w:webHidden/>
              </w:rPr>
              <w:tab/>
            </w:r>
            <w:r>
              <w:rPr>
                <w:noProof/>
                <w:webHidden/>
              </w:rPr>
              <w:fldChar w:fldCharType="begin"/>
            </w:r>
            <w:r>
              <w:rPr>
                <w:noProof/>
                <w:webHidden/>
              </w:rPr>
              <w:instrText xml:space="preserve"> PAGEREF _Toc227442134 \h </w:instrText>
            </w:r>
            <w:r>
              <w:rPr>
                <w:noProof/>
                <w:webHidden/>
              </w:rPr>
            </w:r>
            <w:r>
              <w:rPr>
                <w:noProof/>
                <w:webHidden/>
              </w:rPr>
              <w:fldChar w:fldCharType="separate"/>
            </w:r>
            <w:r>
              <w:rPr>
                <w:noProof/>
                <w:webHidden/>
              </w:rPr>
              <w:t>9</w:t>
            </w:r>
            <w:r>
              <w:rPr>
                <w:noProof/>
                <w:webHidden/>
              </w:rPr>
              <w:fldChar w:fldCharType="end"/>
            </w:r>
          </w:hyperlink>
        </w:p>
        <w:p w14:paraId="6B969FAA" w14:textId="01A9120F" w:rsidR="00F2503F" w:rsidRDefault="00F2503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7442135" w:history="1">
            <w:r w:rsidRPr="00F259F6">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_Toc227442135 \h </w:instrText>
            </w:r>
            <w:r>
              <w:rPr>
                <w:noProof/>
                <w:webHidden/>
              </w:rPr>
            </w:r>
            <w:r>
              <w:rPr>
                <w:noProof/>
                <w:webHidden/>
              </w:rPr>
              <w:fldChar w:fldCharType="separate"/>
            </w:r>
            <w:r>
              <w:rPr>
                <w:noProof/>
                <w:webHidden/>
              </w:rPr>
              <w:t>11</w:t>
            </w:r>
            <w:r>
              <w:rPr>
                <w:noProof/>
                <w:webHidden/>
              </w:rPr>
              <w:fldChar w:fldCharType="end"/>
            </w:r>
          </w:hyperlink>
        </w:p>
        <w:p w14:paraId="0C783998" w14:textId="37736C2D" w:rsidR="00F2503F" w:rsidRDefault="00F2503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7442136" w:history="1">
            <w:r w:rsidRPr="00F259F6">
              <w:rPr>
                <w:rStyle w:val="Hyperlink"/>
                <w:rFonts w:ascii="Arial" w:hAnsi="Arial" w:cs="Arial"/>
                <w:noProof/>
              </w:rPr>
              <w:t>Reference</w:t>
            </w:r>
            <w:r>
              <w:rPr>
                <w:noProof/>
                <w:webHidden/>
              </w:rPr>
              <w:tab/>
            </w:r>
            <w:r>
              <w:rPr>
                <w:noProof/>
                <w:webHidden/>
              </w:rPr>
              <w:fldChar w:fldCharType="begin"/>
            </w:r>
            <w:r>
              <w:rPr>
                <w:noProof/>
                <w:webHidden/>
              </w:rPr>
              <w:instrText xml:space="preserve"> PAGEREF _Toc227442136 \h </w:instrText>
            </w:r>
            <w:r>
              <w:rPr>
                <w:noProof/>
                <w:webHidden/>
              </w:rPr>
            </w:r>
            <w:r>
              <w:rPr>
                <w:noProof/>
                <w:webHidden/>
              </w:rPr>
              <w:fldChar w:fldCharType="separate"/>
            </w:r>
            <w:r>
              <w:rPr>
                <w:noProof/>
                <w:webHidden/>
              </w:rPr>
              <w:t>12</w:t>
            </w:r>
            <w:r>
              <w:rPr>
                <w:noProof/>
                <w:webHidden/>
              </w:rPr>
              <w:fldChar w:fldCharType="end"/>
            </w:r>
          </w:hyperlink>
        </w:p>
        <w:p w14:paraId="5EDA5723" w14:textId="7B462101" w:rsidR="00157CC7" w:rsidRDefault="00157CC7">
          <w:r>
            <w:rPr>
              <w:b/>
              <w:bCs/>
              <w:noProof/>
            </w:rPr>
            <w:fldChar w:fldCharType="end"/>
          </w:r>
        </w:p>
      </w:sdtContent>
    </w:sdt>
    <w:p w14:paraId="37A5D1D8" w14:textId="77777777" w:rsidR="00923CC5" w:rsidRDefault="00923CC5"/>
    <w:p w14:paraId="37A5D1D9" w14:textId="77777777" w:rsidR="00923CC5" w:rsidRDefault="00923CC5"/>
    <w:p w14:paraId="37A5D1DA" w14:textId="77777777" w:rsidR="00923CC5" w:rsidRDefault="00923CC5"/>
    <w:p w14:paraId="37A5D1DB" w14:textId="77777777" w:rsidR="00923CC5" w:rsidRDefault="00923CC5"/>
    <w:p w14:paraId="37A5D1DC" w14:textId="77777777" w:rsidR="00923CC5" w:rsidRDefault="00923CC5"/>
    <w:p w14:paraId="37A5D1DD" w14:textId="77777777" w:rsidR="00923CC5" w:rsidRDefault="00923CC5"/>
    <w:p w14:paraId="37A5D1DE" w14:textId="77777777" w:rsidR="00923CC5" w:rsidRDefault="00923CC5"/>
    <w:p w14:paraId="37A5D1DF" w14:textId="77777777" w:rsidR="00923CC5" w:rsidRDefault="00923CC5"/>
    <w:p w14:paraId="37A5D1E0" w14:textId="77777777" w:rsidR="00923CC5" w:rsidRDefault="00923CC5"/>
    <w:p w14:paraId="37A5D1E1" w14:textId="77777777" w:rsidR="00923CC5" w:rsidRDefault="00923CC5"/>
    <w:p w14:paraId="37A5D1E2" w14:textId="77777777" w:rsidR="00923CC5" w:rsidRDefault="00923CC5"/>
    <w:p w14:paraId="37A5D1E3" w14:textId="77777777" w:rsidR="00923CC5" w:rsidRDefault="00923CC5"/>
    <w:p w14:paraId="37A5D1E4" w14:textId="77777777" w:rsidR="00923CC5" w:rsidRDefault="00923CC5"/>
    <w:p w14:paraId="37A5D1E5" w14:textId="77777777" w:rsidR="00923CC5" w:rsidRDefault="00923CC5"/>
    <w:p w14:paraId="37A5D1E6" w14:textId="77777777" w:rsidR="00923CC5" w:rsidRDefault="00923CC5"/>
    <w:p w14:paraId="37A5D1E7" w14:textId="77777777" w:rsidR="00923CC5" w:rsidRDefault="00923CC5"/>
    <w:p w14:paraId="37A5D1E8" w14:textId="77777777" w:rsidR="00923CC5" w:rsidRDefault="00923CC5"/>
    <w:p w14:paraId="37A5D1E9" w14:textId="77777777" w:rsidR="00923CC5" w:rsidRDefault="00923CC5"/>
    <w:p w14:paraId="37A5D1EA" w14:textId="77777777" w:rsidR="00923CC5" w:rsidRDefault="00923CC5"/>
    <w:p w14:paraId="37A5D1F3" w14:textId="77777777" w:rsidR="00923CC5" w:rsidRDefault="00923CC5"/>
    <w:p w14:paraId="37A5D1F5" w14:textId="2A2C3656" w:rsidR="00923CC5" w:rsidRDefault="00A12A87" w:rsidP="00157CC7">
      <w:pPr>
        <w:pStyle w:val="Heading1"/>
        <w:rPr>
          <w:rFonts w:ascii="Arial" w:hAnsi="Arial" w:cs="Arial"/>
          <w:sz w:val="28"/>
          <w:szCs w:val="28"/>
        </w:rPr>
      </w:pPr>
      <w:bookmarkStart w:id="0" w:name="_Toc227442129"/>
      <w:r w:rsidRPr="00157CC7">
        <w:rPr>
          <w:rFonts w:ascii="Arial" w:hAnsi="Arial" w:cs="Arial"/>
          <w:sz w:val="28"/>
          <w:szCs w:val="28"/>
        </w:rPr>
        <w:lastRenderedPageBreak/>
        <w:t>Introduction</w:t>
      </w:r>
      <w:bookmarkEnd w:id="0"/>
      <w:r w:rsidRPr="00157CC7">
        <w:rPr>
          <w:rFonts w:ascii="Arial" w:hAnsi="Arial" w:cs="Arial"/>
          <w:sz w:val="28"/>
          <w:szCs w:val="28"/>
        </w:rPr>
        <w:t xml:space="preserve"> </w:t>
      </w:r>
    </w:p>
    <w:p w14:paraId="4BBF17D5" w14:textId="77777777" w:rsidR="00157CC7" w:rsidRPr="00157CC7" w:rsidRDefault="00157CC7" w:rsidP="00157CC7"/>
    <w:p w14:paraId="49A0706C" w14:textId="66577309" w:rsidR="005A776F" w:rsidRDefault="00823216">
      <w:pPr>
        <w:spacing w:line="360" w:lineRule="auto"/>
        <w:jc w:val="both"/>
        <w:rPr>
          <w:rFonts w:ascii="Arial" w:hAnsi="Arial" w:cs="Arial"/>
        </w:rPr>
      </w:pPr>
      <w:r w:rsidRPr="00823216">
        <w:rPr>
          <w:rFonts w:ascii="Arial" w:hAnsi="Arial" w:cs="Arial"/>
        </w:rPr>
        <w:t>Post-Traumatic Stress Disorder (PTSD) is a mental health condition that can arise after exposure to traumatic experiences such as violence, abuse, accidents or life-threatening situations (World Health Organization, 2019).</w:t>
      </w:r>
      <w:r w:rsidR="005A776F" w:rsidRPr="005A776F">
        <w:rPr>
          <w:rFonts w:ascii="Arial" w:hAnsi="Arial" w:cs="Arial"/>
        </w:rPr>
        <w:t xml:space="preserve"> It is classified within the International Classification of Diseases, 11th Revision (ICD-11), under “Disorders Specifically Associated with Stress” (code 6B40), reflecting a structured and medicalised framework used to diagnose trauma-related responses (World Health Organization, 2019; Brewin et al., 2017).</w:t>
      </w:r>
    </w:p>
    <w:p w14:paraId="1AD26F64" w14:textId="27EFDC72" w:rsidR="00CF213E" w:rsidRPr="00CF213E" w:rsidRDefault="00CF213E" w:rsidP="00CF213E">
      <w:pPr>
        <w:spacing w:line="360" w:lineRule="auto"/>
        <w:jc w:val="both"/>
        <w:rPr>
          <w:rFonts w:ascii="Arial" w:hAnsi="Arial" w:cs="Arial"/>
        </w:rPr>
      </w:pPr>
      <w:r w:rsidRPr="00CF213E">
        <w:rPr>
          <w:rFonts w:ascii="Arial" w:hAnsi="Arial" w:cs="Arial"/>
        </w:rPr>
        <w:t xml:space="preserve">Post-Traumatic Stress Disorder (PTSD) affects a significant proportion of the population, with prevalence varying across regions and demographic groups. In the United Kingdom, approximately </w:t>
      </w:r>
      <w:r w:rsidRPr="00CF213E">
        <w:rPr>
          <w:rFonts w:ascii="Arial" w:hAnsi="Arial" w:cs="Arial"/>
          <w:b/>
          <w:bCs/>
        </w:rPr>
        <w:t>4% of individuals are currently living with PTSD, with up to 1 in 10 people experiencing the condition at some point in their lives</w:t>
      </w:r>
      <w:r w:rsidRPr="00CF213E">
        <w:rPr>
          <w:rFonts w:ascii="Arial" w:hAnsi="Arial" w:cs="Arial"/>
        </w:rPr>
        <w:t xml:space="preserve">, highlighting its relevance as a public health concern (National Health Service, 2023). Globally, lifetime prevalence is estimated at around </w:t>
      </w:r>
      <w:r w:rsidRPr="00CF213E">
        <w:rPr>
          <w:rFonts w:ascii="Arial" w:hAnsi="Arial" w:cs="Arial"/>
          <w:b/>
          <w:bCs/>
        </w:rPr>
        <w:t>3.9%</w:t>
      </w:r>
      <w:r w:rsidRPr="00CF213E">
        <w:rPr>
          <w:rFonts w:ascii="Arial" w:hAnsi="Arial" w:cs="Arial"/>
        </w:rPr>
        <w:t>, increasing among those exposed to traumatic events (World Health Organization, 2021; Koenen et al., 2017). Although exposure to trauma is common worldwide, not all individuals develop PTSD, suggesting the influence of additional social and environmental factors (Koenen et al., 2017).</w:t>
      </w:r>
    </w:p>
    <w:p w14:paraId="233D2DD1" w14:textId="1A9CC8AA" w:rsidR="00CF213E" w:rsidRDefault="00CF213E">
      <w:pPr>
        <w:spacing w:line="360" w:lineRule="auto"/>
        <w:jc w:val="both"/>
        <w:rPr>
          <w:rFonts w:ascii="Arial" w:hAnsi="Arial" w:cs="Arial"/>
        </w:rPr>
      </w:pPr>
      <w:r w:rsidRPr="00CF213E">
        <w:rPr>
          <w:rFonts w:ascii="Arial" w:hAnsi="Arial" w:cs="Arial"/>
        </w:rPr>
        <w:t xml:space="preserve">Notably, gender differences are consistently observed, with women being approximately </w:t>
      </w:r>
      <w:r w:rsidRPr="00CF213E">
        <w:rPr>
          <w:rFonts w:ascii="Arial" w:hAnsi="Arial" w:cs="Arial"/>
          <w:b/>
          <w:bCs/>
        </w:rPr>
        <w:t>twice as likely as men to develop PTSD</w:t>
      </w:r>
      <w:r w:rsidRPr="00CF213E">
        <w:rPr>
          <w:rFonts w:ascii="Arial" w:hAnsi="Arial" w:cs="Arial"/>
        </w:rPr>
        <w:t>, often linked to higher exposure to interpersonal and gender-based violence (Brewin et al., 2017; World Health Organization, 2021). These epidemiological patterns indicate that PTSD is not only a clinical condition but also a socially influenced phenomenon, shaped by broader inequalities and contextual factors.</w:t>
      </w:r>
      <w:r w:rsidR="005A776F">
        <w:rPr>
          <w:rFonts w:ascii="Arial" w:hAnsi="Arial" w:cs="Arial"/>
        </w:rPr>
        <w:t xml:space="preserve"> </w:t>
      </w:r>
      <w:r w:rsidRPr="00CF213E">
        <w:rPr>
          <w:rFonts w:ascii="Arial" w:hAnsi="Arial" w:cs="Arial"/>
        </w:rPr>
        <w:t xml:space="preserve">These differences suggest that PTSD cannot be understood purely from a biological </w:t>
      </w:r>
      <w:r w:rsidR="005A776F" w:rsidRPr="00CF213E">
        <w:rPr>
          <w:rFonts w:ascii="Arial" w:hAnsi="Arial" w:cs="Arial"/>
        </w:rPr>
        <w:t>perspective but</w:t>
      </w:r>
      <w:r w:rsidRPr="00CF213E">
        <w:rPr>
          <w:rFonts w:ascii="Arial" w:hAnsi="Arial" w:cs="Arial"/>
        </w:rPr>
        <w:t xml:space="preserve"> must also consider gendered experiences of trauma and social inequality (Brewin et al., 2017).</w:t>
      </w:r>
    </w:p>
    <w:p w14:paraId="121073E6" w14:textId="1E9FF4D8" w:rsidR="005A776F" w:rsidRPr="005A776F" w:rsidRDefault="005A776F" w:rsidP="005A776F">
      <w:pPr>
        <w:spacing w:line="360" w:lineRule="auto"/>
        <w:jc w:val="both"/>
        <w:rPr>
          <w:rFonts w:ascii="Arial" w:hAnsi="Arial" w:cs="Arial"/>
        </w:rPr>
      </w:pPr>
      <w:r w:rsidRPr="005A776F">
        <w:rPr>
          <w:rFonts w:ascii="Arial" w:hAnsi="Arial" w:cs="Arial"/>
        </w:rPr>
        <w:t>PTSD is characterised by symptoms such as re-experiencing, avoidance and a persistent sense of threat, which can significantly impact daily functioning and overall wellbeing (World Health Organization, 2019). While widely recognised in clinical practice, its classification and treatment remain debated, particularly regarding the medicalisation of trauma and the use of standardised approaches (Summerfield, 2001; Johnstone and Boyle, 2018).</w:t>
      </w:r>
    </w:p>
    <w:p w14:paraId="37A5D1FB" w14:textId="0BCAF3A8" w:rsidR="00923CC5" w:rsidRDefault="005A776F" w:rsidP="005A776F">
      <w:pPr>
        <w:spacing w:line="360" w:lineRule="auto"/>
        <w:jc w:val="both"/>
        <w:rPr>
          <w:rFonts w:ascii="Arial" w:hAnsi="Arial" w:cs="Arial"/>
        </w:rPr>
      </w:pPr>
      <w:r w:rsidRPr="005A776F">
        <w:rPr>
          <w:rFonts w:ascii="Arial" w:hAnsi="Arial" w:cs="Arial"/>
        </w:rPr>
        <w:t>This report critically examines PTSD within the ICD-11 framework, focusing on its classification, diagnosis and the language used to define the condition. It also evaluates contemporary treatment and rehabilitation approaches, assessing their effectiveness and limitations. Additionally, the report explores current debates, including Complex PTSD and trauma-informed care, and considers their implications for health and social care practice and policy (</w:t>
      </w:r>
      <w:proofErr w:type="spellStart"/>
      <w:r w:rsidRPr="005A776F">
        <w:rPr>
          <w:rFonts w:ascii="Arial" w:hAnsi="Arial" w:cs="Arial"/>
        </w:rPr>
        <w:t>Cloitre</w:t>
      </w:r>
      <w:proofErr w:type="spellEnd"/>
      <w:r w:rsidRPr="005A776F">
        <w:rPr>
          <w:rFonts w:ascii="Arial" w:hAnsi="Arial" w:cs="Arial"/>
        </w:rPr>
        <w:t xml:space="preserve"> et al., 2018; UK Trauma Council, 2023).</w:t>
      </w:r>
    </w:p>
    <w:p w14:paraId="37A5D201" w14:textId="12F79FD1" w:rsidR="00923CC5" w:rsidRPr="00157CC7" w:rsidRDefault="00A12A87" w:rsidP="00BD6360">
      <w:pPr>
        <w:pStyle w:val="Heading1"/>
        <w:spacing w:line="360" w:lineRule="auto"/>
        <w:rPr>
          <w:rFonts w:ascii="Arial" w:hAnsi="Arial" w:cs="Arial"/>
          <w:sz w:val="28"/>
          <w:szCs w:val="28"/>
        </w:rPr>
      </w:pPr>
      <w:bookmarkStart w:id="1" w:name="_Toc227442130"/>
      <w:r w:rsidRPr="00157CC7">
        <w:rPr>
          <w:rFonts w:ascii="Arial" w:hAnsi="Arial" w:cs="Arial"/>
          <w:sz w:val="28"/>
          <w:szCs w:val="28"/>
        </w:rPr>
        <w:lastRenderedPageBreak/>
        <w:t>2. Classification and Diagnosis</w:t>
      </w:r>
      <w:bookmarkEnd w:id="1"/>
      <w:r w:rsidRPr="00157CC7">
        <w:rPr>
          <w:rFonts w:ascii="Arial" w:hAnsi="Arial" w:cs="Arial"/>
          <w:sz w:val="28"/>
          <w:szCs w:val="28"/>
        </w:rPr>
        <w:t xml:space="preserve"> </w:t>
      </w:r>
    </w:p>
    <w:p w14:paraId="37A5D202" w14:textId="2FD1545B" w:rsidR="00923CC5" w:rsidRDefault="00A357D0" w:rsidP="00BD6360">
      <w:pPr>
        <w:spacing w:line="360" w:lineRule="auto"/>
        <w:jc w:val="both"/>
        <w:rPr>
          <w:rFonts w:ascii="Arial" w:hAnsi="Arial" w:cs="Arial"/>
        </w:rPr>
      </w:pPr>
      <w:r w:rsidRPr="00A357D0">
        <w:rPr>
          <w:rFonts w:ascii="Arial" w:hAnsi="Arial" w:cs="Arial"/>
        </w:rPr>
        <w:t>Post-Traumatic Stress Disorder (PTSD) is recognised in the International Classification of Diseases, 11th Revision (ICD-11) as part of the category “Disorders Specifically Associated with Stress”, under diagnostic code 6B40 (World Health Organization, 2019). In this framework, PTSD is positioned alongside other conditions linked to identifiable stressors, highlighting the connection between traumatic exposure and psychological distress (World Health Organization, 2019)</w:t>
      </w:r>
    </w:p>
    <w:p w14:paraId="26894E60" w14:textId="40C9EB8E" w:rsidR="00A357D0" w:rsidRPr="00A357D0" w:rsidRDefault="00A357D0" w:rsidP="00BD6360">
      <w:pPr>
        <w:spacing w:line="360" w:lineRule="auto"/>
        <w:jc w:val="both"/>
        <w:rPr>
          <w:rFonts w:ascii="Arial" w:hAnsi="Arial" w:cs="Arial"/>
        </w:rPr>
      </w:pPr>
      <w:r w:rsidRPr="00A357D0">
        <w:rPr>
          <w:rFonts w:ascii="Arial" w:hAnsi="Arial" w:cs="Arial"/>
        </w:rPr>
        <w:t xml:space="preserve">An important feature of the ICD-11 approach is its use of the term “disorder”. This wording places PTSD within a medical model and suggests the presence of clinically significant dysfunction requiring formal diagnosis and intervention (Brewin et al., 2017; </w:t>
      </w:r>
      <w:proofErr w:type="spellStart"/>
      <w:r w:rsidRPr="00A357D0">
        <w:rPr>
          <w:rFonts w:ascii="Arial" w:hAnsi="Arial" w:cs="Arial"/>
        </w:rPr>
        <w:t>Cloitre</w:t>
      </w:r>
      <w:proofErr w:type="spellEnd"/>
      <w:r w:rsidRPr="00A357D0">
        <w:rPr>
          <w:rFonts w:ascii="Arial" w:hAnsi="Arial" w:cs="Arial"/>
        </w:rPr>
        <w:t xml:space="preserve"> et al., 2018). However, this terminology has been criticised because some responses to trauma may also be understood as human reactions to extreme experiences rather than purely pathological conditions (Summerfield, 2001). This reflects a wider debate between medical and psychosocial interpretations of mental distress (Johnstone and Boyle, 2018).</w:t>
      </w:r>
    </w:p>
    <w:p w14:paraId="5150A88A" w14:textId="1C2ADB75" w:rsidR="00A357D0" w:rsidRPr="00A357D0" w:rsidRDefault="00A357D0" w:rsidP="00BD6360">
      <w:pPr>
        <w:spacing w:line="360" w:lineRule="auto"/>
        <w:jc w:val="both"/>
        <w:rPr>
          <w:rFonts w:ascii="Arial" w:hAnsi="Arial" w:cs="Arial"/>
        </w:rPr>
      </w:pPr>
      <w:r w:rsidRPr="00A357D0">
        <w:rPr>
          <w:rFonts w:ascii="Arial" w:hAnsi="Arial" w:cs="Arial"/>
        </w:rPr>
        <w:t>ICD-11 identifies three core symptom groups in PTSD. The first is re-experiencing the trauma, which may involve intrusive memories, flashbacks and distressing dreams (World Health Organization, 2019; Brewin et al., 2017). These experiences are often vivid and emotionally intense and may be accompanied by physiological reactions. The second is avoidance, where the individual attempts to stay away from reminders of the traumatic event, including thoughts, memories, people or situations associated with it (World Health Organization, 2019). The third is an ongoing sense of current threat, commonly shown through hypervigilance and an exaggerated startle response (World Health Organization, 2019).</w:t>
      </w:r>
    </w:p>
    <w:p w14:paraId="2E920070" w14:textId="3331E5BB" w:rsidR="00A357D0" w:rsidRPr="00A357D0" w:rsidRDefault="00A357D0" w:rsidP="00BD6360">
      <w:pPr>
        <w:spacing w:line="360" w:lineRule="auto"/>
        <w:jc w:val="both"/>
        <w:rPr>
          <w:rFonts w:ascii="Arial" w:hAnsi="Arial" w:cs="Arial"/>
        </w:rPr>
      </w:pPr>
      <w:r w:rsidRPr="00A357D0">
        <w:rPr>
          <w:rFonts w:ascii="Arial" w:hAnsi="Arial" w:cs="Arial"/>
        </w:rPr>
        <w:t>For PTSD to be diagnosed, these symptoms must continue for several weeks and lead to notable impairment in personal, social or occupational functioning (World Health Organization, 2019). Compared with earlier diagnostic models, ICD-11 adopts a more concise structure intended to improve clinical usefulness and international applicability (</w:t>
      </w:r>
      <w:proofErr w:type="spellStart"/>
      <w:r w:rsidRPr="00A357D0">
        <w:rPr>
          <w:rFonts w:ascii="Arial" w:hAnsi="Arial" w:cs="Arial"/>
        </w:rPr>
        <w:t>Cloitre</w:t>
      </w:r>
      <w:proofErr w:type="spellEnd"/>
      <w:r w:rsidRPr="00A357D0">
        <w:rPr>
          <w:rFonts w:ascii="Arial" w:hAnsi="Arial" w:cs="Arial"/>
        </w:rPr>
        <w:t xml:space="preserve"> et al., 2018). Even so, some authors argue that this simplified model may risk overlooking the complexity of certain trauma responses (Ford, 2020).</w:t>
      </w:r>
    </w:p>
    <w:p w14:paraId="37A5D206" w14:textId="6F9BA305" w:rsidR="00923CC5" w:rsidRDefault="00A357D0" w:rsidP="00BD6360">
      <w:pPr>
        <w:spacing w:line="360" w:lineRule="auto"/>
        <w:jc w:val="both"/>
        <w:rPr>
          <w:rFonts w:ascii="Arial" w:hAnsi="Arial" w:cs="Arial"/>
        </w:rPr>
      </w:pPr>
      <w:r w:rsidRPr="00A357D0">
        <w:rPr>
          <w:rFonts w:ascii="Arial" w:hAnsi="Arial" w:cs="Arial"/>
        </w:rPr>
        <w:t>Diagnosis is usually based on clinical assessment and may include structured interviews and validated screening tools such as the International Trauma Questionnaire (ITQ) (</w:t>
      </w:r>
      <w:proofErr w:type="spellStart"/>
      <w:r w:rsidRPr="00A357D0">
        <w:rPr>
          <w:rFonts w:ascii="Arial" w:hAnsi="Arial" w:cs="Arial"/>
        </w:rPr>
        <w:t>Cloitre</w:t>
      </w:r>
      <w:proofErr w:type="spellEnd"/>
      <w:r w:rsidRPr="00A357D0">
        <w:rPr>
          <w:rFonts w:ascii="Arial" w:hAnsi="Arial" w:cs="Arial"/>
        </w:rPr>
        <w:t xml:space="preserve"> et al., 2018). Even with these tools, diagnosis is not entirely objective, as it depends heavily on personal reporting and professional judgement. Cultural context may also influence how symptoms are expressed and interpreted, suggesting that assessment should remain sensitive to individual background and lived experience (Johnstone and Boyle, 2018).</w:t>
      </w:r>
      <w:r>
        <w:rPr>
          <w:rFonts w:ascii="Arial" w:hAnsi="Arial" w:cs="Arial"/>
        </w:rPr>
        <w:t xml:space="preserve"> </w:t>
      </w:r>
      <w:r w:rsidR="00A12A87">
        <w:rPr>
          <w:rFonts w:ascii="Arial" w:hAnsi="Arial" w:cs="Arial"/>
        </w:rPr>
        <w:t xml:space="preserve">Cultural </w:t>
      </w:r>
      <w:r w:rsidR="00A12A87">
        <w:rPr>
          <w:rFonts w:ascii="Arial" w:hAnsi="Arial" w:cs="Arial"/>
        </w:rPr>
        <w:lastRenderedPageBreak/>
        <w:t>differences may further influence how symptoms are expressed and understood, raising questions about the universality of ICD-11 criteria (Hinton &amp; Lewis-Fernández, 2011). Therefore, while the ICD-11 provides a valuable framework for diagnosis, it is important to recognise its limitations and the need for culturally sensitive and individualised assessment approaches (Summerfield, 2001).</w:t>
      </w:r>
    </w:p>
    <w:p w14:paraId="37A5D207" w14:textId="77777777" w:rsidR="00923CC5" w:rsidRDefault="00A12A87">
      <w:pPr>
        <w:jc w:val="center"/>
      </w:pPr>
      <w:r>
        <w:rPr>
          <w:rFonts w:ascii="Arial" w:hAnsi="Arial" w:cs="Arial"/>
          <w:noProof/>
        </w:rPr>
        <w:drawing>
          <wp:inline distT="0" distB="0" distL="0" distR="0" wp14:anchorId="37A5D1CB" wp14:editId="37A5D1CC">
            <wp:extent cx="5318296" cy="2598989"/>
            <wp:effectExtent l="0" t="0" r="0" b="0"/>
            <wp:docPr id="148190158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318296" cy="2598989"/>
                    </a:xfrm>
                    <a:prstGeom prst="rect">
                      <a:avLst/>
                    </a:prstGeom>
                    <a:noFill/>
                    <a:ln>
                      <a:noFill/>
                      <a:prstDash/>
                    </a:ln>
                  </pic:spPr>
                </pic:pic>
              </a:graphicData>
            </a:graphic>
          </wp:inline>
        </w:drawing>
      </w:r>
    </w:p>
    <w:p w14:paraId="37A5D208" w14:textId="77777777" w:rsidR="00923CC5" w:rsidRDefault="00923CC5">
      <w:pPr>
        <w:rPr>
          <w:rFonts w:ascii="Arial" w:hAnsi="Arial" w:cs="Arial"/>
        </w:rPr>
      </w:pPr>
    </w:p>
    <w:p w14:paraId="37A5D209" w14:textId="77777777" w:rsidR="00923CC5" w:rsidRPr="00157CC7" w:rsidRDefault="00A12A87" w:rsidP="00BD6360">
      <w:pPr>
        <w:pStyle w:val="Heading1"/>
        <w:spacing w:line="360" w:lineRule="auto"/>
        <w:jc w:val="both"/>
        <w:rPr>
          <w:rFonts w:ascii="Arial" w:hAnsi="Arial" w:cs="Arial"/>
          <w:sz w:val="28"/>
          <w:szCs w:val="28"/>
        </w:rPr>
      </w:pPr>
      <w:bookmarkStart w:id="2" w:name="_Toc227442131"/>
      <w:r w:rsidRPr="00157CC7">
        <w:rPr>
          <w:rFonts w:ascii="Arial" w:hAnsi="Arial" w:cs="Arial"/>
          <w:sz w:val="28"/>
          <w:szCs w:val="28"/>
        </w:rPr>
        <w:t>3. Treatment and Rehabilitation</w:t>
      </w:r>
      <w:bookmarkEnd w:id="2"/>
      <w:r w:rsidRPr="00157CC7">
        <w:rPr>
          <w:rFonts w:ascii="Arial" w:hAnsi="Arial" w:cs="Arial"/>
          <w:sz w:val="28"/>
          <w:szCs w:val="28"/>
        </w:rPr>
        <w:t xml:space="preserve"> </w:t>
      </w:r>
    </w:p>
    <w:p w14:paraId="4081EAFD" w14:textId="505BF6D5" w:rsidR="006E48E0" w:rsidRPr="006E48E0" w:rsidRDefault="006E48E0" w:rsidP="00BD6360">
      <w:pPr>
        <w:spacing w:line="360" w:lineRule="auto"/>
        <w:jc w:val="both"/>
        <w:rPr>
          <w:rFonts w:ascii="Arial" w:hAnsi="Arial" w:cs="Arial"/>
        </w:rPr>
      </w:pPr>
      <w:r w:rsidRPr="006E48E0">
        <w:rPr>
          <w:rFonts w:ascii="Arial" w:hAnsi="Arial" w:cs="Arial"/>
        </w:rPr>
        <w:t>Contemporary approaches to treating Post-Traumatic Stress Disorder (PTSD) mainly emphasise psychological interventions, with pharmacological support used where necessary (NICE, 2018; NHS, 2021). According to the National Health Service (NHS), first-line treatment for PTSD usually consists of trauma-focused psychological therapies, demonstrating a move away from strictly medical models towards more holistic and person-centred care (NHS, 2021).</w:t>
      </w:r>
    </w:p>
    <w:p w14:paraId="2B2CA9FA" w14:textId="73191D5F" w:rsidR="006E48E0" w:rsidRPr="006E48E0" w:rsidRDefault="006E48E0" w:rsidP="00BD6360">
      <w:pPr>
        <w:spacing w:line="360" w:lineRule="auto"/>
        <w:jc w:val="both"/>
        <w:rPr>
          <w:rFonts w:ascii="Arial" w:hAnsi="Arial" w:cs="Arial"/>
        </w:rPr>
      </w:pPr>
      <w:r w:rsidRPr="006E48E0">
        <w:rPr>
          <w:rFonts w:ascii="Arial" w:hAnsi="Arial" w:cs="Arial"/>
        </w:rPr>
        <w:t>Within the United Kingdom, PTSD care is largely delivered through psychological therapies, particularly Trauma-Focused Cognitive Behavioural Therapy (TF-CBT) and Eye Movement Desensitisation and Reprocessing (EMDR), provided within the National Health Service in accordance with National Institute for Health and Care Excellence guidelines (National Health Service, 2023; National Institute for Health and Care Excellence, 2018). Access to these services is commonly through IAPT programmes in primary care settings (National Health Service England, 2019).</w:t>
      </w:r>
    </w:p>
    <w:p w14:paraId="65FB55EA" w14:textId="2588B71B" w:rsidR="006E48E0" w:rsidRPr="006E48E0" w:rsidRDefault="006E48E0" w:rsidP="00BD6360">
      <w:pPr>
        <w:spacing w:line="360" w:lineRule="auto"/>
        <w:jc w:val="both"/>
        <w:rPr>
          <w:rFonts w:ascii="Arial" w:hAnsi="Arial" w:cs="Arial"/>
        </w:rPr>
      </w:pPr>
      <w:r w:rsidRPr="006E48E0">
        <w:rPr>
          <w:rFonts w:ascii="Arial" w:hAnsi="Arial" w:cs="Arial"/>
        </w:rPr>
        <w:t xml:space="preserve">In addition to statutory services, voluntary organisations such as Mind, Combat Stress and Rape Crisis England &amp; Wales offer specialised and community-based support, helping to complement NHS provision (Mind, 2022; Combat Stress, 2023; Rape Crisis England &amp; Wales, </w:t>
      </w:r>
      <w:r w:rsidRPr="006E48E0">
        <w:rPr>
          <w:rFonts w:ascii="Arial" w:hAnsi="Arial" w:cs="Arial"/>
        </w:rPr>
        <w:lastRenderedPageBreak/>
        <w:t>2023). However, access to treatment continues to vary, as high demand and limited resources can delay timely intervention (National Health Service, 2023).</w:t>
      </w:r>
    </w:p>
    <w:p w14:paraId="27A0E4E1" w14:textId="08E54860" w:rsidR="006E48E0" w:rsidRPr="006E48E0" w:rsidRDefault="006E48E0" w:rsidP="00BD6360">
      <w:pPr>
        <w:spacing w:line="360" w:lineRule="auto"/>
        <w:jc w:val="both"/>
        <w:rPr>
          <w:rFonts w:ascii="Arial" w:hAnsi="Arial" w:cs="Arial"/>
        </w:rPr>
      </w:pPr>
      <w:r w:rsidRPr="006E48E0">
        <w:rPr>
          <w:rFonts w:ascii="Arial" w:hAnsi="Arial" w:cs="Arial"/>
        </w:rPr>
        <w:t>This multi-agency model highlights the value of collaboration between health, social care and voluntary sectors in supporting individuals affected by trauma (National Institute for Health and Care Excellence, 2018).</w:t>
      </w:r>
    </w:p>
    <w:p w14:paraId="63F04AD1" w14:textId="7A664D25" w:rsidR="006E48E0" w:rsidRPr="006E48E0" w:rsidRDefault="006E48E0" w:rsidP="00BD6360">
      <w:pPr>
        <w:spacing w:line="360" w:lineRule="auto"/>
        <w:jc w:val="both"/>
        <w:rPr>
          <w:rFonts w:ascii="Arial" w:hAnsi="Arial" w:cs="Arial"/>
        </w:rPr>
      </w:pPr>
      <w:r w:rsidRPr="006E48E0">
        <w:rPr>
          <w:rFonts w:ascii="Arial" w:hAnsi="Arial" w:cs="Arial"/>
        </w:rPr>
        <w:t>One of the most recommended interventions is Trauma-Focused Cognitive Behavioural Therapy (TF-CBT), which supports individuals in processing traumatic experiences and reshaping negative thought patterns linked to the event (NICE, 2018). Similarly, Eye Movement Desensitisation and Reprocessing (EMDR) is widely recognised as an effective treatment (NICE, 2018; Krüger-Gottschalk et al., 2025). EMDR involves recalling distressing memories while engaging in bilateral stimulation, such as guided eye movements, with the aim of reducing emotional intensity (NHS, 2021). Exposure therapy is also frequently used, allowing individuals to gradually face trauma-related stimuli in a safe and controlled environment (Coventry et al., 2020).</w:t>
      </w:r>
    </w:p>
    <w:p w14:paraId="2213EE21" w14:textId="41AA6CAB" w:rsidR="006E48E0" w:rsidRPr="006E48E0" w:rsidRDefault="006E48E0" w:rsidP="00BD6360">
      <w:pPr>
        <w:spacing w:line="360" w:lineRule="auto"/>
        <w:jc w:val="both"/>
        <w:rPr>
          <w:rFonts w:ascii="Arial" w:hAnsi="Arial" w:cs="Arial"/>
        </w:rPr>
      </w:pPr>
      <w:r w:rsidRPr="006E48E0">
        <w:rPr>
          <w:rFonts w:ascii="Arial" w:hAnsi="Arial" w:cs="Arial"/>
        </w:rPr>
        <w:t>Although these psychological interventions are supported by strong evidence and are effective for many individuals, there are still notable limitations (Megnin-</w:t>
      </w:r>
      <w:proofErr w:type="spellStart"/>
      <w:r w:rsidRPr="006E48E0">
        <w:rPr>
          <w:rFonts w:ascii="Arial" w:hAnsi="Arial" w:cs="Arial"/>
        </w:rPr>
        <w:t>Viggars</w:t>
      </w:r>
      <w:proofErr w:type="spellEnd"/>
      <w:r w:rsidRPr="006E48E0">
        <w:rPr>
          <w:rFonts w:ascii="Arial" w:hAnsi="Arial" w:cs="Arial"/>
        </w:rPr>
        <w:t xml:space="preserve"> et al., 2019). For example, trauma-focused therapies can be emotionally demanding and may initially increase distress, which can result in disengagement or higher dropout rates (Megnin-</w:t>
      </w:r>
      <w:proofErr w:type="spellStart"/>
      <w:r w:rsidRPr="006E48E0">
        <w:rPr>
          <w:rFonts w:ascii="Arial" w:hAnsi="Arial" w:cs="Arial"/>
        </w:rPr>
        <w:t>Viggars</w:t>
      </w:r>
      <w:proofErr w:type="spellEnd"/>
      <w:r w:rsidRPr="006E48E0">
        <w:rPr>
          <w:rFonts w:ascii="Arial" w:hAnsi="Arial" w:cs="Arial"/>
        </w:rPr>
        <w:t xml:space="preserve"> et al., 2019). In addition, access to these therapies within public healthcare systems such as the NHS is not always consistent, with long waiting times delaying support (NHS England Digital, 2022). This raises concerns about equity of access and the practicality of recommended treatment pathways (PTS UK, 2023).</w:t>
      </w:r>
    </w:p>
    <w:p w14:paraId="1B725E1C" w14:textId="4217A913" w:rsidR="006E48E0" w:rsidRPr="006E48E0" w:rsidRDefault="006E48E0" w:rsidP="00BD6360">
      <w:pPr>
        <w:spacing w:line="360" w:lineRule="auto"/>
        <w:jc w:val="both"/>
        <w:rPr>
          <w:rFonts w:ascii="Arial" w:hAnsi="Arial" w:cs="Arial"/>
        </w:rPr>
      </w:pPr>
      <w:r w:rsidRPr="006E48E0">
        <w:rPr>
          <w:rFonts w:ascii="Arial" w:hAnsi="Arial" w:cs="Arial"/>
        </w:rPr>
        <w:t>Pharmacological treatments, particularly selective serotonin reuptake inhibitors (SSRIs), may also be used in managing PTSD, especially when psychological therapies are unavailable or have not been effective (NICE, 2018; Royal College of Psychiatrists, 2020). Medications such as sertraline can help to reduce symptoms including anxiety, insomnia and low mood (NHS, 2021). However, a key limitation is that medication does not directly address the underlying trauma, instead focusing on symptom management, which may lead to long-term reliance without promoting full psychological recovery (Megnin-</w:t>
      </w:r>
      <w:proofErr w:type="spellStart"/>
      <w:r w:rsidRPr="006E48E0">
        <w:rPr>
          <w:rFonts w:ascii="Arial" w:hAnsi="Arial" w:cs="Arial"/>
        </w:rPr>
        <w:t>Viggars</w:t>
      </w:r>
      <w:proofErr w:type="spellEnd"/>
      <w:r w:rsidRPr="006E48E0">
        <w:rPr>
          <w:rFonts w:ascii="Arial" w:hAnsi="Arial" w:cs="Arial"/>
        </w:rPr>
        <w:t xml:space="preserve"> et al., 2019). Side effects, including emotional blunting and dependency concerns, may further complicate treatment (Royal College of Psychiatrists, 2020).</w:t>
      </w:r>
    </w:p>
    <w:p w14:paraId="11C621FA" w14:textId="20BE0649" w:rsidR="006E48E0" w:rsidRPr="006E48E0" w:rsidRDefault="006E48E0" w:rsidP="00BD6360">
      <w:pPr>
        <w:spacing w:line="360" w:lineRule="auto"/>
        <w:jc w:val="both"/>
        <w:rPr>
          <w:rFonts w:ascii="Arial" w:hAnsi="Arial" w:cs="Arial"/>
        </w:rPr>
      </w:pPr>
      <w:r w:rsidRPr="006E48E0">
        <w:rPr>
          <w:rFonts w:ascii="Arial" w:hAnsi="Arial" w:cs="Arial"/>
        </w:rPr>
        <w:t xml:space="preserve">Beyond clinical interventions, rehabilitation plays an essential role in long-term recovery. There is increasing emphasis on trauma-informed care, which acknowledges the widespread impact of trauma and prioritises safety, empowerment and collaboration in service delivery (SAMHSA, 2014; Traumatic Stress Wales, 2020). This approach is especially relevant in </w:t>
      </w:r>
      <w:r w:rsidRPr="006E48E0">
        <w:rPr>
          <w:rFonts w:ascii="Arial" w:hAnsi="Arial" w:cs="Arial"/>
        </w:rPr>
        <w:lastRenderedPageBreak/>
        <w:t>health and social care contexts, encouraging professionals to shift from asking “What is wrong with you?” to “What has happened to you?”, fostering a more compassionate and person-centred understanding of distress (SAMHSA, 2014).</w:t>
      </w:r>
    </w:p>
    <w:p w14:paraId="4B827D5D" w14:textId="3503E3D4" w:rsidR="006E48E0" w:rsidRPr="006E48E0" w:rsidRDefault="006E48E0" w:rsidP="00BD6360">
      <w:pPr>
        <w:spacing w:line="360" w:lineRule="auto"/>
        <w:jc w:val="both"/>
        <w:rPr>
          <w:rFonts w:ascii="Arial" w:hAnsi="Arial" w:cs="Arial"/>
        </w:rPr>
      </w:pPr>
      <w:r w:rsidRPr="006E48E0">
        <w:rPr>
          <w:rFonts w:ascii="Arial" w:hAnsi="Arial" w:cs="Arial"/>
        </w:rPr>
        <w:t>Social support systems, including peer support groups and community-based interventions, also contribute significantly to recovery by reducing isolation, strengthening coping strategies and supporting social reintegration (PTS UK, 2023). From a social work perspective, addressing wider social determinants such as housing, employment and family support is crucial in promoting recovery from PTSD (Traumatic Stress Wales, 2020).</w:t>
      </w:r>
    </w:p>
    <w:p w14:paraId="68103206" w14:textId="77777777" w:rsidR="006E48E0" w:rsidRPr="006E48E0" w:rsidRDefault="006E48E0" w:rsidP="00BD6360">
      <w:pPr>
        <w:spacing w:line="360" w:lineRule="auto"/>
        <w:jc w:val="both"/>
        <w:rPr>
          <w:rFonts w:ascii="Arial" w:hAnsi="Arial" w:cs="Arial"/>
        </w:rPr>
      </w:pPr>
      <w:r w:rsidRPr="006E48E0">
        <w:rPr>
          <w:rFonts w:ascii="Arial" w:hAnsi="Arial" w:cs="Arial"/>
        </w:rPr>
        <w:t>Overall, while current treatment approaches for PTSD demonstrate considerable effectiveness, particularly psychological therapies, important limitations remain (NICE, 2018; Megnin-</w:t>
      </w:r>
      <w:proofErr w:type="spellStart"/>
      <w:r w:rsidRPr="006E48E0">
        <w:rPr>
          <w:rFonts w:ascii="Arial" w:hAnsi="Arial" w:cs="Arial"/>
        </w:rPr>
        <w:t>Viggars</w:t>
      </w:r>
      <w:proofErr w:type="spellEnd"/>
      <w:r w:rsidRPr="006E48E0">
        <w:rPr>
          <w:rFonts w:ascii="Arial" w:hAnsi="Arial" w:cs="Arial"/>
        </w:rPr>
        <w:t xml:space="preserve"> et al., 2019). Issues related to access, individual variation in treatment response and reliance on medication highlight the need for more integrated, flexible and person-centred models of care (NHS, 2021; Krüger-Gottschalk et al., 2025).</w:t>
      </w:r>
    </w:p>
    <w:p w14:paraId="37A5D213" w14:textId="77777777" w:rsidR="00923CC5" w:rsidRPr="00157CC7" w:rsidRDefault="00A12A87" w:rsidP="00BD6360">
      <w:pPr>
        <w:pStyle w:val="Heading1"/>
        <w:spacing w:line="360" w:lineRule="auto"/>
        <w:jc w:val="both"/>
        <w:rPr>
          <w:rFonts w:ascii="Arial" w:hAnsi="Arial" w:cs="Arial"/>
          <w:sz w:val="28"/>
          <w:szCs w:val="28"/>
        </w:rPr>
      </w:pPr>
      <w:bookmarkStart w:id="3" w:name="_Toc227442132"/>
      <w:r w:rsidRPr="00157CC7">
        <w:rPr>
          <w:rFonts w:ascii="Arial" w:hAnsi="Arial" w:cs="Arial"/>
          <w:sz w:val="28"/>
          <w:szCs w:val="28"/>
        </w:rPr>
        <w:t>4. Effectiveness and Limitations of Treatment Approaches</w:t>
      </w:r>
      <w:bookmarkEnd w:id="3"/>
      <w:r w:rsidRPr="00157CC7">
        <w:rPr>
          <w:rFonts w:ascii="Arial" w:hAnsi="Arial" w:cs="Arial"/>
          <w:sz w:val="28"/>
          <w:szCs w:val="28"/>
        </w:rPr>
        <w:t xml:space="preserve"> </w:t>
      </w:r>
    </w:p>
    <w:p w14:paraId="37A5D214" w14:textId="6563C41D" w:rsidR="00923CC5" w:rsidRDefault="00A12A87" w:rsidP="00BD6360">
      <w:pPr>
        <w:spacing w:line="360" w:lineRule="auto"/>
        <w:jc w:val="both"/>
        <w:rPr>
          <w:rFonts w:ascii="Arial" w:hAnsi="Arial" w:cs="Arial"/>
        </w:rPr>
      </w:pPr>
      <w:r>
        <w:rPr>
          <w:rFonts w:ascii="Arial" w:hAnsi="Arial" w:cs="Arial"/>
        </w:rPr>
        <w:t xml:space="preserve">Contemporary treatment approaches for Post-Traumatic Stress Disorder (PTSD), particularly trauma-focused psychological therapies, have demonstrated strong effectiveness in reducing core symptoms (Lewis et al., 2020). Interventions such as Trauma-Focused Cognitive Behavioural Therapy (TF-CBT) and Eye Movement Desensitisation and Reprocessing (EMDR) are supported by </w:t>
      </w:r>
      <w:r w:rsidR="00F2503F">
        <w:rPr>
          <w:rFonts w:ascii="Arial" w:hAnsi="Arial" w:cs="Arial"/>
        </w:rPr>
        <w:t>substantial evidence</w:t>
      </w:r>
      <w:r>
        <w:rPr>
          <w:rFonts w:ascii="Arial" w:hAnsi="Arial" w:cs="Arial"/>
        </w:rPr>
        <w:t xml:space="preserve"> base and are widely recommended within clinical guidelines, including those of the National Health Service (NICE, 2018; NHS, 2021). These therapies can significantly improve emotional regulation, reduce intrusive symptoms and enhance overall functioning for many individuals (de Belli et al., 2025).</w:t>
      </w:r>
    </w:p>
    <w:p w14:paraId="37A5D215" w14:textId="77777777" w:rsidR="00923CC5" w:rsidRDefault="00A12A87" w:rsidP="00BD6360">
      <w:pPr>
        <w:spacing w:line="360" w:lineRule="auto"/>
        <w:jc w:val="both"/>
        <w:rPr>
          <w:rFonts w:ascii="Arial" w:hAnsi="Arial" w:cs="Arial"/>
        </w:rPr>
      </w:pPr>
      <w:r>
        <w:rPr>
          <w:rFonts w:ascii="Arial" w:hAnsi="Arial" w:cs="Arial"/>
        </w:rPr>
        <w:t>However, despite their effectiveness, important limitations remain. One key issue is accessibility (Megnin-</w:t>
      </w:r>
      <w:proofErr w:type="spellStart"/>
      <w:r>
        <w:rPr>
          <w:rFonts w:ascii="Arial" w:hAnsi="Arial" w:cs="Arial"/>
        </w:rPr>
        <w:t>Viggars</w:t>
      </w:r>
      <w:proofErr w:type="spellEnd"/>
      <w:r>
        <w:rPr>
          <w:rFonts w:ascii="Arial" w:hAnsi="Arial" w:cs="Arial"/>
        </w:rPr>
        <w:t xml:space="preserve"> et al., 2019). Within public healthcare systems such as the NHS, long waiting times and limited availability of specialised therapists can delay treatment, potentially worsening symptoms over time (NHS England Digital, 2022). This raises concerns regarding health inequalities, as individuals from disadvantaged backgrounds may face greater barriers to accessing appropriate care (PTS UK, 2023).</w:t>
      </w:r>
    </w:p>
    <w:p w14:paraId="37A5D216" w14:textId="77777777" w:rsidR="00923CC5" w:rsidRDefault="00A12A87" w:rsidP="00BD6360">
      <w:pPr>
        <w:spacing w:line="360" w:lineRule="auto"/>
        <w:jc w:val="both"/>
        <w:rPr>
          <w:rFonts w:ascii="Arial" w:hAnsi="Arial" w:cs="Arial"/>
        </w:rPr>
      </w:pPr>
      <w:r>
        <w:rPr>
          <w:rFonts w:ascii="Arial" w:hAnsi="Arial" w:cs="Arial"/>
        </w:rPr>
        <w:t>Furthermore, not all individuals respond equally to treatment. Trauma-focused therapies can be emotionally intense, and for some individuals, particularly those with complex or prolonged trauma histories, these interventions may lead to increased distress or disengagement (Megnin-</w:t>
      </w:r>
      <w:proofErr w:type="spellStart"/>
      <w:r>
        <w:rPr>
          <w:rFonts w:ascii="Arial" w:hAnsi="Arial" w:cs="Arial"/>
        </w:rPr>
        <w:t>Viggars</w:t>
      </w:r>
      <w:proofErr w:type="spellEnd"/>
      <w:r>
        <w:rPr>
          <w:rFonts w:ascii="Arial" w:hAnsi="Arial" w:cs="Arial"/>
        </w:rPr>
        <w:t xml:space="preserve"> et al., 2019). This highlights the limitations of a standardised treatment model and suggests the need for more flexible and individualised approaches (Lewis et al., 2020).</w:t>
      </w:r>
    </w:p>
    <w:p w14:paraId="37A5D218" w14:textId="66BD0F5D" w:rsidR="00923CC5" w:rsidRDefault="00A12A87" w:rsidP="00BD6360">
      <w:pPr>
        <w:spacing w:line="360" w:lineRule="auto"/>
        <w:jc w:val="both"/>
        <w:rPr>
          <w:rFonts w:ascii="Arial" w:hAnsi="Arial" w:cs="Arial"/>
        </w:rPr>
      </w:pPr>
      <w:r>
        <w:rPr>
          <w:rFonts w:ascii="Arial" w:hAnsi="Arial" w:cs="Arial"/>
        </w:rPr>
        <w:lastRenderedPageBreak/>
        <w:t>Pharmacological treatments, while useful in managing symptoms, present additional limitations. As these interventions primarily target symptoms rather than the underlying trauma, they may not support long-term recovery (Knipe &amp; Hinton, 2023). Side effects and concerns regarding dependency further complicate their use (Aherne et al., 2025). Therefore, while current treatment approaches are effective for many, their limitations emphasise the need for more accessible, inclusive and person-centred models of care (NICE, 2018; NHS, 2021).</w:t>
      </w:r>
    </w:p>
    <w:p w14:paraId="37A5D219" w14:textId="77777777" w:rsidR="00923CC5" w:rsidRPr="00157CC7" w:rsidRDefault="00A12A87" w:rsidP="00BD6360">
      <w:pPr>
        <w:pStyle w:val="Heading1"/>
        <w:spacing w:line="360" w:lineRule="auto"/>
        <w:jc w:val="both"/>
        <w:rPr>
          <w:rFonts w:ascii="Arial" w:hAnsi="Arial" w:cs="Arial"/>
          <w:sz w:val="28"/>
          <w:szCs w:val="28"/>
        </w:rPr>
      </w:pPr>
      <w:bookmarkStart w:id="4" w:name="_Toc227442133"/>
      <w:r w:rsidRPr="00157CC7">
        <w:rPr>
          <w:rFonts w:ascii="Arial" w:hAnsi="Arial" w:cs="Arial"/>
          <w:sz w:val="28"/>
          <w:szCs w:val="28"/>
        </w:rPr>
        <w:t>5. Current Debates and Emerging Issues</w:t>
      </w:r>
      <w:bookmarkEnd w:id="4"/>
      <w:r w:rsidRPr="00157CC7">
        <w:rPr>
          <w:rFonts w:ascii="Arial" w:hAnsi="Arial" w:cs="Arial"/>
          <w:sz w:val="28"/>
          <w:szCs w:val="28"/>
        </w:rPr>
        <w:t xml:space="preserve"> </w:t>
      </w:r>
    </w:p>
    <w:p w14:paraId="37A5D21A" w14:textId="77777777" w:rsidR="00923CC5" w:rsidRDefault="00A12A87" w:rsidP="00BD6360">
      <w:pPr>
        <w:spacing w:line="360" w:lineRule="auto"/>
        <w:jc w:val="both"/>
        <w:rPr>
          <w:rFonts w:ascii="Arial" w:hAnsi="Arial" w:cs="Arial"/>
        </w:rPr>
      </w:pPr>
      <w:r>
        <w:rPr>
          <w:rFonts w:ascii="Arial" w:hAnsi="Arial" w:cs="Arial"/>
        </w:rPr>
        <w:t>The classification and treatment of Post-Traumatic Stress Disorder (PTSD) remain subject to significant debate within contemporary mental health discourse (Summerfield, 2001; Johnstone &amp; Boyle, 2018). One of the most prominent debates relates to the medicalisation of trauma. While the ICD-11 classifies PTSD as a “disorder”, some scholars argue that this may pathologies natural human responses to extreme events (World Health Organization, 2019; Johnstone &amp; Boyle, 2018). From this perspective, distress following trauma may not always indicate a mental disorder but rather an understandable reaction to adverse experiences (Summerfield, 2001). This raises important ethical and clinical questions about where the boundary lies between normal distress and diagnosable pathology (Summerfield, 2001; Boyle, 2011).</w:t>
      </w:r>
    </w:p>
    <w:p w14:paraId="37A5D21B" w14:textId="77777777" w:rsidR="00923CC5" w:rsidRDefault="00A12A87" w:rsidP="00BD6360">
      <w:pPr>
        <w:spacing w:line="360" w:lineRule="auto"/>
        <w:jc w:val="both"/>
        <w:rPr>
          <w:rFonts w:ascii="Arial" w:hAnsi="Arial" w:cs="Arial"/>
        </w:rPr>
      </w:pPr>
      <w:r>
        <w:rPr>
          <w:rFonts w:ascii="Arial" w:hAnsi="Arial" w:cs="Arial"/>
        </w:rPr>
        <w:t xml:space="preserve">A further area of debate concerns the distinction between PTSD and Complex PTSD, which has been formally recognised within the ICD-11 as a separate diagnosis (6B41) (World Health Organization, 2019; </w:t>
      </w:r>
      <w:proofErr w:type="spellStart"/>
      <w:r>
        <w:rPr>
          <w:rFonts w:ascii="Arial" w:hAnsi="Arial" w:cs="Arial"/>
        </w:rPr>
        <w:t>Cloitre</w:t>
      </w:r>
      <w:proofErr w:type="spellEnd"/>
      <w:r>
        <w:rPr>
          <w:rFonts w:ascii="Arial" w:hAnsi="Arial" w:cs="Arial"/>
        </w:rPr>
        <w:t xml:space="preserve"> et al., 2018). Complex PTSD is typically associated with prolonged or repeated trauma, such as childhood abuse or domestic violence, and includes additional symptoms related to emotional regulation, self-concept and interpersonal difficulties (</w:t>
      </w:r>
      <w:proofErr w:type="spellStart"/>
      <w:r>
        <w:rPr>
          <w:rFonts w:ascii="Arial" w:hAnsi="Arial" w:cs="Arial"/>
        </w:rPr>
        <w:t>Cloitre</w:t>
      </w:r>
      <w:proofErr w:type="spellEnd"/>
      <w:r>
        <w:rPr>
          <w:rFonts w:ascii="Arial" w:hAnsi="Arial" w:cs="Arial"/>
        </w:rPr>
        <w:t xml:space="preserve"> et al., 2018). While this distinction has been welcomed for acknowledging the impact of chronic trauma, some critics argue that it risks over-complicating diagnostic frameworks and contributing to overdiagnosis (Ford, 2020). Others suggest that it represents a necessary step towards more nuanced and trauma-informed understanding (</w:t>
      </w:r>
      <w:proofErr w:type="spellStart"/>
      <w:r>
        <w:rPr>
          <w:rFonts w:ascii="Arial" w:hAnsi="Arial" w:cs="Arial"/>
        </w:rPr>
        <w:t>Cloitre</w:t>
      </w:r>
      <w:proofErr w:type="spellEnd"/>
      <w:r>
        <w:rPr>
          <w:rFonts w:ascii="Arial" w:hAnsi="Arial" w:cs="Arial"/>
        </w:rPr>
        <w:t xml:space="preserve"> et al., 2018; Kazlauskas et al., 2018).</w:t>
      </w:r>
    </w:p>
    <w:p w14:paraId="37A5D21C" w14:textId="77777777" w:rsidR="00923CC5" w:rsidRDefault="00A12A87" w:rsidP="00BD6360">
      <w:pPr>
        <w:spacing w:line="360" w:lineRule="auto"/>
        <w:jc w:val="both"/>
        <w:rPr>
          <w:rFonts w:ascii="Arial" w:hAnsi="Arial" w:cs="Arial"/>
        </w:rPr>
      </w:pPr>
      <w:r>
        <w:rPr>
          <w:rFonts w:ascii="Arial" w:hAnsi="Arial" w:cs="Arial"/>
        </w:rPr>
        <w:t xml:space="preserve">The growing emphasis on trauma-informed care represents another significant shift in contemporary practice. This approach moves away from a deficit-based model and instead prioritises understanding individuals’ experiences of trauma within their social and environmental contexts (Substance Abuse and Mental Health Services Administration, 2014). By reframing the question from “What is wrong with you?” to “What has happened to you?”, trauma-informed care challenges traditional medical models and promotes a more </w:t>
      </w:r>
      <w:r>
        <w:rPr>
          <w:rFonts w:ascii="Arial" w:hAnsi="Arial" w:cs="Arial"/>
        </w:rPr>
        <w:lastRenderedPageBreak/>
        <w:t>compassionate and holistic approach to mental health care (SAMHSA, 2014; Sweeney et al., 2016). This has important implications for health and social care professionals, particularly in promoting safe, empowering and collaborative environments (Sweeney et al., 2016).</w:t>
      </w:r>
    </w:p>
    <w:p w14:paraId="37A5D21D" w14:textId="77777777" w:rsidR="00923CC5" w:rsidRDefault="00A12A87" w:rsidP="00BD6360">
      <w:pPr>
        <w:spacing w:line="360" w:lineRule="auto"/>
        <w:jc w:val="both"/>
        <w:rPr>
          <w:rFonts w:ascii="Arial" w:hAnsi="Arial" w:cs="Arial"/>
        </w:rPr>
      </w:pPr>
      <w:r>
        <w:rPr>
          <w:rFonts w:ascii="Arial" w:hAnsi="Arial" w:cs="Arial"/>
        </w:rPr>
        <w:t>Additionally, broader debates around diagnostic labelling and the “drop the disorder” movement have begun to influence how mental health conditions are understood (Kinderman et al., 2013; Johnstone &amp; Boyle, 2018). These perspectives question whether diagnostic labels may contribute to stigma or reduce complex human experiences to simplified categories (Boyle, 2011). While diagnostic frameworks such as the ICD-11 are essential for clinical consistency and access to treatment, they may not fully capture the lived experience of trauma (Johnstone &amp; Boyle, 2018).</w:t>
      </w:r>
    </w:p>
    <w:p w14:paraId="37A5D21F" w14:textId="29F9DBF8" w:rsidR="00923CC5" w:rsidRDefault="00A12A87" w:rsidP="00BD6360">
      <w:pPr>
        <w:spacing w:line="360" w:lineRule="auto"/>
        <w:jc w:val="both"/>
        <w:rPr>
          <w:rFonts w:ascii="Arial" w:hAnsi="Arial" w:cs="Arial"/>
        </w:rPr>
      </w:pPr>
      <w:r>
        <w:rPr>
          <w:rFonts w:ascii="Arial" w:hAnsi="Arial" w:cs="Arial"/>
        </w:rPr>
        <w:t>Overall, these debates highlight the evolving nature of mental health classification and treatment. They emphasise the need for a balance between clinical diagnosis and a more person-centred, socially informed understanding of distress (Kinderman et al., 2013; Sweeney et al., 2016). For practitioners, this requires ongoing critical reflection and adaptation to ensure that care remains both evidence-based and responsive to individual needs (Johnstone &amp; Boyle, 2018).</w:t>
      </w:r>
    </w:p>
    <w:p w14:paraId="37A5D220" w14:textId="77777777" w:rsidR="00923CC5" w:rsidRPr="00157CC7" w:rsidRDefault="00A12A87" w:rsidP="00BD6360">
      <w:pPr>
        <w:pStyle w:val="Heading1"/>
        <w:spacing w:line="360" w:lineRule="auto"/>
        <w:jc w:val="both"/>
        <w:rPr>
          <w:rFonts w:ascii="Arial" w:hAnsi="Arial" w:cs="Arial"/>
          <w:sz w:val="28"/>
          <w:szCs w:val="28"/>
        </w:rPr>
      </w:pPr>
      <w:bookmarkStart w:id="5" w:name="_Toc227442134"/>
      <w:r w:rsidRPr="00157CC7">
        <w:rPr>
          <w:rFonts w:ascii="Arial" w:hAnsi="Arial" w:cs="Arial"/>
          <w:sz w:val="28"/>
          <w:szCs w:val="28"/>
        </w:rPr>
        <w:t>6. Recommendations</w:t>
      </w:r>
      <w:bookmarkEnd w:id="5"/>
      <w:r w:rsidRPr="00157CC7">
        <w:rPr>
          <w:rFonts w:ascii="Arial" w:hAnsi="Arial" w:cs="Arial"/>
          <w:sz w:val="28"/>
          <w:szCs w:val="28"/>
        </w:rPr>
        <w:t xml:space="preserve"> </w:t>
      </w:r>
    </w:p>
    <w:p w14:paraId="37A5D221" w14:textId="77777777" w:rsidR="00923CC5" w:rsidRDefault="00A12A87" w:rsidP="00BD6360">
      <w:pPr>
        <w:spacing w:line="360" w:lineRule="auto"/>
        <w:jc w:val="both"/>
        <w:rPr>
          <w:rFonts w:ascii="Arial" w:hAnsi="Arial" w:cs="Arial"/>
        </w:rPr>
      </w:pPr>
      <w:r>
        <w:rPr>
          <w:rFonts w:ascii="Arial" w:hAnsi="Arial" w:cs="Arial"/>
        </w:rPr>
        <w:t>Based on the analysis of Post-Traumatic Stress Disorder (PTSD), several key recommendations can be proposed to improve treatment outcomes and service delivery within health and social care systems (NICE, 2018; Johnstone &amp; Boyle, 2018). Firstly, there is a clear need to improve access to trauma-focused psychological therapies. Long waiting times within services such as the National Health Service can delay early intervention, potentially leading to symptom escalation (NHS England, 2022). Increasing investment in mental health services and workforce capacity is therefore essential (NHS England, 2022; Royal College of Psychiatrists, 2020).</w:t>
      </w:r>
    </w:p>
    <w:p w14:paraId="37A5D222" w14:textId="77777777" w:rsidR="00923CC5" w:rsidRDefault="00A12A87" w:rsidP="00BD6360">
      <w:pPr>
        <w:spacing w:line="360" w:lineRule="auto"/>
        <w:jc w:val="both"/>
        <w:rPr>
          <w:rFonts w:ascii="Arial" w:hAnsi="Arial" w:cs="Arial"/>
        </w:rPr>
      </w:pPr>
      <w:r>
        <w:rPr>
          <w:rFonts w:ascii="Arial" w:hAnsi="Arial" w:cs="Arial"/>
        </w:rPr>
        <w:t>Secondly, a greater emphasis on trauma-informed care should be implemented across all health and social care settings. This requires comprehensive training for professionals to ensure that services are delivered in a way that promotes safety, trust and empowerment (SAMHSA, 2014; Sweeney et al., 2016). Embedding trauma-informed principles can improve engagement and reduce the risk of re-traumatisation (Sweeney et al., 2016).</w:t>
      </w:r>
    </w:p>
    <w:p w14:paraId="37A5D223" w14:textId="77777777" w:rsidR="00923CC5" w:rsidRDefault="00A12A87" w:rsidP="00BD6360">
      <w:pPr>
        <w:spacing w:line="360" w:lineRule="auto"/>
        <w:jc w:val="both"/>
        <w:rPr>
          <w:rFonts w:ascii="Arial" w:hAnsi="Arial" w:cs="Arial"/>
        </w:rPr>
      </w:pPr>
      <w:r>
        <w:rPr>
          <w:rFonts w:ascii="Arial" w:hAnsi="Arial" w:cs="Arial"/>
        </w:rPr>
        <w:t xml:space="preserve">In addition, treatment approaches should be more individualised and culturally sensitive. Current standardised models may not adequately reflect the diverse experiences of individuals affected by trauma (Hinton &amp; Lewis-Fernández, 2011). Practitioners should consider cultural, </w:t>
      </w:r>
      <w:r>
        <w:rPr>
          <w:rFonts w:ascii="Arial" w:hAnsi="Arial" w:cs="Arial"/>
        </w:rPr>
        <w:lastRenderedPageBreak/>
        <w:t>social and environmental factors when assessing and supporting individuals with PTSD (Hinton &amp; Lewis-Fernández, 2011; Johnstone &amp; Boyle, 2018).</w:t>
      </w:r>
    </w:p>
    <w:p w14:paraId="37A5D224" w14:textId="77777777" w:rsidR="00923CC5" w:rsidRDefault="00A12A87" w:rsidP="00BD6360">
      <w:pPr>
        <w:spacing w:line="360" w:lineRule="auto"/>
        <w:jc w:val="both"/>
        <w:rPr>
          <w:rFonts w:ascii="Arial" w:hAnsi="Arial" w:cs="Arial"/>
        </w:rPr>
      </w:pPr>
      <w:r>
        <w:rPr>
          <w:rFonts w:ascii="Arial" w:hAnsi="Arial" w:cs="Arial"/>
        </w:rPr>
        <w:t>Furthermore, there is a need to reduce the over-reliance on pharmacological interventions. While medication may be beneficial in managing symptoms, it should not replace psychological and social approaches that address the root causes of trauma (NICE, 2018; Knipe &amp; Hinton, 2023). A more integrated, multidisciplinary approach combining psychological, social and community-based support is recommended (NICE, 2018; SAMHSA, 2014).</w:t>
      </w:r>
    </w:p>
    <w:p w14:paraId="37A5D225" w14:textId="77777777" w:rsidR="00923CC5" w:rsidRDefault="00A12A87" w:rsidP="00BD6360">
      <w:pPr>
        <w:spacing w:line="360" w:lineRule="auto"/>
        <w:jc w:val="both"/>
        <w:rPr>
          <w:rFonts w:ascii="Arial" w:hAnsi="Arial" w:cs="Arial"/>
        </w:rPr>
      </w:pPr>
      <w:r>
        <w:rPr>
          <w:rFonts w:ascii="Arial" w:hAnsi="Arial" w:cs="Arial"/>
        </w:rPr>
        <w:t>Overall, these recommendations highlight the importance of developing more accessible, person-centred and holistic approaches to PTSD treatment and rehabilitation (Johnstone &amp; Boyle, 2018; Sweeney et al., 2016).</w:t>
      </w:r>
    </w:p>
    <w:p w14:paraId="37A5D228" w14:textId="77777777" w:rsidR="00923CC5" w:rsidRDefault="00923CC5" w:rsidP="00BD6360">
      <w:pPr>
        <w:spacing w:line="360" w:lineRule="auto"/>
        <w:jc w:val="both"/>
        <w:rPr>
          <w:rFonts w:ascii="Arial" w:hAnsi="Arial" w:cs="Arial"/>
        </w:rPr>
      </w:pPr>
    </w:p>
    <w:p w14:paraId="1D8729AF" w14:textId="77777777" w:rsidR="005A776F" w:rsidRDefault="005A776F">
      <w:pPr>
        <w:spacing w:line="360" w:lineRule="auto"/>
        <w:jc w:val="both"/>
        <w:rPr>
          <w:rFonts w:ascii="Arial" w:hAnsi="Arial" w:cs="Arial"/>
        </w:rPr>
      </w:pPr>
    </w:p>
    <w:p w14:paraId="4ED08DE0" w14:textId="77777777" w:rsidR="005A776F" w:rsidRDefault="005A776F">
      <w:pPr>
        <w:spacing w:line="360" w:lineRule="auto"/>
        <w:jc w:val="both"/>
        <w:rPr>
          <w:rFonts w:ascii="Arial" w:hAnsi="Arial" w:cs="Arial"/>
        </w:rPr>
      </w:pPr>
    </w:p>
    <w:p w14:paraId="4199A64B" w14:textId="77777777" w:rsidR="005A776F" w:rsidRDefault="005A776F">
      <w:pPr>
        <w:spacing w:line="360" w:lineRule="auto"/>
        <w:jc w:val="both"/>
        <w:rPr>
          <w:rFonts w:ascii="Arial" w:hAnsi="Arial" w:cs="Arial"/>
        </w:rPr>
      </w:pPr>
    </w:p>
    <w:p w14:paraId="072C8A6B" w14:textId="77777777" w:rsidR="005A776F" w:rsidRDefault="005A776F">
      <w:pPr>
        <w:spacing w:line="360" w:lineRule="auto"/>
        <w:jc w:val="both"/>
        <w:rPr>
          <w:rFonts w:ascii="Arial" w:hAnsi="Arial" w:cs="Arial"/>
        </w:rPr>
      </w:pPr>
    </w:p>
    <w:p w14:paraId="369FC10B" w14:textId="77777777" w:rsidR="005A776F" w:rsidRDefault="005A776F">
      <w:pPr>
        <w:spacing w:line="360" w:lineRule="auto"/>
        <w:jc w:val="both"/>
        <w:rPr>
          <w:rFonts w:ascii="Arial" w:hAnsi="Arial" w:cs="Arial"/>
        </w:rPr>
      </w:pPr>
    </w:p>
    <w:p w14:paraId="008FEBBA" w14:textId="77777777" w:rsidR="005A776F" w:rsidRDefault="005A776F">
      <w:pPr>
        <w:spacing w:line="360" w:lineRule="auto"/>
        <w:jc w:val="both"/>
        <w:rPr>
          <w:rFonts w:ascii="Arial" w:hAnsi="Arial" w:cs="Arial"/>
        </w:rPr>
      </w:pPr>
    </w:p>
    <w:p w14:paraId="3E478F8D" w14:textId="77777777" w:rsidR="005A776F" w:rsidRDefault="005A776F">
      <w:pPr>
        <w:spacing w:line="360" w:lineRule="auto"/>
        <w:jc w:val="both"/>
        <w:rPr>
          <w:rFonts w:ascii="Arial" w:hAnsi="Arial" w:cs="Arial"/>
        </w:rPr>
      </w:pPr>
    </w:p>
    <w:p w14:paraId="5D5A57CC" w14:textId="77777777" w:rsidR="005A776F" w:rsidRDefault="005A776F">
      <w:pPr>
        <w:spacing w:line="360" w:lineRule="auto"/>
        <w:jc w:val="both"/>
        <w:rPr>
          <w:rFonts w:ascii="Arial" w:hAnsi="Arial" w:cs="Arial"/>
        </w:rPr>
      </w:pPr>
    </w:p>
    <w:p w14:paraId="0AB62D69" w14:textId="77777777" w:rsidR="005A776F" w:rsidRDefault="005A776F">
      <w:pPr>
        <w:spacing w:line="360" w:lineRule="auto"/>
        <w:jc w:val="both"/>
        <w:rPr>
          <w:rFonts w:ascii="Arial" w:hAnsi="Arial" w:cs="Arial"/>
        </w:rPr>
      </w:pPr>
    </w:p>
    <w:p w14:paraId="73AD5374" w14:textId="77777777" w:rsidR="005A776F" w:rsidRDefault="005A776F">
      <w:pPr>
        <w:spacing w:line="360" w:lineRule="auto"/>
        <w:jc w:val="both"/>
        <w:rPr>
          <w:rFonts w:ascii="Arial" w:hAnsi="Arial" w:cs="Arial"/>
        </w:rPr>
      </w:pPr>
    </w:p>
    <w:p w14:paraId="44DFC39F" w14:textId="77777777" w:rsidR="005A776F" w:rsidRDefault="005A776F">
      <w:pPr>
        <w:spacing w:line="360" w:lineRule="auto"/>
        <w:jc w:val="both"/>
        <w:rPr>
          <w:rFonts w:ascii="Arial" w:hAnsi="Arial" w:cs="Arial"/>
        </w:rPr>
      </w:pPr>
    </w:p>
    <w:p w14:paraId="0D827CA8" w14:textId="77777777" w:rsidR="005A776F" w:rsidRDefault="005A776F">
      <w:pPr>
        <w:spacing w:line="360" w:lineRule="auto"/>
        <w:jc w:val="both"/>
        <w:rPr>
          <w:rFonts w:ascii="Arial" w:hAnsi="Arial" w:cs="Arial"/>
        </w:rPr>
      </w:pPr>
    </w:p>
    <w:p w14:paraId="32D5A279" w14:textId="77777777" w:rsidR="005A776F" w:rsidRDefault="005A776F">
      <w:pPr>
        <w:spacing w:line="360" w:lineRule="auto"/>
        <w:jc w:val="both"/>
        <w:rPr>
          <w:rFonts w:ascii="Arial" w:hAnsi="Arial" w:cs="Arial"/>
        </w:rPr>
      </w:pPr>
    </w:p>
    <w:p w14:paraId="39DBD011" w14:textId="77777777" w:rsidR="005A776F" w:rsidRDefault="005A776F">
      <w:pPr>
        <w:spacing w:line="360" w:lineRule="auto"/>
        <w:jc w:val="both"/>
        <w:rPr>
          <w:rFonts w:ascii="Arial" w:hAnsi="Arial" w:cs="Arial"/>
        </w:rPr>
      </w:pPr>
    </w:p>
    <w:p w14:paraId="29CA72CF" w14:textId="77777777" w:rsidR="005A776F" w:rsidRDefault="005A776F">
      <w:pPr>
        <w:spacing w:line="360" w:lineRule="auto"/>
        <w:jc w:val="both"/>
        <w:rPr>
          <w:rFonts w:ascii="Arial" w:hAnsi="Arial" w:cs="Arial"/>
        </w:rPr>
      </w:pPr>
    </w:p>
    <w:p w14:paraId="4D000DB8" w14:textId="77777777" w:rsidR="00F2503F" w:rsidRDefault="00F2503F">
      <w:pPr>
        <w:spacing w:line="360" w:lineRule="auto"/>
        <w:jc w:val="both"/>
        <w:rPr>
          <w:rFonts w:ascii="Arial" w:hAnsi="Arial" w:cs="Arial"/>
        </w:rPr>
      </w:pPr>
    </w:p>
    <w:p w14:paraId="4EB23B04" w14:textId="498E9FB3" w:rsidR="00956F6F" w:rsidRDefault="00A12A87" w:rsidP="00BD6360">
      <w:pPr>
        <w:pStyle w:val="Heading1"/>
        <w:spacing w:line="360" w:lineRule="auto"/>
        <w:jc w:val="both"/>
        <w:rPr>
          <w:rFonts w:ascii="Arial" w:hAnsi="Arial" w:cs="Arial"/>
          <w:sz w:val="28"/>
          <w:szCs w:val="28"/>
        </w:rPr>
      </w:pPr>
      <w:bookmarkStart w:id="6" w:name="_Toc227442135"/>
      <w:r w:rsidRPr="00157CC7">
        <w:rPr>
          <w:rFonts w:ascii="Arial" w:hAnsi="Arial" w:cs="Arial"/>
          <w:sz w:val="28"/>
          <w:szCs w:val="28"/>
        </w:rPr>
        <w:lastRenderedPageBreak/>
        <w:t>7. Conclusion</w:t>
      </w:r>
      <w:bookmarkEnd w:id="6"/>
      <w:r w:rsidRPr="00157CC7">
        <w:rPr>
          <w:rFonts w:ascii="Arial" w:hAnsi="Arial" w:cs="Arial"/>
          <w:sz w:val="28"/>
          <w:szCs w:val="28"/>
        </w:rPr>
        <w:t xml:space="preserve"> </w:t>
      </w:r>
    </w:p>
    <w:p w14:paraId="09DF24ED" w14:textId="77777777" w:rsidR="005A776F" w:rsidRPr="005A776F" w:rsidRDefault="005A776F" w:rsidP="00BD6360">
      <w:pPr>
        <w:spacing w:line="360" w:lineRule="auto"/>
        <w:jc w:val="both"/>
      </w:pPr>
    </w:p>
    <w:p w14:paraId="6F5A9DFD" w14:textId="6FA19B7D" w:rsidR="006E48E0" w:rsidRPr="006E48E0" w:rsidRDefault="006E48E0" w:rsidP="00BD6360">
      <w:pPr>
        <w:spacing w:line="360" w:lineRule="auto"/>
        <w:jc w:val="both"/>
        <w:rPr>
          <w:rFonts w:ascii="Arial" w:hAnsi="Arial" w:cs="Arial"/>
        </w:rPr>
      </w:pPr>
      <w:r w:rsidRPr="006E48E0">
        <w:rPr>
          <w:rFonts w:ascii="Arial" w:hAnsi="Arial" w:cs="Arial"/>
        </w:rPr>
        <w:t>In conclusion, Post-Traumatic Stress Disorder (PTSD) is a complex and multidimensional mental health condition recognised within the ICD-11, reflecting a largely medicalised framework that has been increasingly challenged in recent mental health discourse (World Health Organization, 2019; Johnstone and Boyle, 2018). Although trauma-focused psychological therapies, including those recommended by the National Institute for Health and Care Excellence, have shown strong effectiveness in alleviating symptoms and supporting recovery, a number of important challenges remain (NICE, 2018). These include limited access to services, differences in how individuals respond to treatment, and an ongoing dependence on pharmacological approaches, which may not fully address the root causes of trauma (Megnin-</w:t>
      </w:r>
      <w:proofErr w:type="spellStart"/>
      <w:r w:rsidRPr="006E48E0">
        <w:rPr>
          <w:rFonts w:ascii="Arial" w:hAnsi="Arial" w:cs="Arial"/>
        </w:rPr>
        <w:t>Viggars</w:t>
      </w:r>
      <w:proofErr w:type="spellEnd"/>
      <w:r w:rsidRPr="006E48E0">
        <w:rPr>
          <w:rFonts w:ascii="Arial" w:hAnsi="Arial" w:cs="Arial"/>
        </w:rPr>
        <w:t xml:space="preserve"> et al., 2019).</w:t>
      </w:r>
    </w:p>
    <w:p w14:paraId="0126DF0D" w14:textId="25D6F1BD" w:rsidR="006E48E0" w:rsidRPr="006E48E0" w:rsidRDefault="006E48E0" w:rsidP="00BD6360">
      <w:pPr>
        <w:spacing w:line="360" w:lineRule="auto"/>
        <w:jc w:val="both"/>
        <w:rPr>
          <w:rFonts w:ascii="Arial" w:hAnsi="Arial" w:cs="Arial"/>
        </w:rPr>
      </w:pPr>
      <w:r w:rsidRPr="006E48E0">
        <w:rPr>
          <w:rFonts w:ascii="Arial" w:hAnsi="Arial" w:cs="Arial"/>
        </w:rPr>
        <w:t>In addition, continuing debates around the medicalisation of trauma and the differentiation between PTSD and Complex PTSD emphasise the changing nature of mental health classification (</w:t>
      </w:r>
      <w:proofErr w:type="spellStart"/>
      <w:r w:rsidRPr="006E48E0">
        <w:rPr>
          <w:rFonts w:ascii="Arial" w:hAnsi="Arial" w:cs="Arial"/>
        </w:rPr>
        <w:t>Cloitre</w:t>
      </w:r>
      <w:proofErr w:type="spellEnd"/>
      <w:r w:rsidRPr="006E48E0">
        <w:rPr>
          <w:rFonts w:ascii="Arial" w:hAnsi="Arial" w:cs="Arial"/>
        </w:rPr>
        <w:t xml:space="preserve"> et al., 2018; Sweeney et al., 2016). These perspectives highlight the importance of moving beyond strictly diagnostic models towards more holistic, trauma-informed and person-centred approaches to care. Such approaches should take into account wider social, cultural and ethical influences, including inequality and individual lived experience (Hinton and Lewis-Fernández, 2011).</w:t>
      </w:r>
    </w:p>
    <w:p w14:paraId="4B479558" w14:textId="77777777" w:rsidR="006E48E0" w:rsidRPr="006E48E0" w:rsidRDefault="006E48E0" w:rsidP="00BD6360">
      <w:pPr>
        <w:spacing w:line="360" w:lineRule="auto"/>
        <w:jc w:val="both"/>
        <w:rPr>
          <w:rFonts w:ascii="Arial" w:hAnsi="Arial" w:cs="Arial"/>
        </w:rPr>
      </w:pPr>
      <w:r w:rsidRPr="006E48E0">
        <w:rPr>
          <w:rFonts w:ascii="Arial" w:hAnsi="Arial" w:cs="Arial"/>
        </w:rPr>
        <w:t>Ultimately, improving outcomes for individuals living with PTSD requires a balanced combination of evidence-based interventions and compassionate, inclusive, and context-sensitive care.</w:t>
      </w:r>
    </w:p>
    <w:p w14:paraId="1CB96C3B" w14:textId="14393478" w:rsidR="005A776F" w:rsidRPr="005A776F" w:rsidRDefault="005A776F" w:rsidP="00BD6360">
      <w:pPr>
        <w:spacing w:line="360" w:lineRule="auto"/>
        <w:jc w:val="both"/>
        <w:rPr>
          <w:rFonts w:ascii="Arial" w:hAnsi="Arial" w:cs="Arial"/>
        </w:rPr>
      </w:pPr>
    </w:p>
    <w:p w14:paraId="39BF15A2" w14:textId="77777777" w:rsidR="00956F6F" w:rsidRDefault="00956F6F">
      <w:pPr>
        <w:rPr>
          <w:rFonts w:ascii="Arial" w:hAnsi="Arial" w:cs="Arial"/>
        </w:rPr>
      </w:pPr>
    </w:p>
    <w:p w14:paraId="1037061A" w14:textId="77777777" w:rsidR="00956F6F" w:rsidRDefault="00956F6F">
      <w:pPr>
        <w:rPr>
          <w:rFonts w:ascii="Arial" w:hAnsi="Arial" w:cs="Arial"/>
        </w:rPr>
      </w:pPr>
    </w:p>
    <w:p w14:paraId="3F12333F" w14:textId="77777777" w:rsidR="00956F6F" w:rsidRDefault="00956F6F">
      <w:pPr>
        <w:rPr>
          <w:rFonts w:ascii="Arial" w:hAnsi="Arial" w:cs="Arial"/>
        </w:rPr>
      </w:pPr>
    </w:p>
    <w:p w14:paraId="4300A050" w14:textId="77777777" w:rsidR="00956F6F" w:rsidRDefault="00956F6F">
      <w:pPr>
        <w:rPr>
          <w:rFonts w:ascii="Arial" w:hAnsi="Arial" w:cs="Arial"/>
        </w:rPr>
      </w:pPr>
    </w:p>
    <w:p w14:paraId="26B4F8A8" w14:textId="77777777" w:rsidR="005A776F" w:rsidRDefault="005A776F" w:rsidP="00157CC7">
      <w:pPr>
        <w:pStyle w:val="Heading1"/>
        <w:rPr>
          <w:rFonts w:ascii="Arial" w:hAnsi="Arial" w:cs="Arial"/>
          <w:sz w:val="28"/>
          <w:szCs w:val="28"/>
        </w:rPr>
      </w:pPr>
    </w:p>
    <w:p w14:paraId="7D9C60FF" w14:textId="77777777" w:rsidR="00F2503F" w:rsidRDefault="00F2503F" w:rsidP="00157CC7">
      <w:pPr>
        <w:pStyle w:val="Heading1"/>
        <w:rPr>
          <w:rFonts w:ascii="Arial" w:hAnsi="Arial" w:cs="Arial"/>
          <w:sz w:val="28"/>
          <w:szCs w:val="28"/>
        </w:rPr>
      </w:pPr>
    </w:p>
    <w:p w14:paraId="46064F5F" w14:textId="77777777" w:rsidR="00F2503F" w:rsidRPr="00F2503F" w:rsidRDefault="00F2503F" w:rsidP="00F2503F"/>
    <w:p w14:paraId="4E17E821" w14:textId="06310645" w:rsidR="00F2503F" w:rsidRPr="00F2503F" w:rsidRDefault="00A12A87" w:rsidP="00F2503F">
      <w:pPr>
        <w:pStyle w:val="Heading1"/>
        <w:jc w:val="both"/>
        <w:rPr>
          <w:rFonts w:ascii="Arial" w:hAnsi="Arial" w:cs="Arial"/>
          <w:sz w:val="28"/>
          <w:szCs w:val="28"/>
        </w:rPr>
      </w:pPr>
      <w:bookmarkStart w:id="7" w:name="_Toc227442136"/>
      <w:r w:rsidRPr="00157CC7">
        <w:rPr>
          <w:rFonts w:ascii="Arial" w:hAnsi="Arial" w:cs="Arial"/>
          <w:sz w:val="28"/>
          <w:szCs w:val="28"/>
        </w:rPr>
        <w:lastRenderedPageBreak/>
        <w:t>Reference</w:t>
      </w:r>
      <w:bookmarkEnd w:id="7"/>
      <w:r w:rsidRPr="00157CC7">
        <w:rPr>
          <w:rFonts w:ascii="Arial" w:hAnsi="Arial" w:cs="Arial"/>
          <w:sz w:val="28"/>
          <w:szCs w:val="28"/>
        </w:rPr>
        <w:t xml:space="preserve"> </w:t>
      </w:r>
    </w:p>
    <w:p w14:paraId="37A5D238" w14:textId="77777777" w:rsidR="00923CC5" w:rsidRDefault="00A12A87" w:rsidP="00F2503F">
      <w:pPr>
        <w:jc w:val="both"/>
      </w:pPr>
      <w:r>
        <w:rPr>
          <w:rFonts w:ascii="Arial" w:hAnsi="Arial" w:cs="Arial"/>
        </w:rPr>
        <w:t xml:space="preserve">American Psychiatric Association (2022) </w:t>
      </w:r>
      <w:r>
        <w:rPr>
          <w:rFonts w:ascii="Arial" w:hAnsi="Arial" w:cs="Arial"/>
          <w:i/>
          <w:iCs/>
        </w:rPr>
        <w:t>Diagnostic and Statistical Manual of Mental Disorders</w:t>
      </w:r>
      <w:r>
        <w:rPr>
          <w:rFonts w:ascii="Arial" w:hAnsi="Arial" w:cs="Arial"/>
        </w:rPr>
        <w:t xml:space="preserve"> (DSM-5-TR). Washington, DC: American Psychiatric Publishing.</w:t>
      </w:r>
    </w:p>
    <w:p w14:paraId="37A5D239" w14:textId="77777777" w:rsidR="00923CC5" w:rsidRDefault="00A12A87" w:rsidP="00F2503F">
      <w:pPr>
        <w:jc w:val="both"/>
      </w:pPr>
      <w:r>
        <w:rPr>
          <w:rFonts w:ascii="Arial" w:hAnsi="Arial" w:cs="Arial"/>
        </w:rPr>
        <w:t xml:space="preserve">Bisson, J.I., Roberts, N.P., Andrew, M., Cooper, R. and Lewis, C. (2013) ‘Psychological therapies for chronic post-traumatic stress disorder (PTSD) in adults’, </w:t>
      </w:r>
      <w:r>
        <w:rPr>
          <w:rFonts w:ascii="Arial" w:hAnsi="Arial" w:cs="Arial"/>
          <w:i/>
          <w:iCs/>
        </w:rPr>
        <w:t>Cochrane Database of Systematic Reviews</w:t>
      </w:r>
      <w:r>
        <w:rPr>
          <w:rFonts w:ascii="Arial" w:hAnsi="Arial" w:cs="Arial"/>
        </w:rPr>
        <w:t>, 12(12), pp. 1–168.</w:t>
      </w:r>
    </w:p>
    <w:p w14:paraId="37A5D23A" w14:textId="77777777" w:rsidR="00923CC5" w:rsidRDefault="00A12A87" w:rsidP="00F2503F">
      <w:pPr>
        <w:jc w:val="both"/>
        <w:rPr>
          <w:rFonts w:ascii="Arial" w:hAnsi="Arial" w:cs="Arial"/>
        </w:rPr>
      </w:pPr>
      <w:r>
        <w:rPr>
          <w:rFonts w:ascii="Arial" w:hAnsi="Arial" w:cs="Arial"/>
        </w:rPr>
        <w:t xml:space="preserve">Brewin, C.R. et al. (2017) ‘A review of current evidence regarding the ICD-11 proposals for diagnosing PTSD and complex PTSD’, </w:t>
      </w:r>
      <w:r>
        <w:rPr>
          <w:rFonts w:ascii="Arial" w:hAnsi="Arial" w:cs="Arial"/>
          <w:i/>
          <w:iCs/>
        </w:rPr>
        <w:t>Clinical Psychology Review</w:t>
      </w:r>
      <w:r>
        <w:rPr>
          <w:rFonts w:ascii="Arial" w:hAnsi="Arial" w:cs="Arial"/>
        </w:rPr>
        <w:t>, 58, pp. 1–15.</w:t>
      </w:r>
    </w:p>
    <w:p w14:paraId="4769CBF8" w14:textId="0A655F73" w:rsidR="00580FA3" w:rsidRPr="006323DB" w:rsidRDefault="00580FA3" w:rsidP="00F2503F">
      <w:pPr>
        <w:jc w:val="both"/>
        <w:rPr>
          <w:rFonts w:ascii="Arial" w:hAnsi="Arial" w:cs="Arial"/>
          <w:i/>
          <w:iCs/>
        </w:rPr>
      </w:pPr>
      <w:proofErr w:type="spellStart"/>
      <w:r w:rsidRPr="006323DB">
        <w:rPr>
          <w:rFonts w:ascii="Arial" w:hAnsi="Arial" w:cs="Arial"/>
        </w:rPr>
        <w:t>Cloitre</w:t>
      </w:r>
      <w:proofErr w:type="spellEnd"/>
      <w:r w:rsidRPr="006323DB">
        <w:rPr>
          <w:rFonts w:ascii="Arial" w:hAnsi="Arial" w:cs="Arial"/>
        </w:rPr>
        <w:t xml:space="preserve">, M. et al. (2018) ‘The ISTSS expert consensus treatment guidelines for complex PTSD’, </w:t>
      </w:r>
      <w:r w:rsidRPr="006323DB">
        <w:rPr>
          <w:rFonts w:ascii="Arial" w:hAnsi="Arial" w:cs="Arial"/>
          <w:i/>
          <w:iCs/>
        </w:rPr>
        <w:t xml:space="preserve">European Journal of </w:t>
      </w:r>
      <w:proofErr w:type="spellStart"/>
      <w:r w:rsidRPr="006323DB">
        <w:rPr>
          <w:rFonts w:ascii="Arial" w:hAnsi="Arial" w:cs="Arial"/>
          <w:i/>
          <w:iCs/>
        </w:rPr>
        <w:t>Psychotraumatology</w:t>
      </w:r>
      <w:proofErr w:type="spellEnd"/>
      <w:r w:rsidRPr="006323DB">
        <w:rPr>
          <w:rFonts w:ascii="Arial" w:hAnsi="Arial" w:cs="Arial"/>
          <w:i/>
          <w:iCs/>
        </w:rPr>
        <w:t>, 9(1), pp. 1–10.</w:t>
      </w:r>
    </w:p>
    <w:p w14:paraId="5C88C695" w14:textId="0E993651" w:rsidR="001F1B21" w:rsidRPr="001F1B21" w:rsidRDefault="001F1B21" w:rsidP="00F2503F">
      <w:pPr>
        <w:jc w:val="both"/>
        <w:rPr>
          <w:rFonts w:ascii="Arial" w:hAnsi="Arial" w:cs="Arial"/>
        </w:rPr>
      </w:pPr>
      <w:r w:rsidRPr="001F1B21">
        <w:rPr>
          <w:rFonts w:ascii="Arial" w:hAnsi="Arial" w:cs="Arial"/>
        </w:rPr>
        <w:t xml:space="preserve">Combat Stress (2023) </w:t>
      </w:r>
      <w:r w:rsidRPr="001F1B21">
        <w:rPr>
          <w:rFonts w:ascii="Arial" w:hAnsi="Arial" w:cs="Arial"/>
          <w:i/>
          <w:iCs/>
        </w:rPr>
        <w:t>Post-traumatic stress disorder (PTSD) support for veterans.</w:t>
      </w:r>
      <w:r w:rsidRPr="001F1B21">
        <w:rPr>
          <w:rFonts w:ascii="Arial" w:hAnsi="Arial" w:cs="Arial"/>
        </w:rPr>
        <w:t xml:space="preserve"> Available at: https://www.combatstress.org.uk (Accessed: 19 March 2026).</w:t>
      </w:r>
    </w:p>
    <w:p w14:paraId="37A5D23B" w14:textId="77777777" w:rsidR="00923CC5" w:rsidRDefault="00A12A87" w:rsidP="00F2503F">
      <w:pPr>
        <w:jc w:val="both"/>
        <w:rPr>
          <w:rFonts w:ascii="Arial" w:hAnsi="Arial" w:cs="Arial"/>
        </w:rPr>
      </w:pPr>
      <w:r>
        <w:rPr>
          <w:rFonts w:ascii="Arial" w:hAnsi="Arial" w:cs="Arial"/>
        </w:rPr>
        <w:t xml:space="preserve">Department of Health and Social Care (2022) </w:t>
      </w:r>
      <w:r>
        <w:rPr>
          <w:rFonts w:ascii="Arial" w:hAnsi="Arial" w:cs="Arial"/>
          <w:i/>
          <w:iCs/>
        </w:rPr>
        <w:t>Data saves lives: reshaping health and social care with data.</w:t>
      </w:r>
      <w:r>
        <w:rPr>
          <w:rFonts w:ascii="Arial" w:hAnsi="Arial" w:cs="Arial"/>
        </w:rPr>
        <w:t xml:space="preserve"> London: DHSC. Available at: https://www.gov.uk (Accessed: 19 March 2026).</w:t>
      </w:r>
    </w:p>
    <w:p w14:paraId="02393BDA" w14:textId="3981A344" w:rsidR="00580FA3" w:rsidRPr="006323DB" w:rsidRDefault="00580FA3" w:rsidP="00F2503F">
      <w:pPr>
        <w:jc w:val="both"/>
        <w:rPr>
          <w:rFonts w:ascii="Arial" w:hAnsi="Arial" w:cs="Arial"/>
          <w:i/>
          <w:iCs/>
        </w:rPr>
      </w:pPr>
      <w:r w:rsidRPr="006323DB">
        <w:rPr>
          <w:rFonts w:ascii="Arial" w:hAnsi="Arial" w:cs="Arial"/>
        </w:rPr>
        <w:t xml:space="preserve">Hinton, D.E. and Lewis-Fernández, R. (2011) ‘The cross-cultural validity of posttraumatic stress disorder’, </w:t>
      </w:r>
      <w:r w:rsidRPr="006323DB">
        <w:rPr>
          <w:rFonts w:ascii="Arial" w:hAnsi="Arial" w:cs="Arial"/>
          <w:i/>
          <w:iCs/>
        </w:rPr>
        <w:t>Depression and Anxiety, 28(9), pp. 783–801.</w:t>
      </w:r>
    </w:p>
    <w:p w14:paraId="48A693B9" w14:textId="68B9C32E" w:rsidR="00580FA3" w:rsidRPr="006323DB" w:rsidRDefault="00580FA3" w:rsidP="00F2503F">
      <w:pPr>
        <w:jc w:val="both"/>
        <w:rPr>
          <w:rFonts w:ascii="Arial" w:hAnsi="Arial" w:cs="Arial"/>
        </w:rPr>
      </w:pPr>
      <w:r w:rsidRPr="006323DB">
        <w:rPr>
          <w:rFonts w:ascii="Arial" w:hAnsi="Arial" w:cs="Arial"/>
        </w:rPr>
        <w:t xml:space="preserve">Johnstone, L. and Boyle, M. (2018) The Power Threat Meaning Framework. Leicester: </w:t>
      </w:r>
      <w:r w:rsidRPr="006323DB">
        <w:rPr>
          <w:rFonts w:ascii="Arial" w:hAnsi="Arial" w:cs="Arial"/>
          <w:i/>
          <w:iCs/>
        </w:rPr>
        <w:t>British Psychological Society.</w:t>
      </w:r>
    </w:p>
    <w:p w14:paraId="37A5D23C" w14:textId="77777777" w:rsidR="00923CC5" w:rsidRDefault="00A12A87" w:rsidP="00F2503F">
      <w:pPr>
        <w:jc w:val="both"/>
        <w:rPr>
          <w:rFonts w:ascii="Arial" w:hAnsi="Arial" w:cs="Arial"/>
        </w:rPr>
      </w:pPr>
      <w:proofErr w:type="spellStart"/>
      <w:r>
        <w:rPr>
          <w:rFonts w:ascii="Arial" w:hAnsi="Arial" w:cs="Arial"/>
        </w:rPr>
        <w:t>Karatzias</w:t>
      </w:r>
      <w:proofErr w:type="spellEnd"/>
      <w:r>
        <w:rPr>
          <w:rFonts w:ascii="Arial" w:hAnsi="Arial" w:cs="Arial"/>
        </w:rPr>
        <w:t xml:space="preserve">, T. et al. (2019) ‘Psychological interventions for ICD-11 complex PTSD symptoms’, </w:t>
      </w:r>
      <w:r>
        <w:rPr>
          <w:rFonts w:ascii="Arial" w:hAnsi="Arial" w:cs="Arial"/>
          <w:i/>
          <w:iCs/>
        </w:rPr>
        <w:t>The Lancet Psychiatry</w:t>
      </w:r>
      <w:r>
        <w:rPr>
          <w:rFonts w:ascii="Arial" w:hAnsi="Arial" w:cs="Arial"/>
        </w:rPr>
        <w:t>, 6(10), pp. 875–884.</w:t>
      </w:r>
    </w:p>
    <w:p w14:paraId="05F9DB49" w14:textId="116C3E6B" w:rsidR="001F1B21" w:rsidRPr="001F1B21" w:rsidRDefault="001F1B21" w:rsidP="00F2503F">
      <w:pPr>
        <w:jc w:val="both"/>
        <w:rPr>
          <w:rFonts w:ascii="Arial" w:hAnsi="Arial" w:cs="Arial"/>
        </w:rPr>
      </w:pPr>
      <w:r w:rsidRPr="001F1B21">
        <w:rPr>
          <w:rFonts w:ascii="Arial" w:hAnsi="Arial" w:cs="Arial"/>
        </w:rPr>
        <w:t xml:space="preserve">Koenen, K.C., </w:t>
      </w:r>
      <w:proofErr w:type="spellStart"/>
      <w:r w:rsidRPr="001F1B21">
        <w:rPr>
          <w:rFonts w:ascii="Arial" w:hAnsi="Arial" w:cs="Arial"/>
        </w:rPr>
        <w:t>Ratanatharathorn</w:t>
      </w:r>
      <w:proofErr w:type="spellEnd"/>
      <w:r w:rsidRPr="001F1B21">
        <w:rPr>
          <w:rFonts w:ascii="Arial" w:hAnsi="Arial" w:cs="Arial"/>
        </w:rPr>
        <w:t xml:space="preserve">, A., Ng, L., McLaughlin, K.A., </w:t>
      </w:r>
      <w:proofErr w:type="spellStart"/>
      <w:r w:rsidRPr="001F1B21">
        <w:rPr>
          <w:rFonts w:ascii="Arial" w:hAnsi="Arial" w:cs="Arial"/>
        </w:rPr>
        <w:t>Bromet</w:t>
      </w:r>
      <w:proofErr w:type="spellEnd"/>
      <w:r w:rsidRPr="001F1B21">
        <w:rPr>
          <w:rFonts w:ascii="Arial" w:hAnsi="Arial" w:cs="Arial"/>
        </w:rPr>
        <w:t xml:space="preserve">, E.J., Stein, D.J., Karam, E.G., Meron Ruscio, A., </w:t>
      </w:r>
      <w:proofErr w:type="spellStart"/>
      <w:r w:rsidRPr="001F1B21">
        <w:rPr>
          <w:rFonts w:ascii="Arial" w:hAnsi="Arial" w:cs="Arial"/>
        </w:rPr>
        <w:t>Benjet</w:t>
      </w:r>
      <w:proofErr w:type="spellEnd"/>
      <w:r w:rsidRPr="001F1B21">
        <w:rPr>
          <w:rFonts w:ascii="Arial" w:hAnsi="Arial" w:cs="Arial"/>
        </w:rPr>
        <w:t xml:space="preserve">, C., Scott, K. and others (2017) ‘Posttraumatic stress disorder in the World Mental Health Surveys’, </w:t>
      </w:r>
      <w:r w:rsidRPr="001F1B21">
        <w:rPr>
          <w:rFonts w:ascii="Arial" w:hAnsi="Arial" w:cs="Arial"/>
          <w:i/>
          <w:iCs/>
        </w:rPr>
        <w:t>Psychological Medicine</w:t>
      </w:r>
      <w:r w:rsidRPr="001F1B21">
        <w:rPr>
          <w:rFonts w:ascii="Arial" w:hAnsi="Arial" w:cs="Arial"/>
        </w:rPr>
        <w:t>, 47(13), pp. 2260–2274.</w:t>
      </w:r>
    </w:p>
    <w:p w14:paraId="37A5D23D" w14:textId="77777777" w:rsidR="00923CC5" w:rsidRDefault="00A12A87" w:rsidP="00F2503F">
      <w:pPr>
        <w:jc w:val="both"/>
        <w:rPr>
          <w:rFonts w:ascii="Arial" w:hAnsi="Arial" w:cs="Arial"/>
        </w:rPr>
      </w:pPr>
      <w:r>
        <w:rPr>
          <w:rFonts w:ascii="Arial" w:hAnsi="Arial" w:cs="Arial"/>
        </w:rPr>
        <w:t xml:space="preserve">McNally, R.J. (2003) </w:t>
      </w:r>
      <w:r>
        <w:rPr>
          <w:rFonts w:ascii="Arial" w:hAnsi="Arial" w:cs="Arial"/>
          <w:i/>
          <w:iCs/>
        </w:rPr>
        <w:t>Remembering Trauma</w:t>
      </w:r>
      <w:r>
        <w:rPr>
          <w:rFonts w:ascii="Arial" w:hAnsi="Arial" w:cs="Arial"/>
        </w:rPr>
        <w:t>. Cambridge, MA: Harvard University Press.</w:t>
      </w:r>
    </w:p>
    <w:p w14:paraId="113386C7" w14:textId="27B01AB9" w:rsidR="00580FA3" w:rsidRPr="006323DB" w:rsidRDefault="00580FA3" w:rsidP="00F2503F">
      <w:pPr>
        <w:jc w:val="both"/>
        <w:rPr>
          <w:rFonts w:ascii="Arial" w:hAnsi="Arial" w:cs="Arial"/>
        </w:rPr>
      </w:pPr>
      <w:r w:rsidRPr="006323DB">
        <w:rPr>
          <w:rFonts w:ascii="Arial" w:hAnsi="Arial" w:cs="Arial"/>
        </w:rPr>
        <w:t>Megnin-</w:t>
      </w:r>
      <w:proofErr w:type="spellStart"/>
      <w:r w:rsidRPr="006323DB">
        <w:rPr>
          <w:rFonts w:ascii="Arial" w:hAnsi="Arial" w:cs="Arial"/>
        </w:rPr>
        <w:t>Viggars</w:t>
      </w:r>
      <w:proofErr w:type="spellEnd"/>
      <w:r w:rsidRPr="006323DB">
        <w:rPr>
          <w:rFonts w:ascii="Arial" w:hAnsi="Arial" w:cs="Arial"/>
        </w:rPr>
        <w:t xml:space="preserve">, O. et al. (2019) ‘Psychological therapies for post-traumatic stress disorder in adults: systematic review and meta-analysis’, </w:t>
      </w:r>
      <w:r w:rsidRPr="006323DB">
        <w:rPr>
          <w:rFonts w:ascii="Arial" w:hAnsi="Arial" w:cs="Arial"/>
          <w:i/>
          <w:iCs/>
        </w:rPr>
        <w:t>BMJ, 364, pp. 1–12.</w:t>
      </w:r>
    </w:p>
    <w:p w14:paraId="5A25C1AB" w14:textId="5A1F3657" w:rsidR="001F1B21" w:rsidRPr="001F1B21" w:rsidRDefault="001F1B21" w:rsidP="00F2503F">
      <w:pPr>
        <w:jc w:val="both"/>
        <w:rPr>
          <w:rFonts w:ascii="Arial" w:hAnsi="Arial" w:cs="Arial"/>
        </w:rPr>
      </w:pPr>
      <w:r w:rsidRPr="001F1B21">
        <w:rPr>
          <w:rFonts w:ascii="Arial" w:hAnsi="Arial" w:cs="Arial"/>
        </w:rPr>
        <w:t xml:space="preserve">Mind (2022) </w:t>
      </w:r>
      <w:r w:rsidRPr="001F1B21">
        <w:rPr>
          <w:rFonts w:ascii="Arial" w:hAnsi="Arial" w:cs="Arial"/>
          <w:i/>
          <w:iCs/>
        </w:rPr>
        <w:t>Post-traumatic stress disorder</w:t>
      </w:r>
      <w:r w:rsidRPr="001F1B21">
        <w:rPr>
          <w:rFonts w:ascii="Arial" w:hAnsi="Arial" w:cs="Arial"/>
        </w:rPr>
        <w:t xml:space="preserve"> (PTSD). Available at: https://www.mind.org.uk (Accessed: 19 March 2026).</w:t>
      </w:r>
    </w:p>
    <w:p w14:paraId="37A5D23E" w14:textId="77777777" w:rsidR="00923CC5" w:rsidRDefault="00A12A87" w:rsidP="00F2503F">
      <w:pPr>
        <w:jc w:val="both"/>
      </w:pPr>
      <w:r>
        <w:rPr>
          <w:rFonts w:ascii="Arial" w:hAnsi="Arial" w:cs="Arial"/>
        </w:rPr>
        <w:t xml:space="preserve">National Health Service (2023) </w:t>
      </w:r>
      <w:r>
        <w:rPr>
          <w:rFonts w:ascii="Arial" w:hAnsi="Arial" w:cs="Arial"/>
          <w:i/>
          <w:iCs/>
        </w:rPr>
        <w:t>Post-traumatic stress disorder (PTSD)</w:t>
      </w:r>
      <w:r>
        <w:rPr>
          <w:rFonts w:ascii="Arial" w:hAnsi="Arial" w:cs="Arial"/>
        </w:rPr>
        <w:t>. Available at: https://www.nhs.uk/conditions/post-traumatic-stress-disorder-ptsd/ (Accessed: 19 March 2026).</w:t>
      </w:r>
    </w:p>
    <w:p w14:paraId="37A5D23F" w14:textId="77777777" w:rsidR="00923CC5" w:rsidRDefault="00A12A87" w:rsidP="00F2503F">
      <w:pPr>
        <w:jc w:val="both"/>
      </w:pPr>
      <w:r>
        <w:rPr>
          <w:rFonts w:ascii="Arial" w:hAnsi="Arial" w:cs="Arial"/>
        </w:rPr>
        <w:t xml:space="preserve">National Institute for Health and Care Excellence (2018) </w:t>
      </w:r>
      <w:r>
        <w:rPr>
          <w:rFonts w:ascii="Arial" w:hAnsi="Arial" w:cs="Arial"/>
          <w:i/>
          <w:iCs/>
        </w:rPr>
        <w:t>Post-traumatic stress disorder</w:t>
      </w:r>
      <w:r>
        <w:rPr>
          <w:rFonts w:ascii="Arial" w:hAnsi="Arial" w:cs="Arial"/>
        </w:rPr>
        <w:t xml:space="preserve"> (NICE Guideline NG116). London: NICE. Available at: https://www.nice.org.uk</w:t>
      </w:r>
    </w:p>
    <w:p w14:paraId="256A0172" w14:textId="6EC62690" w:rsidR="00956F6F" w:rsidRDefault="00A12A87" w:rsidP="00F2503F">
      <w:pPr>
        <w:jc w:val="both"/>
        <w:rPr>
          <w:rFonts w:ascii="Arial" w:hAnsi="Arial" w:cs="Arial"/>
        </w:rPr>
      </w:pPr>
      <w:r>
        <w:rPr>
          <w:rFonts w:ascii="Arial" w:hAnsi="Arial" w:cs="Arial"/>
        </w:rPr>
        <w:t xml:space="preserve">NHS England (2019) </w:t>
      </w:r>
      <w:r>
        <w:rPr>
          <w:rFonts w:ascii="Arial" w:hAnsi="Arial" w:cs="Arial"/>
          <w:i/>
          <w:iCs/>
        </w:rPr>
        <w:t>The NHS Long Term Plan</w:t>
      </w:r>
      <w:r>
        <w:rPr>
          <w:rFonts w:ascii="Arial" w:hAnsi="Arial" w:cs="Arial"/>
        </w:rPr>
        <w:t>. London: NHS England.</w:t>
      </w:r>
    </w:p>
    <w:p w14:paraId="3CF3DB82" w14:textId="7B1FCDD8" w:rsidR="006323DB" w:rsidRPr="00F2503F" w:rsidRDefault="006323DB" w:rsidP="00F2503F">
      <w:pPr>
        <w:jc w:val="both"/>
        <w:rPr>
          <w:rFonts w:ascii="Arial" w:hAnsi="Arial" w:cs="Arial"/>
        </w:rPr>
      </w:pPr>
      <w:r w:rsidRPr="006323DB">
        <w:rPr>
          <w:rFonts w:ascii="Arial" w:hAnsi="Arial" w:cs="Arial"/>
        </w:rPr>
        <w:t xml:space="preserve">Rape Crisis England &amp; Wales (2023) </w:t>
      </w:r>
      <w:r w:rsidRPr="006323DB">
        <w:rPr>
          <w:rFonts w:ascii="Arial" w:hAnsi="Arial" w:cs="Arial"/>
          <w:i/>
          <w:iCs/>
        </w:rPr>
        <w:t>Support for survivors of sexual violence.</w:t>
      </w:r>
      <w:r w:rsidRPr="006323DB">
        <w:rPr>
          <w:rFonts w:ascii="Arial" w:hAnsi="Arial" w:cs="Arial"/>
        </w:rPr>
        <w:t xml:space="preserve"> Available at: https://rapecrisis.org.uk (Accessed: 19 March 2026).</w:t>
      </w:r>
    </w:p>
    <w:p w14:paraId="695457BC" w14:textId="47ADBCC7" w:rsidR="006323DB" w:rsidRPr="006323DB" w:rsidRDefault="006323DB" w:rsidP="00F2503F">
      <w:pPr>
        <w:jc w:val="both"/>
        <w:rPr>
          <w:rFonts w:ascii="Arial" w:hAnsi="Arial" w:cs="Arial"/>
          <w:i/>
          <w:iCs/>
        </w:rPr>
      </w:pPr>
      <w:r w:rsidRPr="006323DB">
        <w:rPr>
          <w:rFonts w:ascii="Arial" w:hAnsi="Arial" w:cs="Arial"/>
        </w:rPr>
        <w:t xml:space="preserve">Summerfield, D. (2001) ‘The invention of post-traumatic stress disorder and the social usefulness of a psychiatric category’, </w:t>
      </w:r>
      <w:r w:rsidRPr="006323DB">
        <w:rPr>
          <w:rFonts w:ascii="Arial" w:hAnsi="Arial" w:cs="Arial"/>
          <w:i/>
          <w:iCs/>
        </w:rPr>
        <w:t>BMJ, 322(7278), pp. 95–98.</w:t>
      </w:r>
    </w:p>
    <w:p w14:paraId="1D776BBA" w14:textId="26BFE8EE" w:rsidR="006323DB" w:rsidRPr="006323DB" w:rsidRDefault="006323DB" w:rsidP="00F2503F">
      <w:pPr>
        <w:jc w:val="both"/>
        <w:rPr>
          <w:rFonts w:ascii="Arial" w:hAnsi="Arial" w:cs="Arial"/>
        </w:rPr>
      </w:pPr>
      <w:r w:rsidRPr="006323DB">
        <w:rPr>
          <w:rFonts w:ascii="Arial" w:hAnsi="Arial" w:cs="Arial"/>
        </w:rPr>
        <w:lastRenderedPageBreak/>
        <w:t xml:space="preserve">Sweeney, A., Clement, S., Filson, B. and Kennedy, A. (2016) ‘Trauma-informed mental healthcare in the UK: what is it and how can we further its development?’, </w:t>
      </w:r>
      <w:r w:rsidRPr="006323DB">
        <w:rPr>
          <w:rFonts w:ascii="Arial" w:hAnsi="Arial" w:cs="Arial"/>
          <w:i/>
          <w:iCs/>
        </w:rPr>
        <w:t>Mental Health Review Journal, 21(3), pp. 174–192.</w:t>
      </w:r>
    </w:p>
    <w:p w14:paraId="37A5D241" w14:textId="66026F01" w:rsidR="00923CC5" w:rsidRDefault="00A47170" w:rsidP="00F2503F">
      <w:pPr>
        <w:jc w:val="both"/>
      </w:pPr>
      <w:r>
        <w:rPr>
          <w:rFonts w:ascii="Arial" w:hAnsi="Arial" w:cs="Arial"/>
        </w:rPr>
        <w:t>V</w:t>
      </w:r>
      <w:r w:rsidR="00A12A87">
        <w:rPr>
          <w:rFonts w:ascii="Arial" w:hAnsi="Arial" w:cs="Arial"/>
        </w:rPr>
        <w:t xml:space="preserve">an der Kolk, B. (2014) </w:t>
      </w:r>
      <w:r w:rsidR="00A12A87">
        <w:rPr>
          <w:rFonts w:ascii="Arial" w:hAnsi="Arial" w:cs="Arial"/>
          <w:i/>
          <w:iCs/>
        </w:rPr>
        <w:t>The Body Keeps the Score: Brain, Mind, and Body in the Healing of Trauma.</w:t>
      </w:r>
      <w:r w:rsidR="00A12A87">
        <w:rPr>
          <w:rFonts w:ascii="Arial" w:hAnsi="Arial" w:cs="Arial"/>
        </w:rPr>
        <w:t xml:space="preserve"> New York: Penguin.</w:t>
      </w:r>
    </w:p>
    <w:p w14:paraId="37A5D242" w14:textId="77777777" w:rsidR="00923CC5" w:rsidRDefault="00A12A87" w:rsidP="00F2503F">
      <w:pPr>
        <w:jc w:val="both"/>
      </w:pPr>
      <w:r>
        <w:rPr>
          <w:rFonts w:ascii="Arial" w:hAnsi="Arial" w:cs="Arial"/>
        </w:rPr>
        <w:t xml:space="preserve">World Health Organization (2019) </w:t>
      </w:r>
      <w:r>
        <w:rPr>
          <w:rFonts w:ascii="Arial" w:hAnsi="Arial" w:cs="Arial"/>
          <w:i/>
          <w:iCs/>
        </w:rPr>
        <w:t>International Classification of Diseases 11th Revision (ICD-11)</w:t>
      </w:r>
      <w:r>
        <w:rPr>
          <w:rFonts w:ascii="Arial" w:hAnsi="Arial" w:cs="Arial"/>
        </w:rPr>
        <w:t>. Available at: https://icd.who.int (Accessed: 19 March 2026).</w:t>
      </w:r>
    </w:p>
    <w:p w14:paraId="37A5D243" w14:textId="77777777" w:rsidR="00923CC5" w:rsidRDefault="00A12A87" w:rsidP="00F2503F">
      <w:pPr>
        <w:jc w:val="both"/>
      </w:pPr>
      <w:r>
        <w:rPr>
          <w:rFonts w:ascii="Arial" w:hAnsi="Arial" w:cs="Arial"/>
        </w:rPr>
        <w:t xml:space="preserve">World Health Organization (2021) </w:t>
      </w:r>
      <w:r>
        <w:rPr>
          <w:rFonts w:ascii="Arial" w:hAnsi="Arial" w:cs="Arial"/>
          <w:i/>
          <w:iCs/>
        </w:rPr>
        <w:t>Guidelines for the management of conditions specifically related to stress.</w:t>
      </w:r>
      <w:r>
        <w:rPr>
          <w:rFonts w:ascii="Arial" w:hAnsi="Arial" w:cs="Arial"/>
        </w:rPr>
        <w:t xml:space="preserve"> Geneva: WHO.</w:t>
      </w:r>
    </w:p>
    <w:p w14:paraId="37A5D249" w14:textId="77777777" w:rsidR="00923CC5" w:rsidRDefault="00923CC5" w:rsidP="00F2503F">
      <w:pPr>
        <w:jc w:val="both"/>
        <w:rPr>
          <w:rFonts w:ascii="Arial" w:hAnsi="Arial" w:cs="Arial"/>
        </w:rPr>
      </w:pPr>
    </w:p>
    <w:p w14:paraId="37A5D24A" w14:textId="77777777" w:rsidR="00923CC5" w:rsidRDefault="00923CC5" w:rsidP="00F2503F">
      <w:pPr>
        <w:jc w:val="both"/>
        <w:rPr>
          <w:rFonts w:ascii="Arial" w:hAnsi="Arial" w:cs="Arial"/>
        </w:rPr>
      </w:pPr>
    </w:p>
    <w:p w14:paraId="37A5D24B" w14:textId="77777777" w:rsidR="00923CC5" w:rsidRDefault="00923CC5" w:rsidP="00F2503F">
      <w:pPr>
        <w:jc w:val="both"/>
        <w:rPr>
          <w:rFonts w:ascii="Arial" w:hAnsi="Arial" w:cs="Arial"/>
        </w:rPr>
      </w:pPr>
    </w:p>
    <w:p w14:paraId="37A5D24C" w14:textId="77777777" w:rsidR="00923CC5" w:rsidRDefault="00923CC5" w:rsidP="00F2503F">
      <w:pPr>
        <w:jc w:val="both"/>
        <w:rPr>
          <w:rFonts w:ascii="Arial" w:hAnsi="Arial" w:cs="Arial"/>
        </w:rPr>
      </w:pPr>
    </w:p>
    <w:p w14:paraId="37A5D24D" w14:textId="77777777" w:rsidR="00923CC5" w:rsidRDefault="00923CC5" w:rsidP="00F2503F">
      <w:pPr>
        <w:jc w:val="both"/>
        <w:rPr>
          <w:rFonts w:ascii="Arial" w:hAnsi="Arial" w:cs="Arial"/>
        </w:rPr>
      </w:pPr>
    </w:p>
    <w:p w14:paraId="37A5D24E" w14:textId="77777777" w:rsidR="00923CC5" w:rsidRDefault="00923CC5" w:rsidP="00F2503F">
      <w:pPr>
        <w:jc w:val="both"/>
        <w:rPr>
          <w:rFonts w:ascii="Arial" w:hAnsi="Arial" w:cs="Arial"/>
        </w:rPr>
      </w:pPr>
    </w:p>
    <w:sectPr w:rsidR="00923CC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A0B492" w14:textId="77777777" w:rsidR="00E87FF0" w:rsidRDefault="00E87FF0">
      <w:pPr>
        <w:spacing w:after="0" w:line="240" w:lineRule="auto"/>
      </w:pPr>
      <w:r>
        <w:separator/>
      </w:r>
    </w:p>
  </w:endnote>
  <w:endnote w:type="continuationSeparator" w:id="0">
    <w:p w14:paraId="60E11643" w14:textId="77777777" w:rsidR="00E87FF0" w:rsidRDefault="00E87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5ADCE" w14:textId="77777777" w:rsidR="00E87FF0" w:rsidRDefault="00E87FF0">
      <w:pPr>
        <w:spacing w:after="0" w:line="240" w:lineRule="auto"/>
      </w:pPr>
      <w:r>
        <w:rPr>
          <w:color w:val="000000"/>
        </w:rPr>
        <w:separator/>
      </w:r>
    </w:p>
  </w:footnote>
  <w:footnote w:type="continuationSeparator" w:id="0">
    <w:p w14:paraId="7DAB474E" w14:textId="77777777" w:rsidR="00E87FF0" w:rsidRDefault="00E87F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3CC5"/>
    <w:rsid w:val="00141C67"/>
    <w:rsid w:val="00157CC7"/>
    <w:rsid w:val="00191E37"/>
    <w:rsid w:val="001F1B21"/>
    <w:rsid w:val="002C00C8"/>
    <w:rsid w:val="00452557"/>
    <w:rsid w:val="00580FA3"/>
    <w:rsid w:val="005A776F"/>
    <w:rsid w:val="006323DB"/>
    <w:rsid w:val="006A3117"/>
    <w:rsid w:val="006E48E0"/>
    <w:rsid w:val="008230C1"/>
    <w:rsid w:val="00823216"/>
    <w:rsid w:val="00923CC5"/>
    <w:rsid w:val="0095546A"/>
    <w:rsid w:val="00956F6F"/>
    <w:rsid w:val="00A12A87"/>
    <w:rsid w:val="00A357D0"/>
    <w:rsid w:val="00A47170"/>
    <w:rsid w:val="00A55457"/>
    <w:rsid w:val="00AE7A57"/>
    <w:rsid w:val="00BC38AA"/>
    <w:rsid w:val="00BC4D2C"/>
    <w:rsid w:val="00BD6360"/>
    <w:rsid w:val="00C12A7F"/>
    <w:rsid w:val="00CF213E"/>
    <w:rsid w:val="00E35D24"/>
    <w:rsid w:val="00E87FF0"/>
    <w:rsid w:val="00F15AAA"/>
    <w:rsid w:val="00F241AC"/>
    <w:rsid w:val="00F25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5D1C7"/>
  <w15:docId w15:val="{6AB4CC4F-0602-439D-BBAA-23E8E9AD0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Heading">
    <w:name w:val="TOC Heading"/>
    <w:basedOn w:val="Heading1"/>
    <w:next w:val="Normal"/>
    <w:uiPriority w:val="39"/>
    <w:unhideWhenUsed/>
    <w:qFormat/>
    <w:rsid w:val="00157CC7"/>
    <w:pPr>
      <w:suppressAutoHyphens w:val="0"/>
      <w:autoSpaceDN/>
      <w:spacing w:before="240" w:after="0" w:line="259" w:lineRule="auto"/>
      <w:outlineLvl w:val="9"/>
    </w:pPr>
    <w:rPr>
      <w:rFonts w:asciiTheme="majorHAnsi" w:eastAsiaTheme="majorEastAsia" w:hAnsiTheme="majorHAnsi" w:cstheme="majorBidi"/>
      <w:color w:val="0F4761" w:themeColor="accent1" w:themeShade="BF"/>
      <w:sz w:val="32"/>
      <w:szCs w:val="32"/>
      <w:lang w:val="en-US"/>
    </w:rPr>
  </w:style>
  <w:style w:type="paragraph" w:styleId="TOC1">
    <w:name w:val="toc 1"/>
    <w:basedOn w:val="Normal"/>
    <w:next w:val="Normal"/>
    <w:autoRedefine/>
    <w:uiPriority w:val="39"/>
    <w:unhideWhenUsed/>
    <w:rsid w:val="00157CC7"/>
    <w:pPr>
      <w:spacing w:after="100"/>
    </w:pPr>
  </w:style>
  <w:style w:type="character" w:styleId="Hyperlink">
    <w:name w:val="Hyperlink"/>
    <w:basedOn w:val="DefaultParagraphFont"/>
    <w:uiPriority w:val="99"/>
    <w:unhideWhenUsed/>
    <w:rsid w:val="00157CC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8C397E-FC88-453B-A6DC-69C7DD7D5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13</Pages>
  <Words>3797</Words>
  <Characters>21648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Almada Cardoso (1818222)</dc:creator>
  <dc:description/>
  <cp:lastModifiedBy>Carla Almada Cardoso (1818222)</cp:lastModifiedBy>
  <cp:revision>6</cp:revision>
  <dcterms:created xsi:type="dcterms:W3CDTF">2026-04-20T17:13:00Z</dcterms:created>
  <dcterms:modified xsi:type="dcterms:W3CDTF">2026-04-20T19:00:00Z</dcterms:modified>
</cp:coreProperties>
</file>