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DE4F7" w14:textId="4722A391" w:rsidR="00AD339C" w:rsidRDefault="00AD339C">
      <w:pPr>
        <w:rPr>
          <w:rFonts w:ascii="Arial" w:hAnsi="Arial" w:cs="Arial"/>
          <w:b/>
          <w:bCs/>
          <w:sz w:val="24"/>
          <w:szCs w:val="24"/>
        </w:rPr>
      </w:pPr>
      <w:r>
        <w:rPr>
          <w:rFonts w:ascii="Arial" w:hAnsi="Arial" w:cs="Arial"/>
          <w:b/>
          <w:bCs/>
          <w:sz w:val="24"/>
          <w:szCs w:val="24"/>
        </w:rPr>
        <w:t xml:space="preserve">                                                                                                 Gethin Cardy 2105599</w:t>
      </w:r>
    </w:p>
    <w:p w14:paraId="04A60E3B" w14:textId="37D97442" w:rsidR="006E36D4" w:rsidRDefault="001E2F02">
      <w:pPr>
        <w:rPr>
          <w:rFonts w:ascii="Arial" w:hAnsi="Arial" w:cs="Arial"/>
          <w:b/>
          <w:bCs/>
          <w:sz w:val="24"/>
          <w:szCs w:val="24"/>
        </w:rPr>
      </w:pPr>
      <w:r w:rsidRPr="001E2F02">
        <w:rPr>
          <w:rFonts w:ascii="Arial" w:hAnsi="Arial" w:cs="Arial"/>
          <w:b/>
          <w:bCs/>
          <w:sz w:val="24"/>
          <w:szCs w:val="24"/>
        </w:rPr>
        <w:t>Speakers Note</w:t>
      </w:r>
    </w:p>
    <w:p w14:paraId="6FA3D273" w14:textId="77777777" w:rsidR="001E2F02" w:rsidRDefault="001E2F02">
      <w:pPr>
        <w:rPr>
          <w:rFonts w:ascii="Arial" w:hAnsi="Arial" w:cs="Arial"/>
          <w:b/>
          <w:bCs/>
          <w:sz w:val="24"/>
          <w:szCs w:val="24"/>
        </w:rPr>
      </w:pPr>
    </w:p>
    <w:p w14:paraId="3611C3B8" w14:textId="656345E6" w:rsidR="001E2F02" w:rsidRDefault="001E2F02">
      <w:pPr>
        <w:rPr>
          <w:rFonts w:ascii="Arial" w:hAnsi="Arial" w:cs="Arial"/>
          <w:b/>
          <w:bCs/>
          <w:sz w:val="24"/>
          <w:szCs w:val="24"/>
        </w:rPr>
      </w:pPr>
      <w:r>
        <w:rPr>
          <w:rFonts w:ascii="Arial" w:hAnsi="Arial" w:cs="Arial"/>
          <w:b/>
          <w:bCs/>
          <w:sz w:val="24"/>
          <w:szCs w:val="24"/>
        </w:rPr>
        <w:t xml:space="preserve">Introduce yourself and that you will be talking about social justice and rights, linking with carina that with knowing about rights it gives young people  empowerment and that then the young people can take part in participation. </w:t>
      </w:r>
    </w:p>
    <w:p w14:paraId="07DE35B5" w14:textId="77777777" w:rsidR="001E2F02" w:rsidRDefault="001E2F02">
      <w:pPr>
        <w:rPr>
          <w:rFonts w:ascii="Arial" w:hAnsi="Arial" w:cs="Arial"/>
          <w:b/>
          <w:bCs/>
          <w:sz w:val="24"/>
          <w:szCs w:val="24"/>
        </w:rPr>
      </w:pPr>
    </w:p>
    <w:p w14:paraId="392F64CB" w14:textId="7F1E2FFF" w:rsidR="001E2F02" w:rsidRDefault="001E2F02">
      <w:pPr>
        <w:rPr>
          <w:rFonts w:ascii="Arial" w:hAnsi="Arial" w:cs="Arial"/>
          <w:b/>
          <w:bCs/>
          <w:sz w:val="24"/>
          <w:szCs w:val="24"/>
        </w:rPr>
      </w:pPr>
      <w:r>
        <w:rPr>
          <w:rFonts w:ascii="Arial" w:hAnsi="Arial" w:cs="Arial"/>
          <w:b/>
          <w:bCs/>
          <w:sz w:val="24"/>
          <w:szCs w:val="24"/>
        </w:rPr>
        <w:t xml:space="preserve">Mention what participation and advocacy is and linking it with the CLD quote on poster. </w:t>
      </w:r>
    </w:p>
    <w:p w14:paraId="4EC7CAE5" w14:textId="77777777" w:rsidR="00C162C6" w:rsidRDefault="00C162C6">
      <w:pPr>
        <w:rPr>
          <w:rFonts w:ascii="Arial" w:hAnsi="Arial" w:cs="Arial"/>
          <w:b/>
          <w:bCs/>
          <w:sz w:val="24"/>
          <w:szCs w:val="24"/>
        </w:rPr>
      </w:pPr>
    </w:p>
    <w:p w14:paraId="71DFB4D3" w14:textId="2F5B2927" w:rsidR="00D518F5" w:rsidRDefault="00D518F5">
      <w:pPr>
        <w:rPr>
          <w:rFonts w:ascii="Arial" w:hAnsi="Arial" w:cs="Arial"/>
          <w:b/>
          <w:bCs/>
          <w:sz w:val="24"/>
          <w:szCs w:val="24"/>
        </w:rPr>
      </w:pPr>
      <w:r>
        <w:rPr>
          <w:rFonts w:ascii="Arial" w:hAnsi="Arial" w:cs="Arial"/>
          <w:b/>
          <w:bCs/>
          <w:sz w:val="24"/>
          <w:szCs w:val="24"/>
        </w:rPr>
        <w:t>Mention that social justice is where young people or anyone involved is treated respectfully, fairly and not discriminated agents. Then state</w:t>
      </w:r>
      <w:r w:rsidR="00C162C6">
        <w:rPr>
          <w:rFonts w:ascii="Arial" w:hAnsi="Arial" w:cs="Arial"/>
          <w:b/>
          <w:bCs/>
          <w:sz w:val="24"/>
          <w:szCs w:val="24"/>
        </w:rPr>
        <w:t xml:space="preserve"> Sapin</w:t>
      </w:r>
    </w:p>
    <w:p w14:paraId="48727757" w14:textId="15B73CCA" w:rsidR="00C162C6" w:rsidRDefault="00C162C6">
      <w:pPr>
        <w:rPr>
          <w:rFonts w:ascii="Arial" w:hAnsi="Arial" w:cs="Arial"/>
          <w:b/>
          <w:bCs/>
          <w:sz w:val="24"/>
          <w:szCs w:val="24"/>
        </w:rPr>
      </w:pPr>
      <w:r>
        <w:rPr>
          <w:rFonts w:ascii="Arial" w:hAnsi="Arial" w:cs="Arial"/>
          <w:b/>
          <w:bCs/>
          <w:sz w:val="24"/>
          <w:szCs w:val="24"/>
        </w:rPr>
        <w:t>Key word discrimination.</w:t>
      </w:r>
    </w:p>
    <w:p w14:paraId="3D269367" w14:textId="77777777" w:rsidR="00C162C6" w:rsidRDefault="00C162C6">
      <w:pPr>
        <w:rPr>
          <w:rFonts w:ascii="Arial" w:hAnsi="Arial" w:cs="Arial"/>
          <w:b/>
          <w:bCs/>
          <w:i/>
          <w:iCs/>
          <w:sz w:val="24"/>
          <w:szCs w:val="24"/>
        </w:rPr>
      </w:pPr>
    </w:p>
    <w:p w14:paraId="043208DB" w14:textId="090C6FB8" w:rsidR="00D518F5" w:rsidRDefault="00D518F5">
      <w:pPr>
        <w:rPr>
          <w:rFonts w:ascii="Arial" w:hAnsi="Arial" w:cs="Arial"/>
          <w:b/>
          <w:bCs/>
          <w:i/>
          <w:iCs/>
          <w:sz w:val="24"/>
          <w:szCs w:val="24"/>
        </w:rPr>
      </w:pPr>
      <w:r w:rsidRPr="00C162C6">
        <w:rPr>
          <w:rFonts w:ascii="Arial" w:hAnsi="Arial" w:cs="Arial"/>
          <w:b/>
          <w:bCs/>
          <w:i/>
          <w:iCs/>
          <w:sz w:val="24"/>
          <w:szCs w:val="24"/>
        </w:rPr>
        <w:t>“as stated on the equalityhumanrights.com, 2021 discrimination is when an individual is treated less favourably than another individual within the same situation or setting and leads to unreasonable outcomes which leads to unfair treatment, for example, race, homophobia and cultural differences.”</w:t>
      </w:r>
    </w:p>
    <w:p w14:paraId="055D550E" w14:textId="55D98992" w:rsidR="00C162C6" w:rsidRDefault="00C162C6">
      <w:pPr>
        <w:rPr>
          <w:rFonts w:ascii="Arial" w:hAnsi="Arial" w:cs="Arial"/>
          <w:b/>
          <w:bCs/>
          <w:sz w:val="24"/>
          <w:szCs w:val="24"/>
        </w:rPr>
      </w:pPr>
      <w:r w:rsidRPr="00C162C6">
        <w:rPr>
          <w:rFonts w:ascii="Arial" w:hAnsi="Arial" w:cs="Arial"/>
          <w:b/>
          <w:bCs/>
          <w:sz w:val="24"/>
          <w:szCs w:val="24"/>
        </w:rPr>
        <w:t>Give an example of a person transitioning – The bullying was indirect behind their back. However, talking and explaining to a young person about the process this person was going through,</w:t>
      </w:r>
      <w:r>
        <w:rPr>
          <w:rFonts w:ascii="Arial" w:hAnsi="Arial" w:cs="Arial"/>
          <w:b/>
          <w:bCs/>
          <w:sz w:val="24"/>
          <w:szCs w:val="24"/>
        </w:rPr>
        <w:t xml:space="preserve"> </w:t>
      </w:r>
      <w:r w:rsidRPr="00C162C6">
        <w:rPr>
          <w:rFonts w:ascii="Arial" w:hAnsi="Arial" w:cs="Arial"/>
          <w:b/>
          <w:bCs/>
          <w:sz w:val="24"/>
          <w:szCs w:val="24"/>
        </w:rPr>
        <w:t xml:space="preserve">so they had understanding and acceptance of somebody who was ‘different’. Now they are good friends.  </w:t>
      </w:r>
    </w:p>
    <w:p w14:paraId="6F8C0963" w14:textId="77777777" w:rsidR="00C162C6" w:rsidRDefault="00C162C6">
      <w:pPr>
        <w:rPr>
          <w:rFonts w:ascii="Arial" w:hAnsi="Arial" w:cs="Arial"/>
          <w:b/>
          <w:bCs/>
          <w:sz w:val="24"/>
          <w:szCs w:val="24"/>
        </w:rPr>
      </w:pPr>
    </w:p>
    <w:p w14:paraId="14315192" w14:textId="77777777" w:rsidR="00487D74" w:rsidRDefault="00C162C6">
      <w:pPr>
        <w:rPr>
          <w:rFonts w:ascii="Arial" w:hAnsi="Arial" w:cs="Arial"/>
          <w:b/>
          <w:bCs/>
          <w:sz w:val="24"/>
          <w:szCs w:val="24"/>
        </w:rPr>
      </w:pPr>
      <w:r>
        <w:rPr>
          <w:rFonts w:ascii="Arial" w:hAnsi="Arial" w:cs="Arial"/>
          <w:b/>
          <w:bCs/>
          <w:sz w:val="24"/>
          <w:szCs w:val="24"/>
        </w:rPr>
        <w:t>Then go on to say that as young people and children you have rights some of them are article 10 and article 14</w:t>
      </w:r>
      <w:r w:rsidR="00487D74">
        <w:rPr>
          <w:rFonts w:ascii="Arial" w:hAnsi="Arial" w:cs="Arial"/>
          <w:b/>
          <w:bCs/>
          <w:sz w:val="24"/>
          <w:szCs w:val="24"/>
        </w:rPr>
        <w:t xml:space="preserve"> under the human rights act 1998…</w:t>
      </w:r>
    </w:p>
    <w:p w14:paraId="4EE28BF2" w14:textId="5478B178" w:rsidR="00487D74" w:rsidRDefault="00487D74">
      <w:pPr>
        <w:rPr>
          <w:rFonts w:ascii="Arial" w:hAnsi="Arial" w:cs="Arial"/>
          <w:b/>
          <w:bCs/>
          <w:sz w:val="24"/>
          <w:szCs w:val="24"/>
        </w:rPr>
      </w:pPr>
      <w:r>
        <w:rPr>
          <w:rFonts w:ascii="Arial" w:hAnsi="Arial" w:cs="Arial"/>
          <w:b/>
          <w:bCs/>
          <w:sz w:val="24"/>
          <w:szCs w:val="24"/>
        </w:rPr>
        <w:t xml:space="preserve"> and that act requires courts and tribunals to make judgements based upon the European convention of the human rights</w:t>
      </w:r>
      <w:r w:rsidR="00C162C6">
        <w:rPr>
          <w:rFonts w:ascii="Arial" w:hAnsi="Arial" w:cs="Arial"/>
          <w:b/>
          <w:bCs/>
          <w:sz w:val="24"/>
          <w:szCs w:val="24"/>
        </w:rPr>
        <w:t xml:space="preserve">. </w:t>
      </w:r>
      <w:r>
        <w:rPr>
          <w:rFonts w:ascii="Arial" w:hAnsi="Arial" w:cs="Arial"/>
          <w:b/>
          <w:bCs/>
          <w:sz w:val="24"/>
          <w:szCs w:val="24"/>
        </w:rPr>
        <w:t xml:space="preserve">This means that legislation passed in the </w:t>
      </w:r>
      <w:r w:rsidRPr="00487D74">
        <w:rPr>
          <w:rFonts w:ascii="Arial" w:hAnsi="Arial" w:cs="Arial"/>
          <w:b/>
          <w:bCs/>
          <w:sz w:val="24"/>
          <w:szCs w:val="24"/>
        </w:rPr>
        <w:t>UK must reflect its articles</w:t>
      </w:r>
      <w:r>
        <w:rPr>
          <w:rFonts w:ascii="Arial" w:hAnsi="Arial" w:cs="Arial"/>
          <w:sz w:val="24"/>
          <w:szCs w:val="24"/>
        </w:rPr>
        <w:t>.</w:t>
      </w:r>
    </w:p>
    <w:p w14:paraId="655D1605" w14:textId="43131A3E" w:rsidR="00C162C6" w:rsidRDefault="00C162C6">
      <w:pPr>
        <w:rPr>
          <w:rFonts w:ascii="Arial" w:hAnsi="Arial" w:cs="Arial"/>
          <w:b/>
          <w:bCs/>
          <w:sz w:val="24"/>
          <w:szCs w:val="24"/>
        </w:rPr>
      </w:pPr>
      <w:r>
        <w:rPr>
          <w:rFonts w:ascii="Arial" w:hAnsi="Arial" w:cs="Arial"/>
          <w:b/>
          <w:bCs/>
          <w:sz w:val="24"/>
          <w:szCs w:val="24"/>
        </w:rPr>
        <w:t>Explain these article… 10 freedom of expression and 14 the protection from discrimination.</w:t>
      </w:r>
    </w:p>
    <w:p w14:paraId="7E462487" w14:textId="07FCDC28" w:rsidR="00C162C6" w:rsidRDefault="00C162C6">
      <w:pPr>
        <w:rPr>
          <w:rFonts w:ascii="Arial" w:hAnsi="Arial" w:cs="Arial"/>
          <w:b/>
          <w:bCs/>
          <w:sz w:val="24"/>
          <w:szCs w:val="24"/>
        </w:rPr>
      </w:pPr>
      <w:r>
        <w:rPr>
          <w:rFonts w:ascii="Arial" w:hAnsi="Arial" w:cs="Arial"/>
          <w:b/>
          <w:bCs/>
          <w:sz w:val="24"/>
          <w:szCs w:val="24"/>
        </w:rPr>
        <w:t xml:space="preserve">Then mention… </w:t>
      </w:r>
      <w:r w:rsidRPr="00C162C6">
        <w:rPr>
          <w:rFonts w:ascii="Arial" w:hAnsi="Arial" w:cs="Arial"/>
          <w:b/>
          <w:bCs/>
          <w:sz w:val="24"/>
          <w:szCs w:val="24"/>
        </w:rPr>
        <w:t>Although we have the human rights act this does not cover you from discrimination in all areas, this is covered by other acts such as the Equality Act 2010.</w:t>
      </w:r>
    </w:p>
    <w:p w14:paraId="077B35B0" w14:textId="77777777" w:rsidR="00487D74" w:rsidRDefault="00487D74">
      <w:pPr>
        <w:rPr>
          <w:rFonts w:ascii="Arial" w:hAnsi="Arial" w:cs="Arial"/>
          <w:b/>
          <w:bCs/>
          <w:sz w:val="24"/>
          <w:szCs w:val="24"/>
        </w:rPr>
      </w:pPr>
    </w:p>
    <w:p w14:paraId="24CD85E4" w14:textId="77777777" w:rsidR="00487D74" w:rsidRDefault="00487D74">
      <w:pPr>
        <w:rPr>
          <w:rFonts w:ascii="Arial" w:hAnsi="Arial" w:cs="Arial"/>
          <w:b/>
          <w:bCs/>
          <w:sz w:val="24"/>
          <w:szCs w:val="24"/>
        </w:rPr>
      </w:pPr>
    </w:p>
    <w:p w14:paraId="516174D5" w14:textId="77777777" w:rsidR="005648B7" w:rsidRDefault="005648B7">
      <w:pPr>
        <w:rPr>
          <w:rFonts w:ascii="Arial" w:hAnsi="Arial" w:cs="Arial"/>
          <w:b/>
          <w:bCs/>
          <w:sz w:val="24"/>
          <w:szCs w:val="24"/>
        </w:rPr>
      </w:pPr>
    </w:p>
    <w:p w14:paraId="3F844A99" w14:textId="77777777" w:rsidR="005648B7" w:rsidRPr="005648B7" w:rsidRDefault="005648B7" w:rsidP="005648B7">
      <w:pPr>
        <w:rPr>
          <w:rFonts w:ascii="Arial" w:hAnsi="Arial" w:cs="Arial"/>
          <w:b/>
          <w:bCs/>
          <w:sz w:val="24"/>
          <w:szCs w:val="24"/>
        </w:rPr>
      </w:pPr>
      <w:r w:rsidRPr="005648B7">
        <w:rPr>
          <w:rFonts w:ascii="Arial" w:hAnsi="Arial" w:cs="Arial"/>
          <w:b/>
          <w:bCs/>
          <w:sz w:val="24"/>
          <w:szCs w:val="24"/>
        </w:rPr>
        <w:lastRenderedPageBreak/>
        <w:t xml:space="preserve">                                                                                                   Gethin Cardy 2105599</w:t>
      </w:r>
    </w:p>
    <w:p w14:paraId="512EA261" w14:textId="77777777" w:rsidR="005648B7" w:rsidRPr="005648B7" w:rsidRDefault="005648B7" w:rsidP="005648B7">
      <w:pPr>
        <w:rPr>
          <w:rFonts w:ascii="Arial" w:hAnsi="Arial" w:cs="Arial"/>
          <w:b/>
          <w:bCs/>
          <w:sz w:val="24"/>
          <w:szCs w:val="24"/>
        </w:rPr>
      </w:pPr>
      <w:r w:rsidRPr="005648B7">
        <w:rPr>
          <w:rFonts w:ascii="Arial" w:hAnsi="Arial" w:cs="Arial"/>
          <w:b/>
          <w:bCs/>
          <w:sz w:val="24"/>
          <w:szCs w:val="24"/>
        </w:rPr>
        <w:t xml:space="preserve">Bibliography </w:t>
      </w:r>
    </w:p>
    <w:p w14:paraId="05183211" w14:textId="77777777" w:rsidR="005648B7" w:rsidRPr="005648B7" w:rsidRDefault="005648B7" w:rsidP="005648B7">
      <w:pPr>
        <w:rPr>
          <w:rFonts w:ascii="Arial" w:hAnsi="Arial" w:cs="Arial"/>
          <w:b/>
          <w:bCs/>
          <w:sz w:val="24"/>
          <w:szCs w:val="24"/>
        </w:rPr>
      </w:pPr>
    </w:p>
    <w:p w14:paraId="0C456CF4" w14:textId="77777777" w:rsidR="005648B7" w:rsidRPr="005648B7" w:rsidRDefault="005648B7" w:rsidP="005648B7">
      <w:pPr>
        <w:rPr>
          <w:rFonts w:ascii="Arial" w:hAnsi="Arial" w:cs="Arial"/>
          <w:b/>
          <w:bCs/>
          <w:sz w:val="24"/>
          <w:szCs w:val="24"/>
        </w:rPr>
      </w:pPr>
      <w:r w:rsidRPr="005648B7">
        <w:rPr>
          <w:rFonts w:ascii="Arial" w:hAnsi="Arial" w:cs="Arial"/>
          <w:b/>
          <w:bCs/>
          <w:sz w:val="24"/>
          <w:szCs w:val="24"/>
        </w:rPr>
        <w:t>CLD Standards Council Scotland. (2019) National Occupational Standards for Youth Work. Glasgow: CLD Standards Council Scotland.</w:t>
      </w:r>
    </w:p>
    <w:p w14:paraId="5E7177A6" w14:textId="77777777" w:rsidR="005648B7" w:rsidRPr="005648B7" w:rsidRDefault="005648B7" w:rsidP="005648B7">
      <w:pPr>
        <w:rPr>
          <w:rFonts w:ascii="Arial" w:hAnsi="Arial" w:cs="Arial"/>
          <w:b/>
          <w:bCs/>
          <w:sz w:val="24"/>
          <w:szCs w:val="24"/>
        </w:rPr>
      </w:pPr>
    </w:p>
    <w:p w14:paraId="4207FF2F" w14:textId="77777777" w:rsidR="005648B7" w:rsidRPr="005648B7" w:rsidRDefault="005648B7" w:rsidP="005648B7">
      <w:pPr>
        <w:rPr>
          <w:rFonts w:ascii="Arial" w:hAnsi="Arial" w:cs="Arial"/>
          <w:b/>
          <w:bCs/>
          <w:sz w:val="24"/>
          <w:szCs w:val="24"/>
        </w:rPr>
      </w:pPr>
      <w:r w:rsidRPr="005648B7">
        <w:rPr>
          <w:rFonts w:ascii="Arial" w:hAnsi="Arial" w:cs="Arial"/>
          <w:b/>
          <w:bCs/>
          <w:sz w:val="24"/>
          <w:szCs w:val="24"/>
        </w:rPr>
        <w:t xml:space="preserve">Sapin, K. (2013) Essential Skills For Youth Work Practice. 2nd </w:t>
      </w:r>
      <w:proofErr w:type="spellStart"/>
      <w:r w:rsidRPr="005648B7">
        <w:rPr>
          <w:rFonts w:ascii="Arial" w:hAnsi="Arial" w:cs="Arial"/>
          <w:b/>
          <w:bCs/>
          <w:sz w:val="24"/>
          <w:szCs w:val="24"/>
        </w:rPr>
        <w:t>edn</w:t>
      </w:r>
      <w:proofErr w:type="spellEnd"/>
      <w:r w:rsidRPr="005648B7">
        <w:rPr>
          <w:rFonts w:ascii="Arial" w:hAnsi="Arial" w:cs="Arial"/>
          <w:b/>
          <w:bCs/>
          <w:sz w:val="24"/>
          <w:szCs w:val="24"/>
        </w:rPr>
        <w:t>. London: SAGE Publications Ltd.</w:t>
      </w:r>
    </w:p>
    <w:p w14:paraId="47D58CC9" w14:textId="77777777" w:rsidR="005648B7" w:rsidRPr="005648B7" w:rsidRDefault="005648B7" w:rsidP="005648B7">
      <w:pPr>
        <w:rPr>
          <w:rFonts w:ascii="Arial" w:hAnsi="Arial" w:cs="Arial"/>
          <w:b/>
          <w:bCs/>
          <w:sz w:val="24"/>
          <w:szCs w:val="24"/>
        </w:rPr>
      </w:pPr>
    </w:p>
    <w:p w14:paraId="6686C545" w14:textId="77777777" w:rsidR="005648B7" w:rsidRPr="005648B7" w:rsidRDefault="005648B7" w:rsidP="005648B7">
      <w:pPr>
        <w:rPr>
          <w:rFonts w:ascii="Arial" w:hAnsi="Arial" w:cs="Arial"/>
          <w:b/>
          <w:bCs/>
          <w:sz w:val="24"/>
          <w:szCs w:val="24"/>
        </w:rPr>
      </w:pPr>
      <w:r w:rsidRPr="005648B7">
        <w:rPr>
          <w:rFonts w:ascii="Arial" w:hAnsi="Arial" w:cs="Arial"/>
          <w:b/>
          <w:bCs/>
          <w:sz w:val="24"/>
          <w:szCs w:val="24"/>
        </w:rPr>
        <w:t>Penny, T. Kath, B. Kate, B. (2005) Children’s care, Learning &amp; Development. Oxford: Heinemann Educational Publishers.</w:t>
      </w:r>
    </w:p>
    <w:p w14:paraId="5B4AE87E" w14:textId="77777777" w:rsidR="005648B7" w:rsidRPr="005648B7" w:rsidRDefault="005648B7" w:rsidP="005648B7">
      <w:pPr>
        <w:rPr>
          <w:rFonts w:ascii="Arial" w:hAnsi="Arial" w:cs="Arial"/>
          <w:b/>
          <w:bCs/>
          <w:sz w:val="24"/>
          <w:szCs w:val="24"/>
        </w:rPr>
      </w:pPr>
    </w:p>
    <w:p w14:paraId="04995131" w14:textId="63C61059" w:rsidR="005648B7" w:rsidRPr="00C162C6" w:rsidRDefault="005648B7" w:rsidP="005648B7">
      <w:pPr>
        <w:rPr>
          <w:rFonts w:ascii="Arial" w:hAnsi="Arial" w:cs="Arial"/>
          <w:b/>
          <w:bCs/>
          <w:sz w:val="24"/>
          <w:szCs w:val="24"/>
        </w:rPr>
      </w:pPr>
      <w:r w:rsidRPr="005648B7">
        <w:rPr>
          <w:rFonts w:ascii="Arial" w:hAnsi="Arial" w:cs="Arial"/>
          <w:b/>
          <w:bCs/>
          <w:sz w:val="24"/>
          <w:szCs w:val="24"/>
        </w:rPr>
        <w:t>Equality and Human Right Commission (2021) Article 14: Protection from discrimination. Available at: https://www.equalityhumanrights.com/en/human-rights-act/article-14-protection-discrimination#:~:text=Article%2014%20requires%20that%20all,be%20objectively%20and%20reasonably%20justified (Accessed: 19/05/2023).</w:t>
      </w:r>
    </w:p>
    <w:sectPr w:rsidR="005648B7" w:rsidRPr="00C162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F02"/>
    <w:rsid w:val="001E2F02"/>
    <w:rsid w:val="00487D74"/>
    <w:rsid w:val="005648B7"/>
    <w:rsid w:val="006E36D4"/>
    <w:rsid w:val="00AD339C"/>
    <w:rsid w:val="00C162C6"/>
    <w:rsid w:val="00D51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FE7C2"/>
  <w15:chartTrackingRefBased/>
  <w15:docId w15:val="{73141CE9-E3DF-4344-9565-D6DDE9ECE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2</Pages>
  <Words>390</Words>
  <Characters>2223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C</dc:creator>
  <cp:keywords/>
  <dc:description/>
  <cp:lastModifiedBy>Gethin C</cp:lastModifiedBy>
  <cp:revision>9</cp:revision>
  <dcterms:created xsi:type="dcterms:W3CDTF">2023-05-23T20:17:00Z</dcterms:created>
  <dcterms:modified xsi:type="dcterms:W3CDTF">2023-05-24T10:23:00Z</dcterms:modified>
</cp:coreProperties>
</file>