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sz w:val="40"/>
          <w:szCs w:val="40"/>
        </w:rPr>
        <w:id w:val="1415595919"/>
        <w:docPartObj>
          <w:docPartGallery w:val="Cover Pages"/>
          <w:docPartUnique/>
        </w:docPartObj>
      </w:sdtPr>
      <w:sdtEndPr>
        <w:rPr>
          <w:color w:val="000000" w:themeColor="text1"/>
        </w:rPr>
      </w:sdtEndPr>
      <w:sdtContent>
        <w:p w14:paraId="445282F9" w14:textId="41564848" w:rsidR="007B0994" w:rsidRPr="0025297D" w:rsidRDefault="75BB5235" w:rsidP="75BB5235">
          <w:pPr>
            <w:spacing w:line="360" w:lineRule="auto"/>
          </w:pPr>
          <w:r>
            <w:rPr>
              <w:noProof/>
            </w:rPr>
            <w:drawing>
              <wp:anchor distT="0" distB="0" distL="114300" distR="114300" simplePos="0" relativeHeight="251658240" behindDoc="0" locked="0" layoutInCell="1" allowOverlap="1" wp14:anchorId="6B0D7CE6" wp14:editId="1898C901">
                <wp:simplePos x="0" y="0"/>
                <wp:positionH relativeFrom="column">
                  <wp:align>left</wp:align>
                </wp:positionH>
                <wp:positionV relativeFrom="paragraph">
                  <wp:posOffset>0</wp:posOffset>
                </wp:positionV>
                <wp:extent cx="3499573" cy="1249848"/>
                <wp:effectExtent l="0" t="0" r="0" b="0"/>
                <wp:wrapNone/>
                <wp:docPr id="4394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3499573" cy="1249848"/>
                        </a:xfrm>
                        <a:prstGeom prst="rect">
                          <a:avLst/>
                        </a:prstGeom>
                        <a:noFill/>
                      </pic:spPr>
                    </pic:pic>
                  </a:graphicData>
                </a:graphic>
                <wp14:sizeRelH relativeFrom="page">
                  <wp14:pctWidth>0</wp14:pctWidth>
                </wp14:sizeRelH>
                <wp14:sizeRelV relativeFrom="page">
                  <wp14:pctHeight>0</wp14:pctHeight>
                </wp14:sizeRelV>
              </wp:anchor>
            </w:drawing>
          </w:r>
        </w:p>
        <w:p w14:paraId="2C775E01" w14:textId="6647CF5E" w:rsidR="007B0994" w:rsidRPr="0025297D" w:rsidRDefault="007B0994" w:rsidP="12D3D0E9">
          <w:pPr>
            <w:spacing w:line="360" w:lineRule="auto"/>
          </w:pPr>
        </w:p>
        <w:p w14:paraId="3B8D53D2" w14:textId="77777777" w:rsidR="008750C1" w:rsidRPr="0025297D" w:rsidRDefault="008750C1" w:rsidP="007B0994">
          <w:pPr>
            <w:spacing w:line="360" w:lineRule="auto"/>
            <w:rPr>
              <w:rFonts w:ascii="Arial" w:eastAsiaTheme="minorEastAsia" w:hAnsi="Arial" w:cs="Arial"/>
              <w:b/>
              <w:color w:val="FFFFFF" w:themeColor="background1"/>
              <w:sz w:val="40"/>
              <w:szCs w:val="40"/>
            </w:rPr>
          </w:pPr>
        </w:p>
        <w:p w14:paraId="50F2D6E5" w14:textId="34121743" w:rsidR="007B0994" w:rsidRPr="0025297D" w:rsidRDefault="00D20FFA" w:rsidP="30627B15">
          <w:pPr>
            <w:pStyle w:val="Title"/>
            <w:spacing w:line="360" w:lineRule="auto"/>
            <w:rPr>
              <w:rFonts w:ascii="Arial" w:hAnsi="Arial" w:cs="Arial"/>
              <w:b/>
              <w:bCs/>
              <w:color w:val="000000" w:themeColor="text1"/>
              <w:sz w:val="40"/>
              <w:szCs w:val="40"/>
            </w:rPr>
          </w:pPr>
          <w:r w:rsidRPr="75BB5235">
            <w:rPr>
              <w:rFonts w:ascii="Arial" w:hAnsi="Arial" w:cs="Arial"/>
              <w:b/>
              <w:bCs/>
              <w:color w:val="000000" w:themeColor="text1"/>
              <w:sz w:val="40"/>
              <w:szCs w:val="40"/>
            </w:rPr>
            <w:t>Name: Samina</w:t>
          </w:r>
          <w:r w:rsidR="006E7122" w:rsidRPr="75BB5235">
            <w:rPr>
              <w:rFonts w:ascii="Arial" w:hAnsi="Arial" w:cs="Arial"/>
              <w:b/>
              <w:bCs/>
              <w:color w:val="000000" w:themeColor="text1"/>
              <w:sz w:val="40"/>
              <w:szCs w:val="40"/>
            </w:rPr>
            <w:t xml:space="preserve"> Bibi</w:t>
          </w:r>
        </w:p>
        <w:p w14:paraId="167093DD" w14:textId="6E6BCDF5" w:rsidR="006E7122" w:rsidRPr="0025297D" w:rsidRDefault="006E7122" w:rsidP="30627B15">
          <w:pPr>
            <w:spacing w:line="360" w:lineRule="auto"/>
            <w:rPr>
              <w:rFonts w:ascii="Arial" w:hAnsi="Arial" w:cs="Arial"/>
              <w:b/>
              <w:bCs/>
              <w:sz w:val="40"/>
              <w:szCs w:val="40"/>
            </w:rPr>
          </w:pPr>
          <w:r w:rsidRPr="30627B15">
            <w:rPr>
              <w:rFonts w:ascii="Arial" w:hAnsi="Arial" w:cs="Arial"/>
              <w:b/>
              <w:bCs/>
              <w:sz w:val="40"/>
              <w:szCs w:val="40"/>
            </w:rPr>
            <w:t>Student Number:</w:t>
          </w:r>
          <w:r w:rsidR="00207003" w:rsidRPr="30627B15">
            <w:rPr>
              <w:rFonts w:ascii="Arial" w:hAnsi="Arial" w:cs="Arial"/>
              <w:b/>
              <w:bCs/>
              <w:sz w:val="40"/>
              <w:szCs w:val="40"/>
            </w:rPr>
            <w:t xml:space="preserve"> 2412887</w:t>
          </w:r>
        </w:p>
        <w:p w14:paraId="1676D398" w14:textId="0E47B671" w:rsidR="00207003" w:rsidRPr="0025297D" w:rsidRDefault="00123BAD" w:rsidP="30627B15">
          <w:pPr>
            <w:spacing w:line="360" w:lineRule="auto"/>
            <w:rPr>
              <w:rFonts w:ascii="Arial" w:hAnsi="Arial" w:cs="Arial"/>
              <w:b/>
              <w:bCs/>
              <w:sz w:val="40"/>
              <w:szCs w:val="40"/>
            </w:rPr>
          </w:pPr>
          <w:r w:rsidRPr="30627B15">
            <w:rPr>
              <w:rFonts w:ascii="Arial" w:hAnsi="Arial" w:cs="Arial"/>
              <w:b/>
              <w:bCs/>
              <w:sz w:val="40"/>
              <w:szCs w:val="40"/>
            </w:rPr>
            <w:t>Module: Psychological</w:t>
          </w:r>
          <w:r w:rsidR="00207003" w:rsidRPr="30627B15">
            <w:rPr>
              <w:rFonts w:ascii="Arial" w:hAnsi="Arial" w:cs="Arial"/>
              <w:b/>
              <w:bCs/>
              <w:sz w:val="40"/>
              <w:szCs w:val="40"/>
            </w:rPr>
            <w:t xml:space="preserve"> </w:t>
          </w:r>
          <w:r w:rsidR="7066E3FC" w:rsidRPr="30627B15">
            <w:rPr>
              <w:rFonts w:ascii="Arial" w:eastAsia="Arial" w:hAnsi="Arial" w:cs="Arial"/>
              <w:b/>
              <w:bCs/>
              <w:sz w:val="40"/>
              <w:szCs w:val="40"/>
            </w:rPr>
            <w:t>Classifications</w:t>
          </w:r>
          <w:r w:rsidR="009003A6" w:rsidRPr="30627B15">
            <w:rPr>
              <w:rFonts w:ascii="Arial" w:hAnsi="Arial" w:cs="Arial"/>
              <w:b/>
              <w:bCs/>
              <w:sz w:val="40"/>
              <w:szCs w:val="40"/>
            </w:rPr>
            <w:t xml:space="preserve"> and Provisions</w:t>
          </w:r>
        </w:p>
        <w:p w14:paraId="01E029A1" w14:textId="417BB2A2" w:rsidR="009003A6" w:rsidRPr="0025297D" w:rsidRDefault="009003A6" w:rsidP="006E7122">
          <w:pPr>
            <w:rPr>
              <w:rFonts w:ascii="Arial" w:hAnsi="Arial" w:cs="Arial"/>
              <w:b/>
              <w:sz w:val="40"/>
              <w:szCs w:val="40"/>
            </w:rPr>
          </w:pPr>
          <w:r w:rsidRPr="0025297D">
            <w:rPr>
              <w:rFonts w:ascii="Arial" w:hAnsi="Arial" w:cs="Arial"/>
              <w:b/>
              <w:sz w:val="40"/>
              <w:szCs w:val="40"/>
            </w:rPr>
            <w:t>Module</w:t>
          </w:r>
          <w:r w:rsidR="0025297D" w:rsidRPr="0025297D">
            <w:rPr>
              <w:rFonts w:ascii="Arial" w:hAnsi="Arial" w:cs="Arial"/>
              <w:b/>
              <w:sz w:val="40"/>
              <w:szCs w:val="40"/>
            </w:rPr>
            <w:t xml:space="preserve"> Code</w:t>
          </w:r>
          <w:r w:rsidRPr="0025297D">
            <w:rPr>
              <w:rFonts w:ascii="Arial" w:hAnsi="Arial" w:cs="Arial"/>
              <w:b/>
              <w:sz w:val="40"/>
              <w:szCs w:val="40"/>
            </w:rPr>
            <w:t>:</w:t>
          </w:r>
          <w:r w:rsidR="006C0071" w:rsidRPr="0025297D">
            <w:rPr>
              <w:rFonts w:ascii="Arial" w:hAnsi="Arial" w:cs="Arial"/>
              <w:b/>
              <w:sz w:val="40"/>
              <w:szCs w:val="40"/>
            </w:rPr>
            <w:t xml:space="preserve"> BMHP6029</w:t>
          </w:r>
        </w:p>
        <w:p w14:paraId="49543BD0" w14:textId="7C6940F6" w:rsidR="00D05953" w:rsidRPr="0025297D" w:rsidRDefault="00D05953" w:rsidP="00007141">
          <w:pPr>
            <w:spacing w:line="360" w:lineRule="auto"/>
            <w:rPr>
              <w:rFonts w:ascii="Arial" w:hAnsi="Arial" w:cs="Arial"/>
              <w:b/>
              <w:sz w:val="40"/>
              <w:szCs w:val="40"/>
            </w:rPr>
          </w:pPr>
          <w:r w:rsidRPr="0025297D">
            <w:rPr>
              <w:rFonts w:ascii="Arial" w:hAnsi="Arial" w:cs="Arial"/>
              <w:b/>
              <w:sz w:val="40"/>
              <w:szCs w:val="40"/>
            </w:rPr>
            <w:t>Lecturer: Neale Haddon</w:t>
          </w:r>
        </w:p>
        <w:p w14:paraId="46DE72C7" w14:textId="73F89095" w:rsidR="006C0071" w:rsidRPr="0025297D" w:rsidRDefault="006C0071" w:rsidP="006E7122">
          <w:pPr>
            <w:rPr>
              <w:rFonts w:ascii="Arial" w:hAnsi="Arial" w:cs="Arial"/>
              <w:b/>
              <w:sz w:val="40"/>
              <w:szCs w:val="40"/>
            </w:rPr>
          </w:pPr>
          <w:r w:rsidRPr="0025297D">
            <w:rPr>
              <w:rFonts w:ascii="Arial" w:hAnsi="Arial" w:cs="Arial"/>
              <w:b/>
              <w:sz w:val="40"/>
              <w:szCs w:val="40"/>
            </w:rPr>
            <w:t xml:space="preserve">Assignment </w:t>
          </w:r>
          <w:r w:rsidR="00123BAD" w:rsidRPr="0025297D">
            <w:rPr>
              <w:rFonts w:ascii="Arial" w:hAnsi="Arial" w:cs="Arial"/>
              <w:b/>
              <w:sz w:val="40"/>
              <w:szCs w:val="40"/>
            </w:rPr>
            <w:t>Title: Component</w:t>
          </w:r>
          <w:r w:rsidRPr="0025297D">
            <w:rPr>
              <w:rFonts w:ascii="Arial" w:hAnsi="Arial" w:cs="Arial"/>
              <w:b/>
              <w:sz w:val="40"/>
              <w:szCs w:val="40"/>
            </w:rPr>
            <w:t xml:space="preserve"> 2</w:t>
          </w:r>
        </w:p>
        <w:p w14:paraId="0F2AF579" w14:textId="33A65E44" w:rsidR="007B0994" w:rsidRPr="0025297D" w:rsidRDefault="007B0994" w:rsidP="30627B15">
          <w:pPr>
            <w:pStyle w:val="Title"/>
            <w:spacing w:line="360" w:lineRule="auto"/>
            <w:rPr>
              <w:rFonts w:ascii="Arial" w:hAnsi="Arial" w:cs="Arial"/>
              <w:b/>
              <w:bCs/>
              <w:sz w:val="40"/>
              <w:szCs w:val="40"/>
            </w:rPr>
          </w:pPr>
          <w:r w:rsidRPr="30627B15">
            <w:rPr>
              <w:rFonts w:ascii="Arial" w:hAnsi="Arial" w:cs="Arial"/>
              <w:b/>
              <w:bCs/>
              <w:color w:val="000000" w:themeColor="text1"/>
              <w:sz w:val="40"/>
              <w:szCs w:val="40"/>
            </w:rPr>
            <w:t xml:space="preserve">Adult Attention Deficit Hyperactivity Disorder in England: Classification, Diagnosis, </w:t>
          </w:r>
          <w:r w:rsidRPr="2F3C7C9C">
            <w:rPr>
              <w:rFonts w:ascii="Arial" w:eastAsia="Arial" w:hAnsi="Arial" w:cs="Arial"/>
              <w:b/>
              <w:sz w:val="40"/>
              <w:szCs w:val="40"/>
            </w:rPr>
            <w:t>Treatment</w:t>
          </w:r>
          <w:r w:rsidR="15F26242" w:rsidRPr="2F3C7C9C">
            <w:rPr>
              <w:rFonts w:ascii="Arial" w:eastAsia="Arial" w:hAnsi="Arial" w:cs="Arial"/>
              <w:b/>
              <w:bCs/>
              <w:sz w:val="40"/>
              <w:szCs w:val="40"/>
            </w:rPr>
            <w:t>,</w:t>
          </w:r>
          <w:r w:rsidRPr="2F3C7C9C">
            <w:rPr>
              <w:rFonts w:ascii="Arial" w:eastAsia="Arial" w:hAnsi="Arial" w:cs="Arial"/>
              <w:b/>
              <w:color w:val="000000" w:themeColor="text1"/>
              <w:sz w:val="40"/>
              <w:szCs w:val="40"/>
            </w:rPr>
            <w:t xml:space="preserve"> </w:t>
          </w:r>
          <w:r w:rsidRPr="30627B15">
            <w:rPr>
              <w:rFonts w:ascii="Arial" w:hAnsi="Arial" w:cs="Arial"/>
              <w:b/>
              <w:bCs/>
              <w:color w:val="000000" w:themeColor="text1"/>
              <w:sz w:val="40"/>
              <w:szCs w:val="40"/>
            </w:rPr>
            <w:t>and Long-Term Suppor</w:t>
          </w:r>
          <w:r w:rsidR="00E12A8A" w:rsidRPr="30627B15">
            <w:rPr>
              <w:rFonts w:ascii="Arial" w:hAnsi="Arial" w:cs="Arial"/>
              <w:b/>
              <w:bCs/>
              <w:color w:val="000000" w:themeColor="text1"/>
              <w:sz w:val="40"/>
              <w:szCs w:val="40"/>
            </w:rPr>
            <w:t>t</w:t>
          </w:r>
        </w:p>
        <w:p w14:paraId="7E17D41B" w14:textId="77777777" w:rsidR="007B0994" w:rsidRPr="0025297D" w:rsidRDefault="007B0994" w:rsidP="007B0994">
          <w:pPr>
            <w:spacing w:line="360" w:lineRule="auto"/>
            <w:rPr>
              <w:rFonts w:asciiTheme="majorHAnsi" w:eastAsiaTheme="majorEastAsia" w:hAnsiTheme="majorHAnsi" w:cstheme="majorBidi"/>
              <w:b/>
              <w:color w:val="000000" w:themeColor="text1"/>
              <w:sz w:val="40"/>
              <w:szCs w:val="40"/>
            </w:rPr>
          </w:pPr>
          <w:r w:rsidRPr="0025297D">
            <w:rPr>
              <w:b/>
              <w:color w:val="000000" w:themeColor="text1"/>
              <w:sz w:val="40"/>
              <w:szCs w:val="40"/>
            </w:rPr>
            <w:br w:type="page"/>
          </w:r>
        </w:p>
      </w:sdtContent>
    </w:sdt>
    <w:sdt>
      <w:sdtPr>
        <w:rPr>
          <w:rFonts w:asciiTheme="minorHAnsi" w:eastAsiaTheme="minorEastAsia" w:hAnsiTheme="minorHAnsi" w:cstheme="minorBidi"/>
          <w:color w:val="auto"/>
          <w:sz w:val="22"/>
          <w:szCs w:val="22"/>
        </w:rPr>
        <w:id w:val="-1126775746"/>
        <w:docPartObj>
          <w:docPartGallery w:val="Table of Contents"/>
          <w:docPartUnique/>
        </w:docPartObj>
      </w:sdtPr>
      <w:sdtEndPr>
        <w:rPr>
          <w:b/>
          <w:bCs/>
        </w:rPr>
      </w:sdtEndPr>
      <w:sdtContent>
        <w:p w14:paraId="73311601" w14:textId="77777777" w:rsidR="007B0994" w:rsidRPr="007E1B61" w:rsidRDefault="007B0994" w:rsidP="007B0994">
          <w:pPr>
            <w:pStyle w:val="TOCHeading"/>
            <w:spacing w:line="360" w:lineRule="auto"/>
            <w:rPr>
              <w:rFonts w:ascii="Arial" w:hAnsi="Arial" w:cs="Arial"/>
              <w:b/>
              <w:color w:val="000000" w:themeColor="text1"/>
            </w:rPr>
          </w:pPr>
          <w:r w:rsidRPr="007E1B61">
            <w:rPr>
              <w:rFonts w:ascii="Arial" w:hAnsi="Arial" w:cs="Arial"/>
              <w:b/>
              <w:color w:val="000000" w:themeColor="text1"/>
            </w:rPr>
            <w:t>Table of Contents</w:t>
          </w:r>
        </w:p>
        <w:p w14:paraId="3D260A7E" w14:textId="64F6CE29" w:rsidR="007B0994" w:rsidRPr="007E1B61" w:rsidRDefault="007B0994" w:rsidP="007B0994">
          <w:pPr>
            <w:pStyle w:val="TOC1"/>
            <w:tabs>
              <w:tab w:val="right" w:leader="dot" w:pos="9350"/>
            </w:tabs>
            <w:spacing w:line="360" w:lineRule="auto"/>
            <w:rPr>
              <w:rFonts w:ascii="Arial" w:hAnsi="Arial" w:cs="Arial"/>
              <w:noProof/>
            </w:rPr>
          </w:pPr>
          <w:r w:rsidRPr="007E1B61">
            <w:rPr>
              <w:rFonts w:ascii="Arial" w:hAnsi="Arial" w:cs="Arial"/>
            </w:rPr>
            <w:fldChar w:fldCharType="begin"/>
          </w:r>
          <w:r w:rsidRPr="007E1B61">
            <w:rPr>
              <w:rFonts w:ascii="Arial" w:hAnsi="Arial" w:cs="Arial"/>
            </w:rPr>
            <w:instrText xml:space="preserve"> TOC \o "1-3" \h \z \u </w:instrText>
          </w:r>
          <w:r w:rsidRPr="007E1B61">
            <w:rPr>
              <w:rFonts w:ascii="Arial" w:hAnsi="Arial" w:cs="Arial"/>
            </w:rPr>
            <w:fldChar w:fldCharType="separate"/>
          </w:r>
          <w:hyperlink w:anchor="_Toc241397135" w:history="1">
            <w:r w:rsidRPr="007E1B61">
              <w:rPr>
                <w:rStyle w:val="Hyperlink"/>
                <w:rFonts w:ascii="Arial" w:eastAsia="Times New Roman" w:hAnsi="Arial" w:cs="Arial"/>
                <w:b/>
                <w:noProof/>
              </w:rPr>
              <w:t>Introduction</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_Toc241397135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2</w:t>
            </w:r>
            <w:r w:rsidRPr="007E1B61">
              <w:rPr>
                <w:rFonts w:ascii="Arial" w:hAnsi="Arial" w:cs="Arial"/>
                <w:noProof/>
                <w:webHidden/>
              </w:rPr>
              <w:fldChar w:fldCharType="end"/>
            </w:r>
          </w:hyperlink>
        </w:p>
        <w:p w14:paraId="776D4D6D" w14:textId="19E024A4" w:rsidR="007B0994" w:rsidRPr="007E1B61" w:rsidRDefault="007B0994" w:rsidP="007B0994">
          <w:pPr>
            <w:pStyle w:val="TOC1"/>
            <w:tabs>
              <w:tab w:val="right" w:leader="dot" w:pos="9350"/>
            </w:tabs>
            <w:spacing w:line="360" w:lineRule="auto"/>
            <w:rPr>
              <w:rFonts w:ascii="Arial" w:hAnsi="Arial" w:cs="Arial"/>
              <w:noProof/>
            </w:rPr>
          </w:pPr>
          <w:hyperlink w:anchor="_Toc241397136" w:history="1">
            <w:r w:rsidRPr="007E1B61">
              <w:rPr>
                <w:rStyle w:val="Hyperlink"/>
                <w:rFonts w:ascii="Arial" w:hAnsi="Arial" w:cs="Arial"/>
                <w:b/>
                <w:noProof/>
              </w:rPr>
              <w:t>2. Classification and diagnosis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_Toc241397136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2</w:t>
            </w:r>
            <w:r w:rsidRPr="007E1B61">
              <w:rPr>
                <w:rFonts w:ascii="Arial" w:hAnsi="Arial" w:cs="Arial"/>
                <w:noProof/>
                <w:webHidden/>
              </w:rPr>
              <w:fldChar w:fldCharType="end"/>
            </w:r>
          </w:hyperlink>
        </w:p>
        <w:p w14:paraId="37403DA4" w14:textId="347AFD70" w:rsidR="007B0994" w:rsidRPr="007E1B61" w:rsidRDefault="007B0994" w:rsidP="007B0994">
          <w:pPr>
            <w:pStyle w:val="TOC2"/>
            <w:tabs>
              <w:tab w:val="right" w:leader="dot" w:pos="9350"/>
            </w:tabs>
            <w:spacing w:line="360" w:lineRule="auto"/>
            <w:rPr>
              <w:rFonts w:ascii="Arial" w:hAnsi="Arial" w:cs="Arial"/>
              <w:noProof/>
            </w:rPr>
          </w:pPr>
          <w:hyperlink w:anchor="_Toc241397137" w:history="1">
            <w:r w:rsidRPr="007E1B61">
              <w:rPr>
                <w:rStyle w:val="Hyperlink"/>
                <w:rFonts w:ascii="Arial" w:hAnsi="Arial" w:cs="Arial"/>
                <w:noProof/>
              </w:rPr>
              <w:t>2.1 ICD-11 classification</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_Toc241397137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2</w:t>
            </w:r>
            <w:r w:rsidRPr="007E1B61">
              <w:rPr>
                <w:rFonts w:ascii="Arial" w:hAnsi="Arial" w:cs="Arial"/>
                <w:noProof/>
                <w:webHidden/>
              </w:rPr>
              <w:fldChar w:fldCharType="end"/>
            </w:r>
          </w:hyperlink>
        </w:p>
        <w:p w14:paraId="36899DE9" w14:textId="2B4B545A" w:rsidR="007B0994" w:rsidRPr="007E1B61" w:rsidRDefault="007B0994" w:rsidP="007B0994">
          <w:pPr>
            <w:pStyle w:val="TOC2"/>
            <w:tabs>
              <w:tab w:val="right" w:leader="dot" w:pos="9350"/>
            </w:tabs>
            <w:spacing w:line="360" w:lineRule="auto"/>
            <w:rPr>
              <w:rFonts w:ascii="Arial" w:hAnsi="Arial" w:cs="Arial"/>
              <w:noProof/>
            </w:rPr>
          </w:pPr>
          <w:hyperlink w:anchor="_Toc241397138" w:history="1">
            <w:r w:rsidRPr="007E1B61">
              <w:rPr>
                <w:rStyle w:val="Hyperlink"/>
                <w:rFonts w:ascii="Arial" w:hAnsi="Arial" w:cs="Arial"/>
                <w:noProof/>
              </w:rPr>
              <w:t>2.2 Adult assessment in England</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_Toc241397138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3</w:t>
            </w:r>
            <w:r w:rsidRPr="007E1B61">
              <w:rPr>
                <w:rFonts w:ascii="Arial" w:hAnsi="Arial" w:cs="Arial"/>
                <w:noProof/>
                <w:webHidden/>
              </w:rPr>
              <w:fldChar w:fldCharType="end"/>
            </w:r>
          </w:hyperlink>
        </w:p>
        <w:p w14:paraId="587BCB9C" w14:textId="2FEEC5D8" w:rsidR="007B0994" w:rsidRPr="007E1B61" w:rsidRDefault="007B0994" w:rsidP="007B0994">
          <w:pPr>
            <w:pStyle w:val="TOC2"/>
            <w:tabs>
              <w:tab w:val="right" w:leader="dot" w:pos="9350"/>
            </w:tabs>
            <w:spacing w:line="360" w:lineRule="auto"/>
            <w:rPr>
              <w:rFonts w:ascii="Arial" w:hAnsi="Arial" w:cs="Arial"/>
              <w:noProof/>
            </w:rPr>
          </w:pPr>
          <w:hyperlink w:anchor="_Toc241397139" w:history="1">
            <w:r w:rsidRPr="007E1B61">
              <w:rPr>
                <w:rStyle w:val="Hyperlink"/>
                <w:rFonts w:ascii="Arial" w:hAnsi="Arial" w:cs="Arial"/>
                <w:noProof/>
              </w:rPr>
              <w:t>2.3 Differential diagnosis and diagnostic equity</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_Toc241397139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3</w:t>
            </w:r>
            <w:r w:rsidRPr="007E1B61">
              <w:rPr>
                <w:rFonts w:ascii="Arial" w:hAnsi="Arial" w:cs="Arial"/>
                <w:noProof/>
                <w:webHidden/>
              </w:rPr>
              <w:fldChar w:fldCharType="end"/>
            </w:r>
          </w:hyperlink>
        </w:p>
        <w:p w14:paraId="203F02F4" w14:textId="61D7064E" w:rsidR="007B0994" w:rsidRPr="007E1B61" w:rsidRDefault="007B0994" w:rsidP="007B0994">
          <w:pPr>
            <w:pStyle w:val="TOC1"/>
            <w:tabs>
              <w:tab w:val="right" w:leader="dot" w:pos="9350"/>
            </w:tabs>
            <w:spacing w:line="360" w:lineRule="auto"/>
            <w:rPr>
              <w:rFonts w:ascii="Arial" w:hAnsi="Arial" w:cs="Arial"/>
              <w:noProof/>
            </w:rPr>
          </w:pPr>
          <w:hyperlink w:anchor="_Toc241397140" w:history="1">
            <w:r w:rsidRPr="007E1B61">
              <w:rPr>
                <w:rStyle w:val="Hyperlink"/>
                <w:rFonts w:ascii="Arial" w:hAnsi="Arial" w:cs="Arial"/>
                <w:b/>
                <w:noProof/>
              </w:rPr>
              <w:t>3. Treatment approaches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_Toc241397140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3</w:t>
            </w:r>
            <w:r w:rsidRPr="007E1B61">
              <w:rPr>
                <w:rFonts w:ascii="Arial" w:hAnsi="Arial" w:cs="Arial"/>
                <w:noProof/>
                <w:webHidden/>
              </w:rPr>
              <w:fldChar w:fldCharType="end"/>
            </w:r>
          </w:hyperlink>
        </w:p>
        <w:p w14:paraId="2C6117F8" w14:textId="2060BA29" w:rsidR="007B0994" w:rsidRPr="007E1B61" w:rsidRDefault="007B0994" w:rsidP="007B0994">
          <w:pPr>
            <w:pStyle w:val="TOC2"/>
            <w:tabs>
              <w:tab w:val="right" w:leader="dot" w:pos="9350"/>
            </w:tabs>
            <w:spacing w:line="360" w:lineRule="auto"/>
            <w:rPr>
              <w:rFonts w:ascii="Arial" w:hAnsi="Arial" w:cs="Arial"/>
              <w:noProof/>
            </w:rPr>
          </w:pPr>
          <w:hyperlink w:anchor="_Toc241397141" w:history="1">
            <w:r w:rsidRPr="007E1B61">
              <w:rPr>
                <w:rStyle w:val="Hyperlink"/>
                <w:rFonts w:ascii="Arial" w:hAnsi="Arial" w:cs="Arial"/>
                <w:noProof/>
              </w:rPr>
              <w:t>3.1 Medication and monitoring</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_Toc241397141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4</w:t>
            </w:r>
            <w:r w:rsidRPr="007E1B61">
              <w:rPr>
                <w:rFonts w:ascii="Arial" w:hAnsi="Arial" w:cs="Arial"/>
                <w:noProof/>
                <w:webHidden/>
              </w:rPr>
              <w:fldChar w:fldCharType="end"/>
            </w:r>
          </w:hyperlink>
        </w:p>
        <w:p w14:paraId="23E149F4" w14:textId="72AC3E91" w:rsidR="007B0994" w:rsidRPr="007E1B61" w:rsidRDefault="007B0994" w:rsidP="007B0994">
          <w:pPr>
            <w:pStyle w:val="TOC2"/>
            <w:tabs>
              <w:tab w:val="right" w:leader="dot" w:pos="9350"/>
            </w:tabs>
            <w:spacing w:line="360" w:lineRule="auto"/>
            <w:rPr>
              <w:rFonts w:ascii="Arial" w:hAnsi="Arial" w:cs="Arial"/>
              <w:noProof/>
            </w:rPr>
          </w:pPr>
          <w:hyperlink w:anchor="_Toc241397142" w:history="1">
            <w:r w:rsidRPr="007E1B61">
              <w:rPr>
                <w:rStyle w:val="Hyperlink"/>
                <w:rFonts w:ascii="Arial" w:hAnsi="Arial" w:cs="Arial"/>
                <w:noProof/>
              </w:rPr>
              <w:t>3.2 Psychological and practical support</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_Toc241397142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4</w:t>
            </w:r>
            <w:r w:rsidRPr="007E1B61">
              <w:rPr>
                <w:rFonts w:ascii="Arial" w:hAnsi="Arial" w:cs="Arial"/>
                <w:noProof/>
                <w:webHidden/>
              </w:rPr>
              <w:fldChar w:fldCharType="end"/>
            </w:r>
          </w:hyperlink>
        </w:p>
        <w:p w14:paraId="14DEECB6" w14:textId="48C7A353" w:rsidR="007B0994" w:rsidRPr="007E1B61" w:rsidRDefault="007B0994" w:rsidP="007B0994">
          <w:pPr>
            <w:pStyle w:val="TOC2"/>
            <w:tabs>
              <w:tab w:val="right" w:leader="dot" w:pos="9350"/>
            </w:tabs>
            <w:spacing w:line="360" w:lineRule="auto"/>
            <w:rPr>
              <w:rFonts w:ascii="Arial" w:hAnsi="Arial" w:cs="Arial"/>
              <w:noProof/>
            </w:rPr>
          </w:pPr>
          <w:hyperlink w:anchor="_Toc241397143" w:history="1">
            <w:r w:rsidRPr="007E1B61">
              <w:rPr>
                <w:rStyle w:val="Hyperlink"/>
                <w:rFonts w:ascii="Arial" w:hAnsi="Arial" w:cs="Arial"/>
                <w:noProof/>
              </w:rPr>
              <w:t>3.3 Effectiveness, choice and access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_Toc241397143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4</w:t>
            </w:r>
            <w:r w:rsidRPr="007E1B61">
              <w:rPr>
                <w:rFonts w:ascii="Arial" w:hAnsi="Arial" w:cs="Arial"/>
                <w:noProof/>
                <w:webHidden/>
              </w:rPr>
              <w:fldChar w:fldCharType="end"/>
            </w:r>
          </w:hyperlink>
        </w:p>
        <w:p w14:paraId="472BB824" w14:textId="77F0C667" w:rsidR="007B0994" w:rsidRPr="007E1B61" w:rsidRDefault="007B0994" w:rsidP="007B0994">
          <w:pPr>
            <w:pStyle w:val="TOC1"/>
            <w:tabs>
              <w:tab w:val="right" w:leader="dot" w:pos="9350"/>
            </w:tabs>
            <w:spacing w:line="360" w:lineRule="auto"/>
            <w:rPr>
              <w:rFonts w:ascii="Arial" w:hAnsi="Arial" w:cs="Arial"/>
              <w:noProof/>
            </w:rPr>
          </w:pPr>
          <w:hyperlink w:anchor="_Toc241397144" w:history="1">
            <w:r w:rsidRPr="007E1B61">
              <w:rPr>
                <w:rStyle w:val="Hyperlink"/>
                <w:rFonts w:ascii="Arial" w:hAnsi="Arial" w:cs="Arial"/>
                <w:b/>
                <w:noProof/>
              </w:rPr>
              <w:t>4. Rehabilitation and long-term management</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_Toc241397144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5</w:t>
            </w:r>
            <w:r w:rsidRPr="007E1B61">
              <w:rPr>
                <w:rFonts w:ascii="Arial" w:hAnsi="Arial" w:cs="Arial"/>
                <w:noProof/>
                <w:webHidden/>
              </w:rPr>
              <w:fldChar w:fldCharType="end"/>
            </w:r>
          </w:hyperlink>
        </w:p>
        <w:p w14:paraId="7344157E" w14:textId="7997B4CF" w:rsidR="007B0994" w:rsidRPr="007E1B61" w:rsidRDefault="007B0994" w:rsidP="007B0994">
          <w:pPr>
            <w:pStyle w:val="TOC2"/>
            <w:tabs>
              <w:tab w:val="right" w:leader="dot" w:pos="9350"/>
            </w:tabs>
            <w:spacing w:line="360" w:lineRule="auto"/>
            <w:rPr>
              <w:rFonts w:ascii="Arial" w:hAnsi="Arial" w:cs="Arial"/>
              <w:noProof/>
            </w:rPr>
          </w:pPr>
          <w:hyperlink w:anchor="_Toc241397145" w:history="1">
            <w:r w:rsidRPr="007E1B61">
              <w:rPr>
                <w:rStyle w:val="Hyperlink"/>
                <w:rFonts w:ascii="Arial" w:hAnsi="Arial" w:cs="Arial"/>
                <w:noProof/>
              </w:rPr>
              <w:t>4.1 Continuing care and functioning</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_Toc241397145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5</w:t>
            </w:r>
            <w:r w:rsidRPr="007E1B61">
              <w:rPr>
                <w:rFonts w:ascii="Arial" w:hAnsi="Arial" w:cs="Arial"/>
                <w:noProof/>
                <w:webHidden/>
              </w:rPr>
              <w:fldChar w:fldCharType="end"/>
            </w:r>
          </w:hyperlink>
        </w:p>
        <w:p w14:paraId="15F96981" w14:textId="5911653D" w:rsidR="007B0994" w:rsidRPr="007E1B61" w:rsidRDefault="007B0994" w:rsidP="007B0994">
          <w:pPr>
            <w:pStyle w:val="TOC2"/>
            <w:tabs>
              <w:tab w:val="right" w:leader="dot" w:pos="9350"/>
            </w:tabs>
            <w:spacing w:line="360" w:lineRule="auto"/>
            <w:rPr>
              <w:rFonts w:ascii="Arial" w:hAnsi="Arial" w:cs="Arial"/>
              <w:noProof/>
            </w:rPr>
          </w:pPr>
          <w:hyperlink w:anchor="_Toc241397146" w:history="1">
            <w:r w:rsidRPr="007E1B61">
              <w:rPr>
                <w:rStyle w:val="Hyperlink"/>
                <w:rFonts w:ascii="Arial" w:hAnsi="Arial" w:cs="Arial"/>
                <w:noProof/>
              </w:rPr>
              <w:t>4.2 Policy and legal framework</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_Toc241397146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5</w:t>
            </w:r>
            <w:r w:rsidRPr="007E1B61">
              <w:rPr>
                <w:rFonts w:ascii="Arial" w:hAnsi="Arial" w:cs="Arial"/>
                <w:noProof/>
                <w:webHidden/>
              </w:rPr>
              <w:fldChar w:fldCharType="end"/>
            </w:r>
          </w:hyperlink>
        </w:p>
        <w:p w14:paraId="1C512E8A" w14:textId="298CC4A1" w:rsidR="007B0994" w:rsidRPr="007E1B61" w:rsidRDefault="007B0994" w:rsidP="007B0994">
          <w:pPr>
            <w:pStyle w:val="TOC1"/>
            <w:tabs>
              <w:tab w:val="right" w:leader="dot" w:pos="9350"/>
            </w:tabs>
            <w:spacing w:line="360" w:lineRule="auto"/>
            <w:rPr>
              <w:rFonts w:ascii="Arial" w:hAnsi="Arial" w:cs="Arial"/>
              <w:noProof/>
            </w:rPr>
          </w:pPr>
          <w:hyperlink w:anchor="_Toc241397147" w:history="1">
            <w:r w:rsidRPr="007E1B61">
              <w:rPr>
                <w:rStyle w:val="Hyperlink"/>
                <w:rFonts w:ascii="Arial" w:hAnsi="Arial" w:cs="Arial"/>
                <w:b/>
                <w:noProof/>
              </w:rPr>
              <w:t>5. Current debates and emerging issues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_Toc241397147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6</w:t>
            </w:r>
            <w:r w:rsidRPr="007E1B61">
              <w:rPr>
                <w:rFonts w:ascii="Arial" w:hAnsi="Arial" w:cs="Arial"/>
                <w:noProof/>
                <w:webHidden/>
              </w:rPr>
              <w:fldChar w:fldCharType="end"/>
            </w:r>
          </w:hyperlink>
        </w:p>
        <w:p w14:paraId="71733235" w14:textId="392EDDF3" w:rsidR="007B0994" w:rsidRPr="007E1B61" w:rsidRDefault="007B0994" w:rsidP="007B0994">
          <w:pPr>
            <w:pStyle w:val="TOC2"/>
            <w:tabs>
              <w:tab w:val="right" w:leader="dot" w:pos="9350"/>
            </w:tabs>
            <w:spacing w:line="360" w:lineRule="auto"/>
            <w:rPr>
              <w:rFonts w:ascii="Arial" w:hAnsi="Arial" w:cs="Arial"/>
              <w:noProof/>
            </w:rPr>
          </w:pPr>
          <w:hyperlink w:anchor="_Toc241397148" w:history="1">
            <w:r w:rsidRPr="007E1B61">
              <w:rPr>
                <w:rStyle w:val="Hyperlink"/>
                <w:rFonts w:ascii="Arial" w:hAnsi="Arial" w:cs="Arial"/>
                <w:noProof/>
              </w:rPr>
              <w:t>5.1 Classification, identity and thresholds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_Toc241397148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6</w:t>
            </w:r>
            <w:r w:rsidRPr="007E1B61">
              <w:rPr>
                <w:rFonts w:ascii="Arial" w:hAnsi="Arial" w:cs="Arial"/>
                <w:noProof/>
                <w:webHidden/>
              </w:rPr>
              <w:fldChar w:fldCharType="end"/>
            </w:r>
          </w:hyperlink>
        </w:p>
        <w:p w14:paraId="6B59FF6E" w14:textId="5FFE4992" w:rsidR="007B0994" w:rsidRPr="007E1B61" w:rsidRDefault="007B0994" w:rsidP="007B0994">
          <w:pPr>
            <w:pStyle w:val="TOC2"/>
            <w:tabs>
              <w:tab w:val="right" w:leader="dot" w:pos="9350"/>
            </w:tabs>
            <w:spacing w:line="360" w:lineRule="auto"/>
            <w:rPr>
              <w:rFonts w:ascii="Arial" w:hAnsi="Arial" w:cs="Arial"/>
              <w:noProof/>
            </w:rPr>
          </w:pPr>
          <w:hyperlink w:anchor="_Toc241397149" w:history="1">
            <w:r w:rsidRPr="007E1B61">
              <w:rPr>
                <w:rStyle w:val="Hyperlink"/>
                <w:rFonts w:ascii="Arial" w:hAnsi="Arial" w:cs="Arial"/>
                <w:noProof/>
              </w:rPr>
              <w:t>5.2 Assessment demand and UK evidence</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_Toc241397149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6</w:t>
            </w:r>
            <w:r w:rsidRPr="007E1B61">
              <w:rPr>
                <w:rFonts w:ascii="Arial" w:hAnsi="Arial" w:cs="Arial"/>
                <w:noProof/>
                <w:webHidden/>
              </w:rPr>
              <w:fldChar w:fldCharType="end"/>
            </w:r>
          </w:hyperlink>
        </w:p>
        <w:p w14:paraId="76A9199E" w14:textId="0883941B" w:rsidR="007B0994" w:rsidRPr="007E1B61" w:rsidRDefault="007B0994" w:rsidP="007B0994">
          <w:pPr>
            <w:pStyle w:val="TOC1"/>
            <w:tabs>
              <w:tab w:val="right" w:leader="dot" w:pos="9350"/>
            </w:tabs>
            <w:spacing w:line="360" w:lineRule="auto"/>
            <w:rPr>
              <w:rFonts w:ascii="Arial" w:hAnsi="Arial" w:cs="Arial"/>
              <w:noProof/>
            </w:rPr>
          </w:pPr>
          <w:hyperlink w:anchor="_Toc241397150" w:history="1">
            <w:r w:rsidRPr="007E1B61">
              <w:rPr>
                <w:rStyle w:val="Hyperlink"/>
                <w:rFonts w:ascii="Arial" w:hAnsi="Arial" w:cs="Arial"/>
                <w:b/>
                <w:noProof/>
              </w:rPr>
              <w:t>6. Recommendations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_Toc241397150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6</w:t>
            </w:r>
            <w:r w:rsidRPr="007E1B61">
              <w:rPr>
                <w:rFonts w:ascii="Arial" w:hAnsi="Arial" w:cs="Arial"/>
                <w:noProof/>
                <w:webHidden/>
              </w:rPr>
              <w:fldChar w:fldCharType="end"/>
            </w:r>
          </w:hyperlink>
        </w:p>
        <w:p w14:paraId="5048A993" w14:textId="5AF70B1A" w:rsidR="007B0994" w:rsidRPr="007E1B61" w:rsidRDefault="007B0994" w:rsidP="007B0994">
          <w:pPr>
            <w:pStyle w:val="TOC1"/>
            <w:tabs>
              <w:tab w:val="right" w:leader="dot" w:pos="9350"/>
            </w:tabs>
            <w:spacing w:line="360" w:lineRule="auto"/>
            <w:rPr>
              <w:rFonts w:ascii="Arial" w:hAnsi="Arial" w:cs="Arial"/>
              <w:noProof/>
            </w:rPr>
          </w:pPr>
          <w:hyperlink w:anchor="_Toc241397151" w:history="1">
            <w:r w:rsidRPr="007E1B61">
              <w:rPr>
                <w:rStyle w:val="Hyperlink"/>
                <w:rFonts w:ascii="Arial" w:hAnsi="Arial" w:cs="Arial"/>
                <w:b/>
                <w:noProof/>
              </w:rPr>
              <w:t>7. Conclusion</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_Toc241397151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7</w:t>
            </w:r>
            <w:r w:rsidRPr="007E1B61">
              <w:rPr>
                <w:rFonts w:ascii="Arial" w:hAnsi="Arial" w:cs="Arial"/>
                <w:noProof/>
                <w:webHidden/>
              </w:rPr>
              <w:fldChar w:fldCharType="end"/>
            </w:r>
          </w:hyperlink>
        </w:p>
        <w:p w14:paraId="0E9E4AE4" w14:textId="7FC5C0D9" w:rsidR="007B0994" w:rsidRPr="007E1B61" w:rsidRDefault="007B0994" w:rsidP="007B0994">
          <w:pPr>
            <w:pStyle w:val="TOC1"/>
            <w:tabs>
              <w:tab w:val="right" w:leader="dot" w:pos="9350"/>
            </w:tabs>
            <w:spacing w:line="360" w:lineRule="auto"/>
            <w:rPr>
              <w:rFonts w:ascii="Arial" w:hAnsi="Arial" w:cs="Arial"/>
              <w:noProof/>
            </w:rPr>
          </w:pPr>
          <w:hyperlink w:anchor="_Toc241397152" w:history="1">
            <w:r w:rsidRPr="007E1B61">
              <w:rPr>
                <w:rStyle w:val="Hyperlink"/>
                <w:rFonts w:ascii="Arial" w:hAnsi="Arial" w:cs="Arial"/>
                <w:b/>
                <w:noProof/>
              </w:rPr>
              <w:t>Reference List</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_Toc241397152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7</w:t>
            </w:r>
            <w:r w:rsidRPr="007E1B61">
              <w:rPr>
                <w:rFonts w:ascii="Arial" w:hAnsi="Arial" w:cs="Arial"/>
                <w:noProof/>
                <w:webHidden/>
              </w:rPr>
              <w:fldChar w:fldCharType="end"/>
            </w:r>
          </w:hyperlink>
        </w:p>
        <w:p w14:paraId="69ABC22D" w14:textId="702E854F" w:rsidR="007B0994" w:rsidRPr="007E1B61" w:rsidRDefault="007B0994" w:rsidP="007B0994">
          <w:pPr>
            <w:pStyle w:val="TOC1"/>
            <w:tabs>
              <w:tab w:val="right" w:leader="dot" w:pos="9350"/>
            </w:tabs>
            <w:spacing w:line="360" w:lineRule="auto"/>
            <w:rPr>
              <w:rFonts w:ascii="Arial" w:hAnsi="Arial" w:cs="Arial"/>
              <w:noProof/>
            </w:rPr>
          </w:pPr>
          <w:hyperlink w:anchor="_Toc241397153" w:history="1">
            <w:r w:rsidRPr="007E1B61">
              <w:rPr>
                <w:rStyle w:val="Hyperlink"/>
                <w:rFonts w:ascii="Arial" w:hAnsi="Arial" w:cs="Arial"/>
                <w:b/>
                <w:noProof/>
              </w:rPr>
              <w:t>Appendices</w:t>
            </w:r>
            <w:r w:rsidRPr="007E1B61">
              <w:rPr>
                <w:rFonts w:ascii="Arial" w:hAnsi="Arial" w:cs="Arial"/>
                <w:noProof/>
                <w:webHidden/>
              </w:rPr>
              <w:tab/>
            </w:r>
            <w:r w:rsidRPr="007E1B61">
              <w:rPr>
                <w:rFonts w:ascii="Arial" w:hAnsi="Arial" w:cs="Arial"/>
                <w:noProof/>
                <w:webHidden/>
              </w:rPr>
              <w:fldChar w:fldCharType="begin"/>
            </w:r>
            <w:r w:rsidRPr="007E1B61">
              <w:rPr>
                <w:rFonts w:ascii="Arial" w:hAnsi="Arial" w:cs="Arial"/>
                <w:noProof/>
                <w:webHidden/>
              </w:rPr>
              <w:instrText xml:space="preserve"> PAGEREF _Toc241397153 \h </w:instrText>
            </w:r>
            <w:r w:rsidRPr="007E1B61">
              <w:rPr>
                <w:rFonts w:ascii="Arial" w:hAnsi="Arial" w:cs="Arial"/>
                <w:noProof/>
                <w:webHidden/>
              </w:rPr>
            </w:r>
            <w:r w:rsidRPr="007E1B61">
              <w:rPr>
                <w:rFonts w:ascii="Arial" w:hAnsi="Arial" w:cs="Arial"/>
                <w:noProof/>
                <w:webHidden/>
              </w:rPr>
              <w:fldChar w:fldCharType="separate"/>
            </w:r>
            <w:r w:rsidR="007E1B61">
              <w:rPr>
                <w:rFonts w:ascii="Arial" w:hAnsi="Arial" w:cs="Arial"/>
                <w:noProof/>
                <w:webHidden/>
              </w:rPr>
              <w:t>13</w:t>
            </w:r>
            <w:r w:rsidRPr="007E1B61">
              <w:rPr>
                <w:rFonts w:ascii="Arial" w:hAnsi="Arial" w:cs="Arial"/>
                <w:noProof/>
                <w:webHidden/>
              </w:rPr>
              <w:fldChar w:fldCharType="end"/>
            </w:r>
          </w:hyperlink>
        </w:p>
        <w:p w14:paraId="7D451EC5" w14:textId="77777777" w:rsidR="007B0994" w:rsidRPr="007E1B61" w:rsidRDefault="007B0994" w:rsidP="007B0994">
          <w:pPr>
            <w:spacing w:line="360" w:lineRule="auto"/>
            <w:rPr>
              <w:rFonts w:ascii="Arial" w:hAnsi="Arial" w:cs="Arial"/>
            </w:rPr>
          </w:pPr>
          <w:r w:rsidRPr="007E1B61">
            <w:rPr>
              <w:rFonts w:ascii="Arial" w:hAnsi="Arial" w:cs="Arial"/>
              <w:b/>
              <w:bCs/>
            </w:rPr>
            <w:fldChar w:fldCharType="end"/>
          </w:r>
        </w:p>
      </w:sdtContent>
    </w:sdt>
    <w:p w14:paraId="5FBA7762" w14:textId="77777777" w:rsidR="00597FBA" w:rsidRPr="007E1B61" w:rsidRDefault="00597FBA" w:rsidP="007B0994">
      <w:pPr>
        <w:pStyle w:val="Heading1"/>
        <w:spacing w:line="360" w:lineRule="auto"/>
        <w:rPr>
          <w:rFonts w:ascii="Arial" w:eastAsiaTheme="minorHAnsi" w:hAnsi="Arial" w:cs="Arial"/>
          <w:color w:val="auto"/>
          <w:sz w:val="22"/>
          <w:szCs w:val="22"/>
        </w:rPr>
      </w:pPr>
      <w:bookmarkStart w:id="0" w:name="_Toc241397135"/>
    </w:p>
    <w:p w14:paraId="7010ADB8" w14:textId="77777777" w:rsidR="007E1B61" w:rsidRPr="007E1B61" w:rsidRDefault="007E1B61" w:rsidP="007B0994">
      <w:pPr>
        <w:pStyle w:val="Heading1"/>
        <w:spacing w:line="360" w:lineRule="auto"/>
        <w:rPr>
          <w:rFonts w:ascii="Arial" w:eastAsia="Times New Roman" w:hAnsi="Arial" w:cs="Arial"/>
          <w:b/>
          <w:color w:val="000000" w:themeColor="text1"/>
        </w:rPr>
      </w:pPr>
    </w:p>
    <w:p w14:paraId="61DE5C3D" w14:textId="77777777" w:rsidR="007E1B61" w:rsidRPr="007E1B61" w:rsidRDefault="007E1B61" w:rsidP="007E1B61">
      <w:pPr>
        <w:rPr>
          <w:rFonts w:ascii="Arial" w:hAnsi="Arial" w:cs="Arial"/>
        </w:rPr>
      </w:pPr>
    </w:p>
    <w:p w14:paraId="4423A1A8" w14:textId="1AD81E57" w:rsidR="004163F6" w:rsidRPr="007E1B61" w:rsidRDefault="004163F6" w:rsidP="007B0994">
      <w:pPr>
        <w:pStyle w:val="Heading1"/>
        <w:spacing w:line="360" w:lineRule="auto"/>
        <w:rPr>
          <w:rFonts w:ascii="Arial" w:eastAsia="Times New Roman" w:hAnsi="Arial" w:cs="Arial"/>
          <w:b/>
          <w:color w:val="000000" w:themeColor="text1"/>
        </w:rPr>
      </w:pPr>
      <w:r w:rsidRPr="007E1B61">
        <w:rPr>
          <w:rFonts w:ascii="Arial" w:eastAsia="Times New Roman" w:hAnsi="Arial" w:cs="Arial"/>
          <w:b/>
          <w:color w:val="000000" w:themeColor="text1"/>
        </w:rPr>
        <w:t>Introduction</w:t>
      </w:r>
      <w:bookmarkEnd w:id="0"/>
    </w:p>
    <w:p w14:paraId="25FD9422" w14:textId="49FAA815" w:rsidR="00FB7875" w:rsidRPr="001E5435" w:rsidRDefault="0F805073" w:rsidP="00597FBA">
      <w:pPr>
        <w:spacing w:line="360" w:lineRule="auto"/>
        <w:jc w:val="both"/>
        <w:rPr>
          <w:rStyle w:val="cursor-pointer"/>
          <w:rFonts w:ascii="Arial" w:hAnsi="Arial" w:cs="Arial"/>
        </w:rPr>
      </w:pPr>
      <w:r w:rsidRPr="48CE9D0E">
        <w:rPr>
          <w:rStyle w:val="cursor-pointer"/>
          <w:rFonts w:ascii="Arial" w:hAnsi="Arial" w:cs="Arial"/>
        </w:rPr>
        <w:t xml:space="preserve">Persistent inattention and/or hyperactivity impulsivity that interferes with functioning is the clinical picture of attention deficit hyperactivity disorder (ICD-11 code 6A05) </w:t>
      </w:r>
      <w:r w:rsidRPr="48CE9D0E">
        <w:rPr>
          <w:rFonts w:ascii="Arial" w:hAnsi="Arial" w:cs="Arial"/>
        </w:rPr>
        <w:t>(World Health Organization, 2024)</w:t>
      </w:r>
      <w:r w:rsidRPr="48CE9D0E">
        <w:rPr>
          <w:rStyle w:val="cursor-pointer"/>
          <w:rFonts w:ascii="Arial" w:hAnsi="Arial" w:cs="Arial"/>
        </w:rPr>
        <w:t>.</w:t>
      </w:r>
      <w:r w:rsidRPr="48CE9D0E">
        <w:rPr>
          <w:rFonts w:ascii="Arial" w:hAnsi="Arial" w:cs="Arial"/>
        </w:rPr>
        <w:t xml:space="preserve"> </w:t>
      </w:r>
      <w:r w:rsidR="24C31610" w:rsidRPr="48CE9D0E">
        <w:rPr>
          <w:rStyle w:val="cursor-pointer"/>
          <w:rFonts w:ascii="Arial" w:hAnsi="Arial" w:cs="Arial"/>
        </w:rPr>
        <w:t>This report examines</w:t>
      </w:r>
      <w:r w:rsidRPr="48CE9D0E">
        <w:rPr>
          <w:rStyle w:val="cursor-pointer"/>
          <w:rFonts w:ascii="Arial" w:hAnsi="Arial" w:cs="Arial"/>
        </w:rPr>
        <w:t xml:space="preserve"> adult ADHD in England.</w:t>
      </w:r>
      <w:r w:rsidRPr="48CE9D0E">
        <w:rPr>
          <w:rFonts w:ascii="Arial" w:hAnsi="Arial" w:cs="Arial"/>
        </w:rPr>
        <w:t xml:space="preserve"> </w:t>
      </w:r>
      <w:r w:rsidRPr="48CE9D0E">
        <w:rPr>
          <w:rStyle w:val="cursor-pointer"/>
          <w:rFonts w:ascii="Arial" w:hAnsi="Arial" w:cs="Arial"/>
        </w:rPr>
        <w:t>NHS England estimates 2,478,000 people in England (including people without a diagnosed ADHD) have the condition</w:t>
      </w:r>
      <w:r w:rsidR="2E23071D" w:rsidRPr="48CE9D0E">
        <w:rPr>
          <w:rStyle w:val="cursor-pointer"/>
          <w:rFonts w:ascii="Arial" w:hAnsi="Arial" w:cs="Arial"/>
        </w:rPr>
        <w:t xml:space="preserve"> </w:t>
      </w:r>
      <w:r w:rsidR="2E23071D" w:rsidRPr="48CE9D0E">
        <w:rPr>
          <w:rFonts w:ascii="Arial" w:hAnsi="Arial" w:cs="Arial"/>
        </w:rPr>
        <w:t>(Sanchez-Santos et al., 2025)</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It also includes up to 959,662 open referrals in June 2026 which could be relevant to the assessment of ADHD</w:t>
      </w:r>
      <w:r w:rsidR="2E23071D" w:rsidRPr="48CE9D0E">
        <w:rPr>
          <w:rStyle w:val="cursor-pointer"/>
          <w:rFonts w:ascii="Arial" w:hAnsi="Arial" w:cs="Arial"/>
        </w:rPr>
        <w:t xml:space="preserve"> </w:t>
      </w:r>
      <w:r w:rsidR="2E23071D" w:rsidRPr="48CE9D0E">
        <w:rPr>
          <w:rFonts w:ascii="Arial" w:hAnsi="Arial" w:cs="Arial"/>
        </w:rPr>
        <w:t>(Sanchez-Santos et al., 2025)</w:t>
      </w:r>
      <w:r w:rsidRPr="48CE9D0E">
        <w:rPr>
          <w:rStyle w:val="cursor-pointer"/>
          <w:rFonts w:ascii="Arial" w:hAnsi="Arial" w:cs="Arial"/>
        </w:rPr>
        <w:t>.</w:t>
      </w:r>
      <w:r w:rsidRPr="48CE9D0E">
        <w:rPr>
          <w:rFonts w:ascii="Arial" w:hAnsi="Arial" w:cs="Arial"/>
        </w:rPr>
        <w:t xml:space="preserve"> </w:t>
      </w:r>
      <w:r w:rsidR="24E6AA31" w:rsidRPr="48CE9D0E">
        <w:rPr>
          <w:rFonts w:ascii="Arial" w:hAnsi="Arial" w:cs="Arial"/>
        </w:rPr>
        <w:t xml:space="preserve">The figure also includes </w:t>
      </w:r>
      <w:r w:rsidR="3ED2FEF9" w:rsidRPr="48CE9D0E">
        <w:rPr>
          <w:rFonts w:ascii="Arial" w:hAnsi="Arial" w:cs="Arial"/>
        </w:rPr>
        <w:t>children,</w:t>
      </w:r>
      <w:r w:rsidR="24E6AA31" w:rsidRPr="48CE9D0E">
        <w:rPr>
          <w:rFonts w:ascii="Arial" w:hAnsi="Arial" w:cs="Arial"/>
        </w:rPr>
        <w:t xml:space="preserve"> and some categories may include other conditions, so it is not possible to quantify the number of adults waiting for an assessment of ADHD. </w:t>
      </w:r>
      <w:r w:rsidRPr="48CE9D0E">
        <w:rPr>
          <w:rStyle w:val="cursor-pointer"/>
          <w:rFonts w:ascii="Arial" w:hAnsi="Arial" w:cs="Arial"/>
        </w:rPr>
        <w:t>These restrictions can only be addressed by interpretation when evaluating service demand</w:t>
      </w:r>
      <w:r w:rsidR="2E23071D" w:rsidRPr="48CE9D0E">
        <w:rPr>
          <w:rStyle w:val="cursor-pointer"/>
          <w:rFonts w:ascii="Arial" w:hAnsi="Arial" w:cs="Arial"/>
        </w:rPr>
        <w:t xml:space="preserve"> </w:t>
      </w:r>
      <w:r w:rsidR="2E23071D" w:rsidRPr="48CE9D0E">
        <w:rPr>
          <w:rFonts w:ascii="Arial" w:hAnsi="Arial" w:cs="Arial"/>
        </w:rPr>
        <w:t>(Price et al., 2025)</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 xml:space="preserve">The report critically reviews the classification and diagnosis, medication and psychological support, and long-term functioning, workplace </w:t>
      </w:r>
      <w:r w:rsidR="7EFFC759" w:rsidRPr="48CE9D0E">
        <w:rPr>
          <w:rStyle w:val="cursor-pointer"/>
          <w:rFonts w:ascii="Arial" w:hAnsi="Arial" w:cs="Arial"/>
        </w:rPr>
        <w:t>participation,</w:t>
      </w:r>
      <w:r w:rsidRPr="48CE9D0E">
        <w:rPr>
          <w:rStyle w:val="cursor-pointer"/>
          <w:rFonts w:ascii="Arial" w:hAnsi="Arial" w:cs="Arial"/>
        </w:rPr>
        <w:t xml:space="preserve"> and continuity of care.</w:t>
      </w:r>
      <w:r w:rsidRPr="48CE9D0E">
        <w:rPr>
          <w:rFonts w:ascii="Arial" w:hAnsi="Arial" w:cs="Arial"/>
        </w:rPr>
        <w:t xml:space="preserve"> </w:t>
      </w:r>
      <w:r w:rsidRPr="48CE9D0E">
        <w:rPr>
          <w:rStyle w:val="cursor-pointer"/>
          <w:rFonts w:ascii="Arial" w:hAnsi="Arial" w:cs="Arial"/>
        </w:rPr>
        <w:t>It then covers neurodivergence, inequalities and policy, and offers recommendations.</w:t>
      </w:r>
      <w:r w:rsidRPr="48CE9D0E">
        <w:rPr>
          <w:rFonts w:ascii="Arial" w:hAnsi="Arial" w:cs="Arial"/>
        </w:rPr>
        <w:t xml:space="preserve"> </w:t>
      </w:r>
      <w:r w:rsidR="2E23071D" w:rsidRPr="48CE9D0E">
        <w:rPr>
          <w:rFonts w:ascii="Arial" w:hAnsi="Arial" w:cs="Arial"/>
        </w:rPr>
        <w:t>The report argues that clinical guidance has limited practical value without accessible assessment and continuing support.</w:t>
      </w:r>
    </w:p>
    <w:p w14:paraId="0C2897A0" w14:textId="77777777" w:rsidR="004163F6" w:rsidRPr="001E5435" w:rsidRDefault="004163F6" w:rsidP="007B0994">
      <w:pPr>
        <w:pStyle w:val="Heading1"/>
        <w:spacing w:line="360" w:lineRule="auto"/>
        <w:rPr>
          <w:rFonts w:ascii="Arial" w:hAnsi="Arial" w:cs="Arial"/>
          <w:b/>
          <w:color w:val="000000" w:themeColor="text1"/>
        </w:rPr>
      </w:pPr>
      <w:bookmarkStart w:id="1" w:name="_Toc241397136"/>
      <w:r w:rsidRPr="001E5435">
        <w:rPr>
          <w:rFonts w:ascii="Arial" w:hAnsi="Arial" w:cs="Arial"/>
          <w:b/>
          <w:color w:val="000000" w:themeColor="text1"/>
        </w:rPr>
        <w:t>2. Classification and diagnosis</w:t>
      </w:r>
      <w:bookmarkEnd w:id="1"/>
    </w:p>
    <w:p w14:paraId="0C4D7C3E" w14:textId="77777777" w:rsidR="004163F6" w:rsidRPr="001E5435" w:rsidRDefault="004163F6" w:rsidP="007B0994">
      <w:pPr>
        <w:spacing w:line="360" w:lineRule="auto"/>
        <w:jc w:val="both"/>
        <w:rPr>
          <w:rFonts w:ascii="Arial" w:hAnsi="Arial" w:cs="Arial"/>
        </w:rPr>
      </w:pPr>
      <w:r w:rsidRPr="001E5435">
        <w:rPr>
          <w:rFonts w:ascii="Arial" w:hAnsi="Arial" w:cs="Arial"/>
        </w:rPr>
        <w:t>This section will explore the classification of ADHD within ICD-11, and how guidance is applied to diagnose ADHD in adults in England.</w:t>
      </w:r>
    </w:p>
    <w:p w14:paraId="1A5D4E33" w14:textId="77777777" w:rsidR="00A80D94" w:rsidRPr="007E1B61" w:rsidRDefault="004163F6" w:rsidP="00A80D94">
      <w:pPr>
        <w:pStyle w:val="Heading2"/>
        <w:spacing w:line="360" w:lineRule="auto"/>
        <w:rPr>
          <w:rFonts w:ascii="Arial" w:hAnsi="Arial" w:cs="Arial"/>
          <w:sz w:val="32"/>
        </w:rPr>
      </w:pPr>
      <w:bookmarkStart w:id="2" w:name="_Toc241397137"/>
      <w:r w:rsidRPr="007E1B61">
        <w:rPr>
          <w:rFonts w:ascii="Arial" w:hAnsi="Arial" w:cs="Arial"/>
          <w:sz w:val="32"/>
        </w:rPr>
        <w:t>2.1 ICD-11 classification</w:t>
      </w:r>
      <w:bookmarkEnd w:id="2"/>
    </w:p>
    <w:p w14:paraId="16123FD5" w14:textId="1E952B79" w:rsidR="004163F6" w:rsidRPr="001E20DA" w:rsidRDefault="4CFA8E10" w:rsidP="001E20DA">
      <w:pPr>
        <w:pStyle w:val="Heading2"/>
        <w:spacing w:line="360" w:lineRule="auto"/>
        <w:rPr>
          <w:b w:val="0"/>
          <w:bCs w:val="0"/>
          <w:sz w:val="22"/>
          <w:szCs w:val="22"/>
        </w:rPr>
      </w:pPr>
      <w:r w:rsidRPr="48CE9D0E">
        <w:rPr>
          <w:rFonts w:ascii="Arial" w:hAnsi="Arial" w:cs="Arial"/>
          <w:b w:val="0"/>
          <w:bCs w:val="0"/>
          <w:sz w:val="22"/>
          <w:szCs w:val="22"/>
        </w:rPr>
        <w:t xml:space="preserve">Attention deficit hyperactivity disorder (ADHD) is classified as a neurodevelopmental disorder under ICD-11 code 6A05 </w:t>
      </w:r>
      <w:r w:rsidR="2E23071D" w:rsidRPr="48CE9D0E">
        <w:rPr>
          <w:rFonts w:ascii="Arial" w:hAnsi="Arial" w:cs="Arial"/>
          <w:b w:val="0"/>
          <w:bCs w:val="0"/>
          <w:sz w:val="22"/>
          <w:szCs w:val="22"/>
        </w:rPr>
        <w:t>(Tebartz van Elst, Riedel and Biscaldi-Schafer, 2025)</w:t>
      </w:r>
      <w:r w:rsidR="5479E74F" w:rsidRPr="48CE9D0E">
        <w:rPr>
          <w:rStyle w:val="cursor-pointer"/>
          <w:rFonts w:ascii="Arial" w:hAnsi="Arial" w:cs="Arial"/>
          <w:b w:val="0"/>
          <w:bCs w:val="0"/>
          <w:sz w:val="22"/>
          <w:szCs w:val="22"/>
        </w:rPr>
        <w:t>.</w:t>
      </w:r>
      <w:r w:rsidR="5479E74F" w:rsidRPr="48CE9D0E">
        <w:rPr>
          <w:rFonts w:ascii="Arial" w:hAnsi="Arial" w:cs="Arial"/>
          <w:b w:val="0"/>
          <w:bCs w:val="0"/>
          <w:sz w:val="22"/>
          <w:szCs w:val="22"/>
        </w:rPr>
        <w:t xml:space="preserve"> </w:t>
      </w:r>
      <w:r w:rsidRPr="48CE9D0E">
        <w:rPr>
          <w:rStyle w:val="cursor-pointer"/>
          <w:rFonts w:ascii="Arial" w:hAnsi="Arial" w:cs="Arial"/>
          <w:b w:val="0"/>
          <w:bCs w:val="0"/>
          <w:sz w:val="22"/>
          <w:szCs w:val="22"/>
        </w:rPr>
        <w:t xml:space="preserve">It </w:t>
      </w:r>
      <w:r w:rsidR="4C2B2A17" w:rsidRPr="48CE9D0E">
        <w:rPr>
          <w:rStyle w:val="cursor-pointer"/>
          <w:rFonts w:ascii="Arial" w:hAnsi="Arial" w:cs="Arial"/>
          <w:b w:val="0"/>
          <w:bCs w:val="0"/>
          <w:sz w:val="22"/>
          <w:szCs w:val="22"/>
        </w:rPr>
        <w:t>refers</w:t>
      </w:r>
      <w:r w:rsidRPr="48CE9D0E">
        <w:rPr>
          <w:rStyle w:val="cursor-pointer"/>
          <w:rFonts w:ascii="Arial" w:hAnsi="Arial" w:cs="Arial"/>
          <w:b w:val="0"/>
          <w:bCs w:val="0"/>
          <w:sz w:val="22"/>
          <w:szCs w:val="22"/>
        </w:rPr>
        <w:t xml:space="preserve"> </w:t>
      </w:r>
      <w:r w:rsidR="5479E74F" w:rsidRPr="48CE9D0E">
        <w:rPr>
          <w:rStyle w:val="cursor-pointer"/>
          <w:rFonts w:ascii="Arial" w:hAnsi="Arial" w:cs="Arial"/>
          <w:b w:val="0"/>
          <w:bCs w:val="0"/>
          <w:sz w:val="22"/>
          <w:szCs w:val="22"/>
        </w:rPr>
        <w:t xml:space="preserve">to a chronic pattern of inattention and/or hyperactivity-impulsivity that is beyond normal variation and interferes with academic, </w:t>
      </w:r>
      <w:r w:rsidR="689E7CF8" w:rsidRPr="48CE9D0E">
        <w:rPr>
          <w:rStyle w:val="cursor-pointer"/>
          <w:rFonts w:ascii="Arial" w:hAnsi="Arial" w:cs="Arial"/>
          <w:b w:val="0"/>
          <w:bCs w:val="0"/>
          <w:sz w:val="22"/>
          <w:szCs w:val="22"/>
        </w:rPr>
        <w:t>occupational,</w:t>
      </w:r>
      <w:r w:rsidR="5479E74F" w:rsidRPr="48CE9D0E">
        <w:rPr>
          <w:rStyle w:val="cursor-pointer"/>
          <w:rFonts w:ascii="Arial" w:hAnsi="Arial" w:cs="Arial"/>
          <w:b w:val="0"/>
          <w:bCs w:val="0"/>
          <w:sz w:val="22"/>
          <w:szCs w:val="22"/>
        </w:rPr>
        <w:t xml:space="preserve"> or social functioning.</w:t>
      </w:r>
      <w:r w:rsidR="5479E74F" w:rsidRPr="48CE9D0E">
        <w:rPr>
          <w:rFonts w:ascii="Arial" w:hAnsi="Arial" w:cs="Arial"/>
          <w:b w:val="0"/>
          <w:bCs w:val="0"/>
          <w:sz w:val="22"/>
          <w:szCs w:val="22"/>
        </w:rPr>
        <w:t xml:space="preserve"> </w:t>
      </w:r>
      <w:r w:rsidR="5479E74F" w:rsidRPr="48CE9D0E">
        <w:rPr>
          <w:rStyle w:val="cursor-pointer"/>
          <w:rFonts w:ascii="Arial" w:hAnsi="Arial" w:cs="Arial"/>
          <w:b w:val="0"/>
          <w:bCs w:val="0"/>
          <w:sz w:val="22"/>
          <w:szCs w:val="22"/>
        </w:rPr>
        <w:t>Symptoms should not be interpreted as a reflection of a challenge in one high expectation context; rather, they should be understood in terms of their implications within multiple contexts.</w:t>
      </w:r>
      <w:r w:rsidR="5479E74F" w:rsidRPr="48CE9D0E">
        <w:rPr>
          <w:rFonts w:ascii="Arial" w:hAnsi="Arial" w:cs="Arial"/>
          <w:b w:val="0"/>
          <w:bCs w:val="0"/>
          <w:sz w:val="22"/>
          <w:szCs w:val="22"/>
        </w:rPr>
        <w:t xml:space="preserve"> </w:t>
      </w:r>
      <w:r w:rsidR="5479E74F" w:rsidRPr="48CE9D0E">
        <w:rPr>
          <w:rStyle w:val="cursor-pointer"/>
          <w:rFonts w:ascii="Arial" w:hAnsi="Arial" w:cs="Arial"/>
          <w:b w:val="0"/>
          <w:bCs w:val="0"/>
          <w:sz w:val="22"/>
          <w:szCs w:val="22"/>
        </w:rPr>
        <w:t xml:space="preserve">ICD-11 differentiates between </w:t>
      </w:r>
      <w:r w:rsidR="021B391D" w:rsidRPr="48CE9D0E">
        <w:rPr>
          <w:rStyle w:val="cursor-pointer"/>
          <w:rFonts w:ascii="Arial" w:hAnsi="Arial" w:cs="Arial"/>
          <w:b w:val="0"/>
          <w:bCs w:val="0"/>
          <w:sz w:val="22"/>
          <w:szCs w:val="22"/>
        </w:rPr>
        <w:t>inattentive</w:t>
      </w:r>
      <w:r w:rsidR="5479E74F" w:rsidRPr="48CE9D0E">
        <w:rPr>
          <w:rStyle w:val="cursor-pointer"/>
          <w:rFonts w:ascii="Arial" w:hAnsi="Arial" w:cs="Arial"/>
          <w:b w:val="0"/>
          <w:bCs w:val="0"/>
          <w:sz w:val="22"/>
          <w:szCs w:val="22"/>
        </w:rPr>
        <w:t xml:space="preserve">, </w:t>
      </w:r>
      <w:r w:rsidR="24FDE3F3" w:rsidRPr="48CE9D0E">
        <w:rPr>
          <w:rStyle w:val="cursor-pointer"/>
          <w:rFonts w:ascii="Arial" w:hAnsi="Arial" w:cs="Arial"/>
          <w:b w:val="0"/>
          <w:bCs w:val="0"/>
          <w:sz w:val="22"/>
          <w:szCs w:val="22"/>
        </w:rPr>
        <w:t>hyperactive-</w:t>
      </w:r>
      <w:r w:rsidR="23FB7466" w:rsidRPr="48CE9D0E">
        <w:rPr>
          <w:rStyle w:val="cursor-pointer"/>
          <w:rFonts w:ascii="Arial" w:hAnsi="Arial" w:cs="Arial"/>
          <w:b w:val="0"/>
          <w:bCs w:val="0"/>
          <w:sz w:val="22"/>
          <w:szCs w:val="22"/>
        </w:rPr>
        <w:t>impulsive,</w:t>
      </w:r>
      <w:r w:rsidR="5479E74F" w:rsidRPr="48CE9D0E">
        <w:rPr>
          <w:rStyle w:val="cursor-pointer"/>
          <w:rFonts w:ascii="Arial" w:hAnsi="Arial" w:cs="Arial"/>
          <w:b w:val="0"/>
          <w:bCs w:val="0"/>
          <w:sz w:val="22"/>
          <w:szCs w:val="22"/>
        </w:rPr>
        <w:t xml:space="preserve"> and combined presentations, and these refer to a current pattern, which may evolve over time, but do not refer to distinct conditions</w:t>
      </w:r>
      <w:r w:rsidR="2E23071D" w:rsidRPr="48CE9D0E">
        <w:rPr>
          <w:rStyle w:val="cursor-pointer"/>
          <w:rFonts w:ascii="Arial" w:hAnsi="Arial" w:cs="Arial"/>
          <w:b w:val="0"/>
          <w:bCs w:val="0"/>
          <w:sz w:val="22"/>
          <w:szCs w:val="22"/>
        </w:rPr>
        <w:t xml:space="preserve"> </w:t>
      </w:r>
      <w:r w:rsidR="2E23071D" w:rsidRPr="48CE9D0E">
        <w:rPr>
          <w:rFonts w:ascii="Arial" w:hAnsi="Arial" w:cs="Arial"/>
          <w:b w:val="0"/>
          <w:bCs w:val="0"/>
          <w:sz w:val="22"/>
          <w:szCs w:val="22"/>
        </w:rPr>
        <w:t>(World Health Organization, 2024)</w:t>
      </w:r>
      <w:r w:rsidR="5479E74F" w:rsidRPr="48CE9D0E">
        <w:rPr>
          <w:rStyle w:val="cursor-pointer"/>
          <w:rFonts w:ascii="Arial" w:hAnsi="Arial" w:cs="Arial"/>
          <w:b w:val="0"/>
          <w:bCs w:val="0"/>
          <w:sz w:val="22"/>
          <w:szCs w:val="22"/>
        </w:rPr>
        <w:t>.</w:t>
      </w:r>
      <w:r w:rsidR="5479E74F" w:rsidRPr="48CE9D0E">
        <w:rPr>
          <w:rFonts w:ascii="Arial" w:hAnsi="Arial" w:cs="Arial"/>
          <w:b w:val="0"/>
          <w:bCs w:val="0"/>
          <w:sz w:val="22"/>
          <w:szCs w:val="22"/>
        </w:rPr>
        <w:t xml:space="preserve"> </w:t>
      </w:r>
      <w:r w:rsidR="5479E74F" w:rsidRPr="48CE9D0E">
        <w:rPr>
          <w:rStyle w:val="cursor-pointer"/>
          <w:rFonts w:ascii="Arial" w:hAnsi="Arial" w:cs="Arial"/>
          <w:b w:val="0"/>
          <w:bCs w:val="0"/>
          <w:sz w:val="22"/>
          <w:szCs w:val="22"/>
        </w:rPr>
        <w:t>When the hyperactivity is overt as an adult, this may not be so noticeable but disorganisation, restlessness and poor concentration remain a problem when working and relating to others</w:t>
      </w:r>
      <w:r w:rsidR="2E23071D" w:rsidRPr="48CE9D0E">
        <w:rPr>
          <w:rStyle w:val="cursor-pointer"/>
          <w:rFonts w:ascii="Arial" w:hAnsi="Arial" w:cs="Arial"/>
          <w:b w:val="0"/>
          <w:bCs w:val="0"/>
          <w:sz w:val="22"/>
          <w:szCs w:val="22"/>
        </w:rPr>
        <w:t xml:space="preserve"> </w:t>
      </w:r>
      <w:r w:rsidR="2E23071D" w:rsidRPr="48CE9D0E">
        <w:rPr>
          <w:rFonts w:ascii="Arial" w:hAnsi="Arial" w:cs="Arial"/>
          <w:b w:val="0"/>
          <w:bCs w:val="0"/>
          <w:sz w:val="22"/>
          <w:szCs w:val="22"/>
        </w:rPr>
        <w:t>(World Health Organization, 2024)</w:t>
      </w:r>
      <w:r w:rsidR="5479E74F" w:rsidRPr="48CE9D0E">
        <w:rPr>
          <w:rStyle w:val="cursor-pointer"/>
          <w:rFonts w:ascii="Arial" w:hAnsi="Arial" w:cs="Arial"/>
          <w:b w:val="0"/>
          <w:bCs w:val="0"/>
          <w:sz w:val="22"/>
          <w:szCs w:val="22"/>
        </w:rPr>
        <w:t>.</w:t>
      </w:r>
      <w:r w:rsidR="2E23071D" w:rsidRPr="48CE9D0E">
        <w:rPr>
          <w:rStyle w:val="cursor-pointer"/>
          <w:rFonts w:ascii="Arial" w:hAnsi="Arial" w:cs="Arial"/>
          <w:b w:val="0"/>
          <w:bCs w:val="0"/>
          <w:sz w:val="22"/>
          <w:szCs w:val="22"/>
        </w:rPr>
        <w:t xml:space="preserve"> </w:t>
      </w:r>
    </w:p>
    <w:p w14:paraId="63E83D32" w14:textId="1675AA10" w:rsidR="30627B15" w:rsidRDefault="30627B15" w:rsidP="30627B15">
      <w:pPr>
        <w:pStyle w:val="Heading2"/>
        <w:spacing w:line="360" w:lineRule="auto"/>
        <w:rPr>
          <w:rFonts w:ascii="Arial" w:hAnsi="Arial" w:cs="Arial"/>
          <w:sz w:val="32"/>
          <w:szCs w:val="32"/>
        </w:rPr>
      </w:pPr>
    </w:p>
    <w:p w14:paraId="55278527" w14:textId="77777777" w:rsidR="004163F6" w:rsidRPr="007E1B61" w:rsidRDefault="004163F6" w:rsidP="007B0994">
      <w:pPr>
        <w:pStyle w:val="Heading2"/>
        <w:spacing w:line="360" w:lineRule="auto"/>
        <w:rPr>
          <w:rFonts w:ascii="Arial" w:hAnsi="Arial" w:cs="Arial"/>
          <w:sz w:val="32"/>
        </w:rPr>
      </w:pPr>
      <w:bookmarkStart w:id="3" w:name="_Toc241397138"/>
      <w:r w:rsidRPr="007E1B61">
        <w:rPr>
          <w:rFonts w:ascii="Arial" w:hAnsi="Arial" w:cs="Arial"/>
          <w:sz w:val="32"/>
        </w:rPr>
        <w:t>2.2 Adult assessment in England</w:t>
      </w:r>
      <w:bookmarkEnd w:id="3"/>
    </w:p>
    <w:p w14:paraId="682BFA8A" w14:textId="2E23ED99" w:rsidR="00DA4732" w:rsidRPr="001E5435" w:rsidRDefault="004163F6" w:rsidP="007B0994">
      <w:pPr>
        <w:spacing w:line="360" w:lineRule="auto"/>
        <w:jc w:val="both"/>
        <w:rPr>
          <w:rStyle w:val="cursor-pointer"/>
          <w:rFonts w:ascii="Arial" w:eastAsia="Times New Roman" w:hAnsi="Arial" w:cs="Arial"/>
        </w:rPr>
      </w:pPr>
      <w:r w:rsidRPr="001E5435">
        <w:rPr>
          <w:rStyle w:val="cursor-pointer"/>
          <w:rFonts w:ascii="Arial" w:hAnsi="Arial" w:cs="Arial"/>
        </w:rPr>
        <w:t xml:space="preserve">ICD-11 provides an international diagnostic </w:t>
      </w:r>
      <w:r w:rsidR="001F1B15" w:rsidRPr="001E5435">
        <w:rPr>
          <w:rStyle w:val="cursor-pointer"/>
          <w:rFonts w:ascii="Arial" w:hAnsi="Arial" w:cs="Arial"/>
        </w:rPr>
        <w:t>system,</w:t>
      </w:r>
      <w:r w:rsidRPr="001E5435">
        <w:rPr>
          <w:rStyle w:val="cursor-pointer"/>
          <w:rFonts w:ascii="Arial" w:hAnsi="Arial" w:cs="Arial"/>
        </w:rPr>
        <w:t xml:space="preserve"> and NICE provides guidance on specialist assessment in England</w:t>
      </w:r>
      <w:r w:rsidR="00701C0C" w:rsidRPr="001E5435">
        <w:rPr>
          <w:rStyle w:val="cursor-pointer"/>
          <w:rFonts w:ascii="Arial" w:hAnsi="Arial" w:cs="Arial"/>
        </w:rPr>
        <w:t>.</w:t>
      </w:r>
      <w:r w:rsidR="00FB7875" w:rsidRPr="001E5435">
        <w:rPr>
          <w:rFonts w:ascii="Arial" w:hAnsi="Arial" w:cs="Arial"/>
        </w:rPr>
        <w:t xml:space="preserve"> NICE suggests a full clinical social history, developmental and psychiatric history, observer reports (if available) and assessment of the mental state and impairment of the adult across settings. </w:t>
      </w:r>
      <w:r w:rsidRPr="001E5435">
        <w:rPr>
          <w:rStyle w:val="cursor-pointer"/>
          <w:rFonts w:ascii="Arial" w:hAnsi="Arial" w:cs="Arial"/>
        </w:rPr>
        <w:t>Rating scales cannot make a diagnosis, they can only provide information to make a diagnosis</w:t>
      </w:r>
      <w:r w:rsidR="0076215D" w:rsidRPr="001E5435">
        <w:rPr>
          <w:rStyle w:val="cursor-pointer"/>
          <w:rFonts w:ascii="Arial" w:hAnsi="Arial" w:cs="Arial"/>
        </w:rPr>
        <w:t xml:space="preserve"> </w:t>
      </w:r>
      <w:r w:rsidR="0076215D" w:rsidRPr="001E5435">
        <w:rPr>
          <w:rFonts w:ascii="Arial" w:hAnsi="Arial" w:cs="Arial"/>
        </w:rPr>
        <w:t>(Adamou et al., 2024)</w:t>
      </w:r>
      <w:r w:rsidRPr="001E5435">
        <w:rPr>
          <w:rStyle w:val="cursor-pointer"/>
          <w:rFonts w:ascii="Arial" w:hAnsi="Arial" w:cs="Arial"/>
        </w:rPr>
        <w:t>.</w:t>
      </w:r>
      <w:r w:rsidRPr="001E5435">
        <w:rPr>
          <w:rFonts w:ascii="Arial" w:hAnsi="Arial" w:cs="Arial"/>
        </w:rPr>
        <w:t xml:space="preserve"> </w:t>
      </w:r>
      <w:r w:rsidRPr="001E5435">
        <w:rPr>
          <w:rStyle w:val="cursor-pointer"/>
          <w:rFonts w:ascii="Arial" w:hAnsi="Arial" w:cs="Arial"/>
        </w:rPr>
        <w:t>The importance of childhood history is that ADHD is a developmental condition</w:t>
      </w:r>
      <w:r w:rsidR="0076215D" w:rsidRPr="001E5435">
        <w:rPr>
          <w:rStyle w:val="cursor-pointer"/>
          <w:rFonts w:ascii="Arial" w:hAnsi="Arial" w:cs="Arial"/>
        </w:rPr>
        <w:t xml:space="preserve"> </w:t>
      </w:r>
      <w:r w:rsidR="0076215D" w:rsidRPr="001E5435">
        <w:rPr>
          <w:rFonts w:ascii="Arial" w:hAnsi="Arial" w:cs="Arial"/>
        </w:rPr>
        <w:t>(Cedric Galera et al., 2023)</w:t>
      </w:r>
      <w:r w:rsidRPr="001E5435">
        <w:rPr>
          <w:rStyle w:val="cursor-pointer"/>
          <w:rFonts w:ascii="Arial" w:hAnsi="Arial" w:cs="Arial"/>
        </w:rPr>
        <w:t>.</w:t>
      </w:r>
      <w:r w:rsidRPr="001E5435">
        <w:rPr>
          <w:rFonts w:ascii="Arial" w:hAnsi="Arial" w:cs="Arial"/>
        </w:rPr>
        <w:t xml:space="preserve"> </w:t>
      </w:r>
      <w:r w:rsidRPr="001E5435">
        <w:rPr>
          <w:rStyle w:val="cursor-pointer"/>
          <w:rFonts w:ascii="Arial" w:hAnsi="Arial" w:cs="Arial"/>
        </w:rPr>
        <w:t>A school record or information from family members may support evidence but if it is unavailable, the school and/or family history needs to be carefully assessed, rather than disregarded.</w:t>
      </w:r>
    </w:p>
    <w:p w14:paraId="7A376402" w14:textId="77777777" w:rsidR="004163F6" w:rsidRPr="007E1B61" w:rsidRDefault="004163F6" w:rsidP="007B0994">
      <w:pPr>
        <w:pStyle w:val="Heading2"/>
        <w:spacing w:line="360" w:lineRule="auto"/>
        <w:rPr>
          <w:rFonts w:ascii="Arial" w:hAnsi="Arial" w:cs="Arial"/>
          <w:sz w:val="32"/>
        </w:rPr>
      </w:pPr>
      <w:bookmarkStart w:id="4" w:name="_Toc241397139"/>
      <w:r w:rsidRPr="007E1B61">
        <w:rPr>
          <w:rFonts w:ascii="Arial" w:hAnsi="Arial" w:cs="Arial"/>
          <w:sz w:val="32"/>
        </w:rPr>
        <w:t>2.3 Differential diagnosis and diagnostic equity</w:t>
      </w:r>
      <w:bookmarkEnd w:id="4"/>
    </w:p>
    <w:p w14:paraId="3A04A5CD" w14:textId="79E7BA31" w:rsidR="004163F6" w:rsidRPr="001E5435" w:rsidRDefault="5479E74F" w:rsidP="007B0994">
      <w:pPr>
        <w:spacing w:line="360" w:lineRule="auto"/>
        <w:jc w:val="both"/>
        <w:rPr>
          <w:rStyle w:val="cursor-pointer"/>
          <w:rFonts w:ascii="Arial" w:eastAsia="Times New Roman" w:hAnsi="Arial" w:cs="Arial"/>
        </w:rPr>
      </w:pPr>
      <w:r w:rsidRPr="48CE9D0E">
        <w:rPr>
          <w:rStyle w:val="cursor-pointer"/>
          <w:rFonts w:ascii="Arial" w:hAnsi="Arial" w:cs="Arial"/>
        </w:rPr>
        <w:t>However, when difficulties with concentration are combined with anxiety and/or depression, poor sleep, substance abuse or physical illness, differential diagnosis is especially crucial.</w:t>
      </w:r>
      <w:r w:rsidRPr="48CE9D0E">
        <w:rPr>
          <w:rFonts w:ascii="Arial" w:hAnsi="Arial" w:cs="Arial"/>
        </w:rPr>
        <w:t xml:space="preserve"> </w:t>
      </w:r>
      <w:r w:rsidRPr="48CE9D0E">
        <w:rPr>
          <w:rStyle w:val="cursor-pointer"/>
          <w:rFonts w:ascii="Arial" w:hAnsi="Arial" w:cs="Arial"/>
        </w:rPr>
        <w:t>Clinicians should inquire when symptoms began, if they persist between mood episodes and/or stressful periods, and whether another disorder is more likely to account for the symptoms</w:t>
      </w:r>
      <w:r w:rsidR="7C3AFC8C" w:rsidRPr="48CE9D0E">
        <w:rPr>
          <w:rStyle w:val="cursor-pointer"/>
          <w:rFonts w:ascii="Arial" w:hAnsi="Arial" w:cs="Arial"/>
        </w:rPr>
        <w:t xml:space="preserve"> </w:t>
      </w:r>
      <w:r w:rsidR="7C3AFC8C" w:rsidRPr="48CE9D0E">
        <w:rPr>
          <w:rFonts w:ascii="Arial" w:hAnsi="Arial" w:cs="Arial"/>
        </w:rPr>
        <w:t>(Lundin et al., 2024)</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The co-occurrence of disorders is still a possibility</w:t>
      </w:r>
      <w:r w:rsidR="7C3AFC8C" w:rsidRPr="48CE9D0E">
        <w:rPr>
          <w:rStyle w:val="cursor-pointer"/>
          <w:rFonts w:ascii="Arial" w:hAnsi="Arial" w:cs="Arial"/>
        </w:rPr>
        <w:t xml:space="preserve"> </w:t>
      </w:r>
      <w:r w:rsidR="7C3AFC8C" w:rsidRPr="48CE9D0E">
        <w:rPr>
          <w:rFonts w:ascii="Arial" w:hAnsi="Arial" w:cs="Arial"/>
        </w:rPr>
        <w:t>(World Health Organization, 2024)</w:t>
      </w:r>
      <w:r w:rsidRPr="48CE9D0E">
        <w:rPr>
          <w:rStyle w:val="cursor-pointer"/>
          <w:rFonts w:ascii="Arial" w:hAnsi="Arial" w:cs="Arial"/>
        </w:rPr>
        <w:t>.</w:t>
      </w:r>
      <w:r w:rsidRPr="48CE9D0E">
        <w:rPr>
          <w:rFonts w:ascii="Arial" w:hAnsi="Arial" w:cs="Arial"/>
        </w:rPr>
        <w:t xml:space="preserve"> </w:t>
      </w:r>
      <w:r w:rsidR="0F805073" w:rsidRPr="48CE9D0E">
        <w:rPr>
          <w:rFonts w:ascii="Arial" w:hAnsi="Arial" w:cs="Arial"/>
        </w:rPr>
        <w:t>This will help lower the number of adults who are not diagnosed with ADHD and the number of adults who receive an incorrect diagnosis of ADHD.</w:t>
      </w:r>
      <w:r w:rsidR="7C3AFC8C" w:rsidRPr="48CE9D0E">
        <w:rPr>
          <w:rFonts w:ascii="Arial" w:hAnsi="Arial" w:cs="Arial"/>
        </w:rPr>
        <w:t xml:space="preserve"> </w:t>
      </w:r>
      <w:r w:rsidRPr="48CE9D0E">
        <w:rPr>
          <w:rStyle w:val="cursor-pointer"/>
          <w:rFonts w:ascii="Arial" w:hAnsi="Arial" w:cs="Arial"/>
        </w:rPr>
        <w:t>Language also influences access and experience through a diagnostic lens.</w:t>
      </w:r>
      <w:r w:rsidRPr="48CE9D0E">
        <w:rPr>
          <w:rFonts w:ascii="Arial" w:hAnsi="Arial" w:cs="Arial"/>
        </w:rPr>
        <w:t xml:space="preserve"> </w:t>
      </w:r>
      <w:r w:rsidRPr="48CE9D0E">
        <w:rPr>
          <w:rStyle w:val="cursor-pointer"/>
          <w:rFonts w:ascii="Arial" w:hAnsi="Arial" w:cs="Arial"/>
        </w:rPr>
        <w:t>The term “disorder” is used when someone has a clinically significant impairment in ICD-</w:t>
      </w:r>
      <w:r w:rsidR="3ED2FEF9" w:rsidRPr="48CE9D0E">
        <w:rPr>
          <w:rStyle w:val="cursor-pointer"/>
          <w:rFonts w:ascii="Arial" w:hAnsi="Arial" w:cs="Arial"/>
        </w:rPr>
        <w:t>11,</w:t>
      </w:r>
      <w:r w:rsidRPr="48CE9D0E">
        <w:rPr>
          <w:rStyle w:val="cursor-pointer"/>
          <w:rFonts w:ascii="Arial" w:hAnsi="Arial" w:cs="Arial"/>
        </w:rPr>
        <w:t xml:space="preserve"> and some prefer to use the term “condition” or feel they are “neurodivergent.”</w:t>
      </w:r>
      <w:r w:rsidRPr="48CE9D0E">
        <w:rPr>
          <w:rFonts w:ascii="Arial" w:hAnsi="Arial" w:cs="Arial"/>
        </w:rPr>
        <w:t xml:space="preserve"> </w:t>
      </w:r>
      <w:r w:rsidRPr="48CE9D0E">
        <w:rPr>
          <w:rStyle w:val="cursor-pointer"/>
          <w:rFonts w:ascii="Arial" w:hAnsi="Arial" w:cs="Arial"/>
        </w:rPr>
        <w:t>There should be respectful language together with robust evaluation.</w:t>
      </w:r>
      <w:r w:rsidRPr="48CE9D0E">
        <w:rPr>
          <w:rFonts w:ascii="Arial" w:hAnsi="Arial" w:cs="Arial"/>
        </w:rPr>
        <w:t xml:space="preserve"> </w:t>
      </w:r>
      <w:r w:rsidRPr="48CE9D0E">
        <w:rPr>
          <w:rStyle w:val="cursor-pointer"/>
          <w:rFonts w:ascii="Arial" w:hAnsi="Arial" w:cs="Arial"/>
        </w:rPr>
        <w:t xml:space="preserve">Referrals and what is accepted as true may be affected by inattentive symptoms, compensatory strategies, gender </w:t>
      </w:r>
      <w:r w:rsidR="25902436" w:rsidRPr="48CE9D0E">
        <w:rPr>
          <w:rStyle w:val="cursor-pointer"/>
          <w:rFonts w:ascii="Arial" w:hAnsi="Arial" w:cs="Arial"/>
        </w:rPr>
        <w:t>expectations,</w:t>
      </w:r>
      <w:r w:rsidRPr="48CE9D0E">
        <w:rPr>
          <w:rStyle w:val="cursor-pointer"/>
          <w:rFonts w:ascii="Arial" w:hAnsi="Arial" w:cs="Arial"/>
        </w:rPr>
        <w:t xml:space="preserve"> and cultural interpretations, which is something to explore, rather than make assumptions abou</w:t>
      </w:r>
      <w:r w:rsidR="7C3AFC8C" w:rsidRPr="48CE9D0E">
        <w:rPr>
          <w:rStyle w:val="cursor-pointer"/>
          <w:rFonts w:ascii="Arial" w:hAnsi="Arial" w:cs="Arial"/>
        </w:rPr>
        <w:t xml:space="preserve">t </w:t>
      </w:r>
      <w:r w:rsidR="7C3AFC8C" w:rsidRPr="48CE9D0E">
        <w:rPr>
          <w:rFonts w:ascii="Arial" w:hAnsi="Arial" w:cs="Arial"/>
        </w:rPr>
        <w:t>(Morgan, 2023)</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Context-sensitive evaluation is essential for good diagnostic quality, but it takes the expertise of skilled evaluators and time</w:t>
      </w:r>
      <w:r w:rsidR="7C3AFC8C" w:rsidRPr="48CE9D0E">
        <w:rPr>
          <w:rStyle w:val="cursor-pointer"/>
          <w:rFonts w:ascii="Arial" w:hAnsi="Arial" w:cs="Arial"/>
        </w:rPr>
        <w:t xml:space="preserve"> </w:t>
      </w:r>
      <w:r w:rsidR="7C3AFC8C" w:rsidRPr="48CE9D0E">
        <w:rPr>
          <w:rFonts w:ascii="Arial" w:hAnsi="Arial" w:cs="Arial"/>
        </w:rPr>
        <w:t>(Staley et al., 2024)</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If services are not available, these safeguards might not be readily available immediately.</w:t>
      </w:r>
      <w:r w:rsidRPr="48CE9D0E">
        <w:rPr>
          <w:rFonts w:ascii="Arial" w:hAnsi="Arial" w:cs="Arial"/>
        </w:rPr>
        <w:t xml:space="preserve"> </w:t>
      </w:r>
      <w:r w:rsidRPr="48CE9D0E">
        <w:rPr>
          <w:rStyle w:val="cursor-pointer"/>
          <w:rFonts w:ascii="Arial" w:hAnsi="Arial" w:cs="Arial"/>
        </w:rPr>
        <w:t>Capacity to assess drives access to and equity in treatment at the national level.</w:t>
      </w:r>
    </w:p>
    <w:p w14:paraId="5F5973BA" w14:textId="77777777" w:rsidR="004163F6" w:rsidRPr="007E1B61" w:rsidRDefault="004163F6" w:rsidP="007B0994">
      <w:pPr>
        <w:pStyle w:val="Heading1"/>
        <w:spacing w:line="360" w:lineRule="auto"/>
        <w:rPr>
          <w:rFonts w:ascii="Arial" w:hAnsi="Arial" w:cs="Arial"/>
          <w:b/>
          <w:color w:val="000000" w:themeColor="text1"/>
        </w:rPr>
      </w:pPr>
      <w:bookmarkStart w:id="5" w:name="_Toc241397140"/>
      <w:r w:rsidRPr="007E1B61">
        <w:rPr>
          <w:rFonts w:ascii="Arial" w:hAnsi="Arial" w:cs="Arial"/>
          <w:b/>
          <w:color w:val="000000" w:themeColor="text1"/>
        </w:rPr>
        <w:t>3. Treatment approaches</w:t>
      </w:r>
      <w:bookmarkEnd w:id="5"/>
    </w:p>
    <w:p w14:paraId="05B980A3" w14:textId="7FF58472" w:rsidR="004233F8" w:rsidRPr="001E5435" w:rsidRDefault="004233F8" w:rsidP="007B0994">
      <w:pPr>
        <w:spacing w:line="360" w:lineRule="auto"/>
        <w:jc w:val="both"/>
        <w:rPr>
          <w:rFonts w:ascii="Arial" w:hAnsi="Arial" w:cs="Arial"/>
        </w:rPr>
      </w:pPr>
      <w:r w:rsidRPr="001E5435">
        <w:rPr>
          <w:rFonts w:ascii="Arial" w:hAnsi="Arial" w:cs="Arial"/>
        </w:rPr>
        <w:t xml:space="preserve">Treatment choices for ADHD in adults need to </w:t>
      </w:r>
      <w:r w:rsidR="00B0202F" w:rsidRPr="001E5435">
        <w:rPr>
          <w:rFonts w:ascii="Arial" w:hAnsi="Arial" w:cs="Arial"/>
        </w:rPr>
        <w:t>consider</w:t>
      </w:r>
      <w:r w:rsidRPr="001E5435">
        <w:rPr>
          <w:rFonts w:ascii="Arial" w:hAnsi="Arial" w:cs="Arial"/>
        </w:rPr>
        <w:t xml:space="preserve"> the benefits of the treatment in terms of relief of symptoms, risks, function, and availability of treatment.</w:t>
      </w:r>
    </w:p>
    <w:p w14:paraId="3888AD6E" w14:textId="77777777" w:rsidR="004163F6" w:rsidRPr="001E5435" w:rsidRDefault="004163F6" w:rsidP="007B0994">
      <w:pPr>
        <w:pStyle w:val="Heading2"/>
        <w:spacing w:line="360" w:lineRule="auto"/>
        <w:rPr>
          <w:rFonts w:ascii="Arial" w:hAnsi="Arial" w:cs="Arial"/>
          <w:sz w:val="32"/>
          <w:szCs w:val="32"/>
        </w:rPr>
      </w:pPr>
      <w:bookmarkStart w:id="6" w:name="_Toc241397141"/>
      <w:r w:rsidRPr="001E5435">
        <w:rPr>
          <w:rFonts w:ascii="Arial" w:hAnsi="Arial" w:cs="Arial"/>
          <w:sz w:val="32"/>
          <w:szCs w:val="32"/>
        </w:rPr>
        <w:t>3.1 Medication and monitoring</w:t>
      </w:r>
      <w:bookmarkEnd w:id="6"/>
    </w:p>
    <w:p w14:paraId="6E7221FC" w14:textId="2AE9F512" w:rsidR="00597FBA" w:rsidRPr="001E5435" w:rsidRDefault="24E6AA31" w:rsidP="00620785">
      <w:pPr>
        <w:spacing w:line="360" w:lineRule="auto"/>
        <w:jc w:val="both"/>
        <w:rPr>
          <w:rFonts w:ascii="Arial" w:hAnsi="Arial" w:cs="Arial"/>
        </w:rPr>
      </w:pPr>
      <w:bookmarkStart w:id="7" w:name="_Toc241397142"/>
      <w:r w:rsidRPr="48CE9D0E">
        <w:rPr>
          <w:rStyle w:val="cursor-pointer"/>
          <w:rFonts w:ascii="Arial" w:hAnsi="Arial" w:cs="Arial"/>
        </w:rPr>
        <w:t>For adults with ADHD, the first line treatments recommended by NICE are lisdexamfetamine or methylphenidate, where treatment with drugs is considered appropriate after making environmental adjustments (Leaver, 2025).</w:t>
      </w:r>
      <w:r w:rsidRPr="48CE9D0E">
        <w:rPr>
          <w:rFonts w:ascii="Arial" w:hAnsi="Arial" w:cs="Arial"/>
        </w:rPr>
        <w:t xml:space="preserve"> </w:t>
      </w:r>
      <w:r w:rsidRPr="48CE9D0E">
        <w:rPr>
          <w:rStyle w:val="cursor-pointer"/>
          <w:rFonts w:ascii="Arial" w:hAnsi="Arial" w:cs="Arial"/>
        </w:rPr>
        <w:t xml:space="preserve">Choices should be based on the person's objectives, preferences, other factors, potential </w:t>
      </w:r>
      <w:r w:rsidR="01C5AB33" w:rsidRPr="48CE9D0E">
        <w:rPr>
          <w:rStyle w:val="cursor-pointer"/>
          <w:rFonts w:ascii="Arial" w:hAnsi="Arial" w:cs="Arial"/>
        </w:rPr>
        <w:t>interactions,</w:t>
      </w:r>
      <w:r w:rsidRPr="48CE9D0E">
        <w:rPr>
          <w:rStyle w:val="cursor-pointer"/>
          <w:rFonts w:ascii="Arial" w:hAnsi="Arial" w:cs="Arial"/>
        </w:rPr>
        <w:t xml:space="preserve"> and cardiac history.</w:t>
      </w:r>
      <w:r w:rsidRPr="48CE9D0E">
        <w:rPr>
          <w:rFonts w:ascii="Arial" w:hAnsi="Arial" w:cs="Arial"/>
        </w:rPr>
        <w:t xml:space="preserve"> </w:t>
      </w:r>
      <w:r w:rsidRPr="48CE9D0E">
        <w:rPr>
          <w:rStyle w:val="cursor-pointer"/>
          <w:rFonts w:ascii="Arial" w:hAnsi="Arial" w:cs="Arial"/>
        </w:rPr>
        <w:t>Clinicians check baseline pulse and blood pressure prior to prescribing, and after drug changes and every 6 months thereafter.</w:t>
      </w:r>
      <w:r w:rsidRPr="48CE9D0E">
        <w:rPr>
          <w:rFonts w:ascii="Arial" w:hAnsi="Arial" w:cs="Arial"/>
        </w:rPr>
        <w:t xml:space="preserve"> </w:t>
      </w:r>
      <w:r w:rsidRPr="48CE9D0E">
        <w:rPr>
          <w:rStyle w:val="cursor-pointer"/>
          <w:rFonts w:ascii="Arial" w:hAnsi="Arial" w:cs="Arial"/>
        </w:rPr>
        <w:t>NICE recommends that the other first line treatment is considered and, under certain conditions, atomoxetine if there is inadequate benefit or adverse effects on the treatment.</w:t>
      </w:r>
      <w:r w:rsidRPr="48CE9D0E">
        <w:rPr>
          <w:rFonts w:ascii="Arial" w:hAnsi="Arial" w:cs="Arial"/>
        </w:rPr>
        <w:t xml:space="preserve"> </w:t>
      </w:r>
      <w:r w:rsidRPr="48CE9D0E">
        <w:rPr>
          <w:rStyle w:val="cursor-pointer"/>
          <w:rFonts w:ascii="Arial" w:hAnsi="Arial" w:cs="Arial"/>
        </w:rPr>
        <w:t>This process, therefore, demands not only a starting prescription, but a review at the appropriate time to effectively modify the treatment plan, if necessary, so that it remains safe.</w:t>
      </w:r>
      <w:r w:rsidRPr="48CE9D0E">
        <w:rPr>
          <w:rFonts w:ascii="Arial" w:hAnsi="Arial" w:cs="Arial"/>
        </w:rPr>
        <w:t xml:space="preserve"> </w:t>
      </w:r>
      <w:r w:rsidRPr="48CE9D0E">
        <w:rPr>
          <w:rStyle w:val="cursor-pointer"/>
          <w:rFonts w:ascii="Arial" w:hAnsi="Arial" w:cs="Arial"/>
        </w:rPr>
        <w:t xml:space="preserve">Any improvement that is seen in concentration should be evaluated in terms of work, </w:t>
      </w:r>
      <w:r w:rsidR="7EB2007A" w:rsidRPr="48CE9D0E">
        <w:rPr>
          <w:rStyle w:val="cursor-pointer"/>
          <w:rFonts w:ascii="Arial" w:hAnsi="Arial" w:cs="Arial"/>
        </w:rPr>
        <w:t>relationships,</w:t>
      </w:r>
      <w:r w:rsidRPr="48CE9D0E">
        <w:rPr>
          <w:rStyle w:val="cursor-pointer"/>
          <w:rFonts w:ascii="Arial" w:hAnsi="Arial" w:cs="Arial"/>
        </w:rPr>
        <w:t xml:space="preserve"> and daily functioning, as improvements in symptoms alone do not prove sustained benefit (Leaver, 2025).</w:t>
      </w:r>
      <w:r w:rsidRPr="48CE9D0E">
        <w:rPr>
          <w:rFonts w:ascii="Arial" w:hAnsi="Arial" w:cs="Arial"/>
        </w:rPr>
        <w:t xml:space="preserve"> </w:t>
      </w:r>
    </w:p>
    <w:p w14:paraId="2B8EB643" w14:textId="77777777" w:rsidR="004163F6" w:rsidRPr="007E1B61" w:rsidRDefault="004163F6" w:rsidP="007B0994">
      <w:pPr>
        <w:pStyle w:val="Heading2"/>
        <w:spacing w:line="360" w:lineRule="auto"/>
        <w:rPr>
          <w:rFonts w:ascii="Arial" w:hAnsi="Arial" w:cs="Arial"/>
          <w:sz w:val="32"/>
        </w:rPr>
      </w:pPr>
      <w:r w:rsidRPr="007E1B61">
        <w:rPr>
          <w:rFonts w:ascii="Arial" w:hAnsi="Arial" w:cs="Arial"/>
          <w:sz w:val="32"/>
        </w:rPr>
        <w:t>3.2 Psychological and practical support</w:t>
      </w:r>
      <w:bookmarkEnd w:id="7"/>
    </w:p>
    <w:p w14:paraId="1CF2E99B" w14:textId="77777777" w:rsidR="004233F8" w:rsidRPr="001E5435" w:rsidRDefault="004233F8" w:rsidP="007B0994">
      <w:pPr>
        <w:spacing w:line="360" w:lineRule="auto"/>
        <w:jc w:val="both"/>
        <w:rPr>
          <w:rFonts w:ascii="Arial" w:hAnsi="Arial" w:cs="Arial"/>
        </w:rPr>
      </w:pPr>
      <w:r w:rsidRPr="001E5435">
        <w:rPr>
          <w:rStyle w:val="cursor-pointer"/>
          <w:rFonts w:ascii="Arial" w:hAnsi="Arial" w:cs="Arial"/>
        </w:rPr>
        <w:t>For adults that refuse medication, do not tolerate, or are impaired despite taking, there is a need for structured psychological intervention, and regular subsequent follow-up</w:t>
      </w:r>
      <w:r w:rsidR="00814146" w:rsidRPr="001E5435">
        <w:rPr>
          <w:rStyle w:val="cursor-pointer"/>
          <w:rFonts w:ascii="Arial" w:hAnsi="Arial" w:cs="Arial"/>
        </w:rPr>
        <w:t xml:space="preserve"> </w:t>
      </w:r>
      <w:r w:rsidR="00814146" w:rsidRPr="001E5435">
        <w:rPr>
          <w:rFonts w:ascii="Arial" w:hAnsi="Arial" w:cs="Arial"/>
        </w:rPr>
        <w:t>(Yang et al., 2025)</w:t>
      </w:r>
      <w:r w:rsidRPr="001E5435">
        <w:rPr>
          <w:rStyle w:val="cursor-pointer"/>
          <w:rFonts w:ascii="Arial" w:hAnsi="Arial" w:cs="Arial"/>
        </w:rPr>
        <w:t>.</w:t>
      </w:r>
      <w:r w:rsidRPr="001E5435">
        <w:rPr>
          <w:rFonts w:ascii="Arial" w:hAnsi="Arial" w:cs="Arial"/>
        </w:rPr>
        <w:t xml:space="preserve"> </w:t>
      </w:r>
      <w:r w:rsidRPr="001E5435">
        <w:rPr>
          <w:rStyle w:val="cursor-pointer"/>
          <w:rFonts w:ascii="Arial" w:hAnsi="Arial" w:cs="Arial"/>
        </w:rPr>
        <w:t>In the context of work that targets an ADHD response, planning, emotional response and coping in daily activities are areas that can be worked on and adjustments with tasks or environment can lower functional demands</w:t>
      </w:r>
      <w:r w:rsidR="00814146" w:rsidRPr="001E5435">
        <w:rPr>
          <w:rStyle w:val="cursor-pointer"/>
          <w:rFonts w:ascii="Arial" w:hAnsi="Arial" w:cs="Arial"/>
        </w:rPr>
        <w:t xml:space="preserve"> </w:t>
      </w:r>
      <w:r w:rsidR="00814146" w:rsidRPr="001E5435">
        <w:rPr>
          <w:rFonts w:ascii="Arial" w:hAnsi="Arial" w:cs="Arial"/>
        </w:rPr>
        <w:t>(Li and Zhang, 2023)</w:t>
      </w:r>
      <w:r w:rsidRPr="001E5435">
        <w:rPr>
          <w:rStyle w:val="cursor-pointer"/>
          <w:rFonts w:ascii="Arial" w:hAnsi="Arial" w:cs="Arial"/>
        </w:rPr>
        <w:t>.</w:t>
      </w:r>
      <w:r w:rsidRPr="001E5435">
        <w:rPr>
          <w:rFonts w:ascii="Arial" w:hAnsi="Arial" w:cs="Arial"/>
        </w:rPr>
        <w:t xml:space="preserve"> </w:t>
      </w:r>
      <w:r w:rsidRPr="001E5435">
        <w:rPr>
          <w:rStyle w:val="cursor-pointer"/>
          <w:rFonts w:ascii="Arial" w:hAnsi="Arial" w:cs="Arial"/>
        </w:rPr>
        <w:t>These need to be assessed with reference to the desired outcomes, not just the scores of symptoms.</w:t>
      </w:r>
      <w:r w:rsidRPr="001E5435">
        <w:rPr>
          <w:rFonts w:ascii="Arial" w:hAnsi="Arial" w:cs="Arial"/>
        </w:rPr>
        <w:t xml:space="preserve"> </w:t>
      </w:r>
      <w:r w:rsidRPr="001E5435">
        <w:rPr>
          <w:rStyle w:val="cursor-pointer"/>
          <w:rFonts w:ascii="Arial" w:hAnsi="Arial" w:cs="Arial"/>
        </w:rPr>
        <w:t>The availability of their services cannot be assumed from a guideline – the service provision and continued engagement will depend on local provision</w:t>
      </w:r>
      <w:r w:rsidR="00814146" w:rsidRPr="001E5435">
        <w:rPr>
          <w:rStyle w:val="cursor-pointer"/>
          <w:rFonts w:ascii="Arial" w:hAnsi="Arial" w:cs="Arial"/>
        </w:rPr>
        <w:t xml:space="preserve"> </w:t>
      </w:r>
      <w:r w:rsidR="00814146" w:rsidRPr="001E5435">
        <w:rPr>
          <w:rFonts w:ascii="Arial" w:hAnsi="Arial" w:cs="Arial"/>
        </w:rPr>
        <w:t>(Armstrong, 2026)</w:t>
      </w:r>
      <w:r w:rsidRPr="001E5435">
        <w:rPr>
          <w:rStyle w:val="cursor-pointer"/>
          <w:rFonts w:ascii="Arial" w:hAnsi="Arial" w:cs="Arial"/>
        </w:rPr>
        <w:t>.</w:t>
      </w:r>
    </w:p>
    <w:p w14:paraId="2DF89ACE" w14:textId="14FCAA02" w:rsidR="004163F6" w:rsidRPr="007E1B61" w:rsidRDefault="5479E74F" w:rsidP="48CE9D0E">
      <w:pPr>
        <w:pStyle w:val="Heading2"/>
        <w:spacing w:line="360" w:lineRule="auto"/>
        <w:rPr>
          <w:rFonts w:ascii="Arial" w:hAnsi="Arial" w:cs="Arial"/>
          <w:sz w:val="32"/>
          <w:szCs w:val="32"/>
        </w:rPr>
      </w:pPr>
      <w:bookmarkStart w:id="8" w:name="_Toc241397143"/>
      <w:r w:rsidRPr="48CE9D0E">
        <w:rPr>
          <w:rFonts w:ascii="Arial" w:hAnsi="Arial" w:cs="Arial"/>
          <w:sz w:val="32"/>
          <w:szCs w:val="32"/>
        </w:rPr>
        <w:t xml:space="preserve">3.3 Effectiveness, </w:t>
      </w:r>
      <w:r w:rsidR="669608DA" w:rsidRPr="48CE9D0E">
        <w:rPr>
          <w:rFonts w:ascii="Arial" w:hAnsi="Arial" w:cs="Arial"/>
          <w:sz w:val="32"/>
          <w:szCs w:val="32"/>
        </w:rPr>
        <w:t>choice,</w:t>
      </w:r>
      <w:r w:rsidRPr="48CE9D0E">
        <w:rPr>
          <w:rFonts w:ascii="Arial" w:hAnsi="Arial" w:cs="Arial"/>
          <w:sz w:val="32"/>
          <w:szCs w:val="32"/>
        </w:rPr>
        <w:t xml:space="preserve"> and access</w:t>
      </w:r>
      <w:bookmarkEnd w:id="8"/>
    </w:p>
    <w:p w14:paraId="35578CDB" w14:textId="51A85FFB" w:rsidR="00CE4D70" w:rsidRPr="001E5435" w:rsidRDefault="24DBB737" w:rsidP="00561B38">
      <w:pPr>
        <w:spacing w:line="360" w:lineRule="auto"/>
        <w:jc w:val="both"/>
        <w:rPr>
          <w:rStyle w:val="cursor-pointer"/>
          <w:rFonts w:ascii="Arial" w:hAnsi="Arial" w:cs="Arial"/>
          <w:sz w:val="23"/>
          <w:szCs w:val="23"/>
        </w:rPr>
      </w:pPr>
      <w:r w:rsidRPr="48CE9D0E">
        <w:rPr>
          <w:rStyle w:val="cursor-pointer"/>
          <w:rFonts w:ascii="Arial" w:hAnsi="Arial" w:cs="Arial"/>
        </w:rPr>
        <w:t>A review of 113 RCTs that included 14,887 adults recently reported that stimulants and atomoxetine were effective at 12 weeks on both clinician-rated and self-rated measures of core symptoms</w:t>
      </w:r>
      <w:r w:rsidR="4DFB7793" w:rsidRPr="48CE9D0E">
        <w:rPr>
          <w:rStyle w:val="cursor-pointer"/>
          <w:rFonts w:ascii="Arial" w:hAnsi="Arial" w:cs="Arial"/>
        </w:rPr>
        <w:t xml:space="preserve"> </w:t>
      </w:r>
      <w:r w:rsidR="4DFB7793" w:rsidRPr="48CE9D0E">
        <w:rPr>
          <w:rFonts w:ascii="Arial" w:hAnsi="Arial" w:cs="Arial"/>
        </w:rPr>
        <w:t>(Shen, 2026)</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 xml:space="preserve">This has a positive short-term </w:t>
      </w:r>
      <w:r w:rsidR="3ED2FEF9" w:rsidRPr="48CE9D0E">
        <w:rPr>
          <w:rStyle w:val="cursor-pointer"/>
          <w:rFonts w:ascii="Arial" w:hAnsi="Arial" w:cs="Arial"/>
        </w:rPr>
        <w:t>impact but</w:t>
      </w:r>
      <w:r w:rsidRPr="48CE9D0E">
        <w:rPr>
          <w:rStyle w:val="cursor-pointer"/>
          <w:rFonts w:ascii="Arial" w:hAnsi="Arial" w:cs="Arial"/>
        </w:rPr>
        <w:t xml:space="preserve"> </w:t>
      </w:r>
      <w:r w:rsidR="1FA32217" w:rsidRPr="48CE9D0E">
        <w:rPr>
          <w:rStyle w:val="cursor-pointer"/>
          <w:rFonts w:ascii="Arial" w:hAnsi="Arial" w:cs="Arial"/>
        </w:rPr>
        <w:t>is not</w:t>
      </w:r>
      <w:r w:rsidRPr="48CE9D0E">
        <w:rPr>
          <w:rStyle w:val="cursor-pointer"/>
          <w:rFonts w:ascii="Arial" w:hAnsi="Arial" w:cs="Arial"/>
        </w:rPr>
        <w:t xml:space="preserve"> necessarily a marker of long-term success in employment, </w:t>
      </w:r>
      <w:r w:rsidR="7876E728" w:rsidRPr="48CE9D0E">
        <w:rPr>
          <w:rStyle w:val="cursor-pointer"/>
          <w:rFonts w:ascii="Arial" w:hAnsi="Arial" w:cs="Arial"/>
        </w:rPr>
        <w:t>relationships,</w:t>
      </w:r>
      <w:r w:rsidRPr="48CE9D0E">
        <w:rPr>
          <w:rStyle w:val="cursor-pointer"/>
          <w:rFonts w:ascii="Arial" w:hAnsi="Arial" w:cs="Arial"/>
        </w:rPr>
        <w:t xml:space="preserve"> or quality of life.</w:t>
      </w:r>
      <w:r w:rsidRPr="48CE9D0E">
        <w:rPr>
          <w:rFonts w:ascii="Arial" w:hAnsi="Arial" w:cs="Arial"/>
        </w:rPr>
        <w:t xml:space="preserve"> </w:t>
      </w:r>
      <w:r w:rsidRPr="48CE9D0E">
        <w:rPr>
          <w:rStyle w:val="cursor-pointer"/>
          <w:rFonts w:ascii="Arial" w:hAnsi="Arial" w:cs="Arial"/>
        </w:rPr>
        <w:t xml:space="preserve">For core symptoms, there is less consistent evidence for psychological </w:t>
      </w:r>
      <w:r w:rsidR="3ED2FEF9" w:rsidRPr="48CE9D0E">
        <w:rPr>
          <w:rStyle w:val="cursor-pointer"/>
          <w:rFonts w:ascii="Arial" w:hAnsi="Arial" w:cs="Arial"/>
        </w:rPr>
        <w:t>interventions,</w:t>
      </w:r>
      <w:r w:rsidRPr="48CE9D0E">
        <w:rPr>
          <w:rStyle w:val="cursor-pointer"/>
          <w:rFonts w:ascii="Arial" w:hAnsi="Arial" w:cs="Arial"/>
        </w:rPr>
        <w:t xml:space="preserve"> and it is not possible to claim equivalence with medication.</w:t>
      </w:r>
      <w:r w:rsidRPr="48CE9D0E">
        <w:rPr>
          <w:rFonts w:ascii="Arial" w:hAnsi="Arial" w:cs="Arial"/>
        </w:rPr>
        <w:t xml:space="preserve"> </w:t>
      </w:r>
      <w:r w:rsidRPr="48CE9D0E">
        <w:rPr>
          <w:rStyle w:val="cursor-pointer"/>
          <w:rFonts w:ascii="Arial" w:hAnsi="Arial" w:cs="Arial"/>
        </w:rPr>
        <w:t>Conversely, trials with a symptom focus risk underrepresenting the benefits of psychological support in practice.</w:t>
      </w:r>
      <w:r w:rsidRPr="48CE9D0E">
        <w:rPr>
          <w:rFonts w:ascii="Arial" w:hAnsi="Arial" w:cs="Arial"/>
        </w:rPr>
        <w:t xml:space="preserve"> </w:t>
      </w:r>
      <w:r w:rsidRPr="48CE9D0E">
        <w:rPr>
          <w:rStyle w:val="cursor-pointer"/>
          <w:rFonts w:ascii="Arial" w:hAnsi="Arial" w:cs="Arial"/>
        </w:rPr>
        <w:t xml:space="preserve">Adverse effects, </w:t>
      </w:r>
      <w:r w:rsidR="5DA0E109" w:rsidRPr="48CE9D0E">
        <w:rPr>
          <w:rStyle w:val="cursor-pointer"/>
          <w:rFonts w:ascii="Arial" w:hAnsi="Arial" w:cs="Arial"/>
        </w:rPr>
        <w:t>acceptability,</w:t>
      </w:r>
      <w:r w:rsidRPr="48CE9D0E">
        <w:rPr>
          <w:rStyle w:val="cursor-pointer"/>
          <w:rFonts w:ascii="Arial" w:hAnsi="Arial" w:cs="Arial"/>
        </w:rPr>
        <w:t xml:space="preserve"> and personal goals, therefore, play a role in shared decisions.</w:t>
      </w:r>
      <w:r w:rsidR="0F805073" w:rsidRPr="48CE9D0E">
        <w:rPr>
          <w:rStyle w:val="Heading2Char"/>
          <w:rFonts w:ascii="Arial" w:eastAsiaTheme="minorEastAsia" w:hAnsi="Arial" w:cs="Arial"/>
          <w:sz w:val="22"/>
          <w:szCs w:val="22"/>
        </w:rPr>
        <w:t xml:space="preserve"> </w:t>
      </w:r>
      <w:r w:rsidR="0F805073" w:rsidRPr="48CE9D0E">
        <w:rPr>
          <w:rStyle w:val="cursor-pointer"/>
          <w:rFonts w:ascii="Arial" w:hAnsi="Arial" w:cs="Arial"/>
        </w:rPr>
        <w:t xml:space="preserve">NHS numbers of </w:t>
      </w:r>
      <w:r w:rsidR="674E0E11" w:rsidRPr="48CE9D0E">
        <w:rPr>
          <w:rStyle w:val="cursor-pointer"/>
          <w:rFonts w:ascii="Arial" w:hAnsi="Arial" w:cs="Arial"/>
        </w:rPr>
        <w:t>assessment</w:t>
      </w:r>
      <w:r w:rsidR="0F805073" w:rsidRPr="48CE9D0E">
        <w:rPr>
          <w:rStyle w:val="cursor-pointer"/>
          <w:rFonts w:ascii="Arial" w:hAnsi="Arial" w:cs="Arial"/>
        </w:rPr>
        <w:t xml:space="preserve"> referrals for ADHD show an issue with pathways</w:t>
      </w:r>
      <w:r w:rsidR="4DFB7793" w:rsidRPr="48CE9D0E">
        <w:rPr>
          <w:rStyle w:val="cursor-pointer"/>
          <w:rFonts w:ascii="Arial" w:hAnsi="Arial" w:cs="Arial"/>
        </w:rPr>
        <w:t xml:space="preserve"> </w:t>
      </w:r>
      <w:r w:rsidR="4DFB7793" w:rsidRPr="48CE9D0E">
        <w:rPr>
          <w:rFonts w:ascii="Arial" w:hAnsi="Arial" w:cs="Arial"/>
        </w:rPr>
        <w:t>(Adamou and Jones, 2026)</w:t>
      </w:r>
      <w:r w:rsidR="0F805073" w:rsidRPr="48CE9D0E">
        <w:rPr>
          <w:rStyle w:val="cursor-pointer"/>
          <w:rFonts w:ascii="Arial" w:hAnsi="Arial" w:cs="Arial"/>
        </w:rPr>
        <w:t>.</w:t>
      </w:r>
      <w:r w:rsidR="0F805073" w:rsidRPr="48CE9D0E">
        <w:rPr>
          <w:rFonts w:ascii="Arial" w:hAnsi="Arial" w:cs="Arial"/>
        </w:rPr>
        <w:t xml:space="preserve"> </w:t>
      </w:r>
      <w:r w:rsidR="0F805073" w:rsidRPr="48CE9D0E">
        <w:rPr>
          <w:rStyle w:val="cursor-pointer"/>
          <w:rFonts w:ascii="Arial" w:hAnsi="Arial" w:cs="Arial"/>
        </w:rPr>
        <w:t>They do not include wait for medication, psychological therapy, or follow-up</w:t>
      </w:r>
      <w:r w:rsidR="4DFB7793" w:rsidRPr="48CE9D0E">
        <w:rPr>
          <w:rStyle w:val="cursor-pointer"/>
          <w:rFonts w:ascii="Arial" w:hAnsi="Arial" w:cs="Arial"/>
        </w:rPr>
        <w:t xml:space="preserve"> </w:t>
      </w:r>
      <w:r w:rsidR="4DFB7793" w:rsidRPr="48CE9D0E">
        <w:rPr>
          <w:rFonts w:ascii="Arial" w:hAnsi="Arial" w:cs="Arial"/>
        </w:rPr>
        <w:t>(May et al., 2023)</w:t>
      </w:r>
      <w:r w:rsidR="0F805073" w:rsidRPr="48CE9D0E">
        <w:rPr>
          <w:rStyle w:val="cursor-pointer"/>
          <w:rFonts w:ascii="Arial" w:hAnsi="Arial" w:cs="Arial"/>
        </w:rPr>
        <w:t>.</w:t>
      </w:r>
      <w:r w:rsidR="24C31610" w:rsidRPr="48CE9D0E">
        <w:rPr>
          <w:rStyle w:val="Heading2Char"/>
          <w:rFonts w:ascii="Arial" w:eastAsiaTheme="minorEastAsia" w:hAnsi="Arial" w:cs="Arial"/>
          <w:sz w:val="23"/>
          <w:szCs w:val="23"/>
        </w:rPr>
        <w:t xml:space="preserve"> </w:t>
      </w:r>
      <w:r w:rsidR="24C31610" w:rsidRPr="48CE9D0E">
        <w:rPr>
          <w:rStyle w:val="cursor-pointer"/>
          <w:rFonts w:ascii="Arial" w:hAnsi="Arial" w:cs="Arial"/>
        </w:rPr>
        <w:t xml:space="preserve">There is therefore some evidence in favour of multiple therapeutic options, but effectiveness of treatment is dependent on the quality of evaluation, individual </w:t>
      </w:r>
      <w:r w:rsidR="287F6C36" w:rsidRPr="48CE9D0E">
        <w:rPr>
          <w:rStyle w:val="cursor-pointer"/>
          <w:rFonts w:ascii="Arial" w:hAnsi="Arial" w:cs="Arial"/>
        </w:rPr>
        <w:t>treatment,</w:t>
      </w:r>
      <w:r w:rsidR="24C31610" w:rsidRPr="48CE9D0E">
        <w:rPr>
          <w:rStyle w:val="cursor-pointer"/>
          <w:rFonts w:ascii="Arial" w:hAnsi="Arial" w:cs="Arial"/>
        </w:rPr>
        <w:t xml:space="preserve"> and the availability of a reliable, timely monitoring system.</w:t>
      </w:r>
      <w:bookmarkStart w:id="9" w:name="_Toc241397144"/>
    </w:p>
    <w:p w14:paraId="7AC373FD" w14:textId="77777777" w:rsidR="004233F8" w:rsidRPr="007E1B61" w:rsidRDefault="004233F8" w:rsidP="00620785">
      <w:pPr>
        <w:pStyle w:val="Heading1"/>
        <w:rPr>
          <w:rFonts w:ascii="Arial" w:hAnsi="Arial" w:cs="Arial"/>
          <w:b/>
        </w:rPr>
      </w:pPr>
      <w:r w:rsidRPr="007E1B61">
        <w:rPr>
          <w:rFonts w:ascii="Arial" w:hAnsi="Arial" w:cs="Arial"/>
          <w:b/>
          <w:color w:val="000000" w:themeColor="text1"/>
          <w:sz w:val="36"/>
        </w:rPr>
        <w:t>4. Rehabilitation and long-term management</w:t>
      </w:r>
      <w:bookmarkEnd w:id="9"/>
    </w:p>
    <w:p w14:paraId="3745A739" w14:textId="77777777" w:rsidR="004233F8" w:rsidRPr="001E5435" w:rsidRDefault="004233F8" w:rsidP="00620785">
      <w:pPr>
        <w:spacing w:line="360" w:lineRule="auto"/>
      </w:pPr>
      <w:r w:rsidRPr="001E5435">
        <w:rPr>
          <w:rStyle w:val="cursor-pointer"/>
          <w:rFonts w:ascii="Arial" w:hAnsi="Arial" w:cs="Arial"/>
        </w:rPr>
        <w:t>Successful long-term treatment should be assessed in adults with ADHD based on the maintenance of treatment participation, rather than symptom scores.</w:t>
      </w:r>
    </w:p>
    <w:p w14:paraId="062D085B" w14:textId="77777777" w:rsidR="004233F8" w:rsidRPr="007E1B61" w:rsidRDefault="004233F8" w:rsidP="007B0994">
      <w:pPr>
        <w:pStyle w:val="Heading2"/>
        <w:spacing w:line="360" w:lineRule="auto"/>
        <w:rPr>
          <w:rFonts w:ascii="Arial" w:hAnsi="Arial" w:cs="Arial"/>
          <w:sz w:val="32"/>
        </w:rPr>
      </w:pPr>
      <w:bookmarkStart w:id="10" w:name="_Toc241397145"/>
      <w:r w:rsidRPr="007E1B61">
        <w:rPr>
          <w:rFonts w:ascii="Arial" w:hAnsi="Arial" w:cs="Arial"/>
          <w:sz w:val="32"/>
        </w:rPr>
        <w:t>4.1 Continuing care and functioning</w:t>
      </w:r>
      <w:bookmarkEnd w:id="10"/>
    </w:p>
    <w:p w14:paraId="08A64BF3" w14:textId="6F63F0D3" w:rsidR="004233F8" w:rsidRPr="001E5435" w:rsidRDefault="24DBB737" w:rsidP="007B0994">
      <w:pPr>
        <w:spacing w:line="360" w:lineRule="auto"/>
        <w:jc w:val="both"/>
        <w:rPr>
          <w:rStyle w:val="cursor-pointer"/>
          <w:rFonts w:ascii="Arial" w:hAnsi="Arial" w:cs="Arial"/>
        </w:rPr>
      </w:pPr>
      <w:r w:rsidRPr="48CE9D0E">
        <w:rPr>
          <w:rStyle w:val="cursor-pointer"/>
          <w:rFonts w:ascii="Arial" w:hAnsi="Arial" w:cs="Arial"/>
        </w:rPr>
        <w:t>ICD-11 recognizes impairment of the occupation or the activities of daily living (ADLs), rather than recommending rehabilitation</w:t>
      </w:r>
      <w:r w:rsidR="2ABE5B9E" w:rsidRPr="48CE9D0E">
        <w:rPr>
          <w:rStyle w:val="cursor-pointer"/>
          <w:rFonts w:ascii="Arial" w:hAnsi="Arial" w:cs="Arial"/>
        </w:rPr>
        <w:t xml:space="preserve"> </w:t>
      </w:r>
      <w:r w:rsidR="2ABE5B9E" w:rsidRPr="48CE9D0E">
        <w:rPr>
          <w:rFonts w:ascii="Arial" w:hAnsi="Arial" w:cs="Arial"/>
        </w:rPr>
        <w:t>(World Health Organization, 2024)</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 xml:space="preserve">All of this can be achieved through a practical plan in England, which includes medication review, psychological support, </w:t>
      </w:r>
      <w:r w:rsidR="1865822A" w:rsidRPr="48CE9D0E">
        <w:rPr>
          <w:rStyle w:val="cursor-pointer"/>
          <w:rFonts w:ascii="Arial" w:hAnsi="Arial" w:cs="Arial"/>
        </w:rPr>
        <w:t>routine,</w:t>
      </w:r>
      <w:r w:rsidRPr="48CE9D0E">
        <w:rPr>
          <w:rStyle w:val="cursor-pointer"/>
          <w:rFonts w:ascii="Arial" w:hAnsi="Arial" w:cs="Arial"/>
        </w:rPr>
        <w:t xml:space="preserve"> and adjustments to work/education.</w:t>
      </w:r>
      <w:r w:rsidRPr="48CE9D0E">
        <w:rPr>
          <w:rFonts w:ascii="Arial" w:hAnsi="Arial" w:cs="Arial"/>
        </w:rPr>
        <w:t xml:space="preserve"> </w:t>
      </w:r>
      <w:r w:rsidRPr="48CE9D0E">
        <w:rPr>
          <w:rStyle w:val="cursor-pointer"/>
          <w:rFonts w:ascii="Arial" w:hAnsi="Arial" w:cs="Arial"/>
        </w:rPr>
        <w:t>NICE recommends treatment follow-up to be done as necessary; medication review is recommended to be done at least every year with a professional who has expertise in ADHD.</w:t>
      </w:r>
      <w:r w:rsidRPr="48CE9D0E">
        <w:rPr>
          <w:rFonts w:ascii="Arial" w:hAnsi="Arial" w:cs="Arial"/>
        </w:rPr>
        <w:t xml:space="preserve"> </w:t>
      </w:r>
      <w:r w:rsidRPr="48CE9D0E">
        <w:rPr>
          <w:rStyle w:val="cursor-pointer"/>
          <w:rFonts w:ascii="Arial" w:hAnsi="Arial" w:cs="Arial"/>
        </w:rPr>
        <w:t>The review should consider if gains are applicable to everyday activities and interactions.</w:t>
      </w:r>
      <w:r w:rsidRPr="48CE9D0E">
        <w:rPr>
          <w:rFonts w:ascii="Arial" w:hAnsi="Arial" w:cs="Arial"/>
        </w:rPr>
        <w:t xml:space="preserve"> </w:t>
      </w:r>
      <w:r w:rsidRPr="48CE9D0E">
        <w:rPr>
          <w:rStyle w:val="cursor-pointer"/>
          <w:rFonts w:ascii="Arial" w:hAnsi="Arial" w:cs="Arial"/>
        </w:rPr>
        <w:t>It should also include negative impacts and agreed upon functional objectives</w:t>
      </w:r>
      <w:r w:rsidR="2ABE5B9E" w:rsidRPr="48CE9D0E">
        <w:rPr>
          <w:rStyle w:val="cursor-pointer"/>
          <w:rFonts w:ascii="Arial" w:hAnsi="Arial" w:cs="Arial"/>
        </w:rPr>
        <w:t xml:space="preserve"> </w:t>
      </w:r>
      <w:r w:rsidR="2ABE5B9E" w:rsidRPr="48CE9D0E">
        <w:rPr>
          <w:rFonts w:ascii="Arial" w:hAnsi="Arial" w:cs="Arial"/>
        </w:rPr>
        <w:t>(Asherson et al., 2022)</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A lack of responsibility for specialist advice and review in the transfer of prescribing to primary care is likely to lead to a deterioration between a good response to symptoms and maintenance of function.</w:t>
      </w:r>
      <w:r w:rsidRPr="48CE9D0E">
        <w:rPr>
          <w:rFonts w:ascii="Arial" w:hAnsi="Arial" w:cs="Arial"/>
        </w:rPr>
        <w:t xml:space="preserve"> </w:t>
      </w:r>
      <w:r w:rsidRPr="48CE9D0E">
        <w:rPr>
          <w:rStyle w:val="cursor-pointer"/>
          <w:rFonts w:ascii="Arial" w:hAnsi="Arial" w:cs="Arial"/>
        </w:rPr>
        <w:t>NHS England's ADHD Taskforce recommends the provision of support across services - this is a policy recommendation, not evidence that support for ADHD is the same throughout the country</w:t>
      </w:r>
      <w:r w:rsidR="2ABE5B9E" w:rsidRPr="48CE9D0E">
        <w:rPr>
          <w:rStyle w:val="cursor-pointer"/>
          <w:rFonts w:ascii="Arial" w:hAnsi="Arial" w:cs="Arial"/>
        </w:rPr>
        <w:t xml:space="preserve"> </w:t>
      </w:r>
      <w:r w:rsidR="2ABE5B9E" w:rsidRPr="48CE9D0E">
        <w:rPr>
          <w:rFonts w:ascii="Arial" w:hAnsi="Arial" w:cs="Arial"/>
        </w:rPr>
        <w:t>(Boyle et al., 2025)</w:t>
      </w:r>
      <w:r w:rsidRPr="48CE9D0E">
        <w:rPr>
          <w:rStyle w:val="cursor-pointer"/>
          <w:rFonts w:ascii="Arial" w:hAnsi="Arial" w:cs="Arial"/>
        </w:rPr>
        <w:t>.</w:t>
      </w:r>
    </w:p>
    <w:p w14:paraId="6EBC684A" w14:textId="77777777" w:rsidR="007B0994" w:rsidRPr="001E5435" w:rsidRDefault="007B0994" w:rsidP="007B0994">
      <w:pPr>
        <w:spacing w:line="360" w:lineRule="auto"/>
        <w:jc w:val="both"/>
        <w:rPr>
          <w:rFonts w:ascii="Arial" w:hAnsi="Arial" w:cs="Arial"/>
        </w:rPr>
      </w:pPr>
      <w:r w:rsidRPr="001E5435">
        <w:rPr>
          <w:rFonts w:ascii="Arial" w:hAnsi="Arial" w:cs="Arial"/>
        </w:rPr>
        <w:t>Appendix B sets out the assessment, treatment and follow-up questions used to evaluate whether care addresses everyday functioning.</w:t>
      </w:r>
    </w:p>
    <w:p w14:paraId="4CF9D5DE" w14:textId="77777777" w:rsidR="004233F8" w:rsidRPr="007E1B61" w:rsidRDefault="004233F8" w:rsidP="007B0994">
      <w:pPr>
        <w:pStyle w:val="Heading2"/>
        <w:spacing w:line="360" w:lineRule="auto"/>
        <w:rPr>
          <w:rFonts w:ascii="Arial" w:hAnsi="Arial" w:cs="Arial"/>
          <w:sz w:val="32"/>
        </w:rPr>
      </w:pPr>
      <w:bookmarkStart w:id="11" w:name="_Toc241397146"/>
      <w:r w:rsidRPr="007E1B61">
        <w:rPr>
          <w:rFonts w:ascii="Arial" w:hAnsi="Arial" w:cs="Arial"/>
          <w:sz w:val="32"/>
        </w:rPr>
        <w:t>4.2 Policy and legal framework</w:t>
      </w:r>
      <w:bookmarkEnd w:id="11"/>
    </w:p>
    <w:p w14:paraId="278E9093" w14:textId="7AF25310" w:rsidR="004233F8" w:rsidRPr="001E5435" w:rsidRDefault="24DBB737" w:rsidP="007B0994">
      <w:pPr>
        <w:spacing w:line="360" w:lineRule="auto"/>
        <w:jc w:val="both"/>
        <w:rPr>
          <w:rFonts w:ascii="Arial" w:hAnsi="Arial" w:cs="Arial"/>
        </w:rPr>
      </w:pPr>
      <w:r w:rsidRPr="48CE9D0E">
        <w:rPr>
          <w:rStyle w:val="cursor-pointer"/>
          <w:rFonts w:ascii="Arial" w:hAnsi="Arial" w:cs="Arial"/>
        </w:rPr>
        <w:t>The Equality Act 2010 defines disability as when someone has a substantial long-term effect on any normal activity, it is not just the diagnosis of ADHD itself that makes someone "disabled"</w:t>
      </w:r>
      <w:r w:rsidR="2ABE5B9E" w:rsidRPr="48CE9D0E">
        <w:rPr>
          <w:rStyle w:val="cursor-pointer"/>
          <w:rFonts w:ascii="Arial" w:hAnsi="Arial" w:cs="Arial"/>
        </w:rPr>
        <w:t xml:space="preserve"> </w:t>
      </w:r>
      <w:r w:rsidR="2ABE5B9E" w:rsidRPr="48CE9D0E">
        <w:rPr>
          <w:rFonts w:ascii="Arial" w:hAnsi="Arial" w:cs="Arial"/>
        </w:rPr>
        <w:t>(Lawson, 2025)</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If a test is satisfied, then employers are required to make reasonable adjustments.</w:t>
      </w:r>
      <w:r w:rsidRPr="48CE9D0E">
        <w:rPr>
          <w:rFonts w:ascii="Arial" w:hAnsi="Arial" w:cs="Arial"/>
        </w:rPr>
        <w:t xml:space="preserve"> </w:t>
      </w:r>
      <w:r w:rsidR="24C31610" w:rsidRPr="48CE9D0E">
        <w:rPr>
          <w:rFonts w:ascii="Arial" w:hAnsi="Arial" w:cs="Arial"/>
        </w:rPr>
        <w:t>Access to Work can provide additional assistance but does not replace an employer’s responsibility</w:t>
      </w:r>
      <w:r w:rsidR="4CFA8E10" w:rsidRPr="48CE9D0E">
        <w:rPr>
          <w:rFonts w:ascii="Arial" w:hAnsi="Arial" w:cs="Arial"/>
        </w:rPr>
        <w:t xml:space="preserve"> to make reasonable adjustments </w:t>
      </w:r>
      <w:r w:rsidR="2ABE5B9E" w:rsidRPr="48CE9D0E">
        <w:rPr>
          <w:rFonts w:ascii="Arial" w:hAnsi="Arial" w:cs="Arial"/>
        </w:rPr>
        <w:t>(Olsen, 2022)</w:t>
      </w:r>
      <w:r w:rsidR="66211563" w:rsidRPr="48CE9D0E">
        <w:rPr>
          <w:rStyle w:val="cursor-pointer"/>
          <w:rFonts w:ascii="Arial" w:hAnsi="Arial" w:cs="Arial"/>
        </w:rPr>
        <w:t xml:space="preserve">. </w:t>
      </w:r>
      <w:r w:rsidR="4CFA8E10" w:rsidRPr="48CE9D0E">
        <w:rPr>
          <w:rFonts w:ascii="Arial" w:hAnsi="Arial" w:cs="Arial"/>
        </w:rPr>
        <w:t>These measures aim to support participation; however, their availability does not guarantee that every individual will be able to access appropriate support.</w:t>
      </w:r>
      <w:r w:rsidRPr="48CE9D0E">
        <w:rPr>
          <w:rFonts w:ascii="Arial" w:hAnsi="Arial" w:cs="Arial"/>
        </w:rPr>
        <w:t xml:space="preserve"> </w:t>
      </w:r>
      <w:r w:rsidRPr="48CE9D0E">
        <w:rPr>
          <w:rStyle w:val="cursor-pointer"/>
          <w:rFonts w:ascii="Arial" w:hAnsi="Arial" w:cs="Arial"/>
        </w:rPr>
        <w:t>The Care Act could be relevant if there is any need for social care; compulsory treatment under the Mental Health Act will not be a normal part of an ADHD pathway</w:t>
      </w:r>
      <w:r w:rsidR="37B5F95D" w:rsidRPr="48CE9D0E">
        <w:rPr>
          <w:rStyle w:val="cursor-pointer"/>
          <w:rFonts w:ascii="Arial" w:hAnsi="Arial" w:cs="Arial"/>
        </w:rPr>
        <w:t xml:space="preserve"> </w:t>
      </w:r>
      <w:r w:rsidR="37B5F95D" w:rsidRPr="48CE9D0E">
        <w:rPr>
          <w:rFonts w:ascii="Arial" w:hAnsi="Arial" w:cs="Arial"/>
        </w:rPr>
        <w:t>(Feldon, 2025)</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A robust, meaningful outcome is continued ability to work, study and participate, alongside of symptoms and treatment continuation.</w:t>
      </w:r>
    </w:p>
    <w:p w14:paraId="234D1299" w14:textId="77777777" w:rsidR="004233F8" w:rsidRPr="00460844" w:rsidRDefault="00A012BE" w:rsidP="007B0994">
      <w:pPr>
        <w:pStyle w:val="Heading1"/>
        <w:spacing w:line="360" w:lineRule="auto"/>
        <w:rPr>
          <w:rFonts w:ascii="Arial" w:hAnsi="Arial" w:cs="Arial"/>
          <w:b/>
          <w:color w:val="000000" w:themeColor="text1"/>
        </w:rPr>
      </w:pPr>
      <w:bookmarkStart w:id="12" w:name="_Toc241397147"/>
      <w:r w:rsidRPr="00460844">
        <w:rPr>
          <w:rFonts w:ascii="Arial" w:hAnsi="Arial" w:cs="Arial"/>
          <w:b/>
          <w:color w:val="000000" w:themeColor="text1"/>
        </w:rPr>
        <w:t>5. Current debates and emerging issues</w:t>
      </w:r>
      <w:bookmarkEnd w:id="12"/>
    </w:p>
    <w:p w14:paraId="5ECF3E17" w14:textId="77777777" w:rsidR="00CE4D70" w:rsidRPr="001E5435" w:rsidRDefault="00CE4D70" w:rsidP="00620785">
      <w:pPr>
        <w:spacing w:line="360" w:lineRule="auto"/>
        <w:jc w:val="both"/>
        <w:rPr>
          <w:rFonts w:ascii="Arial" w:hAnsi="Arial" w:cs="Arial"/>
        </w:rPr>
      </w:pPr>
      <w:bookmarkStart w:id="13" w:name="_Toc241397148"/>
      <w:r w:rsidRPr="001E5435">
        <w:rPr>
          <w:rFonts w:ascii="Arial" w:hAnsi="Arial" w:cs="Arial"/>
        </w:rPr>
        <w:t>This section compares the recognition and provision of support for adults with ADHD in England, through the lens of diagnostic criteria, demand for assessment and service access.</w:t>
      </w:r>
    </w:p>
    <w:p w14:paraId="4F8DCF46" w14:textId="124E02DD" w:rsidR="00A012BE" w:rsidRPr="00460844" w:rsidRDefault="5FC6CCA2" w:rsidP="007B0994">
      <w:pPr>
        <w:pStyle w:val="Heading2"/>
        <w:spacing w:line="360" w:lineRule="auto"/>
        <w:rPr>
          <w:rFonts w:ascii="Arial" w:hAnsi="Arial" w:cs="Arial"/>
          <w:sz w:val="32"/>
          <w:szCs w:val="32"/>
        </w:rPr>
      </w:pPr>
      <w:r w:rsidRPr="48CE9D0E">
        <w:rPr>
          <w:rFonts w:ascii="Arial" w:hAnsi="Arial" w:cs="Arial"/>
          <w:sz w:val="32"/>
          <w:szCs w:val="32"/>
        </w:rPr>
        <w:t xml:space="preserve">5.1 Classification, </w:t>
      </w:r>
      <w:r w:rsidR="6D3BCE97" w:rsidRPr="48CE9D0E">
        <w:rPr>
          <w:rFonts w:ascii="Arial" w:hAnsi="Arial" w:cs="Arial"/>
          <w:sz w:val="32"/>
          <w:szCs w:val="32"/>
        </w:rPr>
        <w:t>identity,</w:t>
      </w:r>
      <w:r w:rsidRPr="48CE9D0E">
        <w:rPr>
          <w:rFonts w:ascii="Arial" w:hAnsi="Arial" w:cs="Arial"/>
          <w:sz w:val="32"/>
          <w:szCs w:val="32"/>
        </w:rPr>
        <w:t xml:space="preserve"> and thresholds</w:t>
      </w:r>
      <w:bookmarkEnd w:id="13"/>
    </w:p>
    <w:p w14:paraId="0E557EE2" w14:textId="3FBDC793" w:rsidR="00FB7875" w:rsidRPr="001E5435" w:rsidRDefault="5FC6CCA2" w:rsidP="007B0994">
      <w:pPr>
        <w:spacing w:line="360" w:lineRule="auto"/>
        <w:jc w:val="both"/>
        <w:rPr>
          <w:rFonts w:ascii="Arial" w:hAnsi="Arial" w:cs="Arial"/>
        </w:rPr>
      </w:pPr>
      <w:r w:rsidRPr="48CE9D0E">
        <w:rPr>
          <w:rStyle w:val="cursor-pointer"/>
          <w:rFonts w:ascii="Arial" w:hAnsi="Arial" w:cs="Arial"/>
        </w:rPr>
        <w:t>According to ICD-11, ADHD is a disorder if there are persistent symptoms that affect functioning</w:t>
      </w:r>
      <w:r w:rsidR="37B5F95D" w:rsidRPr="48CE9D0E">
        <w:rPr>
          <w:rStyle w:val="cursor-pointer"/>
          <w:rFonts w:ascii="Arial" w:hAnsi="Arial" w:cs="Arial"/>
        </w:rPr>
        <w:t xml:space="preserve"> </w:t>
      </w:r>
      <w:r w:rsidR="37B5F95D" w:rsidRPr="48CE9D0E">
        <w:rPr>
          <w:rFonts w:ascii="Arial" w:hAnsi="Arial" w:cs="Arial"/>
        </w:rPr>
        <w:t>(World Health Organization, 2024)</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There is some adult preference for the use of the language of “condition” or “neurodivergence” to prevent stigma</w:t>
      </w:r>
      <w:r w:rsidR="37B5F95D" w:rsidRPr="48CE9D0E">
        <w:rPr>
          <w:rStyle w:val="cursor-pointer"/>
          <w:rFonts w:ascii="Arial" w:hAnsi="Arial" w:cs="Arial"/>
        </w:rPr>
        <w:t xml:space="preserve"> </w:t>
      </w:r>
      <w:r w:rsidR="37B5F95D" w:rsidRPr="48CE9D0E">
        <w:rPr>
          <w:rFonts w:ascii="Arial" w:hAnsi="Arial" w:cs="Arial"/>
        </w:rPr>
        <w:t>(Hammond, 2026)</w:t>
      </w:r>
      <w:r w:rsidRPr="48CE9D0E">
        <w:rPr>
          <w:rStyle w:val="cursor-pointer"/>
          <w:rFonts w:ascii="Arial" w:hAnsi="Arial" w:cs="Arial"/>
        </w:rPr>
        <w:t>.</w:t>
      </w:r>
      <w:r w:rsidRPr="48CE9D0E">
        <w:rPr>
          <w:rFonts w:ascii="Arial" w:hAnsi="Arial" w:cs="Arial"/>
        </w:rPr>
        <w:t xml:space="preserve"> </w:t>
      </w:r>
      <w:r w:rsidR="0F805073" w:rsidRPr="48CE9D0E">
        <w:rPr>
          <w:rStyle w:val="cursor-pointer"/>
          <w:rFonts w:ascii="Arial" w:hAnsi="Arial" w:cs="Arial"/>
        </w:rPr>
        <w:t xml:space="preserve">Attention issues alone are not enough to diagnose ADHD, but they should be </w:t>
      </w:r>
      <w:r w:rsidR="49EB3685" w:rsidRPr="48CE9D0E">
        <w:rPr>
          <w:rStyle w:val="cursor-pointer"/>
          <w:rFonts w:ascii="Arial" w:hAnsi="Arial" w:cs="Arial"/>
        </w:rPr>
        <w:t>considered</w:t>
      </w:r>
      <w:r w:rsidR="0F805073" w:rsidRPr="48CE9D0E">
        <w:rPr>
          <w:rStyle w:val="cursor-pointer"/>
          <w:rFonts w:ascii="Arial" w:hAnsi="Arial" w:cs="Arial"/>
        </w:rPr>
        <w:t xml:space="preserve"> along with the impact on functioning.</w:t>
      </w:r>
      <w:r w:rsidR="0F805073" w:rsidRPr="48CE9D0E">
        <w:rPr>
          <w:rFonts w:ascii="Arial" w:hAnsi="Arial" w:cs="Arial"/>
        </w:rPr>
        <w:t xml:space="preserve"> </w:t>
      </w:r>
      <w:r w:rsidR="0F805073" w:rsidRPr="48CE9D0E">
        <w:rPr>
          <w:rStyle w:val="cursor-pointer"/>
          <w:rFonts w:ascii="Arial" w:hAnsi="Arial" w:cs="Arial"/>
        </w:rPr>
        <w:t xml:space="preserve">Conversely, </w:t>
      </w:r>
      <w:r w:rsidR="24E6AA31" w:rsidRPr="48CE9D0E">
        <w:rPr>
          <w:rFonts w:ascii="Arial" w:hAnsi="Arial" w:cs="Arial"/>
        </w:rPr>
        <w:t xml:space="preserve">adults whose childhood difficulties were masked, </w:t>
      </w:r>
      <w:r w:rsidR="284F1AEC" w:rsidRPr="48CE9D0E">
        <w:rPr>
          <w:rFonts w:ascii="Arial" w:hAnsi="Arial" w:cs="Arial"/>
        </w:rPr>
        <w:t>overlooked,</w:t>
      </w:r>
      <w:r w:rsidR="24E6AA31" w:rsidRPr="48CE9D0E">
        <w:rPr>
          <w:rFonts w:ascii="Arial" w:hAnsi="Arial" w:cs="Arial"/>
        </w:rPr>
        <w:t xml:space="preserve"> or poorly documented may be missed during assessment, particularly when childhood records or informants are unavailable</w:t>
      </w:r>
      <w:r w:rsidR="24E6AA31">
        <w:t xml:space="preserve"> </w:t>
      </w:r>
      <w:r w:rsidR="37B5F95D" w:rsidRPr="48CE9D0E">
        <w:rPr>
          <w:rFonts w:ascii="Arial" w:hAnsi="Arial" w:cs="Arial"/>
        </w:rPr>
        <w:t>(Long and Coats, 2022)</w:t>
      </w:r>
      <w:r w:rsidR="0F805073" w:rsidRPr="48CE9D0E">
        <w:rPr>
          <w:rStyle w:val="cursor-pointer"/>
          <w:rFonts w:ascii="Arial" w:hAnsi="Arial" w:cs="Arial"/>
        </w:rPr>
        <w:t>.</w:t>
      </w:r>
      <w:r w:rsidR="0F805073" w:rsidRPr="48CE9D0E">
        <w:rPr>
          <w:rFonts w:ascii="Arial" w:hAnsi="Arial" w:cs="Arial"/>
        </w:rPr>
        <w:t xml:space="preserve"> </w:t>
      </w:r>
    </w:p>
    <w:p w14:paraId="16A99686" w14:textId="77777777" w:rsidR="006753F0" w:rsidRDefault="00A012BE" w:rsidP="006753F0">
      <w:pPr>
        <w:pStyle w:val="Heading2"/>
        <w:spacing w:line="360" w:lineRule="auto"/>
        <w:rPr>
          <w:rFonts w:ascii="Arial" w:hAnsi="Arial" w:cs="Arial"/>
          <w:sz w:val="32"/>
        </w:rPr>
      </w:pPr>
      <w:bookmarkStart w:id="14" w:name="_Toc241397149"/>
      <w:r w:rsidRPr="00460844">
        <w:rPr>
          <w:rFonts w:ascii="Arial" w:hAnsi="Arial" w:cs="Arial"/>
          <w:sz w:val="32"/>
        </w:rPr>
        <w:t>5.2 Assessment demand and UK evidence</w:t>
      </w:r>
      <w:bookmarkEnd w:id="14"/>
    </w:p>
    <w:p w14:paraId="46BF2EAB" w14:textId="44374046" w:rsidR="00CE4D70" w:rsidRPr="006753F0" w:rsidRDefault="00A012BE" w:rsidP="006753F0">
      <w:pPr>
        <w:pStyle w:val="Heading2"/>
        <w:spacing w:line="360" w:lineRule="auto"/>
        <w:rPr>
          <w:rStyle w:val="cursor-pointer"/>
          <w:rFonts w:ascii="Arial" w:hAnsi="Arial" w:cs="Arial"/>
          <w:b w:val="0"/>
          <w:bCs w:val="0"/>
          <w:sz w:val="22"/>
          <w:szCs w:val="22"/>
        </w:rPr>
      </w:pPr>
      <w:r w:rsidRPr="006753F0">
        <w:rPr>
          <w:rStyle w:val="cursor-pointer"/>
          <w:rFonts w:ascii="Arial" w:hAnsi="Arial" w:cs="Arial"/>
          <w:b w:val="0"/>
          <w:bCs w:val="0"/>
          <w:sz w:val="22"/>
          <w:szCs w:val="22"/>
        </w:rPr>
        <w:t>By June 2026, up to 959,662 referrals may be open with the NHS England that could relate to ADHD assessment.</w:t>
      </w:r>
      <w:r w:rsidRPr="006753F0">
        <w:rPr>
          <w:rFonts w:ascii="Arial" w:hAnsi="Arial" w:cs="Arial"/>
          <w:b w:val="0"/>
          <w:bCs w:val="0"/>
          <w:sz w:val="22"/>
          <w:szCs w:val="22"/>
        </w:rPr>
        <w:t xml:space="preserve"> </w:t>
      </w:r>
      <w:r w:rsidRPr="006753F0">
        <w:rPr>
          <w:rStyle w:val="cursor-pointer"/>
          <w:rFonts w:ascii="Arial" w:hAnsi="Arial" w:cs="Arial"/>
          <w:b w:val="0"/>
          <w:bCs w:val="0"/>
          <w:sz w:val="22"/>
          <w:szCs w:val="22"/>
        </w:rPr>
        <w:t>Not the number of undiagnosed adults, this is a combination of service datasets, children and categories may include other conditions</w:t>
      </w:r>
      <w:r w:rsidR="00D73A5A" w:rsidRPr="006753F0">
        <w:rPr>
          <w:rFonts w:ascii="Arial" w:hAnsi="Arial" w:cs="Arial"/>
          <w:b w:val="0"/>
          <w:bCs w:val="0"/>
          <w:sz w:val="22"/>
          <w:szCs w:val="22"/>
        </w:rPr>
        <w:t xml:space="preserve"> (Price et al., 2025)</w:t>
      </w:r>
      <w:r w:rsidRPr="006753F0">
        <w:rPr>
          <w:rStyle w:val="cursor-pointer"/>
          <w:rFonts w:ascii="Arial" w:hAnsi="Arial" w:cs="Arial"/>
          <w:b w:val="0"/>
          <w:bCs w:val="0"/>
          <w:sz w:val="22"/>
          <w:szCs w:val="22"/>
        </w:rPr>
        <w:t>.</w:t>
      </w:r>
      <w:r w:rsidRPr="006753F0">
        <w:rPr>
          <w:rFonts w:ascii="Arial" w:hAnsi="Arial" w:cs="Arial"/>
          <w:b w:val="0"/>
          <w:bCs w:val="0"/>
          <w:sz w:val="22"/>
          <w:szCs w:val="22"/>
        </w:rPr>
        <w:t xml:space="preserve"> </w:t>
      </w:r>
      <w:r w:rsidRPr="006753F0">
        <w:rPr>
          <w:rStyle w:val="cursor-pointer"/>
          <w:rFonts w:ascii="Arial" w:hAnsi="Arial" w:cs="Arial"/>
          <w:b w:val="0"/>
          <w:bCs w:val="0"/>
          <w:sz w:val="22"/>
          <w:szCs w:val="22"/>
        </w:rPr>
        <w:t>Comparisons by gender, ethnicity and region are hampered by reporting gaps and international estimates are subject to the need for similar definitions.</w:t>
      </w:r>
      <w:r w:rsidRPr="006753F0">
        <w:rPr>
          <w:rFonts w:ascii="Arial" w:hAnsi="Arial" w:cs="Arial"/>
          <w:b w:val="0"/>
          <w:bCs w:val="0"/>
          <w:sz w:val="22"/>
          <w:szCs w:val="22"/>
        </w:rPr>
        <w:t xml:space="preserve"> </w:t>
      </w:r>
      <w:r w:rsidR="00FB7875" w:rsidRPr="006753F0">
        <w:rPr>
          <w:rStyle w:val="cursor-pointer"/>
          <w:rFonts w:ascii="Arial" w:hAnsi="Arial" w:cs="Arial"/>
          <w:b w:val="0"/>
          <w:bCs w:val="0"/>
          <w:sz w:val="22"/>
          <w:szCs w:val="22"/>
        </w:rPr>
        <w:t>No increase in recorded referrals can prove overdiagnosis and does not quantify overall need.</w:t>
      </w:r>
      <w:r w:rsidR="00FB7875" w:rsidRPr="006753F0">
        <w:rPr>
          <w:rFonts w:ascii="Arial" w:hAnsi="Arial" w:cs="Arial"/>
          <w:b w:val="0"/>
          <w:bCs w:val="0"/>
          <w:sz w:val="22"/>
          <w:szCs w:val="22"/>
        </w:rPr>
        <w:t xml:space="preserve"> </w:t>
      </w:r>
      <w:r w:rsidR="00FB7875" w:rsidRPr="006753F0">
        <w:rPr>
          <w:rStyle w:val="cursor-pointer"/>
          <w:rFonts w:ascii="Arial" w:hAnsi="Arial" w:cs="Arial"/>
          <w:b w:val="0"/>
          <w:bCs w:val="0"/>
          <w:sz w:val="22"/>
          <w:szCs w:val="22"/>
        </w:rPr>
        <w:t>The UK adult assessment quality framework suggests more consistent, comprehensive assessments, with the NHS England Taskforce on ADHD suggesting increased support including support prior to diagnosis</w:t>
      </w:r>
      <w:r w:rsidR="00D73A5A" w:rsidRPr="006753F0">
        <w:rPr>
          <w:rStyle w:val="cursor-pointer"/>
          <w:rFonts w:ascii="Arial" w:hAnsi="Arial" w:cs="Arial"/>
          <w:b w:val="0"/>
          <w:bCs w:val="0"/>
          <w:sz w:val="22"/>
          <w:szCs w:val="22"/>
        </w:rPr>
        <w:t xml:space="preserve"> </w:t>
      </w:r>
      <w:r w:rsidR="00D73A5A" w:rsidRPr="006753F0">
        <w:rPr>
          <w:rFonts w:ascii="Arial" w:hAnsi="Arial" w:cs="Arial"/>
          <w:b w:val="0"/>
          <w:bCs w:val="0"/>
          <w:sz w:val="22"/>
          <w:szCs w:val="22"/>
        </w:rPr>
        <w:t>(Senkowski et al., 2023)</w:t>
      </w:r>
      <w:r w:rsidR="00FB7875" w:rsidRPr="006753F0">
        <w:rPr>
          <w:rStyle w:val="cursor-pointer"/>
          <w:rFonts w:ascii="Arial" w:hAnsi="Arial" w:cs="Arial"/>
          <w:b w:val="0"/>
          <w:bCs w:val="0"/>
          <w:sz w:val="22"/>
          <w:szCs w:val="22"/>
        </w:rPr>
        <w:t>.</w:t>
      </w:r>
      <w:r w:rsidR="00FB7875" w:rsidRPr="006753F0">
        <w:rPr>
          <w:rFonts w:ascii="Arial" w:hAnsi="Arial" w:cs="Arial"/>
          <w:b w:val="0"/>
          <w:bCs w:val="0"/>
          <w:sz w:val="22"/>
          <w:szCs w:val="22"/>
        </w:rPr>
        <w:t xml:space="preserve"> </w:t>
      </w:r>
      <w:bookmarkStart w:id="15" w:name="_Toc241397150"/>
      <w:r w:rsidR="00CE4D70" w:rsidRPr="006753F0">
        <w:rPr>
          <w:rStyle w:val="cursor-pointer"/>
          <w:rFonts w:ascii="Arial" w:hAnsi="Arial" w:cs="Arial"/>
          <w:b w:val="0"/>
          <w:bCs w:val="0"/>
          <w:sz w:val="22"/>
          <w:szCs w:val="22"/>
        </w:rPr>
        <w:t>These proposals do not show that the proposed changes have been made consistently in England.</w:t>
      </w:r>
      <w:r w:rsidR="00CE4D70" w:rsidRPr="006753F0">
        <w:rPr>
          <w:rFonts w:ascii="Arial" w:hAnsi="Arial" w:cs="Arial"/>
          <w:b w:val="0"/>
          <w:bCs w:val="0"/>
          <w:sz w:val="22"/>
          <w:szCs w:val="22"/>
        </w:rPr>
        <w:t xml:space="preserve"> </w:t>
      </w:r>
      <w:r w:rsidR="00CE4D70" w:rsidRPr="006753F0">
        <w:rPr>
          <w:rStyle w:val="cursor-pointer"/>
          <w:rFonts w:ascii="Arial" w:hAnsi="Arial" w:cs="Arial"/>
          <w:b w:val="0"/>
          <w:bCs w:val="0"/>
          <w:sz w:val="22"/>
          <w:szCs w:val="22"/>
        </w:rPr>
        <w:t>More comprehensive information on assessment outcomes, waiting time and support following diagnosis is required to assess the quality of the diagnosis and equitable access provided by faster pathways.</w:t>
      </w:r>
    </w:p>
    <w:p w14:paraId="2F6E3821" w14:textId="456B4B23" w:rsidR="00CE4D70" w:rsidRPr="001E5435" w:rsidRDefault="00CE4D70" w:rsidP="00561B38">
      <w:pPr>
        <w:spacing w:line="360" w:lineRule="auto"/>
        <w:jc w:val="both"/>
        <w:rPr>
          <w:rFonts w:ascii="Arial" w:hAnsi="Arial" w:cs="Arial"/>
          <w:color w:val="000000" w:themeColor="text1"/>
        </w:rPr>
      </w:pPr>
      <w:r w:rsidRPr="001E5435">
        <w:rPr>
          <w:rFonts w:ascii="Arial" w:hAnsi="Arial" w:cs="Arial"/>
          <w:color w:val="000000" w:themeColor="text1"/>
        </w:rPr>
        <w:t xml:space="preserve">Appendix A separates </w:t>
      </w:r>
      <w:r w:rsidR="001F1B15" w:rsidRPr="001E5435">
        <w:rPr>
          <w:rFonts w:ascii="Arial" w:hAnsi="Arial" w:cs="Arial"/>
          <w:color w:val="000000" w:themeColor="text1"/>
        </w:rPr>
        <w:t>estimate</w:t>
      </w:r>
      <w:r w:rsidRPr="001E5435">
        <w:rPr>
          <w:rFonts w:ascii="Arial" w:hAnsi="Arial" w:cs="Arial"/>
          <w:color w:val="000000" w:themeColor="text1"/>
        </w:rPr>
        <w:t xml:space="preserve"> of ADHD prevalence from potential referral to evaluation and points to some reasons why these two figures are not a true count of adults waiting for an evaluation diagnosis.</w:t>
      </w:r>
    </w:p>
    <w:p w14:paraId="326C1F68" w14:textId="77777777" w:rsidR="00A012BE" w:rsidRPr="006753F0" w:rsidRDefault="00A012BE" w:rsidP="007B0994">
      <w:pPr>
        <w:pStyle w:val="Heading1"/>
        <w:spacing w:line="360" w:lineRule="auto"/>
        <w:rPr>
          <w:rFonts w:ascii="Arial" w:hAnsi="Arial" w:cs="Arial"/>
          <w:b/>
          <w:color w:val="000000" w:themeColor="text1"/>
        </w:rPr>
      </w:pPr>
      <w:r w:rsidRPr="006753F0">
        <w:rPr>
          <w:rFonts w:ascii="Arial" w:hAnsi="Arial" w:cs="Arial"/>
          <w:b/>
          <w:color w:val="000000" w:themeColor="text1"/>
        </w:rPr>
        <w:t>6. Recommendations</w:t>
      </w:r>
      <w:bookmarkEnd w:id="15"/>
    </w:p>
    <w:p w14:paraId="78FDB551" w14:textId="77777777" w:rsidR="00A012BE" w:rsidRPr="001E5435" w:rsidRDefault="00A012BE" w:rsidP="007B0994">
      <w:pPr>
        <w:pStyle w:val="Heading2"/>
        <w:rPr>
          <w:rStyle w:val="Strong"/>
          <w:rFonts w:ascii="Arial" w:hAnsi="Arial" w:cs="Arial"/>
          <w:b/>
          <w:sz w:val="24"/>
          <w:szCs w:val="22"/>
        </w:rPr>
      </w:pPr>
      <w:r w:rsidRPr="001E5435">
        <w:rPr>
          <w:rStyle w:val="Strong"/>
          <w:rFonts w:ascii="Arial" w:hAnsi="Arial" w:cs="Arial"/>
          <w:b/>
          <w:sz w:val="24"/>
          <w:szCs w:val="22"/>
        </w:rPr>
        <w:t>Assessment:</w:t>
      </w:r>
    </w:p>
    <w:p w14:paraId="3821CAC7" w14:textId="668E08CF" w:rsidR="00A012BE" w:rsidRPr="001E5435" w:rsidRDefault="5FC6CCA2" w:rsidP="007B0994">
      <w:pPr>
        <w:spacing w:line="360" w:lineRule="auto"/>
        <w:jc w:val="both"/>
        <w:rPr>
          <w:rStyle w:val="Strong"/>
          <w:rFonts w:ascii="Arial" w:hAnsi="Arial" w:cs="Arial"/>
        </w:rPr>
      </w:pPr>
      <w:r w:rsidRPr="48CE9D0E">
        <w:rPr>
          <w:rStyle w:val="cursor-pointer"/>
          <w:rFonts w:ascii="Arial" w:hAnsi="Arial" w:cs="Arial"/>
        </w:rPr>
        <w:t xml:space="preserve">Referral pathways are often hard to </w:t>
      </w:r>
      <w:r w:rsidR="3ED2FEF9" w:rsidRPr="48CE9D0E">
        <w:rPr>
          <w:rStyle w:val="cursor-pointer"/>
          <w:rFonts w:ascii="Arial" w:hAnsi="Arial" w:cs="Arial"/>
        </w:rPr>
        <w:t>track,</w:t>
      </w:r>
      <w:r w:rsidRPr="48CE9D0E">
        <w:rPr>
          <w:rStyle w:val="cursor-pointer"/>
          <w:rFonts w:ascii="Arial" w:hAnsi="Arial" w:cs="Arial"/>
        </w:rPr>
        <w:t xml:space="preserve"> and childhood records are often missing, making diagnosis difficult; services should make their referral criteria public, and ensure that a common set of specialist assessments are conducted covering developmental history, </w:t>
      </w:r>
      <w:r w:rsidR="6A005C2A" w:rsidRPr="48CE9D0E">
        <w:rPr>
          <w:rStyle w:val="cursor-pointer"/>
          <w:rFonts w:ascii="Arial" w:hAnsi="Arial" w:cs="Arial"/>
        </w:rPr>
        <w:t>impairment,</w:t>
      </w:r>
      <w:r w:rsidRPr="48CE9D0E">
        <w:rPr>
          <w:rStyle w:val="cursor-pointer"/>
          <w:rFonts w:ascii="Arial" w:hAnsi="Arial" w:cs="Arial"/>
        </w:rPr>
        <w:t xml:space="preserve"> and other potential causes.</w:t>
      </w:r>
      <w:r w:rsidRPr="48CE9D0E">
        <w:rPr>
          <w:rFonts w:ascii="Arial" w:hAnsi="Arial" w:cs="Arial"/>
        </w:rPr>
        <w:t xml:space="preserve"> </w:t>
      </w:r>
      <w:r w:rsidRPr="48CE9D0E">
        <w:rPr>
          <w:rStyle w:val="cursor-pointer"/>
          <w:rFonts w:ascii="Arial" w:hAnsi="Arial" w:cs="Arial"/>
        </w:rPr>
        <w:t>This is supported by the quality framework for adult assessment and NICE guidance.</w:t>
      </w:r>
      <w:r w:rsidRPr="48CE9D0E">
        <w:rPr>
          <w:rFonts w:ascii="Arial" w:hAnsi="Arial" w:cs="Arial"/>
        </w:rPr>
        <w:t xml:space="preserve"> </w:t>
      </w:r>
      <w:r w:rsidR="0F805073" w:rsidRPr="48CE9D0E">
        <w:rPr>
          <w:rStyle w:val="cursor-pointer"/>
          <w:rFonts w:ascii="Arial" w:hAnsi="Arial" w:cs="Arial"/>
        </w:rPr>
        <w:t>Audit time from referral to decision and whether assessments provide documentation of developmental evidence and impairment and diagnostic reasoning.</w:t>
      </w:r>
      <w:r w:rsidR="0F805073" w:rsidRPr="48CE9D0E">
        <w:rPr>
          <w:rFonts w:ascii="Arial" w:hAnsi="Arial" w:cs="Arial"/>
        </w:rPr>
        <w:t xml:space="preserve"> </w:t>
      </w:r>
      <w:r w:rsidR="0F805073" w:rsidRPr="48CE9D0E">
        <w:rPr>
          <w:rStyle w:val="cursor-pointer"/>
          <w:rFonts w:ascii="Arial" w:hAnsi="Arial" w:cs="Arial"/>
        </w:rPr>
        <w:t>Indeterminate length of time does not ensure assessment quality.</w:t>
      </w:r>
    </w:p>
    <w:p w14:paraId="036D12EE" w14:textId="77777777" w:rsidR="00A012BE" w:rsidRPr="001E5435" w:rsidRDefault="00A012BE" w:rsidP="007B0994">
      <w:pPr>
        <w:pStyle w:val="Heading2"/>
      </w:pPr>
      <w:r w:rsidRPr="007E1B61">
        <w:rPr>
          <w:rFonts w:ascii="Arial" w:hAnsi="Arial" w:cs="Arial"/>
          <w:sz w:val="24"/>
        </w:rPr>
        <w:t>Treatment and continuity</w:t>
      </w:r>
      <w:r w:rsidRPr="001E5435">
        <w:rPr>
          <w:sz w:val="24"/>
        </w:rPr>
        <w:t>:</w:t>
      </w:r>
    </w:p>
    <w:p w14:paraId="0A7BF7C0" w14:textId="27E9F8DF" w:rsidR="00FB7875" w:rsidRPr="001E5435" w:rsidRDefault="0F805073" w:rsidP="007B0994">
      <w:pPr>
        <w:spacing w:line="360" w:lineRule="auto"/>
        <w:jc w:val="both"/>
        <w:rPr>
          <w:rStyle w:val="cursor-pointer"/>
          <w:rFonts w:ascii="Arial" w:eastAsia="Times New Roman" w:hAnsi="Arial" w:cs="Arial"/>
        </w:rPr>
      </w:pPr>
      <w:r w:rsidRPr="48CE9D0E">
        <w:rPr>
          <w:rStyle w:val="cursor-pointer"/>
          <w:rFonts w:ascii="Arial" w:hAnsi="Arial" w:cs="Arial"/>
        </w:rPr>
        <w:t>Short-term symptom improvement is not sufficient to demonstrate sustained improvements in daily functioning.</w:t>
      </w:r>
      <w:r w:rsidRPr="48CE9D0E">
        <w:rPr>
          <w:rFonts w:ascii="Arial" w:hAnsi="Arial" w:cs="Arial"/>
        </w:rPr>
        <w:t xml:space="preserve"> </w:t>
      </w:r>
      <w:r w:rsidRPr="48CE9D0E">
        <w:rPr>
          <w:rStyle w:val="cursor-pointer"/>
          <w:rFonts w:ascii="Arial" w:hAnsi="Arial" w:cs="Arial"/>
        </w:rPr>
        <w:t xml:space="preserve">Adults and their clinician should discuss treatment options, </w:t>
      </w:r>
      <w:r w:rsidR="5C080004" w:rsidRPr="48CE9D0E">
        <w:rPr>
          <w:rStyle w:val="cursor-pointer"/>
          <w:rFonts w:ascii="Arial" w:hAnsi="Arial" w:cs="Arial"/>
        </w:rPr>
        <w:t>monitoring,</w:t>
      </w:r>
      <w:r w:rsidRPr="48CE9D0E">
        <w:rPr>
          <w:rStyle w:val="cursor-pointer"/>
          <w:rFonts w:ascii="Arial" w:hAnsi="Arial" w:cs="Arial"/>
        </w:rPr>
        <w:t xml:space="preserve"> and a review date with each other.</w:t>
      </w:r>
      <w:r w:rsidRPr="48CE9D0E">
        <w:rPr>
          <w:rFonts w:ascii="Arial" w:hAnsi="Arial" w:cs="Arial"/>
        </w:rPr>
        <w:t xml:space="preserve"> </w:t>
      </w:r>
      <w:r w:rsidRPr="48CE9D0E">
        <w:rPr>
          <w:rStyle w:val="cursor-pointer"/>
          <w:rFonts w:ascii="Arial" w:hAnsi="Arial" w:cs="Arial"/>
        </w:rPr>
        <w:t>NICE advises follow-up, regardless of whether the person is prescribed medication or not</w:t>
      </w:r>
      <w:r w:rsidR="37B5F95D" w:rsidRPr="48CE9D0E">
        <w:rPr>
          <w:rStyle w:val="cursor-pointer"/>
          <w:rFonts w:ascii="Arial" w:hAnsi="Arial" w:cs="Arial"/>
        </w:rPr>
        <w:t xml:space="preserve"> </w:t>
      </w:r>
      <w:r w:rsidR="37B5F95D" w:rsidRPr="48CE9D0E">
        <w:rPr>
          <w:rFonts w:ascii="Arial" w:hAnsi="Arial" w:cs="Arial"/>
        </w:rPr>
        <w:t>(Vignesh, 2026)</w:t>
      </w:r>
      <w:r w:rsidRPr="48CE9D0E">
        <w:rPr>
          <w:rStyle w:val="cursor-pointer"/>
          <w:rFonts w:ascii="Arial" w:hAnsi="Arial" w:cs="Arial"/>
        </w:rPr>
        <w:t>.</w:t>
      </w:r>
      <w:r w:rsidRPr="48CE9D0E">
        <w:rPr>
          <w:rFonts w:ascii="Arial" w:hAnsi="Arial" w:cs="Arial"/>
        </w:rPr>
        <w:t xml:space="preserve"> </w:t>
      </w:r>
      <w:r w:rsidRPr="48CE9D0E">
        <w:rPr>
          <w:rStyle w:val="cursor-pointer"/>
          <w:rFonts w:ascii="Arial" w:hAnsi="Arial" w:cs="Arial"/>
        </w:rPr>
        <w:t>Adverse effects, symptom changes, and person's work or daily-life goals should be noted on the review, in case benefits are limited, and treatment and support should be adjusted.</w:t>
      </w:r>
    </w:p>
    <w:p w14:paraId="50DC3892" w14:textId="77777777" w:rsidR="00A012BE" w:rsidRPr="001E5435" w:rsidRDefault="00A012BE" w:rsidP="007B0994">
      <w:pPr>
        <w:pStyle w:val="Heading2"/>
        <w:rPr>
          <w:rStyle w:val="Strong"/>
          <w:rFonts w:ascii="Arial" w:hAnsi="Arial" w:cs="Arial"/>
          <w:b/>
          <w:sz w:val="24"/>
          <w:szCs w:val="22"/>
        </w:rPr>
      </w:pPr>
      <w:r w:rsidRPr="001E5435">
        <w:rPr>
          <w:rStyle w:val="Strong"/>
          <w:rFonts w:ascii="Arial" w:hAnsi="Arial" w:cs="Arial"/>
          <w:b/>
          <w:sz w:val="24"/>
          <w:szCs w:val="22"/>
        </w:rPr>
        <w:t>Equity and participation:</w:t>
      </w:r>
    </w:p>
    <w:p w14:paraId="2B731F3E" w14:textId="77777777" w:rsidR="00A012BE" w:rsidRPr="001E5435" w:rsidRDefault="00A012BE" w:rsidP="007B0994">
      <w:pPr>
        <w:spacing w:line="360" w:lineRule="auto"/>
        <w:jc w:val="both"/>
        <w:rPr>
          <w:rFonts w:ascii="Arial" w:hAnsi="Arial" w:cs="Arial"/>
        </w:rPr>
      </w:pPr>
      <w:r w:rsidRPr="001E5435">
        <w:rPr>
          <w:rFonts w:ascii="Arial" w:hAnsi="Arial" w:cs="Arial"/>
        </w:rPr>
        <w:t xml:space="preserve">Services should highlight the pathway stages by demographic group and localities and recognise that there is incomplete data from the NHS. </w:t>
      </w:r>
      <w:r w:rsidR="00701C0C" w:rsidRPr="001E5435">
        <w:rPr>
          <w:rFonts w:ascii="Arial" w:hAnsi="Arial" w:cs="Arial"/>
        </w:rPr>
        <w:t>Workplace adaptations and Access to Work support should also be documented on services if applicable, but should be based on access to support, not diagnosis.</w:t>
      </w:r>
    </w:p>
    <w:p w14:paraId="7A825E11" w14:textId="77777777" w:rsidR="00A012BE" w:rsidRPr="00AF3746" w:rsidRDefault="00C91A04" w:rsidP="007B0994">
      <w:pPr>
        <w:pStyle w:val="Heading1"/>
        <w:spacing w:line="360" w:lineRule="auto"/>
        <w:rPr>
          <w:rFonts w:ascii="Arial" w:hAnsi="Arial" w:cs="Arial"/>
          <w:b/>
          <w:color w:val="000000" w:themeColor="text1"/>
          <w:sz w:val="36"/>
        </w:rPr>
      </w:pPr>
      <w:bookmarkStart w:id="16" w:name="_Toc241397151"/>
      <w:r w:rsidRPr="00AF3746">
        <w:rPr>
          <w:rFonts w:ascii="Arial" w:hAnsi="Arial" w:cs="Arial"/>
          <w:b/>
          <w:color w:val="000000" w:themeColor="text1"/>
          <w:sz w:val="36"/>
        </w:rPr>
        <w:t>7. Conclusion</w:t>
      </w:r>
      <w:bookmarkEnd w:id="16"/>
    </w:p>
    <w:p w14:paraId="765FBC7E" w14:textId="397F9295" w:rsidR="00A735C3" w:rsidRPr="001E5435" w:rsidRDefault="4CFA8E10" w:rsidP="00620785">
      <w:pPr>
        <w:spacing w:line="360" w:lineRule="auto"/>
        <w:jc w:val="both"/>
        <w:rPr>
          <w:rStyle w:val="cursor-pointer"/>
          <w:rFonts w:ascii="Arial" w:hAnsi="Arial" w:cs="Arial"/>
          <w:color w:val="000000" w:themeColor="text1"/>
        </w:rPr>
      </w:pPr>
      <w:bookmarkStart w:id="17" w:name="_Toc241397152"/>
      <w:r w:rsidRPr="48CE9D0E">
        <w:rPr>
          <w:rStyle w:val="cursor-pointer"/>
          <w:rFonts w:ascii="Arial" w:hAnsi="Arial" w:cs="Arial"/>
          <w:color w:val="000000" w:themeColor="text1"/>
        </w:rPr>
        <w:t>I</w:t>
      </w:r>
      <w:r w:rsidR="5CC6DA68" w:rsidRPr="48CE9D0E">
        <w:rPr>
          <w:rStyle w:val="cursor-pointer"/>
          <w:rFonts w:ascii="Arial" w:hAnsi="Arial" w:cs="Arial"/>
          <w:color w:val="000000" w:themeColor="text1"/>
        </w:rPr>
        <w:t>CD-11 offers a common basis for the recognition of adult ADHD and NICE makes evidence-based diagnosis and treatment recommendations available as clinical guidance for England.</w:t>
      </w:r>
      <w:r w:rsidR="5CC6DA68">
        <w:t xml:space="preserve"> </w:t>
      </w:r>
      <w:r w:rsidR="5CC6DA68" w:rsidRPr="48CE9D0E">
        <w:rPr>
          <w:rStyle w:val="cursor-pointer"/>
          <w:rFonts w:ascii="Arial" w:hAnsi="Arial" w:cs="Arial"/>
          <w:color w:val="000000" w:themeColor="text1"/>
        </w:rPr>
        <w:t xml:space="preserve">But good guidance requires access to comprehensive assessment, suitable treatment </w:t>
      </w:r>
      <w:r w:rsidR="287549D3" w:rsidRPr="48CE9D0E">
        <w:rPr>
          <w:rStyle w:val="cursor-pointer"/>
          <w:rFonts w:ascii="Arial" w:hAnsi="Arial" w:cs="Arial"/>
          <w:color w:val="000000" w:themeColor="text1"/>
        </w:rPr>
        <w:t>options,</w:t>
      </w:r>
      <w:r w:rsidR="5CC6DA68" w:rsidRPr="48CE9D0E">
        <w:rPr>
          <w:rStyle w:val="cursor-pointer"/>
          <w:rFonts w:ascii="Arial" w:hAnsi="Arial" w:cs="Arial"/>
          <w:color w:val="000000" w:themeColor="text1"/>
        </w:rPr>
        <w:t xml:space="preserve"> and ongoing review.</w:t>
      </w:r>
      <w:r w:rsidR="5CC6DA68">
        <w:t xml:space="preserve"> </w:t>
      </w:r>
      <w:r w:rsidR="5CC6DA68" w:rsidRPr="48CE9D0E">
        <w:rPr>
          <w:rStyle w:val="cursor-pointer"/>
          <w:rFonts w:ascii="Arial" w:hAnsi="Arial" w:cs="Arial"/>
          <w:color w:val="000000" w:themeColor="text1"/>
        </w:rPr>
        <w:t>Whether adults make ongoing progress at work, in relatio</w:t>
      </w:r>
      <w:r w:rsidRPr="48CE9D0E">
        <w:rPr>
          <w:rStyle w:val="cursor-pointer"/>
          <w:rFonts w:ascii="Arial" w:hAnsi="Arial" w:cs="Arial"/>
          <w:color w:val="000000" w:themeColor="text1"/>
        </w:rPr>
        <w:t xml:space="preserve">nships and in everyday life </w:t>
      </w:r>
      <w:r w:rsidR="31F7DA28" w:rsidRPr="48CE9D0E">
        <w:rPr>
          <w:rStyle w:val="cursor-pointer"/>
          <w:rFonts w:ascii="Arial" w:hAnsi="Arial" w:cs="Arial"/>
          <w:color w:val="000000" w:themeColor="text1"/>
        </w:rPr>
        <w:t>cannot</w:t>
      </w:r>
      <w:r w:rsidRPr="48CE9D0E">
        <w:rPr>
          <w:rStyle w:val="cursor-pointer"/>
          <w:rFonts w:ascii="Arial" w:hAnsi="Arial" w:cs="Arial"/>
          <w:color w:val="000000" w:themeColor="text1"/>
        </w:rPr>
        <w:t xml:space="preserve"> </w:t>
      </w:r>
      <w:r w:rsidR="5CC6DA68" w:rsidRPr="48CE9D0E">
        <w:rPr>
          <w:rStyle w:val="cursor-pointer"/>
          <w:rFonts w:ascii="Arial" w:hAnsi="Arial" w:cs="Arial"/>
          <w:color w:val="000000" w:themeColor="text1"/>
        </w:rPr>
        <w:t>be determined by short-term symptom improvements.</w:t>
      </w:r>
      <w:r w:rsidR="5CC6DA68">
        <w:t xml:space="preserve"> </w:t>
      </w:r>
      <w:r w:rsidR="5CC6DA68" w:rsidRPr="48CE9D0E">
        <w:rPr>
          <w:rStyle w:val="cursor-pointer"/>
          <w:rFonts w:ascii="Arial" w:hAnsi="Arial" w:cs="Arial"/>
          <w:color w:val="000000" w:themeColor="text1"/>
        </w:rPr>
        <w:t>Services should evaluate functioning outcomes as well as symptoms and have follow</w:t>
      </w:r>
      <w:r w:rsidRPr="48CE9D0E">
        <w:rPr>
          <w:rStyle w:val="cursor-pointer"/>
          <w:rFonts w:ascii="Arial" w:hAnsi="Arial" w:cs="Arial"/>
          <w:color w:val="000000" w:themeColor="text1"/>
        </w:rPr>
        <w:t>-</w:t>
      </w:r>
      <w:r w:rsidR="5CC6DA68" w:rsidRPr="48CE9D0E">
        <w:rPr>
          <w:rStyle w:val="cursor-pointer"/>
          <w:rFonts w:ascii="Arial" w:hAnsi="Arial" w:cs="Arial"/>
          <w:color w:val="000000" w:themeColor="text1"/>
        </w:rPr>
        <w:t>up responsibilities clearly identified.</w:t>
      </w:r>
      <w:r w:rsidR="5CC6DA68">
        <w:t xml:space="preserve"> </w:t>
      </w:r>
      <w:r w:rsidR="5CC6DA68" w:rsidRPr="48CE9D0E">
        <w:rPr>
          <w:rStyle w:val="cursor-pointer"/>
          <w:rFonts w:ascii="Arial" w:hAnsi="Arial" w:cs="Arial"/>
          <w:color w:val="000000" w:themeColor="text1"/>
        </w:rPr>
        <w:t>Improved information on care journeys and long-term outcomes is required to determine the effectiveness and equity of care.</w:t>
      </w:r>
      <w:r w:rsidR="5CC6DA68">
        <w:t xml:space="preserve"> </w:t>
      </w:r>
      <w:r w:rsidR="5CC6DA68" w:rsidRPr="48CE9D0E">
        <w:rPr>
          <w:rStyle w:val="cursor-pointer"/>
          <w:rFonts w:ascii="Arial" w:hAnsi="Arial" w:cs="Arial"/>
          <w:color w:val="000000" w:themeColor="text1"/>
        </w:rPr>
        <w:t>Accurate diagnosis is only valuable if support is available following diagnosis.</w:t>
      </w:r>
    </w:p>
    <w:p w14:paraId="51CF139A" w14:textId="77777777" w:rsidR="00A735C3" w:rsidRPr="001E5435" w:rsidRDefault="00A735C3" w:rsidP="007B0994">
      <w:pPr>
        <w:pStyle w:val="Heading1"/>
        <w:spacing w:line="360" w:lineRule="auto"/>
        <w:rPr>
          <w:b/>
          <w:color w:val="000000" w:themeColor="text1"/>
          <w:sz w:val="36"/>
        </w:rPr>
      </w:pPr>
    </w:p>
    <w:p w14:paraId="102FCF18" w14:textId="77777777" w:rsidR="00A735C3" w:rsidRPr="001E5435" w:rsidRDefault="00A735C3" w:rsidP="007B0994">
      <w:pPr>
        <w:pStyle w:val="Heading1"/>
        <w:spacing w:line="360" w:lineRule="auto"/>
        <w:rPr>
          <w:b/>
          <w:color w:val="000000" w:themeColor="text1"/>
          <w:sz w:val="36"/>
        </w:rPr>
      </w:pPr>
    </w:p>
    <w:p w14:paraId="15287E86" w14:textId="77777777" w:rsidR="00A735C3" w:rsidRPr="001E5435" w:rsidRDefault="00A735C3" w:rsidP="007B0994">
      <w:pPr>
        <w:pStyle w:val="Heading1"/>
        <w:spacing w:line="360" w:lineRule="auto"/>
        <w:rPr>
          <w:b/>
          <w:color w:val="000000" w:themeColor="text1"/>
          <w:sz w:val="36"/>
        </w:rPr>
      </w:pPr>
    </w:p>
    <w:p w14:paraId="4D8A9400" w14:textId="77777777" w:rsidR="00A735C3" w:rsidRPr="001E5435" w:rsidRDefault="00A735C3" w:rsidP="007B0994">
      <w:pPr>
        <w:pStyle w:val="Heading1"/>
        <w:spacing w:line="360" w:lineRule="auto"/>
        <w:rPr>
          <w:b/>
          <w:color w:val="000000" w:themeColor="text1"/>
          <w:sz w:val="36"/>
        </w:rPr>
      </w:pPr>
    </w:p>
    <w:p w14:paraId="585C9C1D" w14:textId="77777777" w:rsidR="00A735C3" w:rsidRPr="001E5435" w:rsidRDefault="00A735C3" w:rsidP="007B0994">
      <w:pPr>
        <w:pStyle w:val="Heading1"/>
        <w:spacing w:line="360" w:lineRule="auto"/>
        <w:rPr>
          <w:b/>
          <w:color w:val="000000" w:themeColor="text1"/>
          <w:sz w:val="36"/>
        </w:rPr>
      </w:pPr>
    </w:p>
    <w:p w14:paraId="73DDF5C0" w14:textId="77777777" w:rsidR="00A735C3" w:rsidRPr="001E5435" w:rsidRDefault="00A735C3" w:rsidP="007B0994">
      <w:pPr>
        <w:pStyle w:val="Heading1"/>
        <w:spacing w:line="360" w:lineRule="auto"/>
        <w:rPr>
          <w:b/>
          <w:color w:val="000000" w:themeColor="text1"/>
          <w:sz w:val="36"/>
        </w:rPr>
      </w:pPr>
    </w:p>
    <w:p w14:paraId="2529B233" w14:textId="77777777" w:rsidR="00620785" w:rsidRPr="001E5435" w:rsidRDefault="00620785" w:rsidP="00620785"/>
    <w:p w14:paraId="4BA61449" w14:textId="77777777" w:rsidR="00620785" w:rsidRPr="001E5435" w:rsidRDefault="00620785" w:rsidP="00620785"/>
    <w:p w14:paraId="3D65127B" w14:textId="77777777" w:rsidR="00620785" w:rsidRPr="001E5435" w:rsidRDefault="00620785" w:rsidP="00620785"/>
    <w:p w14:paraId="6982C9FB" w14:textId="77777777" w:rsidR="00620785" w:rsidRPr="001E5435" w:rsidRDefault="00620785" w:rsidP="00620785"/>
    <w:p w14:paraId="598B7F18" w14:textId="77777777" w:rsidR="00561B38" w:rsidRPr="001E5435" w:rsidRDefault="00561B38" w:rsidP="007B0994">
      <w:pPr>
        <w:pStyle w:val="Heading1"/>
        <w:spacing w:line="360" w:lineRule="auto"/>
        <w:rPr>
          <w:b/>
          <w:color w:val="000000" w:themeColor="text1"/>
          <w:sz w:val="36"/>
        </w:rPr>
      </w:pPr>
    </w:p>
    <w:p w14:paraId="7160E298" w14:textId="4B3E6CAC" w:rsidR="48CE9D0E" w:rsidRDefault="48CE9D0E" w:rsidP="48CE9D0E">
      <w:pPr>
        <w:pStyle w:val="Heading1"/>
        <w:spacing w:line="360" w:lineRule="auto"/>
      </w:pPr>
    </w:p>
    <w:p w14:paraId="56D6833E" w14:textId="13F4F0D0" w:rsidR="770FFE91" w:rsidRDefault="770FFE91" w:rsidP="770FFE91"/>
    <w:p w14:paraId="7D9D77CC" w14:textId="4CA147BD" w:rsidR="00C91A04" w:rsidRPr="007E1B61" w:rsidRDefault="00D73A5A" w:rsidP="007B0994">
      <w:pPr>
        <w:pStyle w:val="Heading1"/>
        <w:spacing w:line="360" w:lineRule="auto"/>
        <w:rPr>
          <w:rFonts w:ascii="Arial" w:hAnsi="Arial" w:cs="Arial"/>
          <w:b/>
          <w:color w:val="000000" w:themeColor="text1"/>
          <w:sz w:val="36"/>
        </w:rPr>
      </w:pPr>
      <w:r w:rsidRPr="007E1B61">
        <w:rPr>
          <w:rFonts w:ascii="Arial" w:hAnsi="Arial" w:cs="Arial"/>
          <w:b/>
          <w:color w:val="000000" w:themeColor="text1"/>
          <w:sz w:val="36"/>
        </w:rPr>
        <w:t xml:space="preserve">Reference </w:t>
      </w:r>
      <w:bookmarkEnd w:id="17"/>
    </w:p>
    <w:p w14:paraId="1D09C599"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Adamou, M., Arif, M., Asherson, P., Cubbin, S., Leaver, L., Sedgwick-Müller, J., Müller-Sedgwick, U., van Rensburg, K. and Kustow, J. (2024). The adult ADHD assessment quality assurance standard. </w:t>
      </w:r>
      <w:r w:rsidRPr="001E5435">
        <w:rPr>
          <w:rFonts w:ascii="Arial" w:hAnsi="Arial" w:cs="Arial"/>
          <w:i/>
          <w:iCs/>
        </w:rPr>
        <w:t>Frontiers in Psychiatry</w:t>
      </w:r>
      <w:r w:rsidRPr="001E5435">
        <w:rPr>
          <w:rFonts w:ascii="Arial" w:hAnsi="Arial" w:cs="Arial"/>
        </w:rPr>
        <w:t>, [online] 15. doi:10.3389/fpsyt.2024.1380410.</w:t>
      </w:r>
    </w:p>
    <w:p w14:paraId="1AEE350F" w14:textId="0D9FE1EA"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Adamou, </w:t>
      </w:r>
      <w:r w:rsidR="7B8E8A95" w:rsidRPr="48CE9D0E">
        <w:rPr>
          <w:rFonts w:ascii="Arial" w:hAnsi="Arial" w:cs="Arial"/>
        </w:rPr>
        <w:t>M.,</w:t>
      </w:r>
      <w:r w:rsidRPr="48CE9D0E">
        <w:rPr>
          <w:rFonts w:ascii="Arial" w:hAnsi="Arial" w:cs="Arial"/>
        </w:rPr>
        <w:t xml:space="preserve"> and Jones, S.L. (2026). Adult ADHD diagnostic pathways in the United Kingdom: A structured review and policy case for a national commissioning and quality framework for England. </w:t>
      </w:r>
      <w:r w:rsidRPr="48CE9D0E">
        <w:rPr>
          <w:rFonts w:ascii="Arial" w:hAnsi="Arial" w:cs="Arial"/>
          <w:i/>
          <w:iCs/>
        </w:rPr>
        <w:t>Frontiers in Psychiatry</w:t>
      </w:r>
      <w:r w:rsidRPr="48CE9D0E">
        <w:rPr>
          <w:rFonts w:ascii="Arial" w:hAnsi="Arial" w:cs="Arial"/>
        </w:rPr>
        <w:t>, 17. doi:10.3389/fpsyt.2026.1860550.</w:t>
      </w:r>
    </w:p>
    <w:p w14:paraId="3F7635F3"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Armstrong (2026). </w:t>
      </w:r>
      <w:r w:rsidRPr="001E5435">
        <w:rPr>
          <w:rFonts w:ascii="Arial" w:hAnsi="Arial" w:cs="Arial"/>
          <w:i/>
          <w:iCs/>
        </w:rPr>
        <w:t>Welcome to zscaler directory authentication</w:t>
      </w:r>
      <w:r w:rsidRPr="001E5435">
        <w:rPr>
          <w:rFonts w:ascii="Arial" w:hAnsi="Arial" w:cs="Arial"/>
        </w:rPr>
        <w:t>. [online] Herts.ac.uk. Available at: https://uhra.herts.ac.uk/id/eprint/26229/ [Accessed 27 Sept. 2026].</w:t>
      </w:r>
    </w:p>
    <w:p w14:paraId="35007947"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Asherson, P., Leaver, L., Adamou, M., Arif, M., Askey, G., Butler, M., Cubbin, S., Newlove-Delgado, T., Kustow, J., Lanham-Cook, J., Findlay, J., Maxwell, J., Mason, P., Read, H., van Rensburg, K., Müller-Sedgwick, U., Sedgwick-Müller, J. and Skirrow, C. (2022). Mainstreaming adult ADHD into primary care in the UK: Guidance, practice, and best practice recommendations. </w:t>
      </w:r>
      <w:r w:rsidRPr="001E5435">
        <w:rPr>
          <w:rFonts w:ascii="Arial" w:hAnsi="Arial" w:cs="Arial"/>
          <w:i/>
          <w:iCs/>
        </w:rPr>
        <w:t>BMC psychiatry</w:t>
      </w:r>
      <w:r w:rsidRPr="001E5435">
        <w:rPr>
          <w:rFonts w:ascii="Arial" w:hAnsi="Arial" w:cs="Arial"/>
        </w:rPr>
        <w:t>, 22(1), p.640. doi:10.1186/s12888-022-04290-7.</w:t>
      </w:r>
    </w:p>
    <w:p w14:paraId="6E397600" w14:textId="01FD50A8"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Boyle, J., Harris, F., Kunte, A., Whyte, </w:t>
      </w:r>
      <w:r w:rsidR="43FC95D3" w:rsidRPr="48CE9D0E">
        <w:rPr>
          <w:rFonts w:ascii="Arial" w:hAnsi="Arial" w:cs="Arial"/>
        </w:rPr>
        <w:t>A.,</w:t>
      </w:r>
      <w:r w:rsidRPr="48CE9D0E">
        <w:rPr>
          <w:rFonts w:ascii="Arial" w:hAnsi="Arial" w:cs="Arial"/>
        </w:rPr>
        <w:t xml:space="preserve"> and Stoney, C. (2025). </w:t>
      </w:r>
      <w:r w:rsidRPr="48CE9D0E">
        <w:rPr>
          <w:rFonts w:ascii="Arial" w:hAnsi="Arial" w:cs="Arial"/>
          <w:i/>
          <w:iCs/>
        </w:rPr>
        <w:t>Adult ADHD: Scottish pathway Research a review of the current landscape of approaches to adult ADHD care across health boards in Scotland</w:t>
      </w:r>
      <w:r w:rsidRPr="48CE9D0E">
        <w:rPr>
          <w:rFonts w:ascii="Arial" w:hAnsi="Arial" w:cs="Arial"/>
        </w:rPr>
        <w:t>. [online] Gsa.ac.uk. Available at: https://radar.gsa.ac.uk/10827/ [Accessed 27 Sept. 2026].</w:t>
      </w:r>
    </w:p>
    <w:p w14:paraId="2D70DCB5"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Cédric Galèra, Collet, O., Massimiliano Orri, Navarro, M.C., Castel, L., Galesne, C., Reed, C., Brandt, V., Larsson, H., Boivin, M., Tremblay, R.E., Côté, S.M. and Cortese, S. (2023). Prospective associations between ADHD symptoms and physical conditions from early childhood to adolescence: A population-based longitudinal study. </w:t>
      </w:r>
      <w:r w:rsidRPr="001E5435">
        <w:rPr>
          <w:rFonts w:ascii="Arial" w:hAnsi="Arial" w:cs="Arial"/>
          <w:i/>
          <w:iCs/>
        </w:rPr>
        <w:t>The Lancet Child &amp; Adolescent Health</w:t>
      </w:r>
      <w:r w:rsidRPr="001E5435">
        <w:rPr>
          <w:rFonts w:ascii="Arial" w:hAnsi="Arial" w:cs="Arial"/>
        </w:rPr>
        <w:t>, 7(12), pp.863–874. doi:10.1016/s2352-4642(23)00226-2.</w:t>
      </w:r>
    </w:p>
    <w:p w14:paraId="5DCFC539"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Feldon, P. (2025). </w:t>
      </w:r>
      <w:r w:rsidRPr="001E5435">
        <w:rPr>
          <w:rFonts w:ascii="Arial" w:hAnsi="Arial" w:cs="Arial"/>
          <w:i/>
          <w:iCs/>
        </w:rPr>
        <w:t>The social worker’s guide to the CARE act 2014</w:t>
      </w:r>
      <w:r w:rsidRPr="001E5435">
        <w:rPr>
          <w:rFonts w:ascii="Arial" w:hAnsi="Arial" w:cs="Arial"/>
        </w:rPr>
        <w:t>. [online] Google Books. Available at: https://books.google.com/books/about/The_Social_Worker_s_Guide_to_the_Care_Ac.html?id=_UVLEQAAQBAJ [Accessed 27 Sept. 2026].</w:t>
      </w:r>
    </w:p>
    <w:p w14:paraId="06CE01C3"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Hammond, M. (2026). </w:t>
      </w:r>
      <w:r w:rsidRPr="001E5435">
        <w:rPr>
          <w:rFonts w:ascii="Arial" w:hAnsi="Arial" w:cs="Arial"/>
          <w:i/>
          <w:iCs/>
        </w:rPr>
        <w:t>Identity development in individuals receiving an attention-deficit/hyperactivity disorder diagnosis in early adulthood: A qualitative analysis - ProQuest</w:t>
      </w:r>
      <w:r w:rsidRPr="001E5435">
        <w:rPr>
          <w:rFonts w:ascii="Arial" w:hAnsi="Arial" w:cs="Arial"/>
        </w:rPr>
        <w:t>. [online] Proquest.com. Available at: https://search.proquest.com/openview/64e6da1302090828555da3521b3ea82c/1?pq-origsite=gscholar&amp;cbl=18750&amp;diss=y [Accessed 27 Sept. 2026].</w:t>
      </w:r>
    </w:p>
    <w:p w14:paraId="28265874"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Lawson, A. (2025). Accessibility and the limits of the equality act 2010: Time for a UK accessibility act? </w:t>
      </w:r>
      <w:r w:rsidRPr="001E5435">
        <w:rPr>
          <w:rFonts w:ascii="Arial" w:hAnsi="Arial" w:cs="Arial"/>
          <w:i/>
          <w:iCs/>
        </w:rPr>
        <w:t>Current Legal Problems</w:t>
      </w:r>
      <w:r w:rsidRPr="001E5435">
        <w:rPr>
          <w:rFonts w:ascii="Arial" w:hAnsi="Arial" w:cs="Arial"/>
        </w:rPr>
        <w:t>. [online] doi:10.1093/clp/cuaf006.</w:t>
      </w:r>
    </w:p>
    <w:p w14:paraId="621C1FF9"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Leaver, L. (2025). Medical management of ADHD in adults: Part 1. </w:t>
      </w:r>
      <w:r w:rsidRPr="001E5435">
        <w:rPr>
          <w:rFonts w:ascii="Arial" w:hAnsi="Arial" w:cs="Arial"/>
          <w:i/>
          <w:iCs/>
        </w:rPr>
        <w:t>Drug and Therapeutics Bulletin</w:t>
      </w:r>
      <w:r w:rsidRPr="001E5435">
        <w:rPr>
          <w:rFonts w:ascii="Arial" w:hAnsi="Arial" w:cs="Arial"/>
        </w:rPr>
        <w:t>, [online] 63(5), pp.74–80. doi:10.1136/dtb.2024.000019.</w:t>
      </w:r>
    </w:p>
    <w:p w14:paraId="6C037862" w14:textId="103BAED6"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Li, </w:t>
      </w:r>
      <w:r w:rsidR="530B3DA2" w:rsidRPr="48CE9D0E">
        <w:rPr>
          <w:rFonts w:ascii="Arial" w:hAnsi="Arial" w:cs="Arial"/>
        </w:rPr>
        <w:t>Y.,</w:t>
      </w:r>
      <w:r w:rsidRPr="48CE9D0E">
        <w:rPr>
          <w:rFonts w:ascii="Arial" w:hAnsi="Arial" w:cs="Arial"/>
        </w:rPr>
        <w:t xml:space="preserve"> and Zhang, L. (2023). Efficacy of cognitive behavioral therapy combined with pharmacotherapy versus pharmacotherapy alone in adult ADHD: A systematic review and meta-analysis. </w:t>
      </w:r>
      <w:r w:rsidRPr="48CE9D0E">
        <w:rPr>
          <w:rFonts w:ascii="Arial" w:hAnsi="Arial" w:cs="Arial"/>
          <w:i/>
          <w:iCs/>
        </w:rPr>
        <w:t>Journal of Attention Disorders</w:t>
      </w:r>
      <w:r w:rsidRPr="48CE9D0E">
        <w:rPr>
          <w:rFonts w:ascii="Arial" w:hAnsi="Arial" w:cs="Arial"/>
        </w:rPr>
        <w:t>, 28(3). doi:10.1177/10870547231214969.</w:t>
      </w:r>
    </w:p>
    <w:p w14:paraId="5C2E3B24" w14:textId="7B8C57DC"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Long, </w:t>
      </w:r>
      <w:r w:rsidR="0942CAB3" w:rsidRPr="48CE9D0E">
        <w:rPr>
          <w:rFonts w:ascii="Arial" w:hAnsi="Arial" w:cs="Arial"/>
        </w:rPr>
        <w:t>N.,</w:t>
      </w:r>
      <w:r w:rsidRPr="48CE9D0E">
        <w:rPr>
          <w:rFonts w:ascii="Arial" w:hAnsi="Arial" w:cs="Arial"/>
        </w:rPr>
        <w:t xml:space="preserve"> and Coats, H. (2022). The need for earlier recognition of attention deficit hyperactivity disorder in primary care: A qualitative meta-synthesis of the experience of receiving a diagnosis of ADHD in adulthood. </w:t>
      </w:r>
      <w:r w:rsidRPr="48CE9D0E">
        <w:rPr>
          <w:rFonts w:ascii="Arial" w:hAnsi="Arial" w:cs="Arial"/>
          <w:i/>
          <w:iCs/>
        </w:rPr>
        <w:t>Family Practice</w:t>
      </w:r>
      <w:r w:rsidRPr="48CE9D0E">
        <w:rPr>
          <w:rFonts w:ascii="Arial" w:hAnsi="Arial" w:cs="Arial"/>
        </w:rPr>
        <w:t>, [online] 39(6). doi:10.1093/fampra/cmac038.</w:t>
      </w:r>
    </w:p>
    <w:p w14:paraId="749FB183"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Lundin, N.B., Blouin, A.M., Cowan, H.R., Moe, A.M., Wastler, H.M. and Breitborde, N.J. (2024). Identification of psychosis risk and diagnosis of first-episode psychosis: Advice for clinicians. </w:t>
      </w:r>
      <w:r w:rsidRPr="001E5435">
        <w:rPr>
          <w:rFonts w:ascii="Arial" w:hAnsi="Arial" w:cs="Arial"/>
          <w:i/>
          <w:iCs/>
        </w:rPr>
        <w:t>Psychology Research and Behavior Management</w:t>
      </w:r>
      <w:r w:rsidRPr="001E5435">
        <w:rPr>
          <w:rFonts w:ascii="Arial" w:hAnsi="Arial" w:cs="Arial"/>
        </w:rPr>
        <w:t>, [online] 17, pp.1365–1383. doi:10.2147/PRBM.S423865.</w:t>
      </w:r>
    </w:p>
    <w:p w14:paraId="2D69DBD6"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May, T., Birch, E., Chaves, K., Cranswick, N., Culnane, E., Delaney, J., Derrick, M., Eapen, V., Edlington, C., Efron, D., Ewais, T., Garner, I., Gathercole, M., Jagadheesan, K., Jobson, L., Kramer, J., Mack, M., Misso, M., Murrup-Stewart, C., Savage, E., Sciberras, E., Singh, B., Testa, R., Vale, L., Weirman, A., Petch, E., Williams, K. and Bellgrove, M. (2023). The Australian evidence-based clinical practice guideline for attention deficit hyperactivity disorder. </w:t>
      </w:r>
      <w:r w:rsidRPr="001E5435">
        <w:rPr>
          <w:rFonts w:ascii="Arial" w:hAnsi="Arial" w:cs="Arial"/>
          <w:i/>
          <w:iCs/>
        </w:rPr>
        <w:t>The Australian evidence-based clinical practice guideline for attention deficit hyperactivity disorder</w:t>
      </w:r>
      <w:r w:rsidRPr="001E5435">
        <w:rPr>
          <w:rFonts w:ascii="Arial" w:hAnsi="Arial" w:cs="Arial"/>
        </w:rPr>
        <w:t>, [online] 57(8), pp.000486742311663–000486742311663. doi:10.1177/00048674231166329.</w:t>
      </w:r>
    </w:p>
    <w:p w14:paraId="51237449"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Morgan, J. (2023). Exploring women’s experiences of diagnosis of ADHD in adulthood: A qualitative study. </w:t>
      </w:r>
      <w:r w:rsidRPr="001E5435">
        <w:rPr>
          <w:rFonts w:ascii="Arial" w:hAnsi="Arial" w:cs="Arial"/>
          <w:i/>
          <w:iCs/>
        </w:rPr>
        <w:t>Advances in Mental Health</w:t>
      </w:r>
      <w:r w:rsidRPr="001E5435">
        <w:rPr>
          <w:rFonts w:ascii="Arial" w:hAnsi="Arial" w:cs="Arial"/>
        </w:rPr>
        <w:t>, [online] 22(3), pp.1–15. doi:10.1080/18387357.2023.2268756.</w:t>
      </w:r>
    </w:p>
    <w:p w14:paraId="583102AA"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Olsen, J. (2022). Employers: Influencing disabled people’s employment through responses to reasonable adjustments. </w:t>
      </w:r>
      <w:r w:rsidRPr="001E5435">
        <w:rPr>
          <w:rFonts w:ascii="Arial" w:hAnsi="Arial" w:cs="Arial"/>
          <w:i/>
          <w:iCs/>
        </w:rPr>
        <w:t>Disability &amp; Society</w:t>
      </w:r>
      <w:r w:rsidRPr="001E5435">
        <w:rPr>
          <w:rFonts w:ascii="Arial" w:hAnsi="Arial" w:cs="Arial"/>
        </w:rPr>
        <w:t>, [online] 39(3), pp.1–19. doi:10.1080/09687599.2022.2099251.</w:t>
      </w:r>
    </w:p>
    <w:p w14:paraId="6B400E0B" w14:textId="19FA0787"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Price, A., Becker, K., Gudka, R., Ward, J.H., Smith, J.R., Mughal, F., Melendez-Torres, G., Pitchforth, </w:t>
      </w:r>
      <w:r w:rsidR="0107B41E" w:rsidRPr="48CE9D0E">
        <w:rPr>
          <w:rFonts w:ascii="Arial" w:hAnsi="Arial" w:cs="Arial"/>
        </w:rPr>
        <w:t>E.,</w:t>
      </w:r>
      <w:r w:rsidRPr="48CE9D0E">
        <w:rPr>
          <w:rFonts w:ascii="Arial" w:hAnsi="Arial" w:cs="Arial"/>
        </w:rPr>
        <w:t xml:space="preserve"> and Newlove-Delgado, T. (2025). Improving healthcare information for young people with ADHD in general practice: A qualitative study. </w:t>
      </w:r>
      <w:r w:rsidRPr="48CE9D0E">
        <w:rPr>
          <w:rFonts w:ascii="Arial" w:hAnsi="Arial" w:cs="Arial"/>
          <w:i/>
          <w:iCs/>
        </w:rPr>
        <w:t>British Journal of General Practice</w:t>
      </w:r>
      <w:r w:rsidRPr="48CE9D0E">
        <w:rPr>
          <w:rFonts w:ascii="Arial" w:hAnsi="Arial" w:cs="Arial"/>
        </w:rPr>
        <w:t xml:space="preserve">, [online] 75(758), </w:t>
      </w:r>
      <w:r w:rsidR="3ED2FEF9" w:rsidRPr="48CE9D0E">
        <w:rPr>
          <w:rFonts w:ascii="Arial" w:hAnsi="Arial" w:cs="Arial"/>
        </w:rPr>
        <w:t>pp. e</w:t>
      </w:r>
      <w:r w:rsidRPr="48CE9D0E">
        <w:rPr>
          <w:rFonts w:ascii="Arial" w:hAnsi="Arial" w:cs="Arial"/>
        </w:rPr>
        <w:t>586-e596. doi:10.3399/bjgp.2024.0755.</w:t>
      </w:r>
    </w:p>
    <w:p w14:paraId="1367B77B"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Sanchez-Santos, M.T., Axson, E.L., Dedman, D. and Delmestri, A. (2025). Data resource profile update: CPRD gold. </w:t>
      </w:r>
      <w:r w:rsidRPr="001E5435">
        <w:rPr>
          <w:rFonts w:ascii="Arial" w:hAnsi="Arial" w:cs="Arial"/>
          <w:i/>
          <w:iCs/>
        </w:rPr>
        <w:t>International Journal of Epidemiology</w:t>
      </w:r>
      <w:r w:rsidRPr="001E5435">
        <w:rPr>
          <w:rFonts w:ascii="Arial" w:hAnsi="Arial" w:cs="Arial"/>
        </w:rPr>
        <w:t>, [online] 54(4). doi:10.1093/ije/dyaf077.</w:t>
      </w:r>
    </w:p>
    <w:p w14:paraId="0CF6AA5A" w14:textId="47F430B9"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Senkowski, D., Ziegler, T., Singh, M., Heinz, A., He, J., Silk, </w:t>
      </w:r>
      <w:r w:rsidR="0606BEFC" w:rsidRPr="48CE9D0E">
        <w:rPr>
          <w:rFonts w:ascii="Arial" w:hAnsi="Arial" w:cs="Arial"/>
        </w:rPr>
        <w:t>T.J.,</w:t>
      </w:r>
      <w:r w:rsidRPr="48CE9D0E">
        <w:rPr>
          <w:rFonts w:ascii="Arial" w:hAnsi="Arial" w:cs="Arial"/>
        </w:rPr>
        <w:t xml:space="preserve"> and Lorenz, R.C. (2023). Assessing inhibitory control deficits in adult ADHD: A systematic review and meta-analysis of the stop-signal task. </w:t>
      </w:r>
      <w:r w:rsidRPr="48CE9D0E">
        <w:rPr>
          <w:rFonts w:ascii="Arial" w:hAnsi="Arial" w:cs="Arial"/>
          <w:i/>
          <w:iCs/>
        </w:rPr>
        <w:t>Neuropsychology Review</w:t>
      </w:r>
      <w:r w:rsidRPr="48CE9D0E">
        <w:rPr>
          <w:rFonts w:ascii="Arial" w:hAnsi="Arial" w:cs="Arial"/>
        </w:rPr>
        <w:t>, 34. doi:10.1007/s11065-023-09592-5.</w:t>
      </w:r>
    </w:p>
    <w:p w14:paraId="6DF1E8CD"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Shen, K. (2026). Non-pharmaceutical psychological interventions for adult ADHD: A comparative literature review. </w:t>
      </w:r>
      <w:r w:rsidRPr="001E5435">
        <w:rPr>
          <w:rFonts w:ascii="Arial" w:hAnsi="Arial" w:cs="Arial"/>
          <w:i/>
          <w:iCs/>
        </w:rPr>
        <w:t>Journal of Education, Humanities and Social Sciences</w:t>
      </w:r>
      <w:r w:rsidRPr="001E5435">
        <w:rPr>
          <w:rFonts w:ascii="Arial" w:hAnsi="Arial" w:cs="Arial"/>
        </w:rPr>
        <w:t>, [online] 63, pp.333–340. doi:10.54097/m7dmsa71.</w:t>
      </w:r>
    </w:p>
    <w:p w14:paraId="747D03D2" w14:textId="6DED63E5"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Staley, B.S., Robinson, L.R., Claussen, A.H., Katz, S.M., Danielson, M.L., Summers, A.D., Farr, S.L., Blumberg, S.J. and Tinker, S.C. (2024). Attention-deficit/hyperactivity disorder diagnosis, treatment, and telehealth use in adults — National Center for Health Statistics Rapid surveys system, United States, </w:t>
      </w:r>
      <w:r w:rsidR="421FAD45" w:rsidRPr="48CE9D0E">
        <w:rPr>
          <w:rFonts w:ascii="Arial" w:hAnsi="Arial" w:cs="Arial"/>
        </w:rPr>
        <w:t>October</w:t>
      </w:r>
      <w:r w:rsidRPr="48CE9D0E">
        <w:rPr>
          <w:rFonts w:ascii="Arial" w:hAnsi="Arial" w:cs="Arial"/>
        </w:rPr>
        <w:t>–</w:t>
      </w:r>
      <w:r w:rsidR="619FA47B" w:rsidRPr="48CE9D0E">
        <w:rPr>
          <w:rFonts w:ascii="Arial" w:hAnsi="Arial" w:cs="Arial"/>
        </w:rPr>
        <w:t>November</w:t>
      </w:r>
      <w:r w:rsidRPr="48CE9D0E">
        <w:rPr>
          <w:rFonts w:ascii="Arial" w:hAnsi="Arial" w:cs="Arial"/>
        </w:rPr>
        <w:t xml:space="preserve"> 2023. </w:t>
      </w:r>
      <w:r w:rsidRPr="48CE9D0E">
        <w:rPr>
          <w:rFonts w:ascii="Arial" w:hAnsi="Arial" w:cs="Arial"/>
          <w:i/>
          <w:iCs/>
        </w:rPr>
        <w:t>MMWR. Morbidity and Mortality Weekly Report</w:t>
      </w:r>
      <w:r w:rsidRPr="48CE9D0E">
        <w:rPr>
          <w:rFonts w:ascii="Arial" w:hAnsi="Arial" w:cs="Arial"/>
        </w:rPr>
        <w:t>, [online] 73(40), pp.890–895. doi:10.15585/mmwr.mm7340a1.</w:t>
      </w:r>
    </w:p>
    <w:p w14:paraId="7B087929" w14:textId="3529D29D"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Tebartz van Elst, L., Riedel, </w:t>
      </w:r>
      <w:r w:rsidR="36CA988F" w:rsidRPr="48CE9D0E">
        <w:rPr>
          <w:rFonts w:ascii="Arial" w:hAnsi="Arial" w:cs="Arial"/>
        </w:rPr>
        <w:t>A.,</w:t>
      </w:r>
      <w:r w:rsidRPr="48CE9D0E">
        <w:rPr>
          <w:rFonts w:ascii="Arial" w:hAnsi="Arial" w:cs="Arial"/>
        </w:rPr>
        <w:t xml:space="preserve"> and Biscaldi-Schäfer, M. (2025). The reclassification of neurodevelopmental disorders in ICD-11. </w:t>
      </w:r>
      <w:r w:rsidRPr="48CE9D0E">
        <w:rPr>
          <w:rFonts w:ascii="Arial" w:hAnsi="Arial" w:cs="Arial"/>
          <w:i/>
          <w:iCs/>
        </w:rPr>
        <w:t>Der Nervenarzt</w:t>
      </w:r>
      <w:r w:rsidRPr="48CE9D0E">
        <w:rPr>
          <w:rFonts w:ascii="Arial" w:hAnsi="Arial" w:cs="Arial"/>
        </w:rPr>
        <w:t>, 96(S1), pp.26–31. doi:10.1007/s00115-025-01876-w.</w:t>
      </w:r>
    </w:p>
    <w:p w14:paraId="0F1D0D10" w14:textId="312EB78B" w:rsidR="00D73A5A" w:rsidRPr="001E5435" w:rsidRDefault="00D73A5A" w:rsidP="007B0994">
      <w:pPr>
        <w:spacing w:line="360" w:lineRule="auto"/>
        <w:ind w:left="720" w:hanging="720"/>
        <w:jc w:val="both"/>
        <w:rPr>
          <w:rFonts w:ascii="Arial" w:hAnsi="Arial" w:cs="Arial"/>
        </w:rPr>
      </w:pPr>
      <w:r w:rsidRPr="001E5435">
        <w:rPr>
          <w:rFonts w:ascii="Arial" w:hAnsi="Arial" w:cs="Arial"/>
        </w:rPr>
        <w:t xml:space="preserve">Vignesh, V. (2026). Monitoring of follow-up reviews in young adults after antidepressant initiation or dose escalation: A primary care audit of NICE guideline adherence. </w:t>
      </w:r>
      <w:r w:rsidRPr="001E5435">
        <w:rPr>
          <w:rFonts w:ascii="Arial" w:hAnsi="Arial" w:cs="Arial"/>
          <w:i/>
          <w:iCs/>
        </w:rPr>
        <w:t>BJPsych Open</w:t>
      </w:r>
      <w:r w:rsidRPr="001E5435">
        <w:rPr>
          <w:rFonts w:ascii="Arial" w:hAnsi="Arial" w:cs="Arial"/>
        </w:rPr>
        <w:t xml:space="preserve">, [online] 12(S1), </w:t>
      </w:r>
      <w:r w:rsidR="001F1B15" w:rsidRPr="001E5435">
        <w:rPr>
          <w:rFonts w:ascii="Arial" w:hAnsi="Arial" w:cs="Arial"/>
        </w:rPr>
        <w:t>pp. S</w:t>
      </w:r>
      <w:r w:rsidRPr="001E5435">
        <w:rPr>
          <w:rFonts w:ascii="Arial" w:hAnsi="Arial" w:cs="Arial"/>
        </w:rPr>
        <w:t>351-S352. doi:10.1192/bjo.2026.11751.</w:t>
      </w:r>
    </w:p>
    <w:p w14:paraId="688AD954" w14:textId="0597233E" w:rsidR="00D73A5A" w:rsidRPr="001E5435" w:rsidRDefault="37B5F95D" w:rsidP="007B0994">
      <w:pPr>
        <w:spacing w:line="360" w:lineRule="auto"/>
        <w:ind w:left="720" w:hanging="720"/>
        <w:jc w:val="both"/>
        <w:rPr>
          <w:rFonts w:ascii="Arial" w:hAnsi="Arial" w:cs="Arial"/>
        </w:rPr>
      </w:pPr>
      <w:r w:rsidRPr="48CE9D0E">
        <w:rPr>
          <w:rFonts w:ascii="Arial" w:hAnsi="Arial" w:cs="Arial"/>
        </w:rPr>
        <w:t xml:space="preserve">World Health Organization (2024). </w:t>
      </w:r>
      <w:r w:rsidRPr="48CE9D0E">
        <w:rPr>
          <w:rFonts w:ascii="Arial" w:hAnsi="Arial" w:cs="Arial"/>
          <w:i/>
          <w:iCs/>
        </w:rPr>
        <w:t xml:space="preserve">Clinical descriptions and diagnostic requirements for ICD-11 mental, </w:t>
      </w:r>
      <w:r w:rsidR="7E34FC28" w:rsidRPr="48CE9D0E">
        <w:rPr>
          <w:rFonts w:ascii="Arial" w:hAnsi="Arial" w:cs="Arial"/>
          <w:i/>
          <w:iCs/>
        </w:rPr>
        <w:t>behavioural,</w:t>
      </w:r>
      <w:r w:rsidRPr="48CE9D0E">
        <w:rPr>
          <w:rFonts w:ascii="Arial" w:hAnsi="Arial" w:cs="Arial"/>
          <w:i/>
          <w:iCs/>
        </w:rPr>
        <w:t xml:space="preserve"> and neurodevelopmental disorders</w:t>
      </w:r>
      <w:r w:rsidRPr="48CE9D0E">
        <w:rPr>
          <w:rFonts w:ascii="Arial" w:hAnsi="Arial" w:cs="Arial"/>
        </w:rPr>
        <w:t>. [online] Google Books. Available at: https://books.google.com/books/about/Clinical_descriptions_and_diagnostic_req.html?id=84gOEQAAQBAJ [Accessed 27 Sept. 2026].</w:t>
      </w:r>
    </w:p>
    <w:p w14:paraId="34638BC2" w14:textId="16E80B1F" w:rsidR="00D73A5A" w:rsidRDefault="37B5F95D" w:rsidP="007B0994">
      <w:pPr>
        <w:spacing w:line="360" w:lineRule="auto"/>
        <w:ind w:left="720" w:hanging="720"/>
        <w:jc w:val="both"/>
      </w:pPr>
      <w:r w:rsidRPr="48CE9D0E">
        <w:rPr>
          <w:rFonts w:ascii="Arial" w:hAnsi="Arial" w:cs="Arial"/>
        </w:rPr>
        <w:t xml:space="preserve">Yang, X., Zhang, L., Yu, </w:t>
      </w:r>
      <w:r w:rsidR="44B383DD" w:rsidRPr="48CE9D0E">
        <w:rPr>
          <w:rFonts w:ascii="Arial" w:hAnsi="Arial" w:cs="Arial"/>
        </w:rPr>
        <w:t>J.,</w:t>
      </w:r>
      <w:r w:rsidRPr="48CE9D0E">
        <w:rPr>
          <w:rFonts w:ascii="Arial" w:hAnsi="Arial" w:cs="Arial"/>
        </w:rPr>
        <w:t xml:space="preserve"> and Wang, M. (2025). Short-term and long-term effect of non-pharmacotherapy for adults with ADHD: A systematic review and network meta-analysis. </w:t>
      </w:r>
      <w:r w:rsidRPr="48CE9D0E">
        <w:rPr>
          <w:rFonts w:ascii="Arial" w:hAnsi="Arial" w:cs="Arial"/>
          <w:i/>
          <w:iCs/>
        </w:rPr>
        <w:t>Frontiers in Psychiatry</w:t>
      </w:r>
      <w:r w:rsidRPr="48CE9D0E">
        <w:rPr>
          <w:rFonts w:ascii="Arial" w:hAnsi="Arial" w:cs="Arial"/>
        </w:rPr>
        <w:t>, [online] 16. doi:10.3389/fpsyt.2025.1516878.</w:t>
      </w:r>
    </w:p>
    <w:p w14:paraId="3D252CB3" w14:textId="77777777" w:rsidR="00D73A5A" w:rsidRPr="001E5435" w:rsidRDefault="00D73A5A" w:rsidP="007B0994">
      <w:pPr>
        <w:spacing w:line="360" w:lineRule="auto"/>
        <w:ind w:left="720" w:hanging="720"/>
        <w:jc w:val="both"/>
        <w:rPr>
          <w:rFonts w:ascii="Arial" w:hAnsi="Arial" w:cs="Arial"/>
        </w:rPr>
      </w:pPr>
      <w:r w:rsidRPr="001E5435">
        <w:rPr>
          <w:rFonts w:ascii="Arial" w:hAnsi="Arial" w:cs="Arial"/>
        </w:rPr>
        <w:br w:type="page"/>
      </w:r>
    </w:p>
    <w:p w14:paraId="56309A1B" w14:textId="77777777" w:rsidR="00D73A5A" w:rsidRPr="001E5435" w:rsidRDefault="00D73A5A" w:rsidP="007B0994">
      <w:pPr>
        <w:pStyle w:val="Heading1"/>
        <w:spacing w:line="360" w:lineRule="auto"/>
        <w:rPr>
          <w:b/>
          <w:color w:val="000000" w:themeColor="text1"/>
          <w:sz w:val="36"/>
        </w:rPr>
      </w:pPr>
      <w:bookmarkStart w:id="18" w:name="_Toc241397153"/>
      <w:r w:rsidRPr="001E5435">
        <w:rPr>
          <w:b/>
          <w:color w:val="000000" w:themeColor="text1"/>
          <w:sz w:val="36"/>
        </w:rPr>
        <w:t>Appendices</w:t>
      </w:r>
      <w:bookmarkEnd w:id="18"/>
    </w:p>
    <w:p w14:paraId="2194D7CD" w14:textId="77777777" w:rsidR="00D73A5A" w:rsidRPr="001E5435" w:rsidRDefault="00574E41" w:rsidP="007B0994">
      <w:pPr>
        <w:spacing w:line="360" w:lineRule="auto"/>
        <w:jc w:val="both"/>
        <w:rPr>
          <w:rFonts w:ascii="Arial" w:hAnsi="Arial" w:cs="Arial"/>
          <w:b/>
        </w:rPr>
      </w:pPr>
      <w:r w:rsidRPr="001E5435">
        <w:rPr>
          <w:rFonts w:ascii="Arial" w:hAnsi="Arial" w:cs="Arial"/>
          <w:b/>
        </w:rPr>
        <w:t>Appendix A: Interpretation of NHS England ADHD data</w:t>
      </w:r>
    </w:p>
    <w:p w14:paraId="66278CB7" w14:textId="77777777" w:rsidR="007B0994" w:rsidRPr="001E5435" w:rsidRDefault="007B0994" w:rsidP="007B0994">
      <w:pPr>
        <w:spacing w:line="360" w:lineRule="auto"/>
        <w:jc w:val="both"/>
        <w:rPr>
          <w:rFonts w:ascii="Arial" w:hAnsi="Arial" w:cs="Arial"/>
        </w:rPr>
      </w:pPr>
      <w:r w:rsidRPr="001E5435">
        <w:rPr>
          <w:rFonts w:ascii="Arial" w:hAnsi="Arial" w:cs="Arial"/>
          <w:noProof/>
        </w:rPr>
        <w:drawing>
          <wp:inline distT="0" distB="0" distL="0" distR="0" wp14:anchorId="322FC9AF" wp14:editId="6E5901EF">
            <wp:extent cx="5890260" cy="36288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9-27 101542.png"/>
                    <pic:cNvPicPr/>
                  </pic:nvPicPr>
                  <pic:blipFill>
                    <a:blip r:embed="rId8">
                      <a:extLst>
                        <a:ext uri="{28A0092B-C50C-407E-A947-70E740481C1C}">
                          <a14:useLocalDpi xmlns:a14="http://schemas.microsoft.com/office/drawing/2010/main" val="0"/>
                        </a:ext>
                      </a:extLst>
                    </a:blip>
                    <a:stretch>
                      <a:fillRect/>
                    </a:stretch>
                  </pic:blipFill>
                  <pic:spPr>
                    <a:xfrm>
                      <a:off x="0" y="0"/>
                      <a:ext cx="5895197" cy="3631862"/>
                    </a:xfrm>
                    <a:prstGeom prst="rect">
                      <a:avLst/>
                    </a:prstGeom>
                  </pic:spPr>
                </pic:pic>
              </a:graphicData>
            </a:graphic>
          </wp:inline>
        </w:drawing>
      </w:r>
    </w:p>
    <w:p w14:paraId="164E3FFE" w14:textId="77777777" w:rsidR="007B0994" w:rsidRPr="001E5435" w:rsidRDefault="007B0994" w:rsidP="007B0994">
      <w:pPr>
        <w:spacing w:line="360" w:lineRule="auto"/>
        <w:jc w:val="both"/>
        <w:rPr>
          <w:rFonts w:ascii="Arial" w:hAnsi="Arial" w:cs="Arial"/>
        </w:rPr>
      </w:pPr>
      <w:r w:rsidRPr="001E5435">
        <w:rPr>
          <w:rFonts w:ascii="Arial" w:hAnsi="Arial" w:cs="Arial"/>
        </w:rPr>
        <w:br w:type="page"/>
      </w:r>
    </w:p>
    <w:p w14:paraId="52F9C23F" w14:textId="77777777" w:rsidR="00574E41" w:rsidRPr="001E5435" w:rsidRDefault="007B0994" w:rsidP="007B0994">
      <w:pPr>
        <w:spacing w:line="360" w:lineRule="auto"/>
        <w:jc w:val="both"/>
        <w:rPr>
          <w:rFonts w:ascii="Arial" w:hAnsi="Arial" w:cs="Arial"/>
          <w:b/>
        </w:rPr>
      </w:pPr>
      <w:r w:rsidRPr="001E5435">
        <w:rPr>
          <w:rFonts w:ascii="Arial" w:hAnsi="Arial" w:cs="Arial"/>
          <w:b/>
        </w:rPr>
        <w:t>Appendix B: Adult ADHD care and follow-up framework</w:t>
      </w:r>
    </w:p>
    <w:p w14:paraId="529DD5F5" w14:textId="77777777" w:rsidR="007B0994" w:rsidRPr="001E5435" w:rsidRDefault="007B0994" w:rsidP="00620785">
      <w:pPr>
        <w:spacing w:line="360" w:lineRule="auto"/>
        <w:jc w:val="both"/>
        <w:rPr>
          <w:rFonts w:ascii="Arial" w:hAnsi="Arial" w:cs="Arial"/>
        </w:rPr>
      </w:pPr>
      <w:r w:rsidRPr="001E5435">
        <w:rPr>
          <w:rFonts w:ascii="Arial" w:hAnsi="Arial" w:cs="Arial"/>
        </w:rPr>
        <w:t>This table sets out what should be checked at each stage. It is a framework for evaluating care, not evidence that every service in England provides it.</w:t>
      </w:r>
    </w:p>
    <w:p w14:paraId="0C260780" w14:textId="77777777" w:rsidR="007B0994" w:rsidRPr="001E5435" w:rsidRDefault="007B0994" w:rsidP="007B0994">
      <w:pPr>
        <w:spacing w:line="360" w:lineRule="auto"/>
        <w:jc w:val="both"/>
        <w:rPr>
          <w:rFonts w:ascii="Arial" w:hAnsi="Arial" w:cs="Arial"/>
        </w:rPr>
      </w:pPr>
      <w:r w:rsidRPr="001E5435">
        <w:rPr>
          <w:rFonts w:ascii="Arial" w:hAnsi="Arial" w:cs="Arial"/>
          <w:noProof/>
        </w:rPr>
        <w:drawing>
          <wp:inline distT="0" distB="0" distL="0" distR="0" wp14:anchorId="67AC12FA" wp14:editId="4F60E30D">
            <wp:extent cx="6035040" cy="3619519"/>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9-27 102023.png"/>
                    <pic:cNvPicPr/>
                  </pic:nvPicPr>
                  <pic:blipFill>
                    <a:blip r:embed="rId9">
                      <a:extLst>
                        <a:ext uri="{28A0092B-C50C-407E-A947-70E740481C1C}">
                          <a14:useLocalDpi xmlns:a14="http://schemas.microsoft.com/office/drawing/2010/main" val="0"/>
                        </a:ext>
                      </a:extLst>
                    </a:blip>
                    <a:stretch>
                      <a:fillRect/>
                    </a:stretch>
                  </pic:blipFill>
                  <pic:spPr>
                    <a:xfrm>
                      <a:off x="0" y="0"/>
                      <a:ext cx="6038480" cy="3621582"/>
                    </a:xfrm>
                    <a:prstGeom prst="rect">
                      <a:avLst/>
                    </a:prstGeom>
                  </pic:spPr>
                </pic:pic>
              </a:graphicData>
            </a:graphic>
          </wp:inline>
        </w:drawing>
      </w:r>
    </w:p>
    <w:p w14:paraId="29FA77C4" w14:textId="77777777" w:rsidR="007B0994" w:rsidRPr="001E5435" w:rsidRDefault="007B0994" w:rsidP="007B0994">
      <w:pPr>
        <w:spacing w:line="360" w:lineRule="auto"/>
        <w:jc w:val="both"/>
        <w:rPr>
          <w:rFonts w:ascii="Arial" w:hAnsi="Arial" w:cs="Arial"/>
        </w:rPr>
      </w:pPr>
    </w:p>
    <w:p w14:paraId="08D171DF" w14:textId="77777777" w:rsidR="007B0994" w:rsidRPr="001E5435" w:rsidRDefault="007B0994" w:rsidP="007B0994">
      <w:pPr>
        <w:spacing w:line="360" w:lineRule="auto"/>
        <w:jc w:val="both"/>
        <w:rPr>
          <w:rFonts w:ascii="Arial" w:hAnsi="Arial" w:cs="Arial"/>
        </w:rPr>
      </w:pPr>
    </w:p>
    <w:p w14:paraId="660A3F6B" w14:textId="77777777" w:rsidR="007B0994" w:rsidRPr="007B0994" w:rsidRDefault="007B0994" w:rsidP="007B0994">
      <w:pPr>
        <w:spacing w:line="360" w:lineRule="auto"/>
        <w:jc w:val="both"/>
        <w:rPr>
          <w:rFonts w:ascii="Arial" w:hAnsi="Arial" w:cs="Arial"/>
        </w:rPr>
      </w:pPr>
    </w:p>
    <w:sectPr w:rsidR="007B0994" w:rsidRPr="007B0994" w:rsidSect="007B0994">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EB1ADC" w14:textId="77777777" w:rsidR="005323B7" w:rsidRPr="001E5435" w:rsidRDefault="005323B7" w:rsidP="007B0994">
      <w:pPr>
        <w:spacing w:after="0" w:line="240" w:lineRule="auto"/>
      </w:pPr>
      <w:r w:rsidRPr="001E5435">
        <w:separator/>
      </w:r>
    </w:p>
  </w:endnote>
  <w:endnote w:type="continuationSeparator" w:id="0">
    <w:p w14:paraId="5BF19240" w14:textId="77777777" w:rsidR="005323B7" w:rsidRPr="001E5435" w:rsidRDefault="005323B7" w:rsidP="007B0994">
      <w:pPr>
        <w:spacing w:after="0" w:line="240" w:lineRule="auto"/>
      </w:pPr>
      <w:r w:rsidRPr="001E54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6808954"/>
      <w:docPartObj>
        <w:docPartGallery w:val="Page Numbers (Bottom of Page)"/>
        <w:docPartUnique/>
      </w:docPartObj>
    </w:sdtPr>
    <w:sdtContent>
      <w:p w14:paraId="24BD35B7" w14:textId="77777777" w:rsidR="007B0994" w:rsidRPr="001E5435" w:rsidRDefault="007B0994">
        <w:pPr>
          <w:pStyle w:val="Footer"/>
          <w:jc w:val="right"/>
        </w:pPr>
        <w:r w:rsidRPr="001E5435">
          <w:fldChar w:fldCharType="begin"/>
        </w:r>
        <w:r w:rsidRPr="001E5435">
          <w:instrText xml:space="preserve"> PAGE   \* MERGEFORMAT </w:instrText>
        </w:r>
        <w:r w:rsidRPr="001E5435">
          <w:fldChar w:fldCharType="separate"/>
        </w:r>
        <w:r w:rsidR="00561B38" w:rsidRPr="001E5435">
          <w:t>9</w:t>
        </w:r>
        <w:r w:rsidRPr="001E5435">
          <w:fldChar w:fldCharType="end"/>
        </w:r>
      </w:p>
    </w:sdtContent>
  </w:sdt>
  <w:p w14:paraId="09C26634" w14:textId="77777777" w:rsidR="007B0994" w:rsidRPr="001E5435" w:rsidRDefault="007B0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A8365" w14:textId="77777777" w:rsidR="005323B7" w:rsidRPr="001E5435" w:rsidRDefault="005323B7" w:rsidP="007B0994">
      <w:pPr>
        <w:spacing w:after="0" w:line="240" w:lineRule="auto"/>
      </w:pPr>
      <w:r w:rsidRPr="001E5435">
        <w:separator/>
      </w:r>
    </w:p>
  </w:footnote>
  <w:footnote w:type="continuationSeparator" w:id="0">
    <w:p w14:paraId="3C4F4732" w14:textId="77777777" w:rsidR="005323B7" w:rsidRPr="001E5435" w:rsidRDefault="005323B7" w:rsidP="007B0994">
      <w:pPr>
        <w:spacing w:after="0" w:line="240" w:lineRule="auto"/>
      </w:pPr>
      <w:r w:rsidRPr="001E5435">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N2lHiOlGfrWwp" int2:id="2J4O8Hni">
      <int2:state int2:value="Rejected" int2:type="spell"/>
    </int2:textHash>
    <int2:textHash int2:hashCode="4tzi23eW8lqh3Q" int2:id="3cNw75yT">
      <int2:state int2:value="Rejected" int2:type="spell"/>
    </int2:textHash>
    <int2:textHash int2:hashCode="YsVZtC7LpWRsO0" int2:id="7qA7hnQW">
      <int2:state int2:value="Rejected" int2:type="spell"/>
    </int2:textHash>
    <int2:textHash int2:hashCode="DFm/S/3QpWr6hM" int2:id="8JyzRMdB">
      <int2:state int2:value="Rejected" int2:type="spell"/>
    </int2:textHash>
    <int2:textHash int2:hashCode="bYKuReIZNWCTDC" int2:id="G6FSItpB">
      <int2:state int2:value="Rejected" int2:type="spell"/>
    </int2:textHash>
    <int2:textHash int2:hashCode="AUnHGz6kytTeNS" int2:id="J1LoPi2u">
      <int2:state int2:value="Rejected" int2:type="spell"/>
    </int2:textHash>
    <int2:textHash int2:hashCode="MFBH6W7AiQIWYO" int2:id="JR951Y7Z">
      <int2:state int2:value="Rejected" int2:type="spell"/>
    </int2:textHash>
    <int2:textHash int2:hashCode="NSKsV0ngEdKwI2" int2:id="LWlJwB1j">
      <int2:state int2:value="Rejected" int2:type="spell"/>
    </int2:textHash>
    <int2:textHash int2:hashCode="ewnzblLx/mgkkY" int2:id="PIzRGrsx">
      <int2:state int2:value="Rejected" int2:type="spell"/>
    </int2:textHash>
    <int2:textHash int2:hashCode="bUKgAyM0fDkbxn" int2:id="RDAV3UJg">
      <int2:state int2:value="Rejected" int2:type="spell"/>
    </int2:textHash>
    <int2:textHash int2:hashCode="+8o6iMFaWspVn/" int2:id="RSXqQdDx">
      <int2:state int2:value="Rejected" int2:type="spell"/>
    </int2:textHash>
    <int2:textHash int2:hashCode="/BVOmclrYEZq8K" int2:id="YSU8vmUc">
      <int2:state int2:value="Rejected" int2:type="spell"/>
    </int2:textHash>
    <int2:textHash int2:hashCode="Q8mLkFiyjNWiqO" int2:id="YnuaOojP">
      <int2:state int2:value="Rejected" int2:type="spell"/>
    </int2:textHash>
    <int2:textHash int2:hashCode="vwxMNJoWPc06bH" int2:id="aJO3QyBq">
      <int2:state int2:value="Rejected" int2:type="spell"/>
    </int2:textHash>
    <int2:textHash int2:hashCode="dB15kQDAxz/VgL" int2:id="ctYoBOCD">
      <int2:state int2:value="Rejected" int2:type="spell"/>
    </int2:textHash>
    <int2:textHash int2:hashCode="ClQdJAGmQ04jAG" int2:id="gJYpdOdF">
      <int2:state int2:value="Rejected" int2:type="spell"/>
    </int2:textHash>
    <int2:textHash int2:hashCode="eXjyBz2fTTcieT" int2:id="h6PyczfM">
      <int2:state int2:value="Rejected" int2:type="spell"/>
    </int2:textHash>
    <int2:textHash int2:hashCode="E0F27QYtewhqUP" int2:id="hkb31iMi">
      <int2:state int2:value="Rejected" int2:type="spell"/>
    </int2:textHash>
    <int2:textHash int2:hashCode="e6NhQUMYcr1ijQ" int2:id="il1QN29X">
      <int2:state int2:value="Rejected" int2:type="spell"/>
    </int2:textHash>
    <int2:textHash int2:hashCode="Rue0xpxd66HET7" int2:id="oThea1bG">
      <int2:state int2:value="Rejected" int2:type="spell"/>
    </int2:textHash>
    <int2:textHash int2:hashCode="nqOV4l1y0Ukuno" int2:id="ogDtcH0D">
      <int2:state int2:value="Rejected" int2:type="spell"/>
    </int2:textHash>
    <int2:textHash int2:hashCode="WScY1ACfPMP4PY" int2:id="ztw7lJj9">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3F6"/>
    <w:rsid w:val="00001634"/>
    <w:rsid w:val="00007141"/>
    <w:rsid w:val="00035470"/>
    <w:rsid w:val="00042078"/>
    <w:rsid w:val="000B48EE"/>
    <w:rsid w:val="00123BAD"/>
    <w:rsid w:val="0012492D"/>
    <w:rsid w:val="00140F1B"/>
    <w:rsid w:val="001C49D9"/>
    <w:rsid w:val="001E20DA"/>
    <w:rsid w:val="001E5435"/>
    <w:rsid w:val="001F1B15"/>
    <w:rsid w:val="00207003"/>
    <w:rsid w:val="0025297D"/>
    <w:rsid w:val="002A147E"/>
    <w:rsid w:val="003214D8"/>
    <w:rsid w:val="004163F6"/>
    <w:rsid w:val="004233F8"/>
    <w:rsid w:val="00460844"/>
    <w:rsid w:val="004D114C"/>
    <w:rsid w:val="004F3263"/>
    <w:rsid w:val="00506E3B"/>
    <w:rsid w:val="005323B7"/>
    <w:rsid w:val="00561B38"/>
    <w:rsid w:val="00574E41"/>
    <w:rsid w:val="00591153"/>
    <w:rsid w:val="00597FBA"/>
    <w:rsid w:val="005A6CE0"/>
    <w:rsid w:val="005B502D"/>
    <w:rsid w:val="005B7346"/>
    <w:rsid w:val="005C0AA0"/>
    <w:rsid w:val="00620785"/>
    <w:rsid w:val="006753F0"/>
    <w:rsid w:val="006C0071"/>
    <w:rsid w:val="006E7122"/>
    <w:rsid w:val="00701C0C"/>
    <w:rsid w:val="00717FAD"/>
    <w:rsid w:val="0076215D"/>
    <w:rsid w:val="007B0994"/>
    <w:rsid w:val="007E1B61"/>
    <w:rsid w:val="00814146"/>
    <w:rsid w:val="00871D4C"/>
    <w:rsid w:val="008750C1"/>
    <w:rsid w:val="008877F6"/>
    <w:rsid w:val="008F53D3"/>
    <w:rsid w:val="009003A6"/>
    <w:rsid w:val="0091491C"/>
    <w:rsid w:val="00942DC9"/>
    <w:rsid w:val="00A012BE"/>
    <w:rsid w:val="00A51DC8"/>
    <w:rsid w:val="00A735C3"/>
    <w:rsid w:val="00A80D94"/>
    <w:rsid w:val="00A91A10"/>
    <w:rsid w:val="00AE04A2"/>
    <w:rsid w:val="00AF3746"/>
    <w:rsid w:val="00B0202F"/>
    <w:rsid w:val="00B227B1"/>
    <w:rsid w:val="00B50CD9"/>
    <w:rsid w:val="00B806F0"/>
    <w:rsid w:val="00BD2C8F"/>
    <w:rsid w:val="00BD4448"/>
    <w:rsid w:val="00C670C0"/>
    <w:rsid w:val="00C67852"/>
    <w:rsid w:val="00C91A04"/>
    <w:rsid w:val="00CC54D0"/>
    <w:rsid w:val="00CE4D70"/>
    <w:rsid w:val="00D05953"/>
    <w:rsid w:val="00D20FFA"/>
    <w:rsid w:val="00D27C5B"/>
    <w:rsid w:val="00D602AA"/>
    <w:rsid w:val="00D73A5A"/>
    <w:rsid w:val="00DA4732"/>
    <w:rsid w:val="00E12A8A"/>
    <w:rsid w:val="00E96BFD"/>
    <w:rsid w:val="00F0075F"/>
    <w:rsid w:val="00F2681E"/>
    <w:rsid w:val="00F749A4"/>
    <w:rsid w:val="00F97A71"/>
    <w:rsid w:val="00FB7875"/>
    <w:rsid w:val="0107B41E"/>
    <w:rsid w:val="01C5AB33"/>
    <w:rsid w:val="021B391D"/>
    <w:rsid w:val="0606BEFC"/>
    <w:rsid w:val="0942CAB3"/>
    <w:rsid w:val="0F805073"/>
    <w:rsid w:val="11D42C10"/>
    <w:rsid w:val="12D3D0E9"/>
    <w:rsid w:val="15F26242"/>
    <w:rsid w:val="1865822A"/>
    <w:rsid w:val="1FA32217"/>
    <w:rsid w:val="22116842"/>
    <w:rsid w:val="23FB7466"/>
    <w:rsid w:val="24C31610"/>
    <w:rsid w:val="24DBB737"/>
    <w:rsid w:val="24E6AA31"/>
    <w:rsid w:val="24FDE3F3"/>
    <w:rsid w:val="25902436"/>
    <w:rsid w:val="284F1AEC"/>
    <w:rsid w:val="287549D3"/>
    <w:rsid w:val="287F6C36"/>
    <w:rsid w:val="2ABE5B9E"/>
    <w:rsid w:val="2E23071D"/>
    <w:rsid w:val="2F3C7C9C"/>
    <w:rsid w:val="30627B15"/>
    <w:rsid w:val="31F7DA28"/>
    <w:rsid w:val="36CA988F"/>
    <w:rsid w:val="37B5F95D"/>
    <w:rsid w:val="3ED2FEF9"/>
    <w:rsid w:val="421FAD45"/>
    <w:rsid w:val="43FC95D3"/>
    <w:rsid w:val="44B383DD"/>
    <w:rsid w:val="48CE9D0E"/>
    <w:rsid w:val="49EB3685"/>
    <w:rsid w:val="4A139837"/>
    <w:rsid w:val="4A859577"/>
    <w:rsid w:val="4C2B2A17"/>
    <w:rsid w:val="4CFA8E10"/>
    <w:rsid w:val="4DFB7793"/>
    <w:rsid w:val="530B3DA2"/>
    <w:rsid w:val="5479E74F"/>
    <w:rsid w:val="59EC44CC"/>
    <w:rsid w:val="5C080004"/>
    <w:rsid w:val="5CC6DA68"/>
    <w:rsid w:val="5DA0E109"/>
    <w:rsid w:val="5FC6CCA2"/>
    <w:rsid w:val="619FA47B"/>
    <w:rsid w:val="66211563"/>
    <w:rsid w:val="669608DA"/>
    <w:rsid w:val="674E0E11"/>
    <w:rsid w:val="689E7CF8"/>
    <w:rsid w:val="6A005C2A"/>
    <w:rsid w:val="6D3BCE97"/>
    <w:rsid w:val="7066E3FC"/>
    <w:rsid w:val="75BB5235"/>
    <w:rsid w:val="770FFE91"/>
    <w:rsid w:val="7876E728"/>
    <w:rsid w:val="7B8E8A95"/>
    <w:rsid w:val="7C3AFC8C"/>
    <w:rsid w:val="7CC74BB3"/>
    <w:rsid w:val="7E34FC28"/>
    <w:rsid w:val="7EB2007A"/>
    <w:rsid w:val="7EFFC7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C176C"/>
  <w15:chartTrackingRefBased/>
  <w15:docId w15:val="{9C7E2C9E-9601-4DA0-A6AF-A4F8A7DC6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09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163F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63F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4163F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ursor-pointer">
    <w:name w:val="cursor-pointer"/>
    <w:basedOn w:val="DefaultParagraphFont"/>
    <w:rsid w:val="004163F6"/>
  </w:style>
  <w:style w:type="character" w:styleId="Strong">
    <w:name w:val="Strong"/>
    <w:basedOn w:val="DefaultParagraphFont"/>
    <w:uiPriority w:val="22"/>
    <w:qFormat/>
    <w:rsid w:val="00A012BE"/>
    <w:rPr>
      <w:b/>
      <w:bCs/>
    </w:rPr>
  </w:style>
  <w:style w:type="table" w:styleId="TableGrid">
    <w:name w:val="Table Grid"/>
    <w:basedOn w:val="TableNormal"/>
    <w:uiPriority w:val="39"/>
    <w:rsid w:val="00574E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B0994"/>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B09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994"/>
  </w:style>
  <w:style w:type="paragraph" w:styleId="Footer">
    <w:name w:val="footer"/>
    <w:basedOn w:val="Normal"/>
    <w:link w:val="FooterChar"/>
    <w:uiPriority w:val="99"/>
    <w:unhideWhenUsed/>
    <w:rsid w:val="007B09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994"/>
  </w:style>
  <w:style w:type="paragraph" w:styleId="TOCHeading">
    <w:name w:val="TOC Heading"/>
    <w:basedOn w:val="Heading1"/>
    <w:next w:val="Normal"/>
    <w:uiPriority w:val="39"/>
    <w:unhideWhenUsed/>
    <w:qFormat/>
    <w:rsid w:val="007B0994"/>
    <w:pPr>
      <w:outlineLvl w:val="9"/>
    </w:pPr>
  </w:style>
  <w:style w:type="paragraph" w:styleId="TOC1">
    <w:name w:val="toc 1"/>
    <w:basedOn w:val="Normal"/>
    <w:next w:val="Normal"/>
    <w:autoRedefine/>
    <w:uiPriority w:val="39"/>
    <w:unhideWhenUsed/>
    <w:rsid w:val="007B0994"/>
    <w:pPr>
      <w:spacing w:after="100"/>
    </w:pPr>
  </w:style>
  <w:style w:type="paragraph" w:styleId="TOC2">
    <w:name w:val="toc 2"/>
    <w:basedOn w:val="Normal"/>
    <w:next w:val="Normal"/>
    <w:autoRedefine/>
    <w:uiPriority w:val="39"/>
    <w:unhideWhenUsed/>
    <w:rsid w:val="007B0994"/>
    <w:pPr>
      <w:spacing w:after="100"/>
      <w:ind w:left="220"/>
    </w:pPr>
  </w:style>
  <w:style w:type="character" w:styleId="Hyperlink">
    <w:name w:val="Hyperlink"/>
    <w:basedOn w:val="DefaultParagraphFont"/>
    <w:uiPriority w:val="99"/>
    <w:unhideWhenUsed/>
    <w:rsid w:val="007B0994"/>
    <w:rPr>
      <w:color w:val="0563C1" w:themeColor="hyperlink"/>
      <w:u w:val="single"/>
    </w:rPr>
  </w:style>
  <w:style w:type="paragraph" w:styleId="NoSpacing">
    <w:name w:val="No Spacing"/>
    <w:link w:val="NoSpacingChar"/>
    <w:uiPriority w:val="1"/>
    <w:qFormat/>
    <w:rsid w:val="007B0994"/>
    <w:pPr>
      <w:spacing w:after="0" w:line="240" w:lineRule="auto"/>
    </w:pPr>
    <w:rPr>
      <w:rFonts w:eastAsiaTheme="minorEastAsia"/>
    </w:rPr>
  </w:style>
  <w:style w:type="character" w:customStyle="1" w:styleId="NoSpacingChar">
    <w:name w:val="No Spacing Char"/>
    <w:basedOn w:val="DefaultParagraphFont"/>
    <w:link w:val="NoSpacing"/>
    <w:uiPriority w:val="1"/>
    <w:rsid w:val="007B0994"/>
    <w:rPr>
      <w:rFonts w:eastAsiaTheme="minorEastAsia"/>
    </w:rPr>
  </w:style>
  <w:style w:type="paragraph" w:styleId="Title">
    <w:name w:val="Title"/>
    <w:basedOn w:val="Normal"/>
    <w:next w:val="Normal"/>
    <w:link w:val="TitleChar"/>
    <w:uiPriority w:val="10"/>
    <w:qFormat/>
    <w:rsid w:val="007B09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99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9">
      <w:bodyDiv w:val="1"/>
      <w:marLeft w:val="0"/>
      <w:marRight w:val="0"/>
      <w:marTop w:val="0"/>
      <w:marBottom w:val="0"/>
      <w:divBdr>
        <w:top w:val="none" w:sz="0" w:space="0" w:color="auto"/>
        <w:left w:val="none" w:sz="0" w:space="0" w:color="auto"/>
        <w:bottom w:val="none" w:sz="0" w:space="0" w:color="auto"/>
        <w:right w:val="none" w:sz="0" w:space="0" w:color="auto"/>
      </w:divBdr>
    </w:div>
    <w:div w:id="46225322">
      <w:bodyDiv w:val="1"/>
      <w:marLeft w:val="0"/>
      <w:marRight w:val="0"/>
      <w:marTop w:val="0"/>
      <w:marBottom w:val="0"/>
      <w:divBdr>
        <w:top w:val="none" w:sz="0" w:space="0" w:color="auto"/>
        <w:left w:val="none" w:sz="0" w:space="0" w:color="auto"/>
        <w:bottom w:val="none" w:sz="0" w:space="0" w:color="auto"/>
        <w:right w:val="none" w:sz="0" w:space="0" w:color="auto"/>
      </w:divBdr>
    </w:div>
    <w:div w:id="189146766">
      <w:bodyDiv w:val="1"/>
      <w:marLeft w:val="0"/>
      <w:marRight w:val="0"/>
      <w:marTop w:val="0"/>
      <w:marBottom w:val="0"/>
      <w:divBdr>
        <w:top w:val="none" w:sz="0" w:space="0" w:color="auto"/>
        <w:left w:val="none" w:sz="0" w:space="0" w:color="auto"/>
        <w:bottom w:val="none" w:sz="0" w:space="0" w:color="auto"/>
        <w:right w:val="none" w:sz="0" w:space="0" w:color="auto"/>
      </w:divBdr>
    </w:div>
    <w:div w:id="201677163">
      <w:bodyDiv w:val="1"/>
      <w:marLeft w:val="0"/>
      <w:marRight w:val="0"/>
      <w:marTop w:val="0"/>
      <w:marBottom w:val="0"/>
      <w:divBdr>
        <w:top w:val="none" w:sz="0" w:space="0" w:color="auto"/>
        <w:left w:val="none" w:sz="0" w:space="0" w:color="auto"/>
        <w:bottom w:val="none" w:sz="0" w:space="0" w:color="auto"/>
        <w:right w:val="none" w:sz="0" w:space="0" w:color="auto"/>
      </w:divBdr>
    </w:div>
    <w:div w:id="327370134">
      <w:bodyDiv w:val="1"/>
      <w:marLeft w:val="0"/>
      <w:marRight w:val="0"/>
      <w:marTop w:val="0"/>
      <w:marBottom w:val="0"/>
      <w:divBdr>
        <w:top w:val="none" w:sz="0" w:space="0" w:color="auto"/>
        <w:left w:val="none" w:sz="0" w:space="0" w:color="auto"/>
        <w:bottom w:val="none" w:sz="0" w:space="0" w:color="auto"/>
        <w:right w:val="none" w:sz="0" w:space="0" w:color="auto"/>
      </w:divBdr>
    </w:div>
    <w:div w:id="438718973">
      <w:bodyDiv w:val="1"/>
      <w:marLeft w:val="0"/>
      <w:marRight w:val="0"/>
      <w:marTop w:val="0"/>
      <w:marBottom w:val="0"/>
      <w:divBdr>
        <w:top w:val="none" w:sz="0" w:space="0" w:color="auto"/>
        <w:left w:val="none" w:sz="0" w:space="0" w:color="auto"/>
        <w:bottom w:val="none" w:sz="0" w:space="0" w:color="auto"/>
        <w:right w:val="none" w:sz="0" w:space="0" w:color="auto"/>
      </w:divBdr>
    </w:div>
    <w:div w:id="542444490">
      <w:bodyDiv w:val="1"/>
      <w:marLeft w:val="0"/>
      <w:marRight w:val="0"/>
      <w:marTop w:val="0"/>
      <w:marBottom w:val="0"/>
      <w:divBdr>
        <w:top w:val="none" w:sz="0" w:space="0" w:color="auto"/>
        <w:left w:val="none" w:sz="0" w:space="0" w:color="auto"/>
        <w:bottom w:val="none" w:sz="0" w:space="0" w:color="auto"/>
        <w:right w:val="none" w:sz="0" w:space="0" w:color="auto"/>
      </w:divBdr>
    </w:div>
    <w:div w:id="876741469">
      <w:bodyDiv w:val="1"/>
      <w:marLeft w:val="0"/>
      <w:marRight w:val="0"/>
      <w:marTop w:val="0"/>
      <w:marBottom w:val="0"/>
      <w:divBdr>
        <w:top w:val="none" w:sz="0" w:space="0" w:color="auto"/>
        <w:left w:val="none" w:sz="0" w:space="0" w:color="auto"/>
        <w:bottom w:val="none" w:sz="0" w:space="0" w:color="auto"/>
        <w:right w:val="none" w:sz="0" w:space="0" w:color="auto"/>
      </w:divBdr>
      <w:divsChild>
        <w:div w:id="372774071">
          <w:marLeft w:val="0"/>
          <w:marRight w:val="0"/>
          <w:marTop w:val="0"/>
          <w:marBottom w:val="0"/>
          <w:divBdr>
            <w:top w:val="none" w:sz="0" w:space="0" w:color="auto"/>
            <w:left w:val="none" w:sz="0" w:space="0" w:color="auto"/>
            <w:bottom w:val="none" w:sz="0" w:space="0" w:color="auto"/>
            <w:right w:val="none" w:sz="0" w:space="0" w:color="auto"/>
          </w:divBdr>
        </w:div>
      </w:divsChild>
    </w:div>
    <w:div w:id="915633156">
      <w:bodyDiv w:val="1"/>
      <w:marLeft w:val="0"/>
      <w:marRight w:val="0"/>
      <w:marTop w:val="0"/>
      <w:marBottom w:val="0"/>
      <w:divBdr>
        <w:top w:val="none" w:sz="0" w:space="0" w:color="auto"/>
        <w:left w:val="none" w:sz="0" w:space="0" w:color="auto"/>
        <w:bottom w:val="none" w:sz="0" w:space="0" w:color="auto"/>
        <w:right w:val="none" w:sz="0" w:space="0" w:color="auto"/>
      </w:divBdr>
    </w:div>
    <w:div w:id="969286583">
      <w:bodyDiv w:val="1"/>
      <w:marLeft w:val="0"/>
      <w:marRight w:val="0"/>
      <w:marTop w:val="0"/>
      <w:marBottom w:val="0"/>
      <w:divBdr>
        <w:top w:val="none" w:sz="0" w:space="0" w:color="auto"/>
        <w:left w:val="none" w:sz="0" w:space="0" w:color="auto"/>
        <w:bottom w:val="none" w:sz="0" w:space="0" w:color="auto"/>
        <w:right w:val="none" w:sz="0" w:space="0" w:color="auto"/>
      </w:divBdr>
    </w:div>
    <w:div w:id="980773745">
      <w:bodyDiv w:val="1"/>
      <w:marLeft w:val="0"/>
      <w:marRight w:val="0"/>
      <w:marTop w:val="0"/>
      <w:marBottom w:val="0"/>
      <w:divBdr>
        <w:top w:val="none" w:sz="0" w:space="0" w:color="auto"/>
        <w:left w:val="none" w:sz="0" w:space="0" w:color="auto"/>
        <w:bottom w:val="none" w:sz="0" w:space="0" w:color="auto"/>
        <w:right w:val="none" w:sz="0" w:space="0" w:color="auto"/>
      </w:divBdr>
      <w:divsChild>
        <w:div w:id="1099105589">
          <w:marLeft w:val="0"/>
          <w:marRight w:val="0"/>
          <w:marTop w:val="0"/>
          <w:marBottom w:val="0"/>
          <w:divBdr>
            <w:top w:val="none" w:sz="0" w:space="0" w:color="auto"/>
            <w:left w:val="none" w:sz="0" w:space="0" w:color="auto"/>
            <w:bottom w:val="none" w:sz="0" w:space="0" w:color="auto"/>
            <w:right w:val="none" w:sz="0" w:space="0" w:color="auto"/>
          </w:divBdr>
          <w:divsChild>
            <w:div w:id="138841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562331">
      <w:bodyDiv w:val="1"/>
      <w:marLeft w:val="0"/>
      <w:marRight w:val="0"/>
      <w:marTop w:val="0"/>
      <w:marBottom w:val="0"/>
      <w:divBdr>
        <w:top w:val="none" w:sz="0" w:space="0" w:color="auto"/>
        <w:left w:val="none" w:sz="0" w:space="0" w:color="auto"/>
        <w:bottom w:val="none" w:sz="0" w:space="0" w:color="auto"/>
        <w:right w:val="none" w:sz="0" w:space="0" w:color="auto"/>
      </w:divBdr>
    </w:div>
    <w:div w:id="1094130879">
      <w:bodyDiv w:val="1"/>
      <w:marLeft w:val="0"/>
      <w:marRight w:val="0"/>
      <w:marTop w:val="0"/>
      <w:marBottom w:val="0"/>
      <w:divBdr>
        <w:top w:val="none" w:sz="0" w:space="0" w:color="auto"/>
        <w:left w:val="none" w:sz="0" w:space="0" w:color="auto"/>
        <w:bottom w:val="none" w:sz="0" w:space="0" w:color="auto"/>
        <w:right w:val="none" w:sz="0" w:space="0" w:color="auto"/>
      </w:divBdr>
    </w:div>
    <w:div w:id="1266041885">
      <w:bodyDiv w:val="1"/>
      <w:marLeft w:val="0"/>
      <w:marRight w:val="0"/>
      <w:marTop w:val="0"/>
      <w:marBottom w:val="0"/>
      <w:divBdr>
        <w:top w:val="none" w:sz="0" w:space="0" w:color="auto"/>
        <w:left w:val="none" w:sz="0" w:space="0" w:color="auto"/>
        <w:bottom w:val="none" w:sz="0" w:space="0" w:color="auto"/>
        <w:right w:val="none" w:sz="0" w:space="0" w:color="auto"/>
      </w:divBdr>
    </w:div>
    <w:div w:id="1349218381">
      <w:bodyDiv w:val="1"/>
      <w:marLeft w:val="0"/>
      <w:marRight w:val="0"/>
      <w:marTop w:val="0"/>
      <w:marBottom w:val="0"/>
      <w:divBdr>
        <w:top w:val="none" w:sz="0" w:space="0" w:color="auto"/>
        <w:left w:val="none" w:sz="0" w:space="0" w:color="auto"/>
        <w:bottom w:val="none" w:sz="0" w:space="0" w:color="auto"/>
        <w:right w:val="none" w:sz="0" w:space="0" w:color="auto"/>
      </w:divBdr>
    </w:div>
    <w:div w:id="1353265701">
      <w:bodyDiv w:val="1"/>
      <w:marLeft w:val="0"/>
      <w:marRight w:val="0"/>
      <w:marTop w:val="0"/>
      <w:marBottom w:val="0"/>
      <w:divBdr>
        <w:top w:val="none" w:sz="0" w:space="0" w:color="auto"/>
        <w:left w:val="none" w:sz="0" w:space="0" w:color="auto"/>
        <w:bottom w:val="none" w:sz="0" w:space="0" w:color="auto"/>
        <w:right w:val="none" w:sz="0" w:space="0" w:color="auto"/>
      </w:divBdr>
    </w:div>
    <w:div w:id="1368944557">
      <w:bodyDiv w:val="1"/>
      <w:marLeft w:val="0"/>
      <w:marRight w:val="0"/>
      <w:marTop w:val="0"/>
      <w:marBottom w:val="0"/>
      <w:divBdr>
        <w:top w:val="none" w:sz="0" w:space="0" w:color="auto"/>
        <w:left w:val="none" w:sz="0" w:space="0" w:color="auto"/>
        <w:bottom w:val="none" w:sz="0" w:space="0" w:color="auto"/>
        <w:right w:val="none" w:sz="0" w:space="0" w:color="auto"/>
      </w:divBdr>
    </w:div>
    <w:div w:id="1369836446">
      <w:bodyDiv w:val="1"/>
      <w:marLeft w:val="0"/>
      <w:marRight w:val="0"/>
      <w:marTop w:val="0"/>
      <w:marBottom w:val="0"/>
      <w:divBdr>
        <w:top w:val="none" w:sz="0" w:space="0" w:color="auto"/>
        <w:left w:val="none" w:sz="0" w:space="0" w:color="auto"/>
        <w:bottom w:val="none" w:sz="0" w:space="0" w:color="auto"/>
        <w:right w:val="none" w:sz="0" w:space="0" w:color="auto"/>
      </w:divBdr>
    </w:div>
    <w:div w:id="1373268222">
      <w:bodyDiv w:val="1"/>
      <w:marLeft w:val="0"/>
      <w:marRight w:val="0"/>
      <w:marTop w:val="0"/>
      <w:marBottom w:val="0"/>
      <w:divBdr>
        <w:top w:val="none" w:sz="0" w:space="0" w:color="auto"/>
        <w:left w:val="none" w:sz="0" w:space="0" w:color="auto"/>
        <w:bottom w:val="none" w:sz="0" w:space="0" w:color="auto"/>
        <w:right w:val="none" w:sz="0" w:space="0" w:color="auto"/>
      </w:divBdr>
    </w:div>
    <w:div w:id="1391995065">
      <w:bodyDiv w:val="1"/>
      <w:marLeft w:val="0"/>
      <w:marRight w:val="0"/>
      <w:marTop w:val="0"/>
      <w:marBottom w:val="0"/>
      <w:divBdr>
        <w:top w:val="none" w:sz="0" w:space="0" w:color="auto"/>
        <w:left w:val="none" w:sz="0" w:space="0" w:color="auto"/>
        <w:bottom w:val="none" w:sz="0" w:space="0" w:color="auto"/>
        <w:right w:val="none" w:sz="0" w:space="0" w:color="auto"/>
      </w:divBdr>
    </w:div>
    <w:div w:id="1502818548">
      <w:bodyDiv w:val="1"/>
      <w:marLeft w:val="0"/>
      <w:marRight w:val="0"/>
      <w:marTop w:val="0"/>
      <w:marBottom w:val="0"/>
      <w:divBdr>
        <w:top w:val="none" w:sz="0" w:space="0" w:color="auto"/>
        <w:left w:val="none" w:sz="0" w:space="0" w:color="auto"/>
        <w:bottom w:val="none" w:sz="0" w:space="0" w:color="auto"/>
        <w:right w:val="none" w:sz="0" w:space="0" w:color="auto"/>
      </w:divBdr>
    </w:div>
    <w:div w:id="1617251203">
      <w:bodyDiv w:val="1"/>
      <w:marLeft w:val="0"/>
      <w:marRight w:val="0"/>
      <w:marTop w:val="0"/>
      <w:marBottom w:val="0"/>
      <w:divBdr>
        <w:top w:val="none" w:sz="0" w:space="0" w:color="auto"/>
        <w:left w:val="none" w:sz="0" w:space="0" w:color="auto"/>
        <w:bottom w:val="none" w:sz="0" w:space="0" w:color="auto"/>
        <w:right w:val="none" w:sz="0" w:space="0" w:color="auto"/>
      </w:divBdr>
    </w:div>
    <w:div w:id="1638559997">
      <w:bodyDiv w:val="1"/>
      <w:marLeft w:val="0"/>
      <w:marRight w:val="0"/>
      <w:marTop w:val="0"/>
      <w:marBottom w:val="0"/>
      <w:divBdr>
        <w:top w:val="none" w:sz="0" w:space="0" w:color="auto"/>
        <w:left w:val="none" w:sz="0" w:space="0" w:color="auto"/>
        <w:bottom w:val="none" w:sz="0" w:space="0" w:color="auto"/>
        <w:right w:val="none" w:sz="0" w:space="0" w:color="auto"/>
      </w:divBdr>
    </w:div>
    <w:div w:id="1706447202">
      <w:bodyDiv w:val="1"/>
      <w:marLeft w:val="0"/>
      <w:marRight w:val="0"/>
      <w:marTop w:val="0"/>
      <w:marBottom w:val="0"/>
      <w:divBdr>
        <w:top w:val="none" w:sz="0" w:space="0" w:color="auto"/>
        <w:left w:val="none" w:sz="0" w:space="0" w:color="auto"/>
        <w:bottom w:val="none" w:sz="0" w:space="0" w:color="auto"/>
        <w:right w:val="none" w:sz="0" w:space="0" w:color="auto"/>
      </w:divBdr>
    </w:div>
    <w:div w:id="1772315218">
      <w:bodyDiv w:val="1"/>
      <w:marLeft w:val="0"/>
      <w:marRight w:val="0"/>
      <w:marTop w:val="0"/>
      <w:marBottom w:val="0"/>
      <w:divBdr>
        <w:top w:val="none" w:sz="0" w:space="0" w:color="auto"/>
        <w:left w:val="none" w:sz="0" w:space="0" w:color="auto"/>
        <w:bottom w:val="none" w:sz="0" w:space="0" w:color="auto"/>
        <w:right w:val="none" w:sz="0" w:space="0" w:color="auto"/>
      </w:divBdr>
    </w:div>
    <w:div w:id="1809591561">
      <w:bodyDiv w:val="1"/>
      <w:marLeft w:val="0"/>
      <w:marRight w:val="0"/>
      <w:marTop w:val="0"/>
      <w:marBottom w:val="0"/>
      <w:divBdr>
        <w:top w:val="none" w:sz="0" w:space="0" w:color="auto"/>
        <w:left w:val="none" w:sz="0" w:space="0" w:color="auto"/>
        <w:bottom w:val="none" w:sz="0" w:space="0" w:color="auto"/>
        <w:right w:val="none" w:sz="0" w:space="0" w:color="auto"/>
      </w:divBdr>
    </w:div>
    <w:div w:id="1811971296">
      <w:bodyDiv w:val="1"/>
      <w:marLeft w:val="0"/>
      <w:marRight w:val="0"/>
      <w:marTop w:val="0"/>
      <w:marBottom w:val="0"/>
      <w:divBdr>
        <w:top w:val="none" w:sz="0" w:space="0" w:color="auto"/>
        <w:left w:val="none" w:sz="0" w:space="0" w:color="auto"/>
        <w:bottom w:val="none" w:sz="0" w:space="0" w:color="auto"/>
        <w:right w:val="none" w:sz="0" w:space="0" w:color="auto"/>
      </w:divBdr>
    </w:div>
    <w:div w:id="1914732504">
      <w:bodyDiv w:val="1"/>
      <w:marLeft w:val="0"/>
      <w:marRight w:val="0"/>
      <w:marTop w:val="0"/>
      <w:marBottom w:val="0"/>
      <w:divBdr>
        <w:top w:val="none" w:sz="0" w:space="0" w:color="auto"/>
        <w:left w:val="none" w:sz="0" w:space="0" w:color="auto"/>
        <w:bottom w:val="none" w:sz="0" w:space="0" w:color="auto"/>
        <w:right w:val="none" w:sz="0" w:space="0" w:color="auto"/>
      </w:divBdr>
    </w:div>
    <w:div w:id="2030796445">
      <w:bodyDiv w:val="1"/>
      <w:marLeft w:val="0"/>
      <w:marRight w:val="0"/>
      <w:marTop w:val="0"/>
      <w:marBottom w:val="0"/>
      <w:divBdr>
        <w:top w:val="none" w:sz="0" w:space="0" w:color="auto"/>
        <w:left w:val="none" w:sz="0" w:space="0" w:color="auto"/>
        <w:bottom w:val="none" w:sz="0" w:space="0" w:color="auto"/>
        <w:right w:val="none" w:sz="0" w:space="0" w:color="auto"/>
      </w:divBdr>
    </w:div>
    <w:div w:id="2041394179">
      <w:bodyDiv w:val="1"/>
      <w:marLeft w:val="0"/>
      <w:marRight w:val="0"/>
      <w:marTop w:val="0"/>
      <w:marBottom w:val="0"/>
      <w:divBdr>
        <w:top w:val="none" w:sz="0" w:space="0" w:color="auto"/>
        <w:left w:val="none" w:sz="0" w:space="0" w:color="auto"/>
        <w:bottom w:val="none" w:sz="0" w:space="0" w:color="auto"/>
        <w:right w:val="none" w:sz="0" w:space="0" w:color="auto"/>
      </w:divBdr>
    </w:div>
    <w:div w:id="2044818311">
      <w:bodyDiv w:val="1"/>
      <w:marLeft w:val="0"/>
      <w:marRight w:val="0"/>
      <w:marTop w:val="0"/>
      <w:marBottom w:val="0"/>
      <w:divBdr>
        <w:top w:val="none" w:sz="0" w:space="0" w:color="auto"/>
        <w:left w:val="none" w:sz="0" w:space="0" w:color="auto"/>
        <w:bottom w:val="none" w:sz="0" w:space="0" w:color="auto"/>
        <w:right w:val="none" w:sz="0" w:space="0" w:color="auto"/>
      </w:divBdr>
    </w:div>
    <w:div w:id="2058356734">
      <w:bodyDiv w:val="1"/>
      <w:marLeft w:val="0"/>
      <w:marRight w:val="0"/>
      <w:marTop w:val="0"/>
      <w:marBottom w:val="0"/>
      <w:divBdr>
        <w:top w:val="none" w:sz="0" w:space="0" w:color="auto"/>
        <w:left w:val="none" w:sz="0" w:space="0" w:color="auto"/>
        <w:bottom w:val="none" w:sz="0" w:space="0" w:color="auto"/>
        <w:right w:val="none" w:sz="0" w:space="0" w:color="auto"/>
      </w:divBdr>
    </w:div>
    <w:div w:id="2099863337">
      <w:bodyDiv w:val="1"/>
      <w:marLeft w:val="0"/>
      <w:marRight w:val="0"/>
      <w:marTop w:val="0"/>
      <w:marBottom w:val="0"/>
      <w:divBdr>
        <w:top w:val="none" w:sz="0" w:space="0" w:color="auto"/>
        <w:left w:val="none" w:sz="0" w:space="0" w:color="auto"/>
        <w:bottom w:val="none" w:sz="0" w:space="0" w:color="auto"/>
        <w:right w:val="none" w:sz="0" w:space="0" w:color="auto"/>
      </w:divBdr>
    </w:div>
    <w:div w:id="2105568601">
      <w:bodyDiv w:val="1"/>
      <w:marLeft w:val="0"/>
      <w:marRight w:val="0"/>
      <w:marTop w:val="0"/>
      <w:marBottom w:val="0"/>
      <w:divBdr>
        <w:top w:val="none" w:sz="0" w:space="0" w:color="auto"/>
        <w:left w:val="none" w:sz="0" w:space="0" w:color="auto"/>
        <w:bottom w:val="none" w:sz="0" w:space="0" w:color="auto"/>
        <w:right w:val="none" w:sz="0" w:space="0" w:color="auto"/>
      </w:divBdr>
    </w:div>
    <w:div w:id="210692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F7662-5524-49F4-8238-B68AC2AB4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3611</Words>
  <Characters>20586</Characters>
  <Application>Microsoft Office Word</Application>
  <DocSecurity>4</DocSecurity>
  <Lines>171</Lines>
  <Paragraphs>48</Paragraphs>
  <ScaleCrop>false</ScaleCrop>
  <Company>MRT www.Win2Farsi.com</Company>
  <LinksUpToDate>false</LinksUpToDate>
  <CharactersWithSpaces>24149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Samina Bibi (2412887)</cp:lastModifiedBy>
  <cp:revision>37</cp:revision>
  <dcterms:created xsi:type="dcterms:W3CDTF">2026-10-22T08:30:00Z</dcterms:created>
  <dcterms:modified xsi:type="dcterms:W3CDTF">2026-10-25T17:47:00Z</dcterms:modified>
</cp:coreProperties>
</file>