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B8946A" w14:textId="50EC3F98" w:rsidR="00FE53B4" w:rsidRPr="00B074E7" w:rsidRDefault="00FE53B4">
      <w:pPr>
        <w:rPr>
          <w:rFonts w:ascii="Times New Roman" w:hAnsi="Times New Roman" w:cs="Times New Roman"/>
          <w:sz w:val="24"/>
          <w:szCs w:val="24"/>
          <w:u w:val="single"/>
        </w:rPr>
      </w:pPr>
      <w:r w:rsidRPr="00FE53B4">
        <w:rPr>
          <w:rFonts w:ascii="Times New Roman" w:hAnsi="Times New Roman" w:cs="Times New Roman"/>
          <w:sz w:val="24"/>
          <w:szCs w:val="24"/>
          <w:u w:val="single"/>
        </w:rPr>
        <w:t xml:space="preserve">To what extent do creatures described as </w:t>
      </w:r>
      <w:r w:rsidRPr="00FE53B4">
        <w:rPr>
          <w:rFonts w:ascii="Times New Roman" w:hAnsi="Times New Roman" w:cs="Times New Roman"/>
          <w:i/>
          <w:sz w:val="24"/>
          <w:szCs w:val="24"/>
          <w:u w:val="single"/>
        </w:rPr>
        <w:t xml:space="preserve">terata </w:t>
      </w:r>
      <w:r w:rsidRPr="00FE53B4">
        <w:rPr>
          <w:rFonts w:ascii="Times New Roman" w:hAnsi="Times New Roman" w:cs="Times New Roman"/>
          <w:sz w:val="24"/>
          <w:szCs w:val="24"/>
          <w:u w:val="single"/>
        </w:rPr>
        <w:t>by Aristotle count as monsters? Use examples from Aristotle’s work to support your answer.</w:t>
      </w:r>
    </w:p>
    <w:p w14:paraId="6E9C1AD8" w14:textId="77777777" w:rsidR="00B074E7" w:rsidRDefault="00B074E7">
      <w:pPr>
        <w:rPr>
          <w:rFonts w:ascii="Times New Roman" w:hAnsi="Times New Roman" w:cs="Times New Roman"/>
          <w:sz w:val="24"/>
          <w:szCs w:val="24"/>
        </w:rPr>
      </w:pPr>
    </w:p>
    <w:p w14:paraId="4CE9AA95" w14:textId="32674C2A" w:rsidR="00F9705C" w:rsidRDefault="00B074E7">
      <w:pPr>
        <w:rPr>
          <w:rFonts w:ascii="Times New Roman" w:hAnsi="Times New Roman" w:cs="Times New Roman"/>
          <w:sz w:val="24"/>
          <w:szCs w:val="24"/>
        </w:rPr>
      </w:pPr>
      <w:r>
        <w:rPr>
          <w:rFonts w:ascii="Times New Roman" w:hAnsi="Times New Roman" w:cs="Times New Roman"/>
          <w:sz w:val="24"/>
          <w:szCs w:val="24"/>
        </w:rPr>
        <w:t>Monstrosity is a deceitfully difficult subject to approach, by its very nature it is uncategorizable. Cohen defines monstrosity with the use of seven thes</w:t>
      </w:r>
      <w:r w:rsidR="00B24F3E">
        <w:rPr>
          <w:rFonts w:ascii="Times New Roman" w:hAnsi="Times New Roman" w:cs="Times New Roman"/>
          <w:sz w:val="24"/>
          <w:szCs w:val="24"/>
        </w:rPr>
        <w:t>e</w:t>
      </w:r>
      <w:r>
        <w:rPr>
          <w:rFonts w:ascii="Times New Roman" w:hAnsi="Times New Roman" w:cs="Times New Roman"/>
          <w:sz w:val="24"/>
          <w:szCs w:val="24"/>
        </w:rPr>
        <w:t>s on the topic, but in basic terms a monster is a representation of the cultural body, a way to define the normal, and the border of the possible.</w:t>
      </w:r>
      <w:r w:rsidR="000D0F85">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The monsters physical body alone represents fear, desire, anxiety, and fantasy, both of ataractic (calming) and incendiary (to create </w:t>
      </w:r>
      <w:r w:rsidR="000D0F85">
        <w:rPr>
          <w:rFonts w:ascii="Times New Roman" w:hAnsi="Times New Roman" w:cs="Times New Roman"/>
          <w:sz w:val="24"/>
          <w:szCs w:val="24"/>
        </w:rPr>
        <w:t>conflict</w:t>
      </w:r>
      <w:r>
        <w:rPr>
          <w:rFonts w:ascii="Times New Roman" w:hAnsi="Times New Roman" w:cs="Times New Roman"/>
          <w:sz w:val="24"/>
          <w:szCs w:val="24"/>
        </w:rPr>
        <w:t>).</w:t>
      </w:r>
      <w:r w:rsidR="000D0F85">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r w:rsidR="00FE53B4" w:rsidRPr="00FE53B4">
        <w:rPr>
          <w:rFonts w:ascii="Times New Roman" w:hAnsi="Times New Roman" w:cs="Times New Roman"/>
          <w:sz w:val="24"/>
          <w:szCs w:val="24"/>
        </w:rPr>
        <w:t xml:space="preserve">Typically, monstrosity within the ancient world is examined in a mythological setting, monstrosity in this way places the monsters safely away from the author and reader by placing the danger or abnormality in a different age or location. Another more typical way to examine ancient literature in the ancient world is through the genre of geography, by placing these creatures at the periphery of the </w:t>
      </w:r>
      <w:r w:rsidR="00FE53B4" w:rsidRPr="00FE53B4">
        <w:rPr>
          <w:rFonts w:ascii="Times New Roman" w:hAnsi="Times New Roman" w:cs="Times New Roman"/>
          <w:i/>
          <w:sz w:val="24"/>
          <w:szCs w:val="24"/>
        </w:rPr>
        <w:t xml:space="preserve">Oikoumene, </w:t>
      </w:r>
      <w:r w:rsidR="00FE53B4" w:rsidRPr="00FE53B4">
        <w:rPr>
          <w:rFonts w:ascii="Times New Roman" w:hAnsi="Times New Roman" w:cs="Times New Roman"/>
          <w:sz w:val="24"/>
          <w:szCs w:val="24"/>
        </w:rPr>
        <w:t>the reader is thrilled by the possibility of such monsters but not terrified by the threat of them. By looking at Aristotle’s work with the lens of monstrosity, one can view a new and va</w:t>
      </w:r>
      <w:r w:rsidR="00C02D49">
        <w:rPr>
          <w:rFonts w:ascii="Times New Roman" w:hAnsi="Times New Roman" w:cs="Times New Roman"/>
          <w:sz w:val="24"/>
          <w:szCs w:val="24"/>
        </w:rPr>
        <w:t>ried definition of monstrosity as these monsters exist not in a different age or location but in Aristotle’s day. Monstrosity in Aristotle is really in relation to the problems of categorisation.</w:t>
      </w:r>
      <w:r w:rsidR="00C02D49">
        <w:rPr>
          <w:rStyle w:val="FootnoteReference"/>
          <w:rFonts w:ascii="Times New Roman" w:hAnsi="Times New Roman" w:cs="Times New Roman"/>
          <w:sz w:val="24"/>
          <w:szCs w:val="24"/>
        </w:rPr>
        <w:footnoteReference w:id="3"/>
      </w:r>
      <w:r w:rsidR="00C02D49">
        <w:rPr>
          <w:rFonts w:ascii="Times New Roman" w:hAnsi="Times New Roman" w:cs="Times New Roman"/>
          <w:sz w:val="24"/>
          <w:szCs w:val="24"/>
        </w:rPr>
        <w:t xml:space="preserve"> This is as a result of the definition of monstrosity changing, no longer as in Hesiod, a monster is more simply a creature with an excess of limbs, consisting of a multitude of different animals and having a vague non-humanity</w:t>
      </w:r>
      <w:r w:rsidR="009C5770">
        <w:rPr>
          <w:rFonts w:ascii="Times New Roman" w:hAnsi="Times New Roman" w:cs="Times New Roman"/>
          <w:sz w:val="24"/>
          <w:szCs w:val="24"/>
        </w:rPr>
        <w:t>, who threaten the world as in known and as is developing with violence</w:t>
      </w:r>
      <w:r w:rsidR="00C02D49">
        <w:rPr>
          <w:rFonts w:ascii="Times New Roman" w:hAnsi="Times New Roman" w:cs="Times New Roman"/>
          <w:sz w:val="24"/>
          <w:szCs w:val="24"/>
        </w:rPr>
        <w:t xml:space="preserve">. </w:t>
      </w:r>
      <w:r w:rsidR="009C5770">
        <w:rPr>
          <w:rFonts w:ascii="Times New Roman" w:hAnsi="Times New Roman" w:cs="Times New Roman"/>
          <w:sz w:val="24"/>
          <w:szCs w:val="24"/>
        </w:rPr>
        <w:t xml:space="preserve">The monsters in Aristotle feature more as a categorical error </w:t>
      </w:r>
      <w:r w:rsidR="00B549BF">
        <w:rPr>
          <w:rFonts w:ascii="Times New Roman" w:hAnsi="Times New Roman" w:cs="Times New Roman"/>
          <w:sz w:val="24"/>
          <w:szCs w:val="24"/>
        </w:rPr>
        <w:t xml:space="preserve">than a violent threat, but that is not to say that they do not pose a threat to the natural order of the world just in a more passive way. </w:t>
      </w:r>
      <w:r w:rsidR="00254E69">
        <w:rPr>
          <w:rFonts w:ascii="Times New Roman" w:hAnsi="Times New Roman" w:cs="Times New Roman"/>
          <w:sz w:val="24"/>
          <w:szCs w:val="24"/>
        </w:rPr>
        <w:t>The monsters are still monsters in a</w:t>
      </w:r>
      <w:r w:rsidR="00F9705C">
        <w:rPr>
          <w:rFonts w:ascii="Times New Roman" w:hAnsi="Times New Roman" w:cs="Times New Roman"/>
          <w:sz w:val="24"/>
          <w:szCs w:val="24"/>
        </w:rPr>
        <w:t>n</w:t>
      </w:r>
      <w:r w:rsidR="00254E69">
        <w:rPr>
          <w:rFonts w:ascii="Times New Roman" w:hAnsi="Times New Roman" w:cs="Times New Roman"/>
          <w:sz w:val="24"/>
          <w:szCs w:val="24"/>
        </w:rPr>
        <w:t xml:space="preserve"> ancient sense, their monstrosity is </w:t>
      </w:r>
      <w:r w:rsidR="00F9705C">
        <w:rPr>
          <w:rFonts w:ascii="Times New Roman" w:hAnsi="Times New Roman" w:cs="Times New Roman"/>
          <w:sz w:val="24"/>
          <w:szCs w:val="24"/>
        </w:rPr>
        <w:t xml:space="preserve">still </w:t>
      </w:r>
      <w:r w:rsidR="00254E69">
        <w:rPr>
          <w:rFonts w:ascii="Times New Roman" w:hAnsi="Times New Roman" w:cs="Times New Roman"/>
          <w:sz w:val="24"/>
          <w:szCs w:val="24"/>
        </w:rPr>
        <w:t xml:space="preserve">a physical manifestation rather than </w:t>
      </w:r>
      <w:r w:rsidR="00F9705C">
        <w:rPr>
          <w:rFonts w:ascii="Times New Roman" w:hAnsi="Times New Roman" w:cs="Times New Roman"/>
          <w:sz w:val="24"/>
          <w:szCs w:val="24"/>
        </w:rPr>
        <w:t xml:space="preserve">the </w:t>
      </w:r>
      <w:r w:rsidR="00254E69">
        <w:rPr>
          <w:rFonts w:ascii="Times New Roman" w:hAnsi="Times New Roman" w:cs="Times New Roman"/>
          <w:sz w:val="24"/>
          <w:szCs w:val="24"/>
        </w:rPr>
        <w:t xml:space="preserve">more modern </w:t>
      </w:r>
      <w:r w:rsidR="00F9705C">
        <w:rPr>
          <w:rFonts w:ascii="Times New Roman" w:hAnsi="Times New Roman" w:cs="Times New Roman"/>
          <w:sz w:val="24"/>
          <w:szCs w:val="24"/>
        </w:rPr>
        <w:t xml:space="preserve">take </w:t>
      </w:r>
      <w:r w:rsidR="00254E69">
        <w:rPr>
          <w:rFonts w:ascii="Times New Roman" w:hAnsi="Times New Roman" w:cs="Times New Roman"/>
          <w:sz w:val="24"/>
          <w:szCs w:val="24"/>
        </w:rPr>
        <w:t>of monstrous behaviour or actions.</w:t>
      </w:r>
      <w:r w:rsidR="00F9705C">
        <w:rPr>
          <w:rFonts w:ascii="Times New Roman" w:hAnsi="Times New Roman" w:cs="Times New Roman"/>
          <w:sz w:val="24"/>
          <w:szCs w:val="24"/>
        </w:rPr>
        <w:t xml:space="preserve"> </w:t>
      </w:r>
      <w:r w:rsidR="00F9705C">
        <w:rPr>
          <w:rFonts w:ascii="Times New Roman" w:hAnsi="Times New Roman" w:cs="Times New Roman"/>
          <w:i/>
          <w:sz w:val="24"/>
          <w:szCs w:val="24"/>
        </w:rPr>
        <w:t xml:space="preserve">Terata </w:t>
      </w:r>
      <w:r w:rsidR="00F9705C">
        <w:rPr>
          <w:rFonts w:ascii="Times New Roman" w:hAnsi="Times New Roman" w:cs="Times New Roman"/>
          <w:sz w:val="24"/>
          <w:szCs w:val="24"/>
        </w:rPr>
        <w:t xml:space="preserve">or </w:t>
      </w:r>
      <w:r w:rsidR="005C606B">
        <w:rPr>
          <w:rFonts w:ascii="Times New Roman" w:hAnsi="Times New Roman" w:cs="Times New Roman"/>
          <w:i/>
          <w:sz w:val="24"/>
          <w:szCs w:val="24"/>
        </w:rPr>
        <w:t xml:space="preserve">Teras </w:t>
      </w:r>
      <w:r w:rsidR="005C606B">
        <w:rPr>
          <w:rFonts w:ascii="Times New Roman" w:hAnsi="Times New Roman" w:cs="Times New Roman"/>
          <w:sz w:val="24"/>
          <w:szCs w:val="24"/>
        </w:rPr>
        <w:t xml:space="preserve">in </w:t>
      </w:r>
      <w:r w:rsidR="000D0F85">
        <w:rPr>
          <w:rFonts w:ascii="Times New Roman" w:hAnsi="Times New Roman" w:cs="Times New Roman"/>
          <w:sz w:val="24"/>
          <w:szCs w:val="24"/>
        </w:rPr>
        <w:t>Greek</w:t>
      </w:r>
      <w:r w:rsidR="005C606B">
        <w:rPr>
          <w:rFonts w:ascii="Times New Roman" w:hAnsi="Times New Roman" w:cs="Times New Roman"/>
          <w:sz w:val="24"/>
          <w:szCs w:val="24"/>
        </w:rPr>
        <w:t xml:space="preserve"> has associations with </w:t>
      </w:r>
      <w:r w:rsidR="00B75096">
        <w:rPr>
          <w:rFonts w:ascii="Times New Roman" w:hAnsi="Times New Roman" w:cs="Times New Roman"/>
          <w:sz w:val="24"/>
          <w:szCs w:val="24"/>
        </w:rPr>
        <w:t>‘wonder’, ‘marvel’, ‘signs’, but also with ‘nonsense’.</w:t>
      </w:r>
      <w:r w:rsidR="00B75096">
        <w:rPr>
          <w:rStyle w:val="FootnoteReference"/>
          <w:rFonts w:ascii="Times New Roman" w:hAnsi="Times New Roman" w:cs="Times New Roman"/>
          <w:sz w:val="24"/>
          <w:szCs w:val="24"/>
        </w:rPr>
        <w:footnoteReference w:id="4"/>
      </w:r>
      <w:r w:rsidR="00B75096">
        <w:rPr>
          <w:rFonts w:ascii="Times New Roman" w:hAnsi="Times New Roman" w:cs="Times New Roman"/>
          <w:sz w:val="24"/>
          <w:szCs w:val="24"/>
        </w:rPr>
        <w:t xml:space="preserve"> </w:t>
      </w:r>
      <w:r w:rsidR="00B75096">
        <w:rPr>
          <w:rFonts w:ascii="Times New Roman" w:hAnsi="Times New Roman" w:cs="Times New Roman"/>
          <w:i/>
          <w:sz w:val="24"/>
          <w:szCs w:val="24"/>
        </w:rPr>
        <w:t xml:space="preserve">Terata </w:t>
      </w:r>
      <w:r w:rsidR="00B75096">
        <w:rPr>
          <w:rFonts w:ascii="Times New Roman" w:hAnsi="Times New Roman" w:cs="Times New Roman"/>
          <w:sz w:val="24"/>
          <w:szCs w:val="24"/>
        </w:rPr>
        <w:t xml:space="preserve">is sometimes taken as ‘monster’ but in specific association with omens and religious significance. </w:t>
      </w:r>
      <w:r w:rsidR="00B52153">
        <w:rPr>
          <w:rFonts w:ascii="Times New Roman" w:hAnsi="Times New Roman" w:cs="Times New Roman"/>
          <w:sz w:val="24"/>
          <w:szCs w:val="24"/>
        </w:rPr>
        <w:t xml:space="preserve">In Aristotle, </w:t>
      </w:r>
      <w:r w:rsidR="00B52153">
        <w:rPr>
          <w:rFonts w:ascii="Times New Roman" w:hAnsi="Times New Roman" w:cs="Times New Roman"/>
          <w:i/>
          <w:sz w:val="24"/>
          <w:szCs w:val="24"/>
        </w:rPr>
        <w:t xml:space="preserve">terata </w:t>
      </w:r>
      <w:r w:rsidR="00B52153">
        <w:rPr>
          <w:rFonts w:ascii="Times New Roman" w:hAnsi="Times New Roman" w:cs="Times New Roman"/>
          <w:sz w:val="24"/>
          <w:szCs w:val="24"/>
        </w:rPr>
        <w:t xml:space="preserve">can be taken as a monster, in an attempt to fully understand the arguments of Aristotle surrounding reproduction. </w:t>
      </w:r>
      <w:r w:rsidR="00B52153">
        <w:rPr>
          <w:rFonts w:ascii="Times New Roman" w:hAnsi="Times New Roman" w:cs="Times New Roman"/>
          <w:i/>
          <w:sz w:val="24"/>
          <w:szCs w:val="24"/>
        </w:rPr>
        <w:t xml:space="preserve">Terata </w:t>
      </w:r>
      <w:r w:rsidR="00B52153">
        <w:rPr>
          <w:rFonts w:ascii="Times New Roman" w:hAnsi="Times New Roman" w:cs="Times New Roman"/>
          <w:sz w:val="24"/>
          <w:szCs w:val="24"/>
        </w:rPr>
        <w:t xml:space="preserve">can also count as monsters in the mundane sense, they are different from the norm, in a biological and zoological sense rather than a fantastical sense, but still pose a threat to the natural order of the organised universe. </w:t>
      </w:r>
    </w:p>
    <w:p w14:paraId="1EE7083C" w14:textId="16ACC04B" w:rsidR="00A839D1" w:rsidRDefault="00B75096">
      <w:pPr>
        <w:rPr>
          <w:rFonts w:ascii="Times New Roman" w:hAnsi="Times New Roman" w:cs="Times New Roman"/>
          <w:sz w:val="24"/>
          <w:szCs w:val="24"/>
        </w:rPr>
      </w:pPr>
      <w:r>
        <w:rPr>
          <w:rFonts w:ascii="Times New Roman" w:hAnsi="Times New Roman" w:cs="Times New Roman"/>
          <w:sz w:val="24"/>
          <w:szCs w:val="24"/>
        </w:rPr>
        <w:t>Cohen in his first thesis on monster theory</w:t>
      </w:r>
      <w:r w:rsidR="00B24F3E">
        <w:rPr>
          <w:rFonts w:ascii="Times New Roman" w:hAnsi="Times New Roman" w:cs="Times New Roman"/>
          <w:sz w:val="24"/>
          <w:szCs w:val="24"/>
        </w:rPr>
        <w:t xml:space="preserve"> </w:t>
      </w:r>
      <w:r>
        <w:rPr>
          <w:rFonts w:ascii="Times New Roman" w:hAnsi="Times New Roman" w:cs="Times New Roman"/>
          <w:sz w:val="24"/>
          <w:szCs w:val="24"/>
        </w:rPr>
        <w:t>focuses on the monster’s cultural body asserting that a monstrous body is at a crossroads, at once they are a construct and a projection.</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r w:rsidR="00FE5EB1">
        <w:rPr>
          <w:rFonts w:ascii="Times New Roman" w:hAnsi="Times New Roman" w:cs="Times New Roman"/>
          <w:sz w:val="24"/>
          <w:szCs w:val="24"/>
        </w:rPr>
        <w:t>In this specific assessment of the monstrous body, Cohen uses ‘</w:t>
      </w:r>
      <w:r w:rsidR="00FE5EB1">
        <w:rPr>
          <w:rFonts w:ascii="Times New Roman" w:hAnsi="Times New Roman" w:cs="Times New Roman"/>
          <w:i/>
          <w:sz w:val="24"/>
          <w:szCs w:val="24"/>
        </w:rPr>
        <w:t xml:space="preserve">monstrum’ </w:t>
      </w:r>
      <w:r w:rsidR="00FE5EB1">
        <w:rPr>
          <w:rFonts w:ascii="Times New Roman" w:hAnsi="Times New Roman" w:cs="Times New Roman"/>
          <w:sz w:val="24"/>
          <w:szCs w:val="24"/>
        </w:rPr>
        <w:t xml:space="preserve">to </w:t>
      </w:r>
      <w:r w:rsidR="00B24F3E">
        <w:rPr>
          <w:rFonts w:ascii="Times New Roman" w:hAnsi="Times New Roman" w:cs="Times New Roman"/>
          <w:sz w:val="24"/>
          <w:szCs w:val="24"/>
        </w:rPr>
        <w:t>argue that the monster only exists to be read, meaning the monster cannot and does not exist in the normal, natural world</w:t>
      </w:r>
      <w:r w:rsidR="00257732">
        <w:rPr>
          <w:rFonts w:ascii="Times New Roman" w:hAnsi="Times New Roman" w:cs="Times New Roman"/>
          <w:sz w:val="24"/>
          <w:szCs w:val="24"/>
        </w:rPr>
        <w:t xml:space="preserve">, also </w:t>
      </w:r>
      <w:r w:rsidR="00257732">
        <w:rPr>
          <w:rFonts w:ascii="Times New Roman" w:hAnsi="Times New Roman" w:cs="Times New Roman"/>
          <w:i/>
          <w:sz w:val="24"/>
          <w:szCs w:val="24"/>
        </w:rPr>
        <w:t xml:space="preserve">monstrum </w:t>
      </w:r>
      <w:r w:rsidR="00257732">
        <w:rPr>
          <w:rFonts w:ascii="Times New Roman" w:hAnsi="Times New Roman" w:cs="Times New Roman"/>
          <w:sz w:val="24"/>
          <w:szCs w:val="24"/>
        </w:rPr>
        <w:t xml:space="preserve">is Latin not </w:t>
      </w:r>
      <w:r w:rsidR="003D4376">
        <w:rPr>
          <w:rFonts w:ascii="Times New Roman" w:hAnsi="Times New Roman" w:cs="Times New Roman"/>
          <w:sz w:val="24"/>
          <w:szCs w:val="24"/>
        </w:rPr>
        <w:t>G</w:t>
      </w:r>
      <w:r w:rsidR="00257732">
        <w:rPr>
          <w:rFonts w:ascii="Times New Roman" w:hAnsi="Times New Roman" w:cs="Times New Roman"/>
          <w:sz w:val="24"/>
          <w:szCs w:val="24"/>
        </w:rPr>
        <w:t>reek, lending to perhaps a later idea of the monstrous</w:t>
      </w:r>
      <w:r w:rsidR="00B24F3E">
        <w:rPr>
          <w:rFonts w:ascii="Times New Roman" w:hAnsi="Times New Roman" w:cs="Times New Roman"/>
          <w:sz w:val="24"/>
          <w:szCs w:val="24"/>
        </w:rPr>
        <w:t>.</w:t>
      </w:r>
      <w:r w:rsidR="003D4376">
        <w:rPr>
          <w:rStyle w:val="FootnoteReference"/>
          <w:rFonts w:ascii="Times New Roman" w:hAnsi="Times New Roman" w:cs="Times New Roman"/>
          <w:sz w:val="24"/>
          <w:szCs w:val="24"/>
        </w:rPr>
        <w:footnoteReference w:id="6"/>
      </w:r>
      <w:r w:rsidR="00B24F3E">
        <w:rPr>
          <w:rFonts w:ascii="Times New Roman" w:hAnsi="Times New Roman" w:cs="Times New Roman"/>
          <w:sz w:val="24"/>
          <w:szCs w:val="24"/>
        </w:rPr>
        <w:t xml:space="preserve"> Etymologically, </w:t>
      </w:r>
      <w:r w:rsidR="00B24F3E">
        <w:rPr>
          <w:rFonts w:ascii="Times New Roman" w:hAnsi="Times New Roman" w:cs="Times New Roman"/>
          <w:i/>
          <w:sz w:val="24"/>
          <w:szCs w:val="24"/>
        </w:rPr>
        <w:t xml:space="preserve">monstrum </w:t>
      </w:r>
      <w:r w:rsidR="00B24F3E">
        <w:rPr>
          <w:rFonts w:ascii="Times New Roman" w:hAnsi="Times New Roman" w:cs="Times New Roman"/>
          <w:sz w:val="24"/>
          <w:szCs w:val="24"/>
        </w:rPr>
        <w:t>means “that which reveals” and “that which warns”, which Cohen takes as evidence for the inexplicability of a monster existing wholly in th</w:t>
      </w:r>
      <w:r w:rsidR="00EC1B15">
        <w:rPr>
          <w:rFonts w:ascii="Times New Roman" w:hAnsi="Times New Roman" w:cs="Times New Roman"/>
          <w:sz w:val="24"/>
          <w:szCs w:val="24"/>
        </w:rPr>
        <w:t>e natural world.</w:t>
      </w:r>
      <w:r w:rsidR="003D4376">
        <w:rPr>
          <w:rStyle w:val="FootnoteReference"/>
          <w:rFonts w:ascii="Times New Roman" w:hAnsi="Times New Roman" w:cs="Times New Roman"/>
          <w:sz w:val="24"/>
          <w:szCs w:val="24"/>
        </w:rPr>
        <w:footnoteReference w:id="7"/>
      </w:r>
      <w:r w:rsidR="00EC1B15">
        <w:rPr>
          <w:rFonts w:ascii="Times New Roman" w:hAnsi="Times New Roman" w:cs="Times New Roman"/>
          <w:sz w:val="24"/>
          <w:szCs w:val="24"/>
        </w:rPr>
        <w:t xml:space="preserve"> </w:t>
      </w:r>
      <w:r w:rsidR="00257732">
        <w:rPr>
          <w:rFonts w:ascii="Times New Roman" w:hAnsi="Times New Roman" w:cs="Times New Roman"/>
          <w:sz w:val="24"/>
          <w:szCs w:val="24"/>
        </w:rPr>
        <w:t xml:space="preserve">Cohen’s argument on the nature of monstrosity is clearly meant for a fictional or specifically </w:t>
      </w:r>
      <w:r w:rsidR="00257732">
        <w:rPr>
          <w:rFonts w:ascii="Times New Roman" w:hAnsi="Times New Roman" w:cs="Times New Roman"/>
          <w:sz w:val="24"/>
          <w:szCs w:val="24"/>
        </w:rPr>
        <w:lastRenderedPageBreak/>
        <w:t xml:space="preserve">mythological narrative and therefore requires to be placed outside of the possible. Aristotle’s use of monstrosity functions as a way to define differentiation as against the eternality of a species. By using </w:t>
      </w:r>
      <w:r w:rsidR="00257732" w:rsidRPr="00257732">
        <w:rPr>
          <w:rFonts w:ascii="Times New Roman" w:hAnsi="Times New Roman" w:cs="Times New Roman"/>
          <w:i/>
          <w:sz w:val="24"/>
          <w:szCs w:val="24"/>
        </w:rPr>
        <w:t>terata</w:t>
      </w:r>
      <w:r w:rsidR="00257732">
        <w:rPr>
          <w:rFonts w:ascii="Times New Roman" w:hAnsi="Times New Roman" w:cs="Times New Roman"/>
          <w:sz w:val="24"/>
          <w:szCs w:val="24"/>
        </w:rPr>
        <w:t xml:space="preserve"> </w:t>
      </w:r>
      <w:r w:rsidR="003D4376">
        <w:rPr>
          <w:rFonts w:ascii="Times New Roman" w:hAnsi="Times New Roman" w:cs="Times New Roman"/>
          <w:sz w:val="24"/>
          <w:szCs w:val="24"/>
        </w:rPr>
        <w:t xml:space="preserve">instead of a word similar to </w:t>
      </w:r>
      <w:r w:rsidR="003D4376">
        <w:rPr>
          <w:rFonts w:ascii="Times New Roman" w:hAnsi="Times New Roman" w:cs="Times New Roman"/>
          <w:i/>
          <w:sz w:val="24"/>
          <w:szCs w:val="24"/>
        </w:rPr>
        <w:t>monstrum</w:t>
      </w:r>
      <w:r w:rsidR="003D4376">
        <w:rPr>
          <w:rFonts w:ascii="Times New Roman" w:hAnsi="Times New Roman" w:cs="Times New Roman"/>
          <w:sz w:val="24"/>
          <w:szCs w:val="24"/>
        </w:rPr>
        <w:t>, Aristotle is shaping his work into a discussion on natural science and zoology rather than an exploration of the fantastical and mythological</w:t>
      </w:r>
      <w:r w:rsidR="0051661D">
        <w:rPr>
          <w:rFonts w:ascii="Times New Roman" w:hAnsi="Times New Roman" w:cs="Times New Roman"/>
          <w:sz w:val="24"/>
          <w:szCs w:val="24"/>
        </w:rPr>
        <w:t>. This supports Yartz’ argument that to Aristotle monsters were not just imaginary.</w:t>
      </w:r>
      <w:r w:rsidR="0051661D">
        <w:rPr>
          <w:rStyle w:val="FootnoteReference"/>
          <w:rFonts w:ascii="Times New Roman" w:hAnsi="Times New Roman" w:cs="Times New Roman"/>
          <w:sz w:val="24"/>
          <w:szCs w:val="24"/>
        </w:rPr>
        <w:footnoteReference w:id="8"/>
      </w:r>
    </w:p>
    <w:p w14:paraId="7F1B1049" w14:textId="59D8E5CC" w:rsidR="003D4376" w:rsidRDefault="003D4376">
      <w:pPr>
        <w:rPr>
          <w:rFonts w:ascii="Times New Roman" w:hAnsi="Times New Roman" w:cs="Times New Roman"/>
          <w:sz w:val="24"/>
          <w:szCs w:val="24"/>
        </w:rPr>
      </w:pPr>
      <w:r>
        <w:rPr>
          <w:rFonts w:ascii="Times New Roman" w:hAnsi="Times New Roman" w:cs="Times New Roman"/>
          <w:sz w:val="24"/>
          <w:szCs w:val="24"/>
        </w:rPr>
        <w:t>What sets Aristotle’s works apart from previous works on the natural sciences, is that he was the first to attempt a systematic categorisation of animals and a whole nature of things.</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This focus on categorisation is characteristic of Aristotle on the whole, </w:t>
      </w:r>
      <w:r w:rsidR="0051661D">
        <w:rPr>
          <w:rFonts w:ascii="Times New Roman" w:hAnsi="Times New Roman" w:cs="Times New Roman"/>
          <w:sz w:val="24"/>
          <w:szCs w:val="24"/>
        </w:rPr>
        <w:t>as he sought to separate natural science from other branches of philosophy such as logic and metaphysics.</w:t>
      </w:r>
      <w:r w:rsidR="0051661D">
        <w:rPr>
          <w:rStyle w:val="FootnoteReference"/>
          <w:rFonts w:ascii="Times New Roman" w:hAnsi="Times New Roman" w:cs="Times New Roman"/>
          <w:sz w:val="24"/>
          <w:szCs w:val="24"/>
        </w:rPr>
        <w:footnoteReference w:id="10"/>
      </w:r>
      <w:r w:rsidR="0051661D">
        <w:rPr>
          <w:rFonts w:ascii="Times New Roman" w:hAnsi="Times New Roman" w:cs="Times New Roman"/>
          <w:sz w:val="24"/>
          <w:szCs w:val="24"/>
        </w:rPr>
        <w:t xml:space="preserve"> Within mythology, monsters do not fit into categorisations easily, they can be animal, god and man all at once with “externally incoherent” bodies.</w:t>
      </w:r>
      <w:r w:rsidR="0051661D">
        <w:rPr>
          <w:rStyle w:val="FootnoteReference"/>
          <w:rFonts w:ascii="Times New Roman" w:hAnsi="Times New Roman" w:cs="Times New Roman"/>
          <w:sz w:val="24"/>
          <w:szCs w:val="24"/>
        </w:rPr>
        <w:footnoteReference w:id="11"/>
      </w:r>
      <w:r w:rsidR="0051661D">
        <w:rPr>
          <w:rFonts w:ascii="Times New Roman" w:hAnsi="Times New Roman" w:cs="Times New Roman"/>
          <w:sz w:val="24"/>
          <w:szCs w:val="24"/>
        </w:rPr>
        <w:t xml:space="preserve"> Which is why Cohen</w:t>
      </w:r>
      <w:r w:rsidR="008443CB">
        <w:rPr>
          <w:rFonts w:ascii="Times New Roman" w:hAnsi="Times New Roman" w:cs="Times New Roman"/>
          <w:sz w:val="24"/>
          <w:szCs w:val="24"/>
        </w:rPr>
        <w:t xml:space="preserve"> argues that they are dangerous, because they are not distinct enough to fit into set categorisations, and therefore “a form between forms that threatens to smash distinctions”.</w:t>
      </w:r>
      <w:r w:rsidR="008443CB">
        <w:rPr>
          <w:rStyle w:val="FootnoteReference"/>
          <w:rFonts w:ascii="Times New Roman" w:hAnsi="Times New Roman" w:cs="Times New Roman"/>
          <w:sz w:val="24"/>
          <w:szCs w:val="24"/>
        </w:rPr>
        <w:footnoteReference w:id="12"/>
      </w:r>
      <w:r w:rsidR="008443CB">
        <w:rPr>
          <w:rFonts w:ascii="Times New Roman" w:hAnsi="Times New Roman" w:cs="Times New Roman"/>
          <w:sz w:val="24"/>
          <w:szCs w:val="24"/>
        </w:rPr>
        <w:t xml:space="preserve"> This applies to Aristotle also, but Cohen argues that he failed in his goal to incorporate the “monstrous races” into his “coherent epistemological system” citing that the monstrous races still existed on the peripheries, perhaps not geographically but rather a “conceptual locus”.</w:t>
      </w:r>
      <w:r w:rsidR="00DA14B0">
        <w:rPr>
          <w:rStyle w:val="FootnoteReference"/>
          <w:rFonts w:ascii="Times New Roman" w:hAnsi="Times New Roman" w:cs="Times New Roman"/>
          <w:sz w:val="24"/>
          <w:szCs w:val="24"/>
        </w:rPr>
        <w:footnoteReference w:id="13"/>
      </w:r>
      <w:r w:rsidR="008443CB">
        <w:rPr>
          <w:rFonts w:ascii="Times New Roman" w:hAnsi="Times New Roman" w:cs="Times New Roman"/>
          <w:sz w:val="24"/>
          <w:szCs w:val="24"/>
        </w:rPr>
        <w:t xml:space="preserve"> </w:t>
      </w:r>
      <w:r w:rsidR="00623EF5">
        <w:rPr>
          <w:rFonts w:ascii="Times New Roman" w:hAnsi="Times New Roman" w:cs="Times New Roman"/>
          <w:sz w:val="24"/>
          <w:szCs w:val="24"/>
        </w:rPr>
        <w:t xml:space="preserve">Aristotle did not fail in this, but certainly he did not succeed as that was not his goal with the inclusion of monstrous races in the categorisation. They were included to demonstrate the difficulties of categorisation and the effect </w:t>
      </w:r>
      <w:r w:rsidR="00DA14B0">
        <w:rPr>
          <w:rFonts w:ascii="Times New Roman" w:hAnsi="Times New Roman" w:cs="Times New Roman"/>
          <w:sz w:val="24"/>
          <w:szCs w:val="24"/>
        </w:rPr>
        <w:t>that</w:t>
      </w:r>
      <w:r w:rsidR="00623EF5">
        <w:rPr>
          <w:rFonts w:ascii="Times New Roman" w:hAnsi="Times New Roman" w:cs="Times New Roman"/>
          <w:sz w:val="24"/>
          <w:szCs w:val="24"/>
        </w:rPr>
        <w:t xml:space="preserve"> these uncategorizable animals have on the created norm and the eternal nature of that, rather than viewing their inclusion as a way for Aristotle to solve the threat of monstrosity in some sort of mythological battle.</w:t>
      </w:r>
      <w:r w:rsidR="00DA14B0">
        <w:rPr>
          <w:rFonts w:ascii="Times New Roman" w:hAnsi="Times New Roman" w:cs="Times New Roman"/>
          <w:sz w:val="24"/>
          <w:szCs w:val="24"/>
        </w:rPr>
        <w:t xml:space="preserve"> </w:t>
      </w:r>
    </w:p>
    <w:p w14:paraId="70F49F7E" w14:textId="36279950" w:rsidR="00DA14B0" w:rsidRDefault="00DA14B0">
      <w:pPr>
        <w:rPr>
          <w:rFonts w:ascii="Times New Roman" w:hAnsi="Times New Roman" w:cs="Times New Roman"/>
          <w:sz w:val="24"/>
          <w:szCs w:val="24"/>
        </w:rPr>
      </w:pPr>
      <w:r>
        <w:rPr>
          <w:rFonts w:ascii="Times New Roman" w:hAnsi="Times New Roman" w:cs="Times New Roman"/>
          <w:sz w:val="24"/>
          <w:szCs w:val="24"/>
        </w:rPr>
        <w:t>Aristotle categorises animals by analogy, with the similarities being based on similar body types or general form, which is observational science.</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Aristotle details that seals in particular are between land-animals and water-animals, because they have feet which water-animals do not and they have fin like hind feet as</w:t>
      </w:r>
      <w:r w:rsidR="00820CC3">
        <w:rPr>
          <w:rFonts w:ascii="Times New Roman" w:hAnsi="Times New Roman" w:cs="Times New Roman"/>
          <w:sz w:val="24"/>
          <w:szCs w:val="24"/>
        </w:rPr>
        <w:t xml:space="preserve"> </w:t>
      </w:r>
      <w:r>
        <w:rPr>
          <w:rFonts w:ascii="Times New Roman" w:hAnsi="Times New Roman" w:cs="Times New Roman"/>
          <w:sz w:val="24"/>
          <w:szCs w:val="24"/>
        </w:rPr>
        <w:t>well as teeth that are sharp a</w:t>
      </w:r>
      <w:r w:rsidR="00820CC3">
        <w:rPr>
          <w:rFonts w:ascii="Times New Roman" w:hAnsi="Times New Roman" w:cs="Times New Roman"/>
          <w:sz w:val="24"/>
          <w:szCs w:val="24"/>
        </w:rPr>
        <w:t>nd interlocking which is not common of land-animals.</w:t>
      </w:r>
      <w:r w:rsidR="00820CC3">
        <w:rPr>
          <w:rStyle w:val="FootnoteReference"/>
          <w:rFonts w:ascii="Times New Roman" w:hAnsi="Times New Roman" w:cs="Times New Roman"/>
          <w:sz w:val="24"/>
          <w:szCs w:val="24"/>
        </w:rPr>
        <w:footnoteReference w:id="15"/>
      </w:r>
      <w:r w:rsidR="00820CC3">
        <w:rPr>
          <w:rFonts w:ascii="Times New Roman" w:hAnsi="Times New Roman" w:cs="Times New Roman"/>
          <w:sz w:val="24"/>
          <w:szCs w:val="24"/>
        </w:rPr>
        <w:t xml:space="preserve"> Of this, Aristotle argues that the seal can either be both water-animal or land-animal or neither, it cannot be securely placed into a set categorisation because of its differences or can it be completely excluded as a result of it similarities.</w:t>
      </w:r>
      <w:r w:rsidR="00820CC3">
        <w:rPr>
          <w:rStyle w:val="FootnoteReference"/>
          <w:rFonts w:ascii="Times New Roman" w:hAnsi="Times New Roman" w:cs="Times New Roman"/>
          <w:sz w:val="24"/>
          <w:szCs w:val="24"/>
        </w:rPr>
        <w:footnoteReference w:id="16"/>
      </w:r>
      <w:r w:rsidR="00820CC3">
        <w:rPr>
          <w:rFonts w:ascii="Times New Roman" w:hAnsi="Times New Roman" w:cs="Times New Roman"/>
          <w:sz w:val="24"/>
          <w:szCs w:val="24"/>
        </w:rPr>
        <w:t xml:space="preserve"> So therefore the seal has a monstrous difference, however, it is not an individual seal but the whole species of seal that defies categorisation so the seal cannot be classified as a </w:t>
      </w:r>
      <w:r w:rsidR="00820CC3">
        <w:rPr>
          <w:rFonts w:ascii="Times New Roman" w:hAnsi="Times New Roman" w:cs="Times New Roman"/>
          <w:i/>
          <w:sz w:val="24"/>
          <w:szCs w:val="24"/>
        </w:rPr>
        <w:t>terata</w:t>
      </w:r>
      <w:r w:rsidR="00820CC3">
        <w:rPr>
          <w:rFonts w:ascii="Times New Roman" w:hAnsi="Times New Roman" w:cs="Times New Roman"/>
          <w:sz w:val="24"/>
          <w:szCs w:val="24"/>
        </w:rPr>
        <w:t xml:space="preserve">, but must be a </w:t>
      </w:r>
      <w:r w:rsidR="00820CC3">
        <w:rPr>
          <w:rFonts w:ascii="Times New Roman" w:hAnsi="Times New Roman" w:cs="Times New Roman"/>
          <w:i/>
          <w:sz w:val="24"/>
          <w:szCs w:val="24"/>
        </w:rPr>
        <w:t xml:space="preserve">peroi. </w:t>
      </w:r>
      <w:r w:rsidR="00820CC3">
        <w:rPr>
          <w:rFonts w:ascii="Times New Roman" w:hAnsi="Times New Roman" w:cs="Times New Roman"/>
          <w:sz w:val="24"/>
          <w:szCs w:val="24"/>
        </w:rPr>
        <w:t xml:space="preserve">From the way in which Aristotle discusses individual monsters and whole monstrous races, it can be deduced that in the hierarchy of the natural world, </w:t>
      </w:r>
      <w:r w:rsidR="00412E0E">
        <w:rPr>
          <w:rFonts w:ascii="Times New Roman" w:hAnsi="Times New Roman" w:cs="Times New Roman"/>
          <w:sz w:val="24"/>
          <w:szCs w:val="24"/>
        </w:rPr>
        <w:t xml:space="preserve">Adult human males are at the top with </w:t>
      </w:r>
      <w:r w:rsidR="00412E0E">
        <w:rPr>
          <w:rFonts w:ascii="Times New Roman" w:hAnsi="Times New Roman" w:cs="Times New Roman"/>
          <w:i/>
          <w:sz w:val="24"/>
          <w:szCs w:val="24"/>
        </w:rPr>
        <w:t xml:space="preserve">peroi </w:t>
      </w:r>
      <w:r w:rsidR="00412E0E">
        <w:rPr>
          <w:rFonts w:ascii="Times New Roman" w:hAnsi="Times New Roman" w:cs="Times New Roman"/>
          <w:sz w:val="24"/>
          <w:szCs w:val="24"/>
        </w:rPr>
        <w:t xml:space="preserve">coming further down and the </w:t>
      </w:r>
      <w:r w:rsidR="00412E0E">
        <w:rPr>
          <w:rFonts w:ascii="Times New Roman" w:hAnsi="Times New Roman" w:cs="Times New Roman"/>
          <w:i/>
          <w:sz w:val="24"/>
          <w:szCs w:val="24"/>
        </w:rPr>
        <w:t xml:space="preserve">terata </w:t>
      </w:r>
      <w:r w:rsidR="00412E0E">
        <w:rPr>
          <w:rFonts w:ascii="Times New Roman" w:hAnsi="Times New Roman" w:cs="Times New Roman"/>
          <w:sz w:val="24"/>
          <w:szCs w:val="24"/>
        </w:rPr>
        <w:t xml:space="preserve">even further still. This is because whilst the monstrous races deify categorisation and </w:t>
      </w:r>
      <w:r w:rsidR="00412E0E">
        <w:rPr>
          <w:rFonts w:ascii="Times New Roman" w:hAnsi="Times New Roman" w:cs="Times New Roman"/>
          <w:sz w:val="24"/>
          <w:szCs w:val="24"/>
        </w:rPr>
        <w:lastRenderedPageBreak/>
        <w:t xml:space="preserve">differentiate from the ideal form, they are still the same as a group and species but the </w:t>
      </w:r>
      <w:r w:rsidR="00412E0E">
        <w:rPr>
          <w:rFonts w:ascii="Times New Roman" w:hAnsi="Times New Roman" w:cs="Times New Roman"/>
          <w:i/>
          <w:sz w:val="24"/>
          <w:szCs w:val="24"/>
        </w:rPr>
        <w:t xml:space="preserve">terata </w:t>
      </w:r>
      <w:r w:rsidR="00412E0E">
        <w:rPr>
          <w:rFonts w:ascii="Times New Roman" w:hAnsi="Times New Roman" w:cs="Times New Roman"/>
          <w:sz w:val="24"/>
          <w:szCs w:val="24"/>
        </w:rPr>
        <w:t>deviates from the ideal form as well as their own species as a whole.</w:t>
      </w:r>
      <w:r w:rsidR="009A125E">
        <w:rPr>
          <w:rFonts w:ascii="Times New Roman" w:hAnsi="Times New Roman" w:cs="Times New Roman"/>
          <w:sz w:val="24"/>
          <w:szCs w:val="24"/>
        </w:rPr>
        <w:t xml:space="preserve"> </w:t>
      </w:r>
    </w:p>
    <w:p w14:paraId="0D810BC5" w14:textId="5256D189" w:rsidR="00857308" w:rsidRDefault="009A125E">
      <w:pPr>
        <w:rPr>
          <w:rFonts w:ascii="Times New Roman" w:hAnsi="Times New Roman" w:cs="Times New Roman"/>
          <w:sz w:val="24"/>
          <w:szCs w:val="24"/>
        </w:rPr>
      </w:pPr>
      <w:r>
        <w:rPr>
          <w:rFonts w:ascii="Times New Roman" w:hAnsi="Times New Roman" w:cs="Times New Roman"/>
          <w:sz w:val="24"/>
          <w:szCs w:val="24"/>
        </w:rPr>
        <w:t xml:space="preserve">To understand the hierarchy of the natural world within Aristotle, first the idea of movement and reproduction must be addressed. </w:t>
      </w:r>
      <w:r w:rsidR="000414F9">
        <w:rPr>
          <w:rFonts w:ascii="Times New Roman" w:hAnsi="Times New Roman" w:cs="Times New Roman"/>
          <w:sz w:val="24"/>
          <w:szCs w:val="24"/>
        </w:rPr>
        <w:t xml:space="preserve">Aristotle argued for the idea of </w:t>
      </w:r>
      <w:r w:rsidR="000414F9">
        <w:rPr>
          <w:rFonts w:ascii="Times New Roman" w:hAnsi="Times New Roman" w:cs="Times New Roman"/>
          <w:i/>
          <w:sz w:val="24"/>
          <w:szCs w:val="24"/>
        </w:rPr>
        <w:t xml:space="preserve">kinesis </w:t>
      </w:r>
      <w:r w:rsidR="000414F9">
        <w:rPr>
          <w:rFonts w:ascii="Times New Roman" w:hAnsi="Times New Roman" w:cs="Times New Roman"/>
          <w:sz w:val="24"/>
          <w:szCs w:val="24"/>
        </w:rPr>
        <w:t>or movement in the process of the formation of a child, it transmits qualities and potential to the child from the ancestors.</w:t>
      </w:r>
      <w:r w:rsidR="000414F9">
        <w:rPr>
          <w:rStyle w:val="FootnoteReference"/>
          <w:rFonts w:ascii="Times New Roman" w:hAnsi="Times New Roman" w:cs="Times New Roman"/>
          <w:sz w:val="24"/>
          <w:szCs w:val="24"/>
        </w:rPr>
        <w:footnoteReference w:id="17"/>
      </w:r>
      <w:r w:rsidR="000414F9">
        <w:rPr>
          <w:rFonts w:ascii="Times New Roman" w:hAnsi="Times New Roman" w:cs="Times New Roman"/>
          <w:sz w:val="24"/>
          <w:szCs w:val="24"/>
        </w:rPr>
        <w:t xml:space="preserve"> The movement first comes from the father, if that fails, then from his father, in addition the female side has a movement alongside this which follows the same pattern if it fails, the movement has to be mastered for the child to have a familial resemblance.</w:t>
      </w:r>
      <w:r w:rsidR="000414F9">
        <w:rPr>
          <w:rStyle w:val="FootnoteReference"/>
          <w:rFonts w:ascii="Times New Roman" w:hAnsi="Times New Roman" w:cs="Times New Roman"/>
          <w:sz w:val="24"/>
          <w:szCs w:val="24"/>
        </w:rPr>
        <w:footnoteReference w:id="18"/>
      </w:r>
      <w:r w:rsidR="000414F9">
        <w:rPr>
          <w:rFonts w:ascii="Times New Roman" w:hAnsi="Times New Roman" w:cs="Times New Roman"/>
          <w:sz w:val="24"/>
          <w:szCs w:val="24"/>
        </w:rPr>
        <w:t xml:space="preserve"> It is in this resemblance that the monstrosity can occur, as Aristotle says “</w:t>
      </w:r>
      <w:r w:rsidR="00857308">
        <w:rPr>
          <w:rFonts w:ascii="Times New Roman" w:hAnsi="Times New Roman" w:cs="Times New Roman"/>
          <w:sz w:val="24"/>
          <w:szCs w:val="24"/>
        </w:rPr>
        <w:t>anyone who does not take after his parents is really in a way a monstrosity, since these cases Nature has in a way strayed from the generic type”.</w:t>
      </w:r>
      <w:r w:rsidR="000D2842">
        <w:rPr>
          <w:rStyle w:val="FootnoteReference"/>
          <w:rFonts w:ascii="Times New Roman" w:hAnsi="Times New Roman" w:cs="Times New Roman"/>
          <w:sz w:val="24"/>
          <w:szCs w:val="24"/>
        </w:rPr>
        <w:footnoteReference w:id="19"/>
      </w:r>
      <w:r w:rsidR="00857308">
        <w:rPr>
          <w:rFonts w:ascii="Times New Roman" w:hAnsi="Times New Roman" w:cs="Times New Roman"/>
          <w:sz w:val="24"/>
          <w:szCs w:val="24"/>
        </w:rPr>
        <w:t xml:space="preserve"> By asserting this, Aristotle creates then a scale, from the general ideal form, that of looking exactly like ones father, all the way to the completely monstrous, any and all deviations take one further to the monstrous side, with those who resemble on ancestor but still humans as a species, and those who do not resemble a human being at all being on the edge of the scale, with the latter being specifically named as monstrous.</w:t>
      </w:r>
      <w:r w:rsidR="000D2842">
        <w:rPr>
          <w:rStyle w:val="FootnoteReference"/>
          <w:rFonts w:ascii="Times New Roman" w:hAnsi="Times New Roman" w:cs="Times New Roman"/>
          <w:sz w:val="24"/>
          <w:szCs w:val="24"/>
        </w:rPr>
        <w:footnoteReference w:id="20"/>
      </w:r>
      <w:r w:rsidR="00857308">
        <w:rPr>
          <w:rFonts w:ascii="Times New Roman" w:hAnsi="Times New Roman" w:cs="Times New Roman"/>
          <w:sz w:val="24"/>
          <w:szCs w:val="24"/>
        </w:rPr>
        <w:t xml:space="preserve"> </w:t>
      </w:r>
      <w:r w:rsidR="000D2842">
        <w:rPr>
          <w:rFonts w:ascii="Times New Roman" w:hAnsi="Times New Roman" w:cs="Times New Roman"/>
          <w:sz w:val="24"/>
          <w:szCs w:val="24"/>
        </w:rPr>
        <w:t xml:space="preserve">Sowa argues Aristotle thought </w:t>
      </w:r>
      <w:r w:rsidR="005D697F">
        <w:rPr>
          <w:rFonts w:ascii="Times New Roman" w:hAnsi="Times New Roman" w:cs="Times New Roman"/>
          <w:sz w:val="24"/>
          <w:szCs w:val="24"/>
        </w:rPr>
        <w:t>a human could never been individually immortal, but that immortality came in the form of resembling your father exactly, physically and possessing the same qualities.</w:t>
      </w:r>
      <w:r w:rsidR="0050260F">
        <w:rPr>
          <w:rStyle w:val="FootnoteReference"/>
          <w:rFonts w:ascii="Times New Roman" w:hAnsi="Times New Roman" w:cs="Times New Roman"/>
          <w:sz w:val="24"/>
          <w:szCs w:val="24"/>
        </w:rPr>
        <w:footnoteReference w:id="21"/>
      </w:r>
      <w:r w:rsidR="005D697F">
        <w:rPr>
          <w:rFonts w:ascii="Times New Roman" w:hAnsi="Times New Roman" w:cs="Times New Roman"/>
          <w:sz w:val="24"/>
          <w:szCs w:val="24"/>
        </w:rPr>
        <w:t xml:space="preserve"> This is how </w:t>
      </w:r>
      <w:r w:rsidR="006936CF">
        <w:rPr>
          <w:rFonts w:ascii="Times New Roman" w:hAnsi="Times New Roman" w:cs="Times New Roman"/>
          <w:sz w:val="24"/>
          <w:szCs w:val="24"/>
        </w:rPr>
        <w:t xml:space="preserve">a species can be eternal, and also how they should be, any deviation from this is a threat to the eternal nature of a species and this is how monstrosity is a threat in the natural world. </w:t>
      </w:r>
    </w:p>
    <w:p w14:paraId="1F0BB4FC" w14:textId="2B232C8D" w:rsidR="0050260F" w:rsidRPr="00CF5E15" w:rsidRDefault="0050260F">
      <w:pPr>
        <w:rPr>
          <w:rFonts w:ascii="Times New Roman" w:hAnsi="Times New Roman" w:cs="Times New Roman"/>
          <w:sz w:val="24"/>
          <w:szCs w:val="24"/>
        </w:rPr>
      </w:pPr>
      <w:r>
        <w:rPr>
          <w:rFonts w:ascii="Times New Roman" w:hAnsi="Times New Roman" w:cs="Times New Roman"/>
          <w:sz w:val="24"/>
          <w:szCs w:val="24"/>
        </w:rPr>
        <w:t xml:space="preserve">The difference between </w:t>
      </w:r>
      <w:r w:rsidR="00562888">
        <w:rPr>
          <w:rFonts w:ascii="Times New Roman" w:hAnsi="Times New Roman" w:cs="Times New Roman"/>
          <w:sz w:val="24"/>
          <w:szCs w:val="24"/>
        </w:rPr>
        <w:t xml:space="preserve">the genders is often discussed in relation to the </w:t>
      </w:r>
      <w:r w:rsidR="00562888">
        <w:rPr>
          <w:rFonts w:ascii="Times New Roman" w:hAnsi="Times New Roman" w:cs="Times New Roman"/>
          <w:i/>
          <w:sz w:val="24"/>
          <w:szCs w:val="24"/>
        </w:rPr>
        <w:t xml:space="preserve">Generation of Animals </w:t>
      </w:r>
      <w:r w:rsidR="00562888">
        <w:rPr>
          <w:rFonts w:ascii="Times New Roman" w:hAnsi="Times New Roman" w:cs="Times New Roman"/>
          <w:sz w:val="24"/>
          <w:szCs w:val="24"/>
        </w:rPr>
        <w:t>and it is traditionally thought Aristotle asserts that women are monstrous because they can never achieve the ideal form, that of their father, because of their gender.</w:t>
      </w:r>
      <w:r w:rsidR="00562888">
        <w:rPr>
          <w:rStyle w:val="FootnoteReference"/>
          <w:rFonts w:ascii="Times New Roman" w:hAnsi="Times New Roman" w:cs="Times New Roman"/>
          <w:sz w:val="24"/>
          <w:szCs w:val="24"/>
        </w:rPr>
        <w:footnoteReference w:id="22"/>
      </w:r>
      <w:r w:rsidR="00562888">
        <w:rPr>
          <w:rFonts w:ascii="Times New Roman" w:hAnsi="Times New Roman" w:cs="Times New Roman"/>
          <w:sz w:val="24"/>
          <w:szCs w:val="24"/>
        </w:rPr>
        <w:t xml:space="preserve"> Similarly, it is traditionally thought Aristotle overstates the importance of males in the reproduction whilst devaluating the role of the female, as a result of the ideal form of looking like the father. </w:t>
      </w:r>
      <w:r w:rsidR="00CF5E15">
        <w:rPr>
          <w:rFonts w:ascii="Times New Roman" w:hAnsi="Times New Roman" w:cs="Times New Roman"/>
          <w:sz w:val="24"/>
          <w:szCs w:val="24"/>
        </w:rPr>
        <w:t>Aristotle states the difference between the two genders the strength of the source of their natural heats, because women are much colder, this also has an effect on reproduction, and this source is the heart. This is why Aristotle famously states that women are disabled forms of the male, Henry argues that women are colder, not in the form of being cold to the touch but as “defined in terms of the relative capacity of a thing to do work, in this case effect concoction”.</w:t>
      </w:r>
      <w:r w:rsidR="00CF5E15">
        <w:rPr>
          <w:rStyle w:val="FootnoteReference"/>
          <w:rFonts w:ascii="Times New Roman" w:hAnsi="Times New Roman" w:cs="Times New Roman"/>
          <w:sz w:val="24"/>
          <w:szCs w:val="24"/>
        </w:rPr>
        <w:footnoteReference w:id="23"/>
      </w:r>
      <w:r w:rsidR="00CF5E15">
        <w:rPr>
          <w:rFonts w:ascii="Times New Roman" w:hAnsi="Times New Roman" w:cs="Times New Roman"/>
          <w:sz w:val="24"/>
          <w:szCs w:val="24"/>
        </w:rPr>
        <w:t xml:space="preserve"> Henry further argues on the nature of the treatment of the sexes and proves that whilst women are treated unfairly and differently in the </w:t>
      </w:r>
      <w:r w:rsidR="00CF5E15">
        <w:rPr>
          <w:rFonts w:ascii="Times New Roman" w:hAnsi="Times New Roman" w:cs="Times New Roman"/>
          <w:i/>
          <w:sz w:val="24"/>
          <w:szCs w:val="24"/>
        </w:rPr>
        <w:t>Generation of Animals</w:t>
      </w:r>
      <w:r w:rsidR="00CF5E15" w:rsidRPr="00CF5E15">
        <w:rPr>
          <w:rFonts w:ascii="Times New Roman" w:hAnsi="Times New Roman" w:cs="Times New Roman"/>
          <w:sz w:val="24"/>
          <w:szCs w:val="24"/>
        </w:rPr>
        <w:t>, it is not as deeply sexist as once was thought.</w:t>
      </w:r>
      <w:r w:rsidR="00187BDC">
        <w:rPr>
          <w:rStyle w:val="FootnoteReference"/>
          <w:rFonts w:ascii="Times New Roman" w:hAnsi="Times New Roman" w:cs="Times New Roman"/>
          <w:sz w:val="24"/>
          <w:szCs w:val="24"/>
        </w:rPr>
        <w:footnoteReference w:id="24"/>
      </w:r>
      <w:r w:rsidR="00CF5E15" w:rsidRPr="00CF5E15">
        <w:rPr>
          <w:rFonts w:ascii="Times New Roman" w:hAnsi="Times New Roman" w:cs="Times New Roman"/>
          <w:sz w:val="24"/>
          <w:szCs w:val="24"/>
        </w:rPr>
        <w:t xml:space="preserve"> However, for the purpose of this study it is still true that </w:t>
      </w:r>
      <w:r w:rsidR="00CF5E15">
        <w:rPr>
          <w:rFonts w:ascii="Times New Roman" w:hAnsi="Times New Roman" w:cs="Times New Roman"/>
          <w:sz w:val="24"/>
          <w:szCs w:val="24"/>
        </w:rPr>
        <w:t xml:space="preserve">the </w:t>
      </w:r>
      <w:r w:rsidR="00187BDC">
        <w:rPr>
          <w:rFonts w:ascii="Times New Roman" w:hAnsi="Times New Roman" w:cs="Times New Roman"/>
          <w:sz w:val="24"/>
          <w:szCs w:val="24"/>
        </w:rPr>
        <w:t xml:space="preserve">treatment of women within this work sets them apart and makes them different from the men, so women like seals end up as a form of </w:t>
      </w:r>
      <w:r w:rsidR="00187BDC">
        <w:rPr>
          <w:rFonts w:ascii="Times New Roman" w:hAnsi="Times New Roman" w:cs="Times New Roman"/>
          <w:i/>
          <w:sz w:val="24"/>
          <w:szCs w:val="24"/>
        </w:rPr>
        <w:t xml:space="preserve">peroi, </w:t>
      </w:r>
      <w:r w:rsidR="00187BDC">
        <w:rPr>
          <w:rFonts w:ascii="Times New Roman" w:hAnsi="Times New Roman" w:cs="Times New Roman"/>
          <w:sz w:val="24"/>
          <w:szCs w:val="24"/>
        </w:rPr>
        <w:t>not completely monstrous but differentiating from the true teleological form and goal.</w:t>
      </w:r>
      <w:r w:rsidR="00187BDC">
        <w:rPr>
          <w:rStyle w:val="FootnoteReference"/>
          <w:rFonts w:ascii="Times New Roman" w:hAnsi="Times New Roman" w:cs="Times New Roman"/>
          <w:sz w:val="24"/>
          <w:szCs w:val="24"/>
        </w:rPr>
        <w:footnoteReference w:id="25"/>
      </w:r>
      <w:r w:rsidR="00187BDC">
        <w:rPr>
          <w:rFonts w:ascii="Times New Roman" w:hAnsi="Times New Roman" w:cs="Times New Roman"/>
          <w:sz w:val="24"/>
          <w:szCs w:val="24"/>
        </w:rPr>
        <w:t xml:space="preserve"> </w:t>
      </w:r>
    </w:p>
    <w:p w14:paraId="67B15E31" w14:textId="7EB00E36" w:rsidR="0050260F" w:rsidRPr="0050260F" w:rsidRDefault="0050260F">
      <w:pPr>
        <w:rPr>
          <w:rFonts w:ascii="Times New Roman" w:hAnsi="Times New Roman" w:cs="Times New Roman"/>
          <w:sz w:val="24"/>
          <w:szCs w:val="24"/>
        </w:rPr>
      </w:pPr>
      <w:r>
        <w:rPr>
          <w:rFonts w:ascii="Times New Roman" w:hAnsi="Times New Roman" w:cs="Times New Roman"/>
          <w:sz w:val="24"/>
          <w:szCs w:val="24"/>
        </w:rPr>
        <w:lastRenderedPageBreak/>
        <w:t xml:space="preserve">This being said, </w:t>
      </w:r>
      <w:r>
        <w:rPr>
          <w:rFonts w:ascii="Times New Roman" w:hAnsi="Times New Roman" w:cs="Times New Roman"/>
          <w:i/>
          <w:sz w:val="24"/>
          <w:szCs w:val="24"/>
        </w:rPr>
        <w:t xml:space="preserve">terata </w:t>
      </w:r>
      <w:r>
        <w:rPr>
          <w:rFonts w:ascii="Times New Roman" w:hAnsi="Times New Roman" w:cs="Times New Roman"/>
          <w:sz w:val="24"/>
          <w:szCs w:val="24"/>
        </w:rPr>
        <w:t xml:space="preserve">in Aristotle does not just mean a disability. </w:t>
      </w:r>
      <w:r w:rsidRPr="0050260F">
        <w:rPr>
          <w:rFonts w:ascii="Times New Roman" w:hAnsi="Times New Roman" w:cs="Times New Roman"/>
          <w:i/>
          <w:sz w:val="24"/>
          <w:szCs w:val="24"/>
        </w:rPr>
        <w:t>Asthéneia</w:t>
      </w:r>
      <w:r>
        <w:rPr>
          <w:rFonts w:ascii="Times New Roman" w:hAnsi="Times New Roman" w:cs="Times New Roman"/>
          <w:i/>
          <w:sz w:val="24"/>
          <w:szCs w:val="24"/>
        </w:rPr>
        <w:t xml:space="preserve"> </w:t>
      </w:r>
      <w:r>
        <w:rPr>
          <w:rFonts w:ascii="Times New Roman" w:hAnsi="Times New Roman" w:cs="Times New Roman"/>
          <w:sz w:val="24"/>
          <w:szCs w:val="24"/>
        </w:rPr>
        <w:t>is taken to mean vaguely disability or more generally ‘weakness’.</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Disability in the ancient world often be seen as a punishment from the gods or a physical manifestation of a bad c</w:t>
      </w:r>
      <w:r w:rsidR="00187BDC">
        <w:rPr>
          <w:rFonts w:ascii="Times New Roman" w:hAnsi="Times New Roman" w:cs="Times New Roman"/>
          <w:sz w:val="24"/>
          <w:szCs w:val="24"/>
        </w:rPr>
        <w:t xml:space="preserve">haracter. Physically disabled people held a form of entertainment value that meant that they were regarded as divine signs, this is referred to by de Libero as </w:t>
      </w:r>
      <w:r w:rsidR="00187BDC">
        <w:rPr>
          <w:rFonts w:ascii="Times New Roman" w:hAnsi="Times New Roman" w:cs="Times New Roman"/>
          <w:i/>
          <w:sz w:val="24"/>
          <w:szCs w:val="24"/>
        </w:rPr>
        <w:t xml:space="preserve">terata. Terata </w:t>
      </w:r>
      <w:r w:rsidR="00187BDC">
        <w:rPr>
          <w:rFonts w:ascii="Times New Roman" w:hAnsi="Times New Roman" w:cs="Times New Roman"/>
          <w:sz w:val="24"/>
          <w:szCs w:val="24"/>
        </w:rPr>
        <w:t xml:space="preserve">is not a term for the physically disabled, but when the physically disabled are linked to the divine through associations with signs or punishments it can come to mean </w:t>
      </w:r>
      <w:r w:rsidR="00187BDC">
        <w:rPr>
          <w:rFonts w:ascii="Times New Roman" w:hAnsi="Times New Roman" w:cs="Times New Roman"/>
          <w:i/>
          <w:sz w:val="24"/>
          <w:szCs w:val="24"/>
        </w:rPr>
        <w:t>terata.</w:t>
      </w:r>
      <w:r w:rsidR="00187BDC">
        <w:rPr>
          <w:rStyle w:val="FootnoteReference"/>
          <w:rFonts w:ascii="Times New Roman" w:hAnsi="Times New Roman" w:cs="Times New Roman"/>
          <w:i/>
          <w:sz w:val="24"/>
          <w:szCs w:val="24"/>
        </w:rPr>
        <w:footnoteReference w:id="27"/>
      </w:r>
      <w:r w:rsidR="00187BDC">
        <w:rPr>
          <w:rFonts w:ascii="Times New Roman" w:hAnsi="Times New Roman" w:cs="Times New Roman"/>
          <w:i/>
          <w:sz w:val="24"/>
          <w:szCs w:val="24"/>
        </w:rPr>
        <w:t xml:space="preserve"> </w:t>
      </w:r>
      <w:r w:rsidR="00187BDC">
        <w:rPr>
          <w:rFonts w:ascii="Times New Roman" w:hAnsi="Times New Roman" w:cs="Times New Roman"/>
          <w:sz w:val="24"/>
          <w:szCs w:val="24"/>
        </w:rPr>
        <w:t xml:space="preserve">Whilst there is no major mention of the divine in Aristotle’s works on biology, it is still important as it creates different classifications of the disabled and the monstrous. </w:t>
      </w:r>
    </w:p>
    <w:p w14:paraId="003F2C68" w14:textId="65981BC6" w:rsidR="0050260F" w:rsidRPr="00020B04" w:rsidRDefault="00FF4304">
      <w:pPr>
        <w:rPr>
          <w:rFonts w:ascii="Times New Roman" w:hAnsi="Times New Roman" w:cs="Times New Roman"/>
          <w:i/>
          <w:sz w:val="24"/>
          <w:szCs w:val="24"/>
        </w:rPr>
      </w:pPr>
      <w:r>
        <w:rPr>
          <w:rFonts w:ascii="Times New Roman" w:hAnsi="Times New Roman" w:cs="Times New Roman"/>
          <w:sz w:val="24"/>
          <w:szCs w:val="24"/>
        </w:rPr>
        <w:t>Yartz discusses the idea of causation and explanation with in Aristotle’s natural works in relation to monsters, for if Aristotle did not discuss this Yartz said it would not be reminiscent of his philosophy.</w:t>
      </w:r>
      <w:r w:rsidR="00F86373">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w:t>
      </w:r>
      <w:r w:rsidR="00F86373">
        <w:rPr>
          <w:rFonts w:ascii="Times New Roman" w:hAnsi="Times New Roman" w:cs="Times New Roman"/>
          <w:sz w:val="24"/>
          <w:szCs w:val="24"/>
        </w:rPr>
        <w:t xml:space="preserve">It is important to discuss this as if monsters are created accidentally then there must be an aspect of chaos, uncertainty, and randomness at play within the ordered and natural universe. For accidents to happen, especially reproduction, a change must occur. In Aristotle for the change to occur it must admit “to potentiality for change”, without it there simply is no change, change is not made by not-being, but potentiality comes from not-being, so therefore potency is the indeterminacy that creates </w:t>
      </w:r>
      <w:r w:rsidR="00585F39">
        <w:rPr>
          <w:rFonts w:ascii="Times New Roman" w:hAnsi="Times New Roman" w:cs="Times New Roman"/>
          <w:sz w:val="24"/>
          <w:szCs w:val="24"/>
        </w:rPr>
        <w:t>a monster</w:t>
      </w:r>
      <w:r w:rsidR="00F86373">
        <w:rPr>
          <w:rFonts w:ascii="Times New Roman" w:hAnsi="Times New Roman" w:cs="Times New Roman"/>
          <w:sz w:val="24"/>
          <w:szCs w:val="24"/>
        </w:rPr>
        <w:t xml:space="preserve"> by changing the original form.</w:t>
      </w:r>
      <w:r w:rsidR="00F86373">
        <w:rPr>
          <w:rStyle w:val="FootnoteReference"/>
          <w:rFonts w:ascii="Times New Roman" w:hAnsi="Times New Roman" w:cs="Times New Roman"/>
          <w:sz w:val="24"/>
          <w:szCs w:val="24"/>
        </w:rPr>
        <w:footnoteReference w:id="29"/>
      </w:r>
      <w:r w:rsidR="00585F39">
        <w:rPr>
          <w:rFonts w:ascii="Times New Roman" w:hAnsi="Times New Roman" w:cs="Times New Roman"/>
          <w:sz w:val="24"/>
          <w:szCs w:val="24"/>
        </w:rPr>
        <w:t xml:space="preserve"> Having potency act as an indeterminacy gives causation and explanation to the possibility of things not happening as they usually do.</w:t>
      </w:r>
      <w:r w:rsidR="00585F39">
        <w:rPr>
          <w:rStyle w:val="FootnoteReference"/>
          <w:rFonts w:ascii="Times New Roman" w:hAnsi="Times New Roman" w:cs="Times New Roman"/>
          <w:sz w:val="24"/>
          <w:szCs w:val="24"/>
        </w:rPr>
        <w:footnoteReference w:id="30"/>
      </w:r>
      <w:r w:rsidR="00585F39">
        <w:rPr>
          <w:rFonts w:ascii="Times New Roman" w:hAnsi="Times New Roman" w:cs="Times New Roman"/>
          <w:sz w:val="24"/>
          <w:szCs w:val="24"/>
        </w:rPr>
        <w:t xml:space="preserve"> This indeterminacy in the causation of these changes to be labelled as </w:t>
      </w:r>
      <w:r w:rsidR="00585F39">
        <w:rPr>
          <w:rFonts w:ascii="Times New Roman" w:hAnsi="Times New Roman" w:cs="Times New Roman"/>
          <w:i/>
          <w:sz w:val="24"/>
          <w:szCs w:val="24"/>
        </w:rPr>
        <w:t xml:space="preserve">terata </w:t>
      </w:r>
      <w:r w:rsidR="00585F39">
        <w:rPr>
          <w:rFonts w:ascii="Times New Roman" w:hAnsi="Times New Roman" w:cs="Times New Roman"/>
          <w:sz w:val="24"/>
          <w:szCs w:val="24"/>
        </w:rPr>
        <w:t>as a result of their marvellous yet nonsensical natures.</w:t>
      </w:r>
      <w:r w:rsidR="00020B04">
        <w:rPr>
          <w:rFonts w:ascii="Times New Roman" w:hAnsi="Times New Roman" w:cs="Times New Roman"/>
          <w:sz w:val="24"/>
          <w:szCs w:val="24"/>
        </w:rPr>
        <w:t xml:space="preserve"> The chaotic and confusing nature of the causation of monsters furthers the fears surrounding </w:t>
      </w:r>
      <w:r w:rsidR="00020B04">
        <w:rPr>
          <w:rFonts w:ascii="Times New Roman" w:hAnsi="Times New Roman" w:cs="Times New Roman"/>
          <w:i/>
          <w:sz w:val="24"/>
          <w:szCs w:val="24"/>
        </w:rPr>
        <w:t xml:space="preserve">terata </w:t>
      </w:r>
      <w:r w:rsidR="00020B04">
        <w:rPr>
          <w:rFonts w:ascii="Times New Roman" w:hAnsi="Times New Roman" w:cs="Times New Roman"/>
          <w:sz w:val="24"/>
          <w:szCs w:val="24"/>
        </w:rPr>
        <w:t>permanently changing or effecting the eternal and constant nature of a species within Aristotle.</w:t>
      </w:r>
    </w:p>
    <w:p w14:paraId="022DD3D5" w14:textId="65887122" w:rsidR="00B52153" w:rsidRDefault="001535B6">
      <w:pPr>
        <w:rPr>
          <w:rFonts w:ascii="Times New Roman" w:hAnsi="Times New Roman" w:cs="Times New Roman"/>
          <w:sz w:val="24"/>
          <w:szCs w:val="24"/>
        </w:rPr>
      </w:pPr>
      <w:r>
        <w:rPr>
          <w:rFonts w:ascii="Times New Roman" w:hAnsi="Times New Roman" w:cs="Times New Roman"/>
          <w:sz w:val="24"/>
          <w:szCs w:val="24"/>
        </w:rPr>
        <w:t xml:space="preserve">In conclusion, the biggest threat in Aristotle’s </w:t>
      </w:r>
      <w:r>
        <w:rPr>
          <w:rFonts w:ascii="Times New Roman" w:hAnsi="Times New Roman" w:cs="Times New Roman"/>
          <w:i/>
          <w:sz w:val="24"/>
          <w:szCs w:val="24"/>
        </w:rPr>
        <w:t xml:space="preserve">Generation of Animals </w:t>
      </w:r>
      <w:r>
        <w:rPr>
          <w:rFonts w:ascii="Times New Roman" w:hAnsi="Times New Roman" w:cs="Times New Roman"/>
          <w:sz w:val="24"/>
          <w:szCs w:val="24"/>
        </w:rPr>
        <w:t xml:space="preserve">is that which cannot be categorised. Mainly, these uncategorizable creatures become </w:t>
      </w:r>
      <w:r>
        <w:rPr>
          <w:rFonts w:ascii="Times New Roman" w:hAnsi="Times New Roman" w:cs="Times New Roman"/>
          <w:i/>
          <w:sz w:val="24"/>
          <w:szCs w:val="24"/>
        </w:rPr>
        <w:t xml:space="preserve">peroi </w:t>
      </w:r>
      <w:r>
        <w:rPr>
          <w:rFonts w:ascii="Times New Roman" w:hAnsi="Times New Roman" w:cs="Times New Roman"/>
          <w:sz w:val="24"/>
          <w:szCs w:val="24"/>
        </w:rPr>
        <w:t xml:space="preserve">in account of an entire species cannot deviate from the species form. They are </w:t>
      </w:r>
      <w:r>
        <w:rPr>
          <w:rFonts w:ascii="Times New Roman" w:hAnsi="Times New Roman" w:cs="Times New Roman"/>
          <w:i/>
          <w:sz w:val="24"/>
          <w:szCs w:val="24"/>
        </w:rPr>
        <w:t xml:space="preserve">Peroi </w:t>
      </w:r>
      <w:r>
        <w:rPr>
          <w:rFonts w:ascii="Times New Roman" w:hAnsi="Times New Roman" w:cs="Times New Roman"/>
          <w:sz w:val="24"/>
          <w:szCs w:val="24"/>
        </w:rPr>
        <w:t xml:space="preserve">in the fact that they either cannot be wholly categorised, like seals, or that they have as a sub-group deviate from the norm on mass, like women not being men. </w:t>
      </w:r>
      <w:r w:rsidR="00591D92">
        <w:rPr>
          <w:rFonts w:ascii="Times New Roman" w:hAnsi="Times New Roman" w:cs="Times New Roman"/>
          <w:sz w:val="24"/>
          <w:szCs w:val="24"/>
        </w:rPr>
        <w:t xml:space="preserve">The individuals within their own species who differ however minor or substantial, take on the role of </w:t>
      </w:r>
      <w:r w:rsidR="00591D92">
        <w:rPr>
          <w:rFonts w:ascii="Times New Roman" w:hAnsi="Times New Roman" w:cs="Times New Roman"/>
          <w:i/>
          <w:sz w:val="24"/>
          <w:szCs w:val="24"/>
        </w:rPr>
        <w:t xml:space="preserve">terata, </w:t>
      </w:r>
      <w:r w:rsidR="00591D92">
        <w:rPr>
          <w:rFonts w:ascii="Times New Roman" w:hAnsi="Times New Roman" w:cs="Times New Roman"/>
          <w:sz w:val="24"/>
          <w:szCs w:val="24"/>
        </w:rPr>
        <w:t xml:space="preserve">like a man who still looks human but resembles none of his ancestors. This overtly-mundanity of the classifications to monsters is what differentiates discussions of monsters in </w:t>
      </w:r>
      <w:r w:rsidR="000A54CA">
        <w:rPr>
          <w:rFonts w:ascii="Times New Roman" w:hAnsi="Times New Roman" w:cs="Times New Roman"/>
          <w:sz w:val="24"/>
          <w:szCs w:val="24"/>
        </w:rPr>
        <w:t xml:space="preserve">Aristotle’s natural science work to mythological and fictional explorations of ancient monstrosity. </w:t>
      </w:r>
      <w:r w:rsidR="00020B04">
        <w:rPr>
          <w:rFonts w:ascii="Times New Roman" w:hAnsi="Times New Roman" w:cs="Times New Roman"/>
          <w:sz w:val="24"/>
          <w:szCs w:val="24"/>
        </w:rPr>
        <w:t xml:space="preserve">The changes within a </w:t>
      </w:r>
      <w:r w:rsidR="00020B04">
        <w:rPr>
          <w:rFonts w:ascii="Times New Roman" w:hAnsi="Times New Roman" w:cs="Times New Roman"/>
          <w:i/>
          <w:sz w:val="24"/>
          <w:szCs w:val="24"/>
        </w:rPr>
        <w:t xml:space="preserve">terata </w:t>
      </w:r>
      <w:r w:rsidR="00020B04">
        <w:rPr>
          <w:rFonts w:ascii="Times New Roman" w:hAnsi="Times New Roman" w:cs="Times New Roman"/>
          <w:sz w:val="24"/>
          <w:szCs w:val="24"/>
        </w:rPr>
        <w:t xml:space="preserve">to a species or genealogical line as a result of the potency and further indeterminacy threaten the whole natural world, as a result of their unpredictability and their change to the eternality of a species. </w:t>
      </w:r>
      <w:bookmarkStart w:id="0" w:name="_GoBack"/>
      <w:bookmarkEnd w:id="0"/>
    </w:p>
    <w:p w14:paraId="50EF3212" w14:textId="6575D908" w:rsidR="00A839D1" w:rsidRDefault="00A839D1">
      <w:pPr>
        <w:rPr>
          <w:rFonts w:ascii="Times New Roman" w:hAnsi="Times New Roman" w:cs="Times New Roman"/>
          <w:sz w:val="24"/>
          <w:szCs w:val="24"/>
        </w:rPr>
      </w:pPr>
    </w:p>
    <w:p w14:paraId="44BB59D2" w14:textId="77777777" w:rsidR="001535B6" w:rsidRDefault="001535B6" w:rsidP="001535B6">
      <w:pPr>
        <w:rPr>
          <w:rFonts w:ascii="Times New Roman" w:hAnsi="Times New Roman" w:cs="Times New Roman"/>
          <w:sz w:val="24"/>
          <w:szCs w:val="24"/>
        </w:rPr>
      </w:pPr>
    </w:p>
    <w:p w14:paraId="2823008A" w14:textId="77777777" w:rsidR="0055221C" w:rsidRDefault="0055221C" w:rsidP="001535B6">
      <w:pPr>
        <w:rPr>
          <w:rFonts w:ascii="Times New Roman" w:hAnsi="Times New Roman" w:cs="Times New Roman"/>
          <w:sz w:val="24"/>
          <w:szCs w:val="24"/>
          <w:u w:val="single"/>
        </w:rPr>
      </w:pPr>
    </w:p>
    <w:p w14:paraId="58AEB886" w14:textId="11A954B3" w:rsidR="001535B6" w:rsidRPr="00C418ED" w:rsidRDefault="001535B6" w:rsidP="001535B6">
      <w:pPr>
        <w:rPr>
          <w:rFonts w:ascii="Times New Roman" w:hAnsi="Times New Roman" w:cs="Times New Roman"/>
          <w:sz w:val="24"/>
          <w:szCs w:val="24"/>
          <w:u w:val="single"/>
        </w:rPr>
      </w:pPr>
      <w:r w:rsidRPr="00C418ED">
        <w:rPr>
          <w:rFonts w:ascii="Times New Roman" w:hAnsi="Times New Roman" w:cs="Times New Roman"/>
          <w:sz w:val="24"/>
          <w:szCs w:val="24"/>
          <w:u w:val="single"/>
        </w:rPr>
        <w:lastRenderedPageBreak/>
        <w:t>Bibliography:</w:t>
      </w:r>
    </w:p>
    <w:p w14:paraId="41E9D74E" w14:textId="77777777" w:rsidR="001535B6" w:rsidRPr="00C418ED" w:rsidRDefault="001535B6" w:rsidP="001535B6">
      <w:pPr>
        <w:rPr>
          <w:rFonts w:ascii="Times New Roman" w:hAnsi="Times New Roman" w:cs="Times New Roman"/>
          <w:sz w:val="24"/>
          <w:szCs w:val="24"/>
          <w:u w:val="single"/>
        </w:rPr>
      </w:pPr>
      <w:r w:rsidRPr="00C418ED">
        <w:rPr>
          <w:rFonts w:ascii="Times New Roman" w:hAnsi="Times New Roman" w:cs="Times New Roman"/>
          <w:sz w:val="24"/>
          <w:szCs w:val="24"/>
          <w:u w:val="single"/>
        </w:rPr>
        <w:t>Ancient Sources:</w:t>
      </w:r>
    </w:p>
    <w:p w14:paraId="42F59105" w14:textId="77777777" w:rsidR="001535B6" w:rsidRDefault="001535B6" w:rsidP="001535B6">
      <w:pPr>
        <w:rPr>
          <w:rFonts w:ascii="Times New Roman" w:hAnsi="Times New Roman" w:cs="Times New Roman"/>
          <w:sz w:val="24"/>
          <w:szCs w:val="24"/>
        </w:rPr>
      </w:pPr>
      <w:r>
        <w:rPr>
          <w:rFonts w:ascii="Times New Roman" w:hAnsi="Times New Roman" w:cs="Times New Roman"/>
          <w:sz w:val="24"/>
          <w:szCs w:val="24"/>
        </w:rPr>
        <w:t xml:space="preserve">Aristotle, </w:t>
      </w:r>
      <w:r>
        <w:rPr>
          <w:rFonts w:ascii="Times New Roman" w:hAnsi="Times New Roman" w:cs="Times New Roman"/>
          <w:i/>
          <w:sz w:val="24"/>
          <w:szCs w:val="24"/>
        </w:rPr>
        <w:t xml:space="preserve">Generation of Animals. </w:t>
      </w:r>
      <w:r>
        <w:rPr>
          <w:rFonts w:ascii="Times New Roman" w:hAnsi="Times New Roman" w:cs="Times New Roman"/>
          <w:sz w:val="24"/>
          <w:szCs w:val="24"/>
        </w:rPr>
        <w:t xml:space="preserve">A. L. Peck (trans.). 1942. Massachusetts: Harvard University Press. </w:t>
      </w:r>
    </w:p>
    <w:p w14:paraId="61C943CE" w14:textId="77777777" w:rsidR="001535B6" w:rsidRDefault="001535B6" w:rsidP="001535B6">
      <w:pPr>
        <w:rPr>
          <w:rFonts w:ascii="Times New Roman" w:hAnsi="Times New Roman" w:cs="Times New Roman"/>
          <w:sz w:val="24"/>
          <w:szCs w:val="24"/>
        </w:rPr>
      </w:pPr>
      <w:r>
        <w:rPr>
          <w:rFonts w:ascii="Times New Roman" w:hAnsi="Times New Roman" w:cs="Times New Roman"/>
          <w:sz w:val="24"/>
          <w:szCs w:val="24"/>
        </w:rPr>
        <w:t xml:space="preserve">Aristotle, </w:t>
      </w:r>
      <w:r>
        <w:rPr>
          <w:rFonts w:ascii="Times New Roman" w:hAnsi="Times New Roman" w:cs="Times New Roman"/>
          <w:i/>
          <w:sz w:val="24"/>
          <w:szCs w:val="24"/>
        </w:rPr>
        <w:t xml:space="preserve">Parts of Animals. </w:t>
      </w:r>
      <w:r>
        <w:rPr>
          <w:rFonts w:ascii="Times New Roman" w:hAnsi="Times New Roman" w:cs="Times New Roman"/>
          <w:sz w:val="24"/>
          <w:szCs w:val="24"/>
        </w:rPr>
        <w:t xml:space="preserve">A. L. Peck (trans.). 1937. Massachusetts: Harvard University Press. </w:t>
      </w:r>
    </w:p>
    <w:p w14:paraId="013B319F" w14:textId="77777777" w:rsidR="001535B6" w:rsidRDefault="001535B6" w:rsidP="001535B6">
      <w:pPr>
        <w:rPr>
          <w:rFonts w:ascii="Times New Roman" w:hAnsi="Times New Roman" w:cs="Times New Roman"/>
          <w:sz w:val="24"/>
          <w:szCs w:val="24"/>
        </w:rPr>
      </w:pPr>
    </w:p>
    <w:p w14:paraId="56EB56EF" w14:textId="77777777" w:rsidR="001535B6" w:rsidRPr="00C418ED" w:rsidRDefault="001535B6" w:rsidP="001535B6">
      <w:pPr>
        <w:rPr>
          <w:rFonts w:ascii="Times New Roman" w:hAnsi="Times New Roman" w:cs="Times New Roman"/>
          <w:sz w:val="24"/>
          <w:szCs w:val="24"/>
          <w:u w:val="single"/>
        </w:rPr>
      </w:pPr>
      <w:r w:rsidRPr="00C418ED">
        <w:rPr>
          <w:rFonts w:ascii="Times New Roman" w:hAnsi="Times New Roman" w:cs="Times New Roman"/>
          <w:sz w:val="24"/>
          <w:szCs w:val="24"/>
          <w:u w:val="single"/>
        </w:rPr>
        <w:t>Modern Scholarship:</w:t>
      </w:r>
    </w:p>
    <w:p w14:paraId="1D72F52E" w14:textId="77777777" w:rsidR="001535B6" w:rsidRDefault="001535B6" w:rsidP="001535B6">
      <w:pPr>
        <w:jc w:val="both"/>
        <w:rPr>
          <w:rFonts w:ascii="Times New Roman" w:hAnsi="Times New Roman" w:cs="Times New Roman"/>
          <w:sz w:val="24"/>
          <w:szCs w:val="24"/>
        </w:rPr>
      </w:pPr>
      <w:r>
        <w:rPr>
          <w:rFonts w:ascii="Times New Roman" w:hAnsi="Times New Roman" w:cs="Times New Roman"/>
          <w:sz w:val="24"/>
          <w:szCs w:val="24"/>
        </w:rPr>
        <w:t xml:space="preserve">De Libero, L. “Disablity” 2006. Brill’s New Pauly. </w:t>
      </w:r>
    </w:p>
    <w:p w14:paraId="5E34A94B" w14:textId="77777777" w:rsidR="001535B6" w:rsidRDefault="001535B6" w:rsidP="001535B6">
      <w:pPr>
        <w:jc w:val="both"/>
        <w:rPr>
          <w:rFonts w:ascii="Times New Roman" w:hAnsi="Times New Roman" w:cs="Times New Roman"/>
          <w:sz w:val="24"/>
          <w:szCs w:val="24"/>
        </w:rPr>
      </w:pPr>
      <w:r w:rsidRPr="00214AC1">
        <w:rPr>
          <w:rFonts w:ascii="Times New Roman" w:hAnsi="Times New Roman" w:cs="Times New Roman"/>
          <w:sz w:val="24"/>
          <w:szCs w:val="24"/>
        </w:rPr>
        <w:t>http://referenceworks.brillonline.com.ezproxy.uwtsd.ac.uk/entries/brill-s-new-pauly/disability-e12220260?s.num=4&amp;s.q=terata</w:t>
      </w:r>
      <w:r>
        <w:rPr>
          <w:rFonts w:ascii="Times New Roman" w:hAnsi="Times New Roman" w:cs="Times New Roman"/>
          <w:sz w:val="24"/>
          <w:szCs w:val="24"/>
        </w:rPr>
        <w:t xml:space="preserve"> [Accessed: 19</w:t>
      </w:r>
      <w:r w:rsidRPr="00214AC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254F9C4E" w14:textId="77777777" w:rsidR="001535B6" w:rsidRPr="00C418ED" w:rsidRDefault="001535B6" w:rsidP="001535B6">
      <w:pPr>
        <w:jc w:val="both"/>
        <w:rPr>
          <w:rFonts w:ascii="Times New Roman" w:hAnsi="Times New Roman" w:cs="Times New Roman"/>
          <w:sz w:val="24"/>
          <w:szCs w:val="24"/>
        </w:rPr>
      </w:pPr>
      <w:r>
        <w:rPr>
          <w:rFonts w:ascii="Times New Roman" w:hAnsi="Times New Roman" w:cs="Times New Roman"/>
          <w:sz w:val="24"/>
          <w:szCs w:val="24"/>
        </w:rPr>
        <w:t>Henry. D. M. 2007. ‘</w:t>
      </w:r>
      <w:r w:rsidRPr="00C418ED">
        <w:rPr>
          <w:rFonts w:ascii="Times New Roman" w:hAnsi="Times New Roman" w:cs="Times New Roman"/>
          <w:sz w:val="24"/>
          <w:szCs w:val="24"/>
        </w:rPr>
        <w:t>How Sexist Is Aristotle's Developmental Biology?</w:t>
      </w:r>
      <w:r>
        <w:rPr>
          <w:rFonts w:ascii="Times New Roman" w:hAnsi="Times New Roman" w:cs="Times New Roman"/>
          <w:sz w:val="24"/>
          <w:szCs w:val="24"/>
        </w:rPr>
        <w:t xml:space="preserve">’, </w:t>
      </w:r>
      <w:r w:rsidRPr="00C418ED">
        <w:rPr>
          <w:rFonts w:ascii="Times New Roman" w:hAnsi="Times New Roman" w:cs="Times New Roman"/>
          <w:i/>
          <w:sz w:val="24"/>
          <w:szCs w:val="24"/>
        </w:rPr>
        <w:t>Phronesis</w:t>
      </w:r>
      <w:r>
        <w:rPr>
          <w:rFonts w:ascii="Times New Roman" w:hAnsi="Times New Roman" w:cs="Times New Roman"/>
          <w:i/>
          <w:sz w:val="24"/>
          <w:szCs w:val="24"/>
        </w:rPr>
        <w:t xml:space="preserve">, </w:t>
      </w:r>
      <w:r>
        <w:rPr>
          <w:rFonts w:ascii="Times New Roman" w:hAnsi="Times New Roman" w:cs="Times New Roman"/>
          <w:sz w:val="24"/>
          <w:szCs w:val="24"/>
        </w:rPr>
        <w:t xml:space="preserve">Vol. 52, No. 3, </w:t>
      </w:r>
      <w:r w:rsidRPr="00C418ED">
        <w:rPr>
          <w:rFonts w:ascii="Times New Roman" w:hAnsi="Times New Roman" w:cs="Times New Roman"/>
          <w:sz w:val="24"/>
          <w:szCs w:val="24"/>
        </w:rPr>
        <w:t>251-269</w:t>
      </w:r>
    </w:p>
    <w:p w14:paraId="7A2C320D" w14:textId="77777777" w:rsidR="001535B6" w:rsidRDefault="001535B6" w:rsidP="001535B6">
      <w:pPr>
        <w:jc w:val="both"/>
        <w:rPr>
          <w:rFonts w:ascii="Times New Roman" w:hAnsi="Times New Roman" w:cs="Times New Roman"/>
          <w:sz w:val="24"/>
          <w:szCs w:val="24"/>
        </w:rPr>
      </w:pPr>
      <w:r>
        <w:rPr>
          <w:rFonts w:ascii="Times New Roman" w:hAnsi="Times New Roman" w:cs="Times New Roman"/>
          <w:sz w:val="24"/>
          <w:szCs w:val="24"/>
        </w:rPr>
        <w:t xml:space="preserve">Hoppe, B. “Zoology” 2006. Brill’s New Pauly </w:t>
      </w:r>
    </w:p>
    <w:p w14:paraId="0C891523" w14:textId="77777777" w:rsidR="001535B6" w:rsidRDefault="001535B6" w:rsidP="001535B6">
      <w:pPr>
        <w:jc w:val="both"/>
        <w:rPr>
          <w:rFonts w:ascii="Times New Roman" w:hAnsi="Times New Roman" w:cs="Times New Roman"/>
          <w:sz w:val="24"/>
          <w:szCs w:val="24"/>
        </w:rPr>
      </w:pPr>
      <w:r w:rsidRPr="00214AC1">
        <w:rPr>
          <w:rFonts w:ascii="Times New Roman" w:hAnsi="Times New Roman" w:cs="Times New Roman"/>
          <w:sz w:val="24"/>
          <w:szCs w:val="24"/>
        </w:rPr>
        <w:t>http://referenceworks.brillonline.com.ezproxy.uwtsd.ac.uk/entries/brill-s-new-pauly/zoology-ct-e15311040?s.num=1&amp;s.q=aristotle+monsters</w:t>
      </w:r>
      <w:r>
        <w:rPr>
          <w:rFonts w:ascii="Times New Roman" w:hAnsi="Times New Roman" w:cs="Times New Roman"/>
          <w:sz w:val="24"/>
          <w:szCs w:val="24"/>
        </w:rPr>
        <w:t xml:space="preserve"> [Accessed: 19</w:t>
      </w:r>
      <w:r w:rsidRPr="00214AC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14:paraId="01FC8F4C" w14:textId="77777777" w:rsidR="001535B6" w:rsidRDefault="001535B6" w:rsidP="001535B6">
      <w:pPr>
        <w:jc w:val="both"/>
        <w:rPr>
          <w:rFonts w:ascii="Times New Roman" w:hAnsi="Times New Roman" w:cs="Times New Roman"/>
          <w:sz w:val="24"/>
          <w:szCs w:val="24"/>
        </w:rPr>
      </w:pPr>
      <w:r>
        <w:rPr>
          <w:rFonts w:ascii="Times New Roman" w:hAnsi="Times New Roman" w:cs="Times New Roman"/>
          <w:sz w:val="24"/>
          <w:szCs w:val="24"/>
        </w:rPr>
        <w:t xml:space="preserve">Sowa, J. 2016. ‘When does a man beget a monster? (Aristotle De Generatione Animalium)’. </w:t>
      </w:r>
      <w:r>
        <w:rPr>
          <w:rFonts w:ascii="Times New Roman" w:hAnsi="Times New Roman" w:cs="Times New Roman"/>
          <w:i/>
          <w:sz w:val="24"/>
          <w:szCs w:val="24"/>
        </w:rPr>
        <w:t xml:space="preserve">Collectanea Philologica, </w:t>
      </w:r>
      <w:r>
        <w:rPr>
          <w:rFonts w:ascii="Times New Roman" w:hAnsi="Times New Roman" w:cs="Times New Roman"/>
          <w:sz w:val="24"/>
          <w:szCs w:val="24"/>
        </w:rPr>
        <w:t>Vol.19, 5-13</w:t>
      </w:r>
    </w:p>
    <w:p w14:paraId="51121732" w14:textId="77777777" w:rsidR="001535B6" w:rsidRDefault="001535B6" w:rsidP="001535B6">
      <w:pPr>
        <w:rPr>
          <w:rFonts w:ascii="Times New Roman" w:hAnsi="Times New Roman" w:cs="Times New Roman"/>
          <w:sz w:val="24"/>
          <w:szCs w:val="24"/>
        </w:rPr>
      </w:pPr>
      <w:r>
        <w:rPr>
          <w:rFonts w:ascii="Times New Roman" w:hAnsi="Times New Roman" w:cs="Times New Roman"/>
          <w:sz w:val="24"/>
          <w:szCs w:val="24"/>
        </w:rPr>
        <w:t xml:space="preserve">Yartz, F.J. 1997. ‘Aristotle on monsters’, </w:t>
      </w:r>
      <w:r>
        <w:rPr>
          <w:rFonts w:ascii="Times New Roman" w:hAnsi="Times New Roman" w:cs="Times New Roman"/>
          <w:i/>
          <w:sz w:val="24"/>
          <w:szCs w:val="24"/>
        </w:rPr>
        <w:t xml:space="preserve">The Ancient World, </w:t>
      </w:r>
      <w:r>
        <w:rPr>
          <w:rFonts w:ascii="Times New Roman" w:hAnsi="Times New Roman" w:cs="Times New Roman"/>
          <w:sz w:val="24"/>
          <w:szCs w:val="24"/>
        </w:rPr>
        <w:t>Vol.28, Issue 1, 67-72</w:t>
      </w:r>
    </w:p>
    <w:p w14:paraId="7513EF3B" w14:textId="77777777" w:rsidR="001535B6" w:rsidRPr="00FE53B4" w:rsidRDefault="001535B6">
      <w:pPr>
        <w:rPr>
          <w:rFonts w:ascii="Times New Roman" w:hAnsi="Times New Roman" w:cs="Times New Roman"/>
          <w:sz w:val="24"/>
          <w:szCs w:val="24"/>
        </w:rPr>
      </w:pPr>
    </w:p>
    <w:sectPr w:rsidR="001535B6" w:rsidRPr="00FE53B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3DBD95" w14:textId="77777777" w:rsidR="005C5D75" w:rsidRDefault="005C5D75" w:rsidP="00FE53B4">
      <w:pPr>
        <w:spacing w:after="0" w:line="240" w:lineRule="auto"/>
      </w:pPr>
      <w:r>
        <w:separator/>
      </w:r>
    </w:p>
  </w:endnote>
  <w:endnote w:type="continuationSeparator" w:id="0">
    <w:p w14:paraId="5D984F08" w14:textId="77777777" w:rsidR="005C5D75" w:rsidRDefault="005C5D75" w:rsidP="00FE5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F177C2" w14:textId="77777777" w:rsidR="005C5D75" w:rsidRDefault="005C5D75" w:rsidP="00FE53B4">
      <w:pPr>
        <w:spacing w:after="0" w:line="240" w:lineRule="auto"/>
      </w:pPr>
      <w:r>
        <w:separator/>
      </w:r>
    </w:p>
  </w:footnote>
  <w:footnote w:type="continuationSeparator" w:id="0">
    <w:p w14:paraId="2B8E6579" w14:textId="77777777" w:rsidR="005C5D75" w:rsidRDefault="005C5D75" w:rsidP="00FE53B4">
      <w:pPr>
        <w:spacing w:after="0" w:line="240" w:lineRule="auto"/>
      </w:pPr>
      <w:r>
        <w:continuationSeparator/>
      </w:r>
    </w:p>
  </w:footnote>
  <w:footnote w:id="1">
    <w:p w14:paraId="03CBF541" w14:textId="168CF485" w:rsidR="005C5D75" w:rsidRDefault="005C5D75">
      <w:pPr>
        <w:pStyle w:val="FootnoteText"/>
      </w:pPr>
      <w:r>
        <w:rPr>
          <w:rStyle w:val="FootnoteReference"/>
        </w:rPr>
        <w:footnoteRef/>
      </w:r>
      <w:r>
        <w:t xml:space="preserve"> Cohen 1996: 4, 7, 12</w:t>
      </w:r>
    </w:p>
  </w:footnote>
  <w:footnote w:id="2">
    <w:p w14:paraId="30C7C5A7" w14:textId="6AB39FFF" w:rsidR="005C5D75" w:rsidRDefault="005C5D75">
      <w:pPr>
        <w:pStyle w:val="FootnoteText"/>
      </w:pPr>
      <w:r>
        <w:rPr>
          <w:rStyle w:val="FootnoteReference"/>
        </w:rPr>
        <w:footnoteRef/>
      </w:r>
      <w:r>
        <w:t xml:space="preserve"> Cohen 1996: 4</w:t>
      </w:r>
    </w:p>
  </w:footnote>
  <w:footnote w:id="3">
    <w:p w14:paraId="4963685E" w14:textId="1A1154AD" w:rsidR="005C5D75" w:rsidRDefault="005C5D75">
      <w:pPr>
        <w:pStyle w:val="FootnoteText"/>
      </w:pPr>
      <w:r>
        <w:rPr>
          <w:rStyle w:val="FootnoteReference"/>
        </w:rPr>
        <w:footnoteRef/>
      </w:r>
      <w:r>
        <w:t xml:space="preserve"> Yartz 1997: 67</w:t>
      </w:r>
    </w:p>
  </w:footnote>
  <w:footnote w:id="4">
    <w:p w14:paraId="3EA27432" w14:textId="5BF7DA6F" w:rsidR="005C5D75" w:rsidRDefault="005C5D75">
      <w:pPr>
        <w:pStyle w:val="FootnoteText"/>
      </w:pPr>
      <w:r>
        <w:rPr>
          <w:rStyle w:val="FootnoteReference"/>
        </w:rPr>
        <w:footnoteRef/>
      </w:r>
      <w:r>
        <w:t xml:space="preserve"> Yartz 1997: 67</w:t>
      </w:r>
    </w:p>
  </w:footnote>
  <w:footnote w:id="5">
    <w:p w14:paraId="16DDD36C" w14:textId="4122734F" w:rsidR="005C5D75" w:rsidRDefault="005C5D75">
      <w:pPr>
        <w:pStyle w:val="FootnoteText"/>
      </w:pPr>
      <w:r>
        <w:rPr>
          <w:rStyle w:val="FootnoteReference"/>
        </w:rPr>
        <w:footnoteRef/>
      </w:r>
      <w:r>
        <w:t xml:space="preserve"> Cohen 1996: 4</w:t>
      </w:r>
    </w:p>
  </w:footnote>
  <w:footnote w:id="6">
    <w:p w14:paraId="2A737777" w14:textId="7C181361" w:rsidR="005C5D75" w:rsidRDefault="005C5D75">
      <w:pPr>
        <w:pStyle w:val="FootnoteText"/>
      </w:pPr>
      <w:r>
        <w:rPr>
          <w:rStyle w:val="FootnoteReference"/>
        </w:rPr>
        <w:footnoteRef/>
      </w:r>
      <w:r>
        <w:t xml:space="preserve"> Cohen 1996: 4</w:t>
      </w:r>
    </w:p>
  </w:footnote>
  <w:footnote w:id="7">
    <w:p w14:paraId="1E180FF5" w14:textId="0EED2DC5" w:rsidR="005C5D75" w:rsidRDefault="005C5D75">
      <w:pPr>
        <w:pStyle w:val="FootnoteText"/>
      </w:pPr>
      <w:r>
        <w:rPr>
          <w:rStyle w:val="FootnoteReference"/>
        </w:rPr>
        <w:footnoteRef/>
      </w:r>
      <w:r>
        <w:t xml:space="preserve"> Cohen 1996: 4</w:t>
      </w:r>
    </w:p>
  </w:footnote>
  <w:footnote w:id="8">
    <w:p w14:paraId="7C59B73D" w14:textId="18FC6382" w:rsidR="005C5D75" w:rsidRDefault="005C5D75">
      <w:pPr>
        <w:pStyle w:val="FootnoteText"/>
      </w:pPr>
      <w:r>
        <w:rPr>
          <w:rStyle w:val="FootnoteReference"/>
        </w:rPr>
        <w:footnoteRef/>
      </w:r>
      <w:r>
        <w:rPr>
          <w:rStyle w:val="FootnoteReference"/>
        </w:rPr>
        <w:footnoteRef/>
      </w:r>
      <w:r>
        <w:t xml:space="preserve"> Yartz 1997: 67</w:t>
      </w:r>
    </w:p>
  </w:footnote>
  <w:footnote w:id="9">
    <w:p w14:paraId="43F2FAFB" w14:textId="5B4ED43C" w:rsidR="005C5D75" w:rsidRDefault="005C5D75">
      <w:pPr>
        <w:pStyle w:val="FootnoteText"/>
      </w:pPr>
      <w:r>
        <w:rPr>
          <w:rStyle w:val="FootnoteReference"/>
        </w:rPr>
        <w:footnoteRef/>
      </w:r>
      <w:r>
        <w:t xml:space="preserve"> Hoppe 2006</w:t>
      </w:r>
    </w:p>
  </w:footnote>
  <w:footnote w:id="10">
    <w:p w14:paraId="5CC76E0B" w14:textId="35FFD40D" w:rsidR="005C5D75" w:rsidRDefault="005C5D75">
      <w:pPr>
        <w:pStyle w:val="FootnoteText"/>
      </w:pPr>
      <w:r>
        <w:rPr>
          <w:rStyle w:val="FootnoteReference"/>
        </w:rPr>
        <w:footnoteRef/>
      </w:r>
      <w:r>
        <w:t xml:space="preserve"> Hoppe 2006</w:t>
      </w:r>
    </w:p>
  </w:footnote>
  <w:footnote w:id="11">
    <w:p w14:paraId="249F0464" w14:textId="175AE113" w:rsidR="005C5D75" w:rsidRDefault="005C5D75">
      <w:pPr>
        <w:pStyle w:val="FootnoteText"/>
      </w:pPr>
      <w:r>
        <w:rPr>
          <w:rStyle w:val="FootnoteReference"/>
        </w:rPr>
        <w:footnoteRef/>
      </w:r>
      <w:r>
        <w:t xml:space="preserve"> Cohen 1996: 6</w:t>
      </w:r>
    </w:p>
  </w:footnote>
  <w:footnote w:id="12">
    <w:p w14:paraId="2D44E03C" w14:textId="51A38C9D" w:rsidR="005C5D75" w:rsidRDefault="005C5D75">
      <w:pPr>
        <w:pStyle w:val="FootnoteText"/>
      </w:pPr>
      <w:r>
        <w:rPr>
          <w:rStyle w:val="FootnoteReference"/>
        </w:rPr>
        <w:footnoteRef/>
      </w:r>
      <w:r>
        <w:t xml:space="preserve"> Cohen 1996: 6</w:t>
      </w:r>
    </w:p>
  </w:footnote>
  <w:footnote w:id="13">
    <w:p w14:paraId="72032AE9" w14:textId="4CBF2434" w:rsidR="005C5D75" w:rsidRDefault="005C5D75">
      <w:pPr>
        <w:pStyle w:val="FootnoteText"/>
      </w:pPr>
      <w:r>
        <w:rPr>
          <w:rStyle w:val="FootnoteReference"/>
        </w:rPr>
        <w:footnoteRef/>
      </w:r>
      <w:r>
        <w:t xml:space="preserve"> Cohen 1996: 6</w:t>
      </w:r>
    </w:p>
  </w:footnote>
  <w:footnote w:id="14">
    <w:p w14:paraId="0A28A010" w14:textId="44F06645" w:rsidR="005C5D75" w:rsidRDefault="005C5D75">
      <w:pPr>
        <w:pStyle w:val="FootnoteText"/>
      </w:pPr>
      <w:r>
        <w:rPr>
          <w:rStyle w:val="FootnoteReference"/>
        </w:rPr>
        <w:footnoteRef/>
      </w:r>
      <w:r>
        <w:t xml:space="preserve"> Arist. PA. 644b 7-15</w:t>
      </w:r>
    </w:p>
  </w:footnote>
  <w:footnote w:id="15">
    <w:p w14:paraId="2A4522F6" w14:textId="55B0567F" w:rsidR="005C5D75" w:rsidRDefault="005C5D75">
      <w:pPr>
        <w:pStyle w:val="FootnoteText"/>
      </w:pPr>
      <w:r>
        <w:rPr>
          <w:rStyle w:val="FootnoteReference"/>
        </w:rPr>
        <w:footnoteRef/>
      </w:r>
      <w:r>
        <w:t xml:space="preserve"> Arist. PA. 697b </w:t>
      </w:r>
    </w:p>
  </w:footnote>
  <w:footnote w:id="16">
    <w:p w14:paraId="3AB1B830" w14:textId="0600CC28" w:rsidR="005C5D75" w:rsidRDefault="005C5D75">
      <w:pPr>
        <w:pStyle w:val="FootnoteText"/>
      </w:pPr>
      <w:r>
        <w:rPr>
          <w:rStyle w:val="FootnoteReference"/>
        </w:rPr>
        <w:footnoteRef/>
      </w:r>
      <w:r>
        <w:t xml:space="preserve"> Arist. PA. 697b</w:t>
      </w:r>
    </w:p>
  </w:footnote>
  <w:footnote w:id="17">
    <w:p w14:paraId="1BB69DCA" w14:textId="63B09D3B" w:rsidR="005C5D75" w:rsidRDefault="005C5D75">
      <w:pPr>
        <w:pStyle w:val="FootnoteText"/>
      </w:pPr>
      <w:r>
        <w:rPr>
          <w:rStyle w:val="FootnoteReference"/>
        </w:rPr>
        <w:footnoteRef/>
      </w:r>
      <w:r>
        <w:t xml:space="preserve"> Arist. GA. 768a14-21</w:t>
      </w:r>
    </w:p>
  </w:footnote>
  <w:footnote w:id="18">
    <w:p w14:paraId="5EAFC53D" w14:textId="0AA80EA5" w:rsidR="005C5D75" w:rsidRDefault="005C5D75">
      <w:pPr>
        <w:pStyle w:val="FootnoteText"/>
      </w:pPr>
      <w:r>
        <w:rPr>
          <w:rStyle w:val="FootnoteReference"/>
        </w:rPr>
        <w:footnoteRef/>
      </w:r>
      <w:r>
        <w:t xml:space="preserve"> Arist. GA. 768a</w:t>
      </w:r>
    </w:p>
  </w:footnote>
  <w:footnote w:id="19">
    <w:p w14:paraId="58A7549C" w14:textId="2A16A481" w:rsidR="005C5D75" w:rsidRDefault="005C5D75">
      <w:pPr>
        <w:pStyle w:val="FootnoteText"/>
      </w:pPr>
      <w:r>
        <w:rPr>
          <w:rStyle w:val="FootnoteReference"/>
        </w:rPr>
        <w:footnoteRef/>
      </w:r>
      <w:r>
        <w:t xml:space="preserve"> Arist. GA.</w:t>
      </w:r>
      <w:r w:rsidRPr="000D2842">
        <w:t xml:space="preserve"> 767b 6-7</w:t>
      </w:r>
    </w:p>
  </w:footnote>
  <w:footnote w:id="20">
    <w:p w14:paraId="6773A2D4" w14:textId="2CAD41F2" w:rsidR="005C5D75" w:rsidRDefault="005C5D75">
      <w:pPr>
        <w:pStyle w:val="FootnoteText"/>
      </w:pPr>
      <w:r>
        <w:rPr>
          <w:rStyle w:val="FootnoteReference"/>
        </w:rPr>
        <w:footnoteRef/>
      </w:r>
      <w:r>
        <w:t xml:space="preserve"> Arist. GA.</w:t>
      </w:r>
      <w:r w:rsidRPr="000D2842">
        <w:t xml:space="preserve"> 767b 6-7</w:t>
      </w:r>
    </w:p>
  </w:footnote>
  <w:footnote w:id="21">
    <w:p w14:paraId="7B9A95B2" w14:textId="0939B7CA" w:rsidR="005C5D75" w:rsidRDefault="005C5D75">
      <w:pPr>
        <w:pStyle w:val="FootnoteText"/>
      </w:pPr>
      <w:r>
        <w:rPr>
          <w:rStyle w:val="FootnoteReference"/>
        </w:rPr>
        <w:footnoteRef/>
      </w:r>
      <w:r>
        <w:t xml:space="preserve"> Sowa 2016</w:t>
      </w:r>
    </w:p>
  </w:footnote>
  <w:footnote w:id="22">
    <w:p w14:paraId="6ECF039A" w14:textId="10B65DAB" w:rsidR="005C5D75" w:rsidRDefault="005C5D75">
      <w:pPr>
        <w:pStyle w:val="FootnoteText"/>
      </w:pPr>
      <w:r>
        <w:rPr>
          <w:rStyle w:val="FootnoteReference"/>
        </w:rPr>
        <w:footnoteRef/>
      </w:r>
      <w:r>
        <w:t xml:space="preserve"> Arist. GA. 767b6-8; Henry 2007:251 </w:t>
      </w:r>
    </w:p>
  </w:footnote>
  <w:footnote w:id="23">
    <w:p w14:paraId="33EBABC0" w14:textId="755AC8CD" w:rsidR="005C5D75" w:rsidRDefault="005C5D75">
      <w:pPr>
        <w:pStyle w:val="FootnoteText"/>
      </w:pPr>
      <w:r>
        <w:rPr>
          <w:rStyle w:val="FootnoteReference"/>
        </w:rPr>
        <w:footnoteRef/>
      </w:r>
      <w:r>
        <w:t>Henry 2007: 256</w:t>
      </w:r>
    </w:p>
  </w:footnote>
  <w:footnote w:id="24">
    <w:p w14:paraId="7F70E094" w14:textId="1A437C49" w:rsidR="005C5D75" w:rsidRDefault="005C5D75">
      <w:pPr>
        <w:pStyle w:val="FootnoteText"/>
      </w:pPr>
      <w:r>
        <w:rPr>
          <w:rStyle w:val="FootnoteReference"/>
        </w:rPr>
        <w:footnoteRef/>
      </w:r>
      <w:r>
        <w:t xml:space="preserve"> Henry 2007</w:t>
      </w:r>
    </w:p>
  </w:footnote>
  <w:footnote w:id="25">
    <w:p w14:paraId="2BB807C0" w14:textId="648E96EB" w:rsidR="005C5D75" w:rsidRDefault="005C5D75">
      <w:pPr>
        <w:pStyle w:val="FootnoteText"/>
      </w:pPr>
    </w:p>
  </w:footnote>
  <w:footnote w:id="26">
    <w:p w14:paraId="701AE666" w14:textId="0A0F4EBE" w:rsidR="005C5D75" w:rsidRDefault="005C5D75">
      <w:pPr>
        <w:pStyle w:val="FootnoteText"/>
      </w:pPr>
      <w:r>
        <w:rPr>
          <w:rStyle w:val="FootnoteReference"/>
        </w:rPr>
        <w:footnoteRef/>
      </w:r>
      <w:r>
        <w:t xml:space="preserve"> </w:t>
      </w:r>
      <w:r w:rsidRPr="0050260F">
        <w:t>de Libero</w:t>
      </w:r>
      <w:r>
        <w:t xml:space="preserve"> </w:t>
      </w:r>
      <w:r w:rsidR="00591D92">
        <w:t>2006</w:t>
      </w:r>
    </w:p>
  </w:footnote>
  <w:footnote w:id="27">
    <w:p w14:paraId="431E30E5" w14:textId="6727AA86" w:rsidR="005C5D75" w:rsidRDefault="005C5D75">
      <w:pPr>
        <w:pStyle w:val="FootnoteText"/>
      </w:pPr>
      <w:r>
        <w:rPr>
          <w:rStyle w:val="FootnoteReference"/>
        </w:rPr>
        <w:footnoteRef/>
      </w:r>
      <w:r>
        <w:t xml:space="preserve"> de Libero </w:t>
      </w:r>
      <w:r w:rsidR="00591D92">
        <w:t>2006</w:t>
      </w:r>
    </w:p>
  </w:footnote>
  <w:footnote w:id="28">
    <w:p w14:paraId="7447D394" w14:textId="10E2D1EB" w:rsidR="005C5D75" w:rsidRDefault="005C5D75">
      <w:pPr>
        <w:pStyle w:val="FootnoteText"/>
      </w:pPr>
      <w:r>
        <w:rPr>
          <w:rStyle w:val="FootnoteReference"/>
        </w:rPr>
        <w:footnoteRef/>
      </w:r>
      <w:r>
        <w:t xml:space="preserve"> Yartz 1997: 67</w:t>
      </w:r>
    </w:p>
  </w:footnote>
  <w:footnote w:id="29">
    <w:p w14:paraId="557820D1" w14:textId="185EF75D" w:rsidR="005C5D75" w:rsidRDefault="005C5D75">
      <w:pPr>
        <w:pStyle w:val="FootnoteText"/>
      </w:pPr>
      <w:r>
        <w:rPr>
          <w:rStyle w:val="FootnoteReference"/>
        </w:rPr>
        <w:footnoteRef/>
      </w:r>
      <w:r>
        <w:t xml:space="preserve"> Yartz 1997: 71</w:t>
      </w:r>
    </w:p>
  </w:footnote>
  <w:footnote w:id="30">
    <w:p w14:paraId="60244A02" w14:textId="5E5D2C0F" w:rsidR="005C5D75" w:rsidRDefault="005C5D75">
      <w:pPr>
        <w:pStyle w:val="FootnoteText"/>
      </w:pPr>
      <w:r>
        <w:rPr>
          <w:rStyle w:val="FootnoteReference"/>
        </w:rPr>
        <w:footnoteRef/>
      </w:r>
      <w:r>
        <w:t xml:space="preserve"> Yartz 1997: 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0122479"/>
      <w:docPartObj>
        <w:docPartGallery w:val="Page Numbers (Top of Page)"/>
        <w:docPartUnique/>
      </w:docPartObj>
    </w:sdtPr>
    <w:sdtEndPr>
      <w:rPr>
        <w:rFonts w:ascii="Times New Roman" w:hAnsi="Times New Roman" w:cs="Times New Roman"/>
        <w:noProof/>
        <w:sz w:val="24"/>
        <w:szCs w:val="24"/>
      </w:rPr>
    </w:sdtEndPr>
    <w:sdtContent>
      <w:p w14:paraId="655F2F46" w14:textId="662A9985" w:rsidR="005C5D75" w:rsidRPr="00FE53B4" w:rsidRDefault="005C5D75">
        <w:pPr>
          <w:pStyle w:val="Header"/>
          <w:rPr>
            <w:rFonts w:ascii="Times New Roman" w:hAnsi="Times New Roman" w:cs="Times New Roman"/>
            <w:sz w:val="24"/>
            <w:szCs w:val="24"/>
          </w:rPr>
        </w:pPr>
        <w:r w:rsidRPr="00FE53B4">
          <w:rPr>
            <w:rFonts w:ascii="Times New Roman" w:hAnsi="Times New Roman" w:cs="Times New Roman"/>
            <w:sz w:val="24"/>
            <w:szCs w:val="24"/>
          </w:rPr>
          <w:fldChar w:fldCharType="begin"/>
        </w:r>
        <w:r w:rsidRPr="00FE53B4">
          <w:rPr>
            <w:rFonts w:ascii="Times New Roman" w:hAnsi="Times New Roman" w:cs="Times New Roman"/>
            <w:sz w:val="24"/>
            <w:szCs w:val="24"/>
          </w:rPr>
          <w:instrText xml:space="preserve"> PAGE   \* MERGEFORMAT </w:instrText>
        </w:r>
        <w:r w:rsidRPr="00FE53B4">
          <w:rPr>
            <w:rFonts w:ascii="Times New Roman" w:hAnsi="Times New Roman" w:cs="Times New Roman"/>
            <w:sz w:val="24"/>
            <w:szCs w:val="24"/>
          </w:rPr>
          <w:fldChar w:fldCharType="separate"/>
        </w:r>
        <w:r w:rsidR="0055221C">
          <w:rPr>
            <w:rFonts w:ascii="Times New Roman" w:hAnsi="Times New Roman" w:cs="Times New Roman"/>
            <w:noProof/>
            <w:sz w:val="24"/>
            <w:szCs w:val="24"/>
          </w:rPr>
          <w:t>5</w:t>
        </w:r>
        <w:r w:rsidRPr="00FE53B4">
          <w:rPr>
            <w:rFonts w:ascii="Times New Roman" w:hAnsi="Times New Roman" w:cs="Times New Roman"/>
            <w:noProof/>
            <w:sz w:val="24"/>
            <w:szCs w:val="24"/>
          </w:rPr>
          <w:fldChar w:fldCharType="end"/>
        </w:r>
      </w:p>
    </w:sdtContent>
  </w:sdt>
  <w:p w14:paraId="0FA56ACC" w14:textId="77777777" w:rsidR="005C5D75" w:rsidRDefault="005C5D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3B4"/>
    <w:rsid w:val="00020B04"/>
    <w:rsid w:val="000414F9"/>
    <w:rsid w:val="000A54CA"/>
    <w:rsid w:val="000D0F85"/>
    <w:rsid w:val="000D2842"/>
    <w:rsid w:val="001535B6"/>
    <w:rsid w:val="00174D1B"/>
    <w:rsid w:val="00187BDC"/>
    <w:rsid w:val="00246D06"/>
    <w:rsid w:val="00254E69"/>
    <w:rsid w:val="00257732"/>
    <w:rsid w:val="003050DC"/>
    <w:rsid w:val="003D4376"/>
    <w:rsid w:val="00412E0E"/>
    <w:rsid w:val="0050260F"/>
    <w:rsid w:val="0051661D"/>
    <w:rsid w:val="0055221C"/>
    <w:rsid w:val="00562888"/>
    <w:rsid w:val="0057100C"/>
    <w:rsid w:val="00585F39"/>
    <w:rsid w:val="00591D92"/>
    <w:rsid w:val="005C5D75"/>
    <w:rsid w:val="005C606B"/>
    <w:rsid w:val="005D697F"/>
    <w:rsid w:val="00623EF5"/>
    <w:rsid w:val="006936CF"/>
    <w:rsid w:val="006D68BC"/>
    <w:rsid w:val="00820CC3"/>
    <w:rsid w:val="008443CB"/>
    <w:rsid w:val="00857308"/>
    <w:rsid w:val="009A125E"/>
    <w:rsid w:val="009C5770"/>
    <w:rsid w:val="00A839D1"/>
    <w:rsid w:val="00B074E7"/>
    <w:rsid w:val="00B24F3E"/>
    <w:rsid w:val="00B52153"/>
    <w:rsid w:val="00B549BF"/>
    <w:rsid w:val="00B75096"/>
    <w:rsid w:val="00C02D49"/>
    <w:rsid w:val="00CF5E15"/>
    <w:rsid w:val="00DA14B0"/>
    <w:rsid w:val="00EC1B15"/>
    <w:rsid w:val="00F86373"/>
    <w:rsid w:val="00F9705C"/>
    <w:rsid w:val="00FE53B4"/>
    <w:rsid w:val="00FE5EB1"/>
    <w:rsid w:val="00FF4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CBA11"/>
  <w15:chartTrackingRefBased/>
  <w15:docId w15:val="{54FCAE36-DF5F-4D9E-B744-E89312689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3B4"/>
  </w:style>
  <w:style w:type="paragraph" w:styleId="Footer">
    <w:name w:val="footer"/>
    <w:basedOn w:val="Normal"/>
    <w:link w:val="FooterChar"/>
    <w:uiPriority w:val="99"/>
    <w:unhideWhenUsed/>
    <w:rsid w:val="00FE5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3B4"/>
  </w:style>
  <w:style w:type="paragraph" w:styleId="FootnoteText">
    <w:name w:val="footnote text"/>
    <w:basedOn w:val="Normal"/>
    <w:link w:val="FootnoteTextChar"/>
    <w:uiPriority w:val="99"/>
    <w:semiHidden/>
    <w:unhideWhenUsed/>
    <w:rsid w:val="00C02D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2D49"/>
    <w:rPr>
      <w:sz w:val="20"/>
      <w:szCs w:val="20"/>
    </w:rPr>
  </w:style>
  <w:style w:type="character" w:styleId="FootnoteReference">
    <w:name w:val="footnote reference"/>
    <w:basedOn w:val="DefaultParagraphFont"/>
    <w:uiPriority w:val="99"/>
    <w:semiHidden/>
    <w:unhideWhenUsed/>
    <w:rsid w:val="00C02D4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08938-C371-4544-9505-8FDCA7815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5</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Vickers</dc:creator>
  <cp:keywords/>
  <dc:description/>
  <cp:lastModifiedBy>Lucy Vickers</cp:lastModifiedBy>
  <cp:revision>16</cp:revision>
  <dcterms:created xsi:type="dcterms:W3CDTF">2018-01-19T09:43:00Z</dcterms:created>
  <dcterms:modified xsi:type="dcterms:W3CDTF">2018-01-19T16:33:00Z</dcterms:modified>
</cp:coreProperties>
</file>