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3A90F4" w14:textId="77777777" w:rsidR="001240B2" w:rsidRPr="00294028" w:rsidRDefault="001240B2" w:rsidP="006045A7">
      <w:pPr>
        <w:spacing w:line="360" w:lineRule="auto"/>
        <w:rPr>
          <w:rFonts w:ascii="Arial" w:hAnsi="Arial" w:cs="Arial"/>
          <w:b/>
          <w:bCs/>
          <w:sz w:val="32"/>
          <w:szCs w:val="32"/>
        </w:rPr>
      </w:pPr>
    </w:p>
    <w:p w14:paraId="27E69433" w14:textId="77777777" w:rsidR="00526539" w:rsidRPr="00526539" w:rsidRDefault="00526539" w:rsidP="00526539">
      <w:pPr>
        <w:spacing w:line="360" w:lineRule="auto"/>
        <w:rPr>
          <w:rFonts w:ascii="Arial" w:hAnsi="Arial" w:cs="Arial"/>
          <w:b/>
          <w:bCs/>
          <w:sz w:val="32"/>
          <w:szCs w:val="32"/>
        </w:rPr>
      </w:pPr>
      <w:r w:rsidRPr="00526539">
        <w:rPr>
          <w:rFonts w:ascii="Arial" w:hAnsi="Arial" w:cs="Arial"/>
          <w:b/>
          <w:bCs/>
          <w:sz w:val="32"/>
          <w:szCs w:val="32"/>
        </w:rPr>
        <w:t xml:space="preserve">Student Name: </w:t>
      </w:r>
      <w:r w:rsidRPr="00526539">
        <w:rPr>
          <w:rFonts w:ascii="Arial" w:hAnsi="Arial" w:cs="Arial"/>
          <w:sz w:val="32"/>
          <w:szCs w:val="32"/>
        </w:rPr>
        <w:t>Foqia Farooq</w:t>
      </w:r>
    </w:p>
    <w:p w14:paraId="53D0243F" w14:textId="77777777" w:rsidR="00526539" w:rsidRPr="00526539" w:rsidRDefault="00526539" w:rsidP="00526539">
      <w:pPr>
        <w:spacing w:line="360" w:lineRule="auto"/>
        <w:rPr>
          <w:rFonts w:ascii="Arial" w:hAnsi="Arial" w:cs="Arial"/>
          <w:b/>
          <w:bCs/>
          <w:sz w:val="32"/>
          <w:szCs w:val="32"/>
        </w:rPr>
      </w:pPr>
      <w:r w:rsidRPr="00526539">
        <w:rPr>
          <w:rFonts w:ascii="Arial" w:hAnsi="Arial" w:cs="Arial"/>
          <w:b/>
          <w:bCs/>
          <w:sz w:val="32"/>
          <w:szCs w:val="32"/>
        </w:rPr>
        <w:t xml:space="preserve">Student number: </w:t>
      </w:r>
      <w:r w:rsidRPr="00526539">
        <w:rPr>
          <w:rFonts w:ascii="Arial" w:hAnsi="Arial" w:cs="Arial"/>
          <w:sz w:val="32"/>
          <w:szCs w:val="32"/>
        </w:rPr>
        <w:t>2424146</w:t>
      </w:r>
    </w:p>
    <w:p w14:paraId="730B55CE" w14:textId="286F291C" w:rsidR="00526539" w:rsidRPr="00526539" w:rsidRDefault="00526539" w:rsidP="00526539">
      <w:pPr>
        <w:spacing w:line="360" w:lineRule="auto"/>
        <w:rPr>
          <w:rFonts w:ascii="Arial" w:hAnsi="Arial" w:cs="Arial"/>
          <w:b/>
          <w:bCs/>
          <w:sz w:val="32"/>
          <w:szCs w:val="32"/>
        </w:rPr>
      </w:pPr>
      <w:r w:rsidRPr="00526539">
        <w:rPr>
          <w:rFonts w:ascii="Arial" w:hAnsi="Arial" w:cs="Arial"/>
          <w:b/>
          <w:bCs/>
          <w:sz w:val="32"/>
          <w:szCs w:val="32"/>
        </w:rPr>
        <w:t xml:space="preserve">Lecturer Name: </w:t>
      </w:r>
      <w:r w:rsidR="00001EE6" w:rsidRPr="00CC41CD">
        <w:rPr>
          <w:rFonts w:ascii="Arial" w:hAnsi="Arial" w:cs="Arial"/>
          <w:sz w:val="32"/>
          <w:szCs w:val="32"/>
        </w:rPr>
        <w:t>Robert Nartowski</w:t>
      </w:r>
    </w:p>
    <w:p w14:paraId="14E7C6A3" w14:textId="77777777" w:rsidR="00526539" w:rsidRPr="00526539" w:rsidRDefault="00526539" w:rsidP="00526539">
      <w:pPr>
        <w:spacing w:line="360" w:lineRule="auto"/>
        <w:rPr>
          <w:rFonts w:ascii="Arial" w:hAnsi="Arial" w:cs="Arial"/>
          <w:b/>
          <w:bCs/>
          <w:sz w:val="32"/>
          <w:szCs w:val="32"/>
        </w:rPr>
      </w:pPr>
      <w:r w:rsidRPr="00526539">
        <w:rPr>
          <w:rFonts w:ascii="Arial" w:hAnsi="Arial" w:cs="Arial"/>
          <w:b/>
          <w:bCs/>
          <w:sz w:val="32"/>
          <w:szCs w:val="32"/>
        </w:rPr>
        <w:t xml:space="preserve">Programme Title: </w:t>
      </w:r>
      <w:r w:rsidRPr="00526539">
        <w:rPr>
          <w:rFonts w:ascii="Arial" w:hAnsi="Arial" w:cs="Arial"/>
          <w:sz w:val="32"/>
          <w:szCs w:val="32"/>
        </w:rPr>
        <w:t>BSc Health &amp; Social Care</w:t>
      </w:r>
      <w:r w:rsidRPr="00526539">
        <w:rPr>
          <w:rFonts w:ascii="Arial" w:hAnsi="Arial" w:cs="Arial"/>
          <w:b/>
          <w:bCs/>
          <w:sz w:val="32"/>
          <w:szCs w:val="32"/>
        </w:rPr>
        <w:t xml:space="preserve"> </w:t>
      </w:r>
    </w:p>
    <w:p w14:paraId="1ABC0600" w14:textId="6E0B9759" w:rsidR="00526539" w:rsidRPr="00526539" w:rsidRDefault="00526539" w:rsidP="00526539">
      <w:pPr>
        <w:spacing w:line="360" w:lineRule="auto"/>
        <w:rPr>
          <w:rFonts w:ascii="Arial" w:hAnsi="Arial" w:cs="Arial"/>
          <w:sz w:val="32"/>
          <w:szCs w:val="32"/>
        </w:rPr>
      </w:pPr>
      <w:r w:rsidRPr="00526539">
        <w:rPr>
          <w:rFonts w:ascii="Arial" w:hAnsi="Arial" w:cs="Arial"/>
          <w:b/>
          <w:bCs/>
          <w:sz w:val="32"/>
          <w:szCs w:val="32"/>
        </w:rPr>
        <w:t xml:space="preserve">Module: </w:t>
      </w:r>
      <w:r w:rsidR="00001EE6" w:rsidRPr="00CC41CD">
        <w:rPr>
          <w:rFonts w:ascii="Arial" w:hAnsi="Arial" w:cs="Arial"/>
          <w:sz w:val="32"/>
          <w:szCs w:val="32"/>
        </w:rPr>
        <w:t>Introduction to Physiology</w:t>
      </w:r>
    </w:p>
    <w:p w14:paraId="3A3EFCFA" w14:textId="64415743" w:rsidR="00526539" w:rsidRPr="00526539" w:rsidRDefault="00526539" w:rsidP="00526539">
      <w:pPr>
        <w:spacing w:line="360" w:lineRule="auto"/>
        <w:rPr>
          <w:rFonts w:ascii="Arial" w:hAnsi="Arial" w:cs="Arial"/>
          <w:sz w:val="32"/>
          <w:szCs w:val="32"/>
        </w:rPr>
      </w:pPr>
      <w:r w:rsidRPr="00526539">
        <w:rPr>
          <w:rFonts w:ascii="Arial" w:hAnsi="Arial" w:cs="Arial"/>
          <w:b/>
          <w:bCs/>
          <w:sz w:val="32"/>
          <w:szCs w:val="32"/>
        </w:rPr>
        <w:t xml:space="preserve">Module Code: </w:t>
      </w:r>
      <w:r w:rsidRPr="00526539">
        <w:rPr>
          <w:rFonts w:ascii="Arial" w:hAnsi="Arial" w:cs="Arial"/>
          <w:sz w:val="32"/>
          <w:szCs w:val="32"/>
        </w:rPr>
        <w:t>BMHP50</w:t>
      </w:r>
      <w:r w:rsidR="00001EE6" w:rsidRPr="00CC41CD">
        <w:rPr>
          <w:rFonts w:ascii="Arial" w:hAnsi="Arial" w:cs="Arial"/>
          <w:sz w:val="32"/>
          <w:szCs w:val="32"/>
        </w:rPr>
        <w:t>23</w:t>
      </w:r>
    </w:p>
    <w:p w14:paraId="1D7BC788" w14:textId="6421E7E4" w:rsidR="00526539" w:rsidRPr="00526539" w:rsidRDefault="00526539" w:rsidP="00526539">
      <w:pPr>
        <w:spacing w:line="360" w:lineRule="auto"/>
        <w:rPr>
          <w:rFonts w:ascii="Arial" w:hAnsi="Arial" w:cs="Arial"/>
          <w:sz w:val="32"/>
          <w:szCs w:val="32"/>
        </w:rPr>
      </w:pPr>
      <w:r w:rsidRPr="00526539">
        <w:rPr>
          <w:rFonts w:ascii="Arial" w:hAnsi="Arial" w:cs="Arial"/>
          <w:b/>
          <w:bCs/>
          <w:sz w:val="32"/>
          <w:szCs w:val="32"/>
        </w:rPr>
        <w:t xml:space="preserve">Assignment Title: </w:t>
      </w:r>
      <w:r w:rsidRPr="00526539">
        <w:rPr>
          <w:rFonts w:ascii="Arial" w:hAnsi="Arial" w:cs="Arial"/>
          <w:sz w:val="32"/>
          <w:szCs w:val="32"/>
        </w:rPr>
        <w:t>Written</w:t>
      </w:r>
      <w:r w:rsidR="004B3A20" w:rsidRPr="00CC41CD">
        <w:rPr>
          <w:rFonts w:ascii="Arial" w:hAnsi="Arial" w:cs="Arial"/>
          <w:sz w:val="32"/>
          <w:szCs w:val="32"/>
        </w:rPr>
        <w:t xml:space="preserve"> Assignment (Case Study Report)</w:t>
      </w:r>
    </w:p>
    <w:p w14:paraId="10D311A8" w14:textId="77777777" w:rsidR="001240B2" w:rsidRDefault="001240B2" w:rsidP="006045A7">
      <w:pPr>
        <w:spacing w:line="360" w:lineRule="auto"/>
        <w:rPr>
          <w:rFonts w:ascii="Arial" w:hAnsi="Arial" w:cs="Arial"/>
          <w:b/>
          <w:bCs/>
          <w:sz w:val="22"/>
          <w:szCs w:val="22"/>
        </w:rPr>
      </w:pPr>
    </w:p>
    <w:p w14:paraId="4E42D317" w14:textId="77777777" w:rsidR="001240B2" w:rsidRDefault="001240B2" w:rsidP="006045A7">
      <w:pPr>
        <w:spacing w:line="360" w:lineRule="auto"/>
        <w:rPr>
          <w:rFonts w:ascii="Arial" w:hAnsi="Arial" w:cs="Arial"/>
          <w:b/>
          <w:bCs/>
          <w:sz w:val="22"/>
          <w:szCs w:val="22"/>
        </w:rPr>
      </w:pPr>
    </w:p>
    <w:p w14:paraId="10361A76" w14:textId="77777777" w:rsidR="001240B2" w:rsidRDefault="001240B2" w:rsidP="006045A7">
      <w:pPr>
        <w:spacing w:line="360" w:lineRule="auto"/>
        <w:rPr>
          <w:rFonts w:ascii="Arial" w:hAnsi="Arial" w:cs="Arial"/>
          <w:b/>
          <w:bCs/>
          <w:sz w:val="22"/>
          <w:szCs w:val="22"/>
        </w:rPr>
      </w:pPr>
    </w:p>
    <w:p w14:paraId="095C05A5" w14:textId="77777777" w:rsidR="001240B2" w:rsidRDefault="001240B2" w:rsidP="006045A7">
      <w:pPr>
        <w:spacing w:line="360" w:lineRule="auto"/>
        <w:rPr>
          <w:rFonts w:ascii="Arial" w:hAnsi="Arial" w:cs="Arial"/>
          <w:b/>
          <w:bCs/>
          <w:sz w:val="22"/>
          <w:szCs w:val="22"/>
        </w:rPr>
      </w:pPr>
    </w:p>
    <w:p w14:paraId="09C32153" w14:textId="77777777" w:rsidR="001240B2" w:rsidRDefault="001240B2" w:rsidP="006045A7">
      <w:pPr>
        <w:spacing w:line="360" w:lineRule="auto"/>
        <w:rPr>
          <w:rFonts w:ascii="Arial" w:hAnsi="Arial" w:cs="Arial"/>
          <w:b/>
          <w:bCs/>
          <w:sz w:val="22"/>
          <w:szCs w:val="22"/>
        </w:rPr>
      </w:pPr>
    </w:p>
    <w:p w14:paraId="04EE2A7A" w14:textId="77777777" w:rsidR="001240B2" w:rsidRDefault="001240B2" w:rsidP="006045A7">
      <w:pPr>
        <w:spacing w:line="360" w:lineRule="auto"/>
        <w:rPr>
          <w:rFonts w:ascii="Arial" w:hAnsi="Arial" w:cs="Arial"/>
          <w:b/>
          <w:bCs/>
          <w:sz w:val="22"/>
          <w:szCs w:val="22"/>
        </w:rPr>
      </w:pPr>
    </w:p>
    <w:p w14:paraId="19BDC0A1" w14:textId="77777777" w:rsidR="001240B2" w:rsidRDefault="001240B2" w:rsidP="006045A7">
      <w:pPr>
        <w:spacing w:line="360" w:lineRule="auto"/>
        <w:rPr>
          <w:rFonts w:ascii="Arial" w:hAnsi="Arial" w:cs="Arial"/>
          <w:b/>
          <w:bCs/>
          <w:sz w:val="22"/>
          <w:szCs w:val="22"/>
        </w:rPr>
      </w:pPr>
    </w:p>
    <w:p w14:paraId="7AFF43A4" w14:textId="77777777" w:rsidR="001240B2" w:rsidRDefault="001240B2" w:rsidP="006045A7">
      <w:pPr>
        <w:spacing w:line="360" w:lineRule="auto"/>
        <w:rPr>
          <w:rFonts w:ascii="Arial" w:hAnsi="Arial" w:cs="Arial"/>
          <w:b/>
          <w:bCs/>
          <w:sz w:val="22"/>
          <w:szCs w:val="22"/>
        </w:rPr>
      </w:pPr>
    </w:p>
    <w:p w14:paraId="0F8B8C26" w14:textId="77777777" w:rsidR="001240B2" w:rsidRDefault="001240B2" w:rsidP="006045A7">
      <w:pPr>
        <w:spacing w:line="360" w:lineRule="auto"/>
        <w:rPr>
          <w:rFonts w:ascii="Arial" w:hAnsi="Arial" w:cs="Arial"/>
          <w:b/>
          <w:bCs/>
          <w:sz w:val="22"/>
          <w:szCs w:val="22"/>
        </w:rPr>
      </w:pPr>
    </w:p>
    <w:p w14:paraId="5A6F1BCD" w14:textId="77777777" w:rsidR="001240B2" w:rsidRDefault="001240B2" w:rsidP="006045A7">
      <w:pPr>
        <w:spacing w:line="360" w:lineRule="auto"/>
        <w:rPr>
          <w:rFonts w:ascii="Arial" w:hAnsi="Arial" w:cs="Arial"/>
          <w:b/>
          <w:bCs/>
          <w:sz w:val="22"/>
          <w:szCs w:val="22"/>
        </w:rPr>
      </w:pPr>
    </w:p>
    <w:p w14:paraId="216A6D37" w14:textId="77777777" w:rsidR="001240B2" w:rsidRDefault="001240B2" w:rsidP="006045A7">
      <w:pPr>
        <w:spacing w:line="360" w:lineRule="auto"/>
        <w:rPr>
          <w:rFonts w:ascii="Arial" w:hAnsi="Arial" w:cs="Arial"/>
          <w:b/>
          <w:bCs/>
          <w:sz w:val="22"/>
          <w:szCs w:val="22"/>
        </w:rPr>
      </w:pPr>
    </w:p>
    <w:p w14:paraId="333751C2" w14:textId="77777777" w:rsidR="001240B2" w:rsidRDefault="001240B2" w:rsidP="006045A7">
      <w:pPr>
        <w:spacing w:line="360" w:lineRule="auto"/>
        <w:rPr>
          <w:rFonts w:ascii="Arial" w:hAnsi="Arial" w:cs="Arial"/>
          <w:b/>
          <w:bCs/>
          <w:sz w:val="22"/>
          <w:szCs w:val="22"/>
        </w:rPr>
      </w:pPr>
    </w:p>
    <w:p w14:paraId="2D2D1A65" w14:textId="77777777" w:rsidR="001240B2" w:rsidRDefault="001240B2" w:rsidP="006045A7">
      <w:pPr>
        <w:spacing w:line="360" w:lineRule="auto"/>
        <w:rPr>
          <w:rFonts w:ascii="Arial" w:hAnsi="Arial" w:cs="Arial"/>
          <w:b/>
          <w:bCs/>
          <w:sz w:val="22"/>
          <w:szCs w:val="22"/>
        </w:rPr>
      </w:pPr>
    </w:p>
    <w:p w14:paraId="4391C8A2" w14:textId="77777777" w:rsidR="001240B2" w:rsidRDefault="001240B2" w:rsidP="006045A7">
      <w:pPr>
        <w:spacing w:line="360" w:lineRule="auto"/>
        <w:rPr>
          <w:rFonts w:ascii="Arial" w:hAnsi="Arial" w:cs="Arial"/>
          <w:b/>
          <w:bCs/>
          <w:sz w:val="22"/>
          <w:szCs w:val="22"/>
        </w:rPr>
      </w:pPr>
    </w:p>
    <w:p w14:paraId="7A45DAA0" w14:textId="77777777" w:rsidR="00294028" w:rsidRDefault="00294028" w:rsidP="006045A7">
      <w:pPr>
        <w:spacing w:line="360" w:lineRule="auto"/>
        <w:rPr>
          <w:rFonts w:ascii="Arial" w:hAnsi="Arial" w:cs="Arial"/>
          <w:b/>
          <w:bCs/>
          <w:sz w:val="22"/>
          <w:szCs w:val="22"/>
        </w:rPr>
      </w:pPr>
    </w:p>
    <w:p w14:paraId="2572F3FD" w14:textId="77777777" w:rsidR="009F5D61" w:rsidRPr="009F5D61" w:rsidRDefault="009F5D61" w:rsidP="009F5D61">
      <w:pPr>
        <w:spacing w:line="360" w:lineRule="auto"/>
        <w:rPr>
          <w:rFonts w:ascii="Arial" w:hAnsi="Arial" w:cs="Arial"/>
          <w:b/>
          <w:bCs/>
          <w:sz w:val="36"/>
          <w:szCs w:val="36"/>
        </w:rPr>
      </w:pPr>
      <w:r w:rsidRPr="009F5D61">
        <w:rPr>
          <w:rFonts w:ascii="Arial" w:hAnsi="Arial" w:cs="Arial"/>
          <w:b/>
          <w:bCs/>
          <w:sz w:val="36"/>
          <w:szCs w:val="36"/>
        </w:rPr>
        <w:lastRenderedPageBreak/>
        <w:t xml:space="preserve">Contents Page                                               </w:t>
      </w:r>
    </w:p>
    <w:p w14:paraId="4606E609" w14:textId="77777777" w:rsidR="009F5D61" w:rsidRPr="009F5D61" w:rsidRDefault="009F5D61" w:rsidP="009F5D61">
      <w:pPr>
        <w:spacing w:line="360" w:lineRule="auto"/>
        <w:rPr>
          <w:rFonts w:ascii="Arial" w:hAnsi="Arial" w:cs="Arial"/>
          <w:b/>
          <w:bCs/>
          <w:sz w:val="22"/>
          <w:szCs w:val="22"/>
        </w:rPr>
      </w:pPr>
    </w:p>
    <w:p w14:paraId="11B3B8CB" w14:textId="77777777" w:rsidR="009F5D61" w:rsidRPr="009F5D61" w:rsidRDefault="009F5D61" w:rsidP="009F5D61">
      <w:pPr>
        <w:spacing w:line="360" w:lineRule="auto"/>
        <w:rPr>
          <w:rFonts w:ascii="Arial" w:hAnsi="Arial" w:cs="Arial"/>
          <w:b/>
          <w:bCs/>
          <w:sz w:val="22"/>
          <w:szCs w:val="22"/>
        </w:rPr>
      </w:pPr>
      <w:r w:rsidRPr="009F5D61">
        <w:rPr>
          <w:rFonts w:ascii="Arial" w:hAnsi="Arial" w:cs="Arial"/>
          <w:b/>
          <w:bCs/>
          <w:sz w:val="22"/>
          <w:szCs w:val="22"/>
        </w:rPr>
        <w:t>Introduction……………………………………………………………………………………….3</w:t>
      </w:r>
    </w:p>
    <w:p w14:paraId="36C50F33" w14:textId="6AB60F08" w:rsidR="009F5D61" w:rsidRPr="009F5D61" w:rsidRDefault="009F5D61" w:rsidP="009F5D61">
      <w:pPr>
        <w:spacing w:line="360" w:lineRule="auto"/>
        <w:rPr>
          <w:rFonts w:ascii="Arial" w:hAnsi="Arial" w:cs="Arial"/>
          <w:b/>
          <w:bCs/>
          <w:sz w:val="22"/>
          <w:szCs w:val="22"/>
        </w:rPr>
      </w:pPr>
      <w:r w:rsidRPr="009F5D61">
        <w:rPr>
          <w:rFonts w:ascii="Arial" w:hAnsi="Arial" w:cs="Arial"/>
          <w:b/>
          <w:bCs/>
          <w:sz w:val="22"/>
          <w:szCs w:val="22"/>
        </w:rPr>
        <w:t>Re</w:t>
      </w:r>
      <w:r w:rsidR="004A693C">
        <w:rPr>
          <w:rFonts w:ascii="Arial" w:hAnsi="Arial" w:cs="Arial"/>
          <w:b/>
          <w:bCs/>
          <w:sz w:val="22"/>
          <w:szCs w:val="22"/>
        </w:rPr>
        <w:t>gu</w:t>
      </w:r>
      <w:r w:rsidR="00C255CB">
        <w:rPr>
          <w:rFonts w:ascii="Arial" w:hAnsi="Arial" w:cs="Arial"/>
          <w:b/>
          <w:bCs/>
          <w:sz w:val="22"/>
          <w:szCs w:val="22"/>
        </w:rPr>
        <w:t>lation of Blood Sugar Levels…………………………………………..</w:t>
      </w:r>
      <w:r w:rsidRPr="009F5D61">
        <w:rPr>
          <w:rFonts w:ascii="Arial" w:hAnsi="Arial" w:cs="Arial"/>
          <w:b/>
          <w:bCs/>
          <w:sz w:val="22"/>
          <w:szCs w:val="22"/>
        </w:rPr>
        <w:t>..……………..3-</w:t>
      </w:r>
      <w:r w:rsidR="00D858B0">
        <w:rPr>
          <w:rFonts w:ascii="Arial" w:hAnsi="Arial" w:cs="Arial"/>
          <w:b/>
          <w:bCs/>
          <w:sz w:val="22"/>
          <w:szCs w:val="22"/>
        </w:rPr>
        <w:t>4</w:t>
      </w:r>
    </w:p>
    <w:p w14:paraId="40E4EDFF" w14:textId="169BC8F7" w:rsidR="009F5D61" w:rsidRPr="009F5D61" w:rsidRDefault="00C255CB" w:rsidP="009F5D61">
      <w:pPr>
        <w:spacing w:line="360" w:lineRule="auto"/>
        <w:rPr>
          <w:rFonts w:ascii="Arial" w:hAnsi="Arial" w:cs="Arial"/>
          <w:b/>
          <w:bCs/>
          <w:sz w:val="22"/>
          <w:szCs w:val="22"/>
        </w:rPr>
      </w:pPr>
      <w:r>
        <w:rPr>
          <w:rFonts w:ascii="Arial" w:hAnsi="Arial" w:cs="Arial"/>
          <w:b/>
          <w:bCs/>
          <w:sz w:val="22"/>
          <w:szCs w:val="22"/>
        </w:rPr>
        <w:t>Use of Oxygen and Glucose in Energy Production</w:t>
      </w:r>
      <w:r w:rsidR="009F5D61" w:rsidRPr="009F5D61">
        <w:rPr>
          <w:rFonts w:ascii="Arial" w:hAnsi="Arial" w:cs="Arial"/>
          <w:b/>
          <w:bCs/>
          <w:sz w:val="22"/>
          <w:szCs w:val="22"/>
        </w:rPr>
        <w:t>….……………………</w:t>
      </w:r>
      <w:r w:rsidR="00D858B0">
        <w:rPr>
          <w:rFonts w:ascii="Arial" w:hAnsi="Arial" w:cs="Arial"/>
          <w:b/>
          <w:bCs/>
          <w:sz w:val="22"/>
          <w:szCs w:val="22"/>
        </w:rPr>
        <w:t>.</w:t>
      </w:r>
      <w:r w:rsidR="009F5D61" w:rsidRPr="009F5D61">
        <w:rPr>
          <w:rFonts w:ascii="Arial" w:hAnsi="Arial" w:cs="Arial"/>
          <w:b/>
          <w:bCs/>
          <w:sz w:val="22"/>
          <w:szCs w:val="22"/>
        </w:rPr>
        <w:t>……………</w:t>
      </w:r>
      <w:r w:rsidR="00D858B0">
        <w:rPr>
          <w:rFonts w:ascii="Arial" w:hAnsi="Arial" w:cs="Arial"/>
          <w:b/>
          <w:bCs/>
          <w:sz w:val="22"/>
          <w:szCs w:val="22"/>
        </w:rPr>
        <w:t>…</w:t>
      </w:r>
      <w:r w:rsidR="009F5D61" w:rsidRPr="009F5D61">
        <w:rPr>
          <w:rFonts w:ascii="Arial" w:hAnsi="Arial" w:cs="Arial"/>
          <w:b/>
          <w:bCs/>
          <w:sz w:val="22"/>
          <w:szCs w:val="22"/>
        </w:rPr>
        <w:t>5</w:t>
      </w:r>
    </w:p>
    <w:p w14:paraId="298B1AA4" w14:textId="484432A3" w:rsidR="009F5D61" w:rsidRPr="009F5D61" w:rsidRDefault="00D858B0" w:rsidP="009F5D61">
      <w:pPr>
        <w:spacing w:line="360" w:lineRule="auto"/>
        <w:rPr>
          <w:rFonts w:ascii="Arial" w:hAnsi="Arial" w:cs="Arial"/>
          <w:b/>
          <w:bCs/>
          <w:sz w:val="22"/>
          <w:szCs w:val="22"/>
        </w:rPr>
      </w:pPr>
      <w:r w:rsidRPr="00D858B0">
        <w:rPr>
          <w:rFonts w:ascii="Arial" w:hAnsi="Arial" w:cs="Arial"/>
          <w:b/>
          <w:bCs/>
          <w:sz w:val="22"/>
          <w:szCs w:val="22"/>
        </w:rPr>
        <w:t>Importance of Recording and Tracking Blood Sugar Levels</w:t>
      </w:r>
      <w:r w:rsidR="009F5D61" w:rsidRPr="009F5D61">
        <w:rPr>
          <w:rFonts w:ascii="Arial" w:hAnsi="Arial" w:cs="Arial"/>
          <w:b/>
          <w:bCs/>
          <w:sz w:val="22"/>
          <w:szCs w:val="22"/>
        </w:rPr>
        <w:t>……………..…….……....</w:t>
      </w:r>
      <w:r w:rsidR="00453152">
        <w:rPr>
          <w:rFonts w:ascii="Arial" w:hAnsi="Arial" w:cs="Arial"/>
          <w:b/>
          <w:bCs/>
          <w:sz w:val="22"/>
          <w:szCs w:val="22"/>
        </w:rPr>
        <w:t>..</w:t>
      </w:r>
      <w:r w:rsidR="009F5D61" w:rsidRPr="009F5D61">
        <w:rPr>
          <w:rFonts w:ascii="Arial" w:hAnsi="Arial" w:cs="Arial"/>
          <w:b/>
          <w:bCs/>
          <w:sz w:val="22"/>
          <w:szCs w:val="22"/>
        </w:rPr>
        <w:t>6</w:t>
      </w:r>
    </w:p>
    <w:p w14:paraId="1A82137B" w14:textId="02FEF333" w:rsidR="00D858B0" w:rsidRDefault="00D858B0" w:rsidP="009F5D61">
      <w:pPr>
        <w:spacing w:line="360" w:lineRule="auto"/>
        <w:rPr>
          <w:rFonts w:ascii="Arial" w:hAnsi="Arial" w:cs="Arial"/>
          <w:b/>
          <w:bCs/>
          <w:sz w:val="22"/>
          <w:szCs w:val="22"/>
        </w:rPr>
      </w:pPr>
      <w:r w:rsidRPr="00D858B0">
        <w:rPr>
          <w:rFonts w:ascii="Arial" w:hAnsi="Arial" w:cs="Arial"/>
          <w:b/>
          <w:bCs/>
          <w:sz w:val="22"/>
          <w:szCs w:val="22"/>
        </w:rPr>
        <w:t>Lifestyle Changes and Evidence-Based Recommendations</w:t>
      </w:r>
      <w:r>
        <w:rPr>
          <w:rFonts w:ascii="Arial" w:hAnsi="Arial" w:cs="Arial"/>
          <w:b/>
          <w:bCs/>
          <w:sz w:val="22"/>
          <w:szCs w:val="22"/>
        </w:rPr>
        <w:t>……………………………</w:t>
      </w:r>
      <w:r w:rsidR="00453152">
        <w:rPr>
          <w:rFonts w:ascii="Arial" w:hAnsi="Arial" w:cs="Arial"/>
          <w:b/>
          <w:bCs/>
          <w:sz w:val="22"/>
          <w:szCs w:val="22"/>
        </w:rPr>
        <w:t>.6-8</w:t>
      </w:r>
    </w:p>
    <w:p w14:paraId="5889D899" w14:textId="6B50EC31" w:rsidR="009F5D61" w:rsidRPr="009F5D61" w:rsidRDefault="009F5D61" w:rsidP="009F5D61">
      <w:pPr>
        <w:spacing w:line="360" w:lineRule="auto"/>
        <w:rPr>
          <w:rFonts w:ascii="Arial" w:hAnsi="Arial" w:cs="Arial"/>
          <w:b/>
          <w:bCs/>
          <w:sz w:val="22"/>
          <w:szCs w:val="22"/>
        </w:rPr>
      </w:pPr>
      <w:r w:rsidRPr="009F5D61">
        <w:rPr>
          <w:rFonts w:ascii="Arial" w:hAnsi="Arial" w:cs="Arial"/>
          <w:b/>
          <w:bCs/>
          <w:sz w:val="22"/>
          <w:szCs w:val="22"/>
        </w:rPr>
        <w:t>Conclusion…………………………………………………………………………………………8</w:t>
      </w:r>
    </w:p>
    <w:p w14:paraId="3B474950" w14:textId="77777777" w:rsidR="009F5D61" w:rsidRPr="009F5D61" w:rsidRDefault="009F5D61" w:rsidP="009F5D61">
      <w:pPr>
        <w:spacing w:line="360" w:lineRule="auto"/>
        <w:rPr>
          <w:rFonts w:ascii="Arial" w:hAnsi="Arial" w:cs="Arial"/>
          <w:b/>
          <w:bCs/>
          <w:sz w:val="22"/>
          <w:szCs w:val="22"/>
        </w:rPr>
      </w:pPr>
      <w:r w:rsidRPr="009F5D61">
        <w:rPr>
          <w:rFonts w:ascii="Arial" w:hAnsi="Arial" w:cs="Arial"/>
          <w:b/>
          <w:bCs/>
          <w:sz w:val="22"/>
          <w:szCs w:val="22"/>
        </w:rPr>
        <w:t>Reference List………………………………………………………………………………….….9</w:t>
      </w:r>
    </w:p>
    <w:p w14:paraId="38D452D6" w14:textId="77777777" w:rsidR="009F5D61" w:rsidRPr="009F5D61" w:rsidRDefault="009F5D61" w:rsidP="009F5D61">
      <w:pPr>
        <w:spacing w:line="360" w:lineRule="auto"/>
        <w:rPr>
          <w:rFonts w:ascii="Arial" w:hAnsi="Arial" w:cs="Arial"/>
          <w:b/>
          <w:bCs/>
          <w:sz w:val="22"/>
          <w:szCs w:val="22"/>
        </w:rPr>
      </w:pPr>
    </w:p>
    <w:p w14:paraId="772FAB71" w14:textId="77777777" w:rsidR="004B3A20" w:rsidRDefault="004B3A20" w:rsidP="006045A7">
      <w:pPr>
        <w:spacing w:line="360" w:lineRule="auto"/>
        <w:rPr>
          <w:rFonts w:ascii="Arial" w:hAnsi="Arial" w:cs="Arial"/>
          <w:b/>
          <w:bCs/>
          <w:sz w:val="22"/>
          <w:szCs w:val="22"/>
        </w:rPr>
      </w:pPr>
    </w:p>
    <w:p w14:paraId="40BAE9C2" w14:textId="77777777" w:rsidR="004B3A20" w:rsidRDefault="004B3A20" w:rsidP="006045A7">
      <w:pPr>
        <w:spacing w:line="360" w:lineRule="auto"/>
        <w:rPr>
          <w:rFonts w:ascii="Arial" w:hAnsi="Arial" w:cs="Arial"/>
          <w:b/>
          <w:bCs/>
          <w:sz w:val="22"/>
          <w:szCs w:val="22"/>
        </w:rPr>
      </w:pPr>
    </w:p>
    <w:p w14:paraId="591EEDBC" w14:textId="77777777" w:rsidR="004B3A20" w:rsidRDefault="004B3A20" w:rsidP="006045A7">
      <w:pPr>
        <w:spacing w:line="360" w:lineRule="auto"/>
        <w:rPr>
          <w:rFonts w:ascii="Arial" w:hAnsi="Arial" w:cs="Arial"/>
          <w:b/>
          <w:bCs/>
          <w:sz w:val="22"/>
          <w:szCs w:val="22"/>
        </w:rPr>
      </w:pPr>
    </w:p>
    <w:p w14:paraId="34E427EF" w14:textId="77777777" w:rsidR="004B3A20" w:rsidRDefault="004B3A20" w:rsidP="006045A7">
      <w:pPr>
        <w:spacing w:line="360" w:lineRule="auto"/>
        <w:rPr>
          <w:rFonts w:ascii="Arial" w:hAnsi="Arial" w:cs="Arial"/>
          <w:b/>
          <w:bCs/>
          <w:sz w:val="22"/>
          <w:szCs w:val="22"/>
        </w:rPr>
      </w:pPr>
    </w:p>
    <w:p w14:paraId="4562736A" w14:textId="77777777" w:rsidR="004B3A20" w:rsidRDefault="004B3A20" w:rsidP="006045A7">
      <w:pPr>
        <w:spacing w:line="360" w:lineRule="auto"/>
        <w:rPr>
          <w:rFonts w:ascii="Arial" w:hAnsi="Arial" w:cs="Arial"/>
          <w:b/>
          <w:bCs/>
          <w:sz w:val="22"/>
          <w:szCs w:val="22"/>
        </w:rPr>
      </w:pPr>
    </w:p>
    <w:p w14:paraId="2D6F4CF9" w14:textId="77777777" w:rsidR="004B3A20" w:rsidRDefault="004B3A20" w:rsidP="006045A7">
      <w:pPr>
        <w:spacing w:line="360" w:lineRule="auto"/>
        <w:rPr>
          <w:rFonts w:ascii="Arial" w:hAnsi="Arial" w:cs="Arial"/>
          <w:b/>
          <w:bCs/>
          <w:sz w:val="22"/>
          <w:szCs w:val="22"/>
        </w:rPr>
      </w:pPr>
    </w:p>
    <w:p w14:paraId="77B63E2E" w14:textId="77777777" w:rsidR="004B3A20" w:rsidRDefault="004B3A20" w:rsidP="006045A7">
      <w:pPr>
        <w:spacing w:line="360" w:lineRule="auto"/>
        <w:rPr>
          <w:rFonts w:ascii="Arial" w:hAnsi="Arial" w:cs="Arial"/>
          <w:b/>
          <w:bCs/>
          <w:sz w:val="22"/>
          <w:szCs w:val="22"/>
        </w:rPr>
      </w:pPr>
    </w:p>
    <w:p w14:paraId="2D4750FC" w14:textId="77777777" w:rsidR="004B3A20" w:rsidRDefault="004B3A20" w:rsidP="006045A7">
      <w:pPr>
        <w:spacing w:line="360" w:lineRule="auto"/>
        <w:rPr>
          <w:rFonts w:ascii="Arial" w:hAnsi="Arial" w:cs="Arial"/>
          <w:b/>
          <w:bCs/>
          <w:sz w:val="22"/>
          <w:szCs w:val="22"/>
        </w:rPr>
      </w:pPr>
    </w:p>
    <w:p w14:paraId="625366B7" w14:textId="77777777" w:rsidR="004B3A20" w:rsidRDefault="004B3A20" w:rsidP="006045A7">
      <w:pPr>
        <w:spacing w:line="360" w:lineRule="auto"/>
        <w:rPr>
          <w:rFonts w:ascii="Arial" w:hAnsi="Arial" w:cs="Arial"/>
          <w:b/>
          <w:bCs/>
          <w:sz w:val="22"/>
          <w:szCs w:val="22"/>
        </w:rPr>
      </w:pPr>
    </w:p>
    <w:p w14:paraId="531E3D01" w14:textId="77777777" w:rsidR="004B3A20" w:rsidRDefault="004B3A20" w:rsidP="006045A7">
      <w:pPr>
        <w:spacing w:line="360" w:lineRule="auto"/>
        <w:rPr>
          <w:rFonts w:ascii="Arial" w:hAnsi="Arial" w:cs="Arial"/>
          <w:b/>
          <w:bCs/>
          <w:sz w:val="22"/>
          <w:szCs w:val="22"/>
        </w:rPr>
      </w:pPr>
    </w:p>
    <w:p w14:paraId="7546E50D" w14:textId="77777777" w:rsidR="004B3A20" w:rsidRDefault="004B3A20" w:rsidP="006045A7">
      <w:pPr>
        <w:spacing w:line="360" w:lineRule="auto"/>
        <w:rPr>
          <w:rFonts w:ascii="Arial" w:hAnsi="Arial" w:cs="Arial"/>
          <w:b/>
          <w:bCs/>
          <w:sz w:val="22"/>
          <w:szCs w:val="22"/>
        </w:rPr>
      </w:pPr>
    </w:p>
    <w:p w14:paraId="6DA1344A" w14:textId="77777777" w:rsidR="004B3A20" w:rsidRDefault="004B3A20" w:rsidP="006045A7">
      <w:pPr>
        <w:spacing w:line="360" w:lineRule="auto"/>
        <w:rPr>
          <w:rFonts w:ascii="Arial" w:hAnsi="Arial" w:cs="Arial"/>
          <w:b/>
          <w:bCs/>
          <w:sz w:val="22"/>
          <w:szCs w:val="22"/>
        </w:rPr>
      </w:pPr>
    </w:p>
    <w:p w14:paraId="662B0F9A" w14:textId="77777777" w:rsidR="004B3A20" w:rsidRDefault="004B3A20" w:rsidP="006045A7">
      <w:pPr>
        <w:spacing w:line="360" w:lineRule="auto"/>
        <w:rPr>
          <w:rFonts w:ascii="Arial" w:hAnsi="Arial" w:cs="Arial"/>
          <w:b/>
          <w:bCs/>
          <w:sz w:val="22"/>
          <w:szCs w:val="22"/>
        </w:rPr>
      </w:pPr>
    </w:p>
    <w:p w14:paraId="00B4E045" w14:textId="77777777" w:rsidR="004B3A20" w:rsidRDefault="004B3A20" w:rsidP="006045A7">
      <w:pPr>
        <w:spacing w:line="360" w:lineRule="auto"/>
        <w:rPr>
          <w:rFonts w:ascii="Arial" w:hAnsi="Arial" w:cs="Arial"/>
          <w:b/>
          <w:bCs/>
          <w:sz w:val="22"/>
          <w:szCs w:val="22"/>
        </w:rPr>
      </w:pPr>
    </w:p>
    <w:p w14:paraId="45B5538B" w14:textId="77777777" w:rsidR="00CC41CD" w:rsidRDefault="00CC41CD" w:rsidP="006045A7">
      <w:pPr>
        <w:spacing w:line="360" w:lineRule="auto"/>
        <w:rPr>
          <w:rFonts w:ascii="Arial" w:hAnsi="Arial" w:cs="Arial"/>
          <w:b/>
          <w:bCs/>
          <w:sz w:val="22"/>
          <w:szCs w:val="22"/>
        </w:rPr>
      </w:pPr>
    </w:p>
    <w:p w14:paraId="0DD87B05" w14:textId="75C946FD" w:rsidR="00712F76" w:rsidRPr="00835864" w:rsidRDefault="00712F76" w:rsidP="006045A7">
      <w:pPr>
        <w:spacing w:line="360" w:lineRule="auto"/>
        <w:rPr>
          <w:rFonts w:ascii="Arial" w:hAnsi="Arial" w:cs="Arial"/>
          <w:b/>
          <w:bCs/>
          <w:sz w:val="22"/>
          <w:szCs w:val="22"/>
        </w:rPr>
      </w:pPr>
      <w:r w:rsidRPr="00835864">
        <w:rPr>
          <w:rFonts w:ascii="Arial" w:hAnsi="Arial" w:cs="Arial"/>
          <w:b/>
          <w:bCs/>
          <w:sz w:val="22"/>
          <w:szCs w:val="22"/>
        </w:rPr>
        <w:lastRenderedPageBreak/>
        <w:t>Supporting Patients with Type 2 Diabetes:</w:t>
      </w:r>
    </w:p>
    <w:p w14:paraId="44F4364C" w14:textId="77777777" w:rsidR="00712F76" w:rsidRPr="00835864" w:rsidRDefault="00712F76" w:rsidP="006045A7">
      <w:pPr>
        <w:spacing w:line="360" w:lineRule="auto"/>
        <w:rPr>
          <w:rFonts w:ascii="Arial" w:hAnsi="Arial" w:cs="Arial"/>
          <w:b/>
          <w:bCs/>
          <w:sz w:val="22"/>
          <w:szCs w:val="22"/>
        </w:rPr>
      </w:pPr>
      <w:r w:rsidRPr="00835864">
        <w:rPr>
          <w:rFonts w:ascii="Arial" w:hAnsi="Arial" w:cs="Arial"/>
          <w:b/>
          <w:bCs/>
          <w:sz w:val="22"/>
          <w:szCs w:val="22"/>
        </w:rPr>
        <w:t>Understanding Blood Glucose Control and the Impact of Lifestyle Factors</w:t>
      </w:r>
    </w:p>
    <w:p w14:paraId="67D3E663" w14:textId="77777777" w:rsidR="00712F76" w:rsidRPr="00835864" w:rsidRDefault="00712F76" w:rsidP="006045A7">
      <w:pPr>
        <w:spacing w:line="360" w:lineRule="auto"/>
        <w:rPr>
          <w:rFonts w:ascii="Arial" w:hAnsi="Arial" w:cs="Arial"/>
          <w:b/>
          <w:bCs/>
          <w:sz w:val="22"/>
          <w:szCs w:val="22"/>
        </w:rPr>
      </w:pPr>
      <w:r w:rsidRPr="00835864">
        <w:rPr>
          <w:rFonts w:ascii="Arial" w:hAnsi="Arial" w:cs="Arial"/>
          <w:b/>
          <w:bCs/>
          <w:sz w:val="22"/>
          <w:szCs w:val="22"/>
        </w:rPr>
        <w:t>Introduction</w:t>
      </w:r>
    </w:p>
    <w:p w14:paraId="21CD05F9" w14:textId="77777777" w:rsidR="00DE4C2E" w:rsidRPr="00DE4C2E" w:rsidRDefault="00DE4C2E" w:rsidP="006045A7">
      <w:pPr>
        <w:spacing w:line="360" w:lineRule="auto"/>
        <w:rPr>
          <w:rFonts w:ascii="Arial" w:hAnsi="Arial" w:cs="Arial"/>
          <w:sz w:val="22"/>
          <w:szCs w:val="22"/>
        </w:rPr>
      </w:pPr>
      <w:r w:rsidRPr="00DE4C2E">
        <w:rPr>
          <w:rFonts w:ascii="Arial" w:hAnsi="Arial" w:cs="Arial"/>
          <w:sz w:val="22"/>
          <w:szCs w:val="22"/>
        </w:rPr>
        <w:t>Diabetes mellitus is a long-term condition where blood sugar levels are too high because the body does not produce enough insulin or cannot use insulin properly (World Health Organization, 2023). It is commonly seen in GP practices, with Type 2 diabetes making up around 90% of all cases (Diabetes UK, 2024). Practice nurses have an important role in helping patients understand their condition and how to manage it.</w:t>
      </w:r>
    </w:p>
    <w:p w14:paraId="516AF4C7" w14:textId="77777777" w:rsidR="00DE4C2E" w:rsidRPr="00DE4C2E" w:rsidRDefault="00DE4C2E" w:rsidP="006045A7">
      <w:pPr>
        <w:spacing w:line="360" w:lineRule="auto"/>
        <w:rPr>
          <w:rFonts w:ascii="Arial" w:hAnsi="Arial" w:cs="Arial"/>
          <w:sz w:val="22"/>
          <w:szCs w:val="22"/>
        </w:rPr>
      </w:pPr>
      <w:r w:rsidRPr="00DE4C2E">
        <w:rPr>
          <w:rFonts w:ascii="Arial" w:hAnsi="Arial" w:cs="Arial"/>
          <w:sz w:val="22"/>
          <w:szCs w:val="22"/>
        </w:rPr>
        <w:t>Type 2 diabetes develops when the body becomes resistant to insulin and the pancreas is unable to make enough insulin to control blood sugar levels (McCance and Huether, 2019). Risk factors include older age, being overweight, lack of exercise, unhealthy diet, smoking, family history, and some ethnic backgrounds (NICE, 2023). Social factors, such as living in deprived areas, can also increase risk.</w:t>
      </w:r>
    </w:p>
    <w:p w14:paraId="0F3D4F89" w14:textId="77777777" w:rsidR="00DE4C2E" w:rsidRPr="00DE4C2E" w:rsidRDefault="00DE4C2E" w:rsidP="006045A7">
      <w:pPr>
        <w:spacing w:line="360" w:lineRule="auto"/>
        <w:rPr>
          <w:rFonts w:ascii="Arial" w:hAnsi="Arial" w:cs="Arial"/>
          <w:sz w:val="22"/>
          <w:szCs w:val="22"/>
        </w:rPr>
      </w:pPr>
      <w:r w:rsidRPr="00DE4C2E">
        <w:rPr>
          <w:rFonts w:ascii="Arial" w:hAnsi="Arial" w:cs="Arial"/>
          <w:sz w:val="22"/>
          <w:szCs w:val="22"/>
        </w:rPr>
        <w:t>Many patients do not fully understand how lifestyle choices affect their blood sugar. Improving education can help patients manage their diabetes more effectively and reduce the risk of complications.</w:t>
      </w:r>
    </w:p>
    <w:p w14:paraId="5DEA72CE" w14:textId="77777777" w:rsidR="00987FC9" w:rsidRPr="00987FC9" w:rsidRDefault="00987FC9" w:rsidP="006045A7">
      <w:pPr>
        <w:spacing w:line="360" w:lineRule="auto"/>
        <w:rPr>
          <w:rFonts w:ascii="Arial" w:hAnsi="Arial" w:cs="Arial"/>
          <w:b/>
          <w:bCs/>
          <w:sz w:val="22"/>
          <w:szCs w:val="22"/>
        </w:rPr>
      </w:pPr>
      <w:r w:rsidRPr="00987FC9">
        <w:rPr>
          <w:rFonts w:ascii="Arial" w:hAnsi="Arial" w:cs="Arial"/>
          <w:b/>
          <w:bCs/>
          <w:sz w:val="22"/>
          <w:szCs w:val="22"/>
        </w:rPr>
        <w:t>Regulation of Blood Sugar Levels</w:t>
      </w:r>
    </w:p>
    <w:p w14:paraId="0643309E" w14:textId="77777777" w:rsidR="00987FC9" w:rsidRPr="00987FC9" w:rsidRDefault="00987FC9" w:rsidP="006045A7">
      <w:pPr>
        <w:spacing w:line="360" w:lineRule="auto"/>
        <w:rPr>
          <w:rFonts w:ascii="Arial" w:hAnsi="Arial" w:cs="Arial"/>
          <w:sz w:val="22"/>
          <w:szCs w:val="22"/>
        </w:rPr>
      </w:pPr>
      <w:r w:rsidRPr="00987FC9">
        <w:rPr>
          <w:rFonts w:ascii="Arial" w:hAnsi="Arial" w:cs="Arial"/>
          <w:sz w:val="22"/>
          <w:szCs w:val="22"/>
        </w:rPr>
        <w:t>Blood glucose regulation is essential for maintaining normal body function and ensuring that cells receive a steady supply of energy. Glucose is the main fuel used by the body, particularly by the brain and muscles, and blood glucose levels must be kept within a narrow range to prevent harm (Hall and Guyton, 2020). If levels become too high or too low, serious short-term and long-term health problems can occur. The body therefore uses a complex hormonal control system to regulate blood glucose concentrations and maintain balance, also known as homeostasis.</w:t>
      </w:r>
    </w:p>
    <w:p w14:paraId="5AACC077" w14:textId="77777777" w:rsidR="00987FC9" w:rsidRPr="00987FC9" w:rsidRDefault="00987FC9" w:rsidP="006045A7">
      <w:pPr>
        <w:spacing w:line="360" w:lineRule="auto"/>
        <w:rPr>
          <w:rFonts w:ascii="Arial" w:hAnsi="Arial" w:cs="Arial"/>
          <w:sz w:val="22"/>
          <w:szCs w:val="22"/>
        </w:rPr>
      </w:pPr>
      <w:r w:rsidRPr="00987FC9">
        <w:rPr>
          <w:rFonts w:ascii="Arial" w:hAnsi="Arial" w:cs="Arial"/>
          <w:sz w:val="22"/>
          <w:szCs w:val="22"/>
        </w:rPr>
        <w:t>The regulation of blood glucose levels is primarily controlled by the pancreas through the release of two key hormones: insulin and glucagon (Tortora and Derrickson, 2021). The pancreas contains clusters of endocrine cells known as the islets of Langerhans, which include beta cells that secrete insulin and alpha cells that secrete glucagon. These hormones work together to ensure that glucose is available when needed and stored when there is excess.</w:t>
      </w:r>
    </w:p>
    <w:p w14:paraId="30606F5F" w14:textId="77777777" w:rsidR="00987FC9" w:rsidRPr="00987FC9" w:rsidRDefault="00987FC9" w:rsidP="006045A7">
      <w:pPr>
        <w:spacing w:line="360" w:lineRule="auto"/>
        <w:rPr>
          <w:rFonts w:ascii="Arial" w:hAnsi="Arial" w:cs="Arial"/>
          <w:sz w:val="22"/>
          <w:szCs w:val="22"/>
        </w:rPr>
      </w:pPr>
      <w:r w:rsidRPr="00987FC9">
        <w:rPr>
          <w:rFonts w:ascii="Arial" w:hAnsi="Arial" w:cs="Arial"/>
          <w:sz w:val="22"/>
          <w:szCs w:val="22"/>
        </w:rPr>
        <w:t xml:space="preserve">After eating, particularly meals containing carbohydrates such as bread, rice, or pasta, carbohydrates are broken down into glucose during digestion. This glucose is absorbed from the small intestine into the bloodstream, causing blood glucose levels to rise. In response to </w:t>
      </w:r>
      <w:r w:rsidRPr="00987FC9">
        <w:rPr>
          <w:rFonts w:ascii="Arial" w:hAnsi="Arial" w:cs="Arial"/>
          <w:sz w:val="22"/>
          <w:szCs w:val="22"/>
        </w:rPr>
        <w:lastRenderedPageBreak/>
        <w:t>this increase, the pancreas releases insulin (McCance and Huether, 2019). Insulin acts as a key that allows glucose to move from the bloodstream into body cells, where it can be used immediately to produce energy or stored for future use.</w:t>
      </w:r>
    </w:p>
    <w:p w14:paraId="7E9D56B1" w14:textId="77777777" w:rsidR="00987FC9" w:rsidRPr="00987FC9" w:rsidRDefault="00987FC9" w:rsidP="006045A7">
      <w:pPr>
        <w:spacing w:line="360" w:lineRule="auto"/>
        <w:rPr>
          <w:rFonts w:ascii="Arial" w:hAnsi="Arial" w:cs="Arial"/>
          <w:sz w:val="22"/>
          <w:szCs w:val="22"/>
        </w:rPr>
      </w:pPr>
      <w:r w:rsidRPr="00987FC9">
        <w:rPr>
          <w:rFonts w:ascii="Arial" w:hAnsi="Arial" w:cs="Arial"/>
          <w:sz w:val="22"/>
          <w:szCs w:val="22"/>
        </w:rPr>
        <w:t>Excess glucose that is not required immediately is stored as glycogen, mainly in the liver and skeletal muscles. The liver plays a particularly important role in regulating blood glucose, as it can release stored glucose back into the bloodstream when needed. As glucose is removed from the blood and taken up by cells, blood glucose levels gradually return to a normal range (Hall and Guyton, 2020). This process prevents prolonged hyperglycaemia following meals.</w:t>
      </w:r>
    </w:p>
    <w:p w14:paraId="7513B391" w14:textId="77777777" w:rsidR="00987FC9" w:rsidRPr="00987FC9" w:rsidRDefault="00987FC9" w:rsidP="006045A7">
      <w:pPr>
        <w:spacing w:line="360" w:lineRule="auto"/>
        <w:rPr>
          <w:rFonts w:ascii="Arial" w:hAnsi="Arial" w:cs="Arial"/>
          <w:sz w:val="22"/>
          <w:szCs w:val="22"/>
        </w:rPr>
      </w:pPr>
      <w:r w:rsidRPr="00987FC9">
        <w:rPr>
          <w:rFonts w:ascii="Arial" w:hAnsi="Arial" w:cs="Arial"/>
          <w:sz w:val="22"/>
          <w:szCs w:val="22"/>
        </w:rPr>
        <w:t>When blood glucose levels fall, such as during periods of fasting, between meals, or during physical activity, the pancreas responds by releasing glucagon. Glucagon has the opposite effect to insulin and stimulates the liver to break down glycogen into glucose, which is then released into the bloodstream (Hall and Guyton, 2020). This process helps prevent hypoglycaemia and ensures that vital organs, particularly the brain, continue to receive an adequate supply of glucose.</w:t>
      </w:r>
    </w:p>
    <w:p w14:paraId="0FDCB7D7" w14:textId="77777777" w:rsidR="00987FC9" w:rsidRPr="00987FC9" w:rsidRDefault="00987FC9" w:rsidP="006045A7">
      <w:pPr>
        <w:spacing w:line="360" w:lineRule="auto"/>
        <w:rPr>
          <w:rFonts w:ascii="Arial" w:hAnsi="Arial" w:cs="Arial"/>
          <w:sz w:val="22"/>
          <w:szCs w:val="22"/>
        </w:rPr>
      </w:pPr>
      <w:r w:rsidRPr="00987FC9">
        <w:rPr>
          <w:rFonts w:ascii="Arial" w:hAnsi="Arial" w:cs="Arial"/>
          <w:sz w:val="22"/>
          <w:szCs w:val="22"/>
        </w:rPr>
        <w:t>Through the balanced action of insulin and glucagon, blood glucose levels are normally maintained within a safe range. For most adults, this range is approximately 4 to 7 mmol/L (NICE, 2023). Maintaining blood glucose within this range is crucial, as prolonged high or low levels can lead to both immediate symptoms and long-term health complications.</w:t>
      </w:r>
    </w:p>
    <w:p w14:paraId="218577D1" w14:textId="77777777" w:rsidR="00987FC9" w:rsidRPr="00987FC9" w:rsidRDefault="00987FC9" w:rsidP="006045A7">
      <w:pPr>
        <w:spacing w:line="360" w:lineRule="auto"/>
        <w:rPr>
          <w:rFonts w:ascii="Arial" w:hAnsi="Arial" w:cs="Arial"/>
          <w:sz w:val="22"/>
          <w:szCs w:val="22"/>
        </w:rPr>
      </w:pPr>
      <w:r w:rsidRPr="00987FC9">
        <w:rPr>
          <w:rFonts w:ascii="Arial" w:hAnsi="Arial" w:cs="Arial"/>
          <w:sz w:val="22"/>
          <w:szCs w:val="22"/>
        </w:rPr>
        <w:t xml:space="preserve">In individuals with Type 2 diabetes, this regulatory system does not function effectively. One of the main problems is insulin resistance, where body cells do not respond properly to insulin. As a result, glucose is unable to enter cells efficiently and remains in the bloodstream (DeFronzo </w:t>
      </w:r>
      <w:r w:rsidRPr="007868D0">
        <w:rPr>
          <w:rFonts w:ascii="Arial" w:hAnsi="Arial" w:cs="Arial"/>
          <w:i/>
          <w:iCs/>
          <w:sz w:val="22"/>
          <w:szCs w:val="22"/>
        </w:rPr>
        <w:t>et al.</w:t>
      </w:r>
      <w:r w:rsidRPr="00987FC9">
        <w:rPr>
          <w:rFonts w:ascii="Arial" w:hAnsi="Arial" w:cs="Arial"/>
          <w:sz w:val="22"/>
          <w:szCs w:val="22"/>
        </w:rPr>
        <w:t>, 2015). Over time, the pancreas may also become less able to produce sufficient insulin, further worsening blood glucose control.</w:t>
      </w:r>
    </w:p>
    <w:p w14:paraId="1852560F" w14:textId="1531E840" w:rsidR="00987FC9" w:rsidRPr="00987FC9" w:rsidRDefault="00987FC9" w:rsidP="006045A7">
      <w:pPr>
        <w:spacing w:line="360" w:lineRule="auto"/>
        <w:rPr>
          <w:rFonts w:ascii="Arial" w:hAnsi="Arial" w:cs="Arial"/>
          <w:sz w:val="22"/>
          <w:szCs w:val="22"/>
        </w:rPr>
      </w:pPr>
      <w:r w:rsidRPr="00987FC9">
        <w:rPr>
          <w:rFonts w:ascii="Arial" w:hAnsi="Arial" w:cs="Arial"/>
          <w:sz w:val="22"/>
          <w:szCs w:val="22"/>
        </w:rPr>
        <w:t>Persistent high blood glucose levels, known as chronic hyperglycaemia, can cause damage to blood vessels and organs throughout the body. This damage increases the risk of serious complications, including cardiovascular disease, kidney disease, nerve damage (neuropathy), and eye damage (retinopathy) (Diabetes UK, 2024). Understanding how blood glucose is regulated helps patients appreciate the importance of managing their condition and following treatment plans designed to keep blood glucose levels within a safe range.</w:t>
      </w:r>
    </w:p>
    <w:p w14:paraId="5AFEC44B" w14:textId="77777777" w:rsidR="00712F76" w:rsidRPr="00835864" w:rsidRDefault="00712F76" w:rsidP="006045A7">
      <w:pPr>
        <w:spacing w:line="360" w:lineRule="auto"/>
        <w:rPr>
          <w:rFonts w:ascii="Arial" w:hAnsi="Arial" w:cs="Arial"/>
          <w:b/>
          <w:bCs/>
          <w:sz w:val="22"/>
          <w:szCs w:val="22"/>
        </w:rPr>
      </w:pPr>
      <w:r w:rsidRPr="00835864">
        <w:rPr>
          <w:rFonts w:ascii="Arial" w:hAnsi="Arial" w:cs="Arial"/>
          <w:b/>
          <w:bCs/>
          <w:sz w:val="22"/>
          <w:szCs w:val="22"/>
        </w:rPr>
        <w:t>Use of Oxygen and Glucose in Energy Production</w:t>
      </w:r>
    </w:p>
    <w:p w14:paraId="2E4CE012" w14:textId="77777777" w:rsidR="003B6CC2" w:rsidRPr="003B6CC2" w:rsidRDefault="003B6CC2" w:rsidP="006045A7">
      <w:pPr>
        <w:spacing w:line="360" w:lineRule="auto"/>
        <w:rPr>
          <w:rFonts w:ascii="Arial" w:hAnsi="Arial" w:cs="Arial"/>
          <w:sz w:val="22"/>
          <w:szCs w:val="22"/>
        </w:rPr>
      </w:pPr>
      <w:r w:rsidRPr="003B6CC2">
        <w:rPr>
          <w:rFonts w:ascii="Arial" w:hAnsi="Arial" w:cs="Arial"/>
          <w:sz w:val="22"/>
          <w:szCs w:val="22"/>
        </w:rPr>
        <w:t xml:space="preserve">Glucose is the body’s primary source of energy and is essential for the survival and normal functioning of cells. Cells use glucose to produce energy through a process known as cellular respiration, which requires both glucose and oxygen (Tortora and Derrickson, 2021). </w:t>
      </w:r>
      <w:r w:rsidRPr="003B6CC2">
        <w:rPr>
          <w:rFonts w:ascii="Arial" w:hAnsi="Arial" w:cs="Arial"/>
          <w:sz w:val="22"/>
          <w:szCs w:val="22"/>
        </w:rPr>
        <w:lastRenderedPageBreak/>
        <w:t>This process allows the body to generate energy needed for vital activities such as movement, growth, repair, and maintaining body temperature.</w:t>
      </w:r>
    </w:p>
    <w:p w14:paraId="563CEAF4" w14:textId="77777777" w:rsidR="003B6CC2" w:rsidRPr="003B6CC2" w:rsidRDefault="003B6CC2" w:rsidP="006045A7">
      <w:pPr>
        <w:spacing w:line="360" w:lineRule="auto"/>
        <w:rPr>
          <w:rFonts w:ascii="Arial" w:hAnsi="Arial" w:cs="Arial"/>
          <w:sz w:val="22"/>
          <w:szCs w:val="22"/>
        </w:rPr>
      </w:pPr>
      <w:r w:rsidRPr="003B6CC2">
        <w:rPr>
          <w:rFonts w:ascii="Arial" w:hAnsi="Arial" w:cs="Arial"/>
          <w:sz w:val="22"/>
          <w:szCs w:val="22"/>
        </w:rPr>
        <w:t>Cellular respiration occurs mainly within specialised structures inside cells called mitochondria. The energy produced is stored in the form of adenosine triphosphate (ATP), which is often described as the energy currency of the cell. ATP provides energy for a wide range of cellular processes, including muscle contraction, nerve signalling, and protein synthesis (McCance and Huether, 2019).</w:t>
      </w:r>
    </w:p>
    <w:p w14:paraId="7A0E795D" w14:textId="77777777" w:rsidR="003B6CC2" w:rsidRPr="003B6CC2" w:rsidRDefault="003B6CC2" w:rsidP="006045A7">
      <w:pPr>
        <w:spacing w:line="360" w:lineRule="auto"/>
        <w:rPr>
          <w:rFonts w:ascii="Arial" w:hAnsi="Arial" w:cs="Arial"/>
          <w:sz w:val="22"/>
          <w:szCs w:val="22"/>
        </w:rPr>
      </w:pPr>
      <w:r w:rsidRPr="003B6CC2">
        <w:rPr>
          <w:rFonts w:ascii="Arial" w:hAnsi="Arial" w:cs="Arial"/>
          <w:sz w:val="22"/>
          <w:szCs w:val="22"/>
        </w:rPr>
        <w:t>The first stage of cellular respiration is glycolysis, which takes place in the cytoplasm of the cell. During glycolysis, one molecule of glucose is broken down into two molecules of pyruvate. This process produces a small amount of ATP and does not require oxygen (Hall and Guyton, 2020). Glycolysis provides a rapid source of energy, particularly during periods of increased energy demand.</w:t>
      </w:r>
    </w:p>
    <w:p w14:paraId="1852E61D" w14:textId="77777777" w:rsidR="003B6CC2" w:rsidRPr="003B6CC2" w:rsidRDefault="003B6CC2" w:rsidP="006045A7">
      <w:pPr>
        <w:spacing w:line="360" w:lineRule="auto"/>
        <w:rPr>
          <w:rFonts w:ascii="Arial" w:hAnsi="Arial" w:cs="Arial"/>
          <w:sz w:val="22"/>
          <w:szCs w:val="22"/>
        </w:rPr>
      </w:pPr>
      <w:r w:rsidRPr="003B6CC2">
        <w:rPr>
          <w:rFonts w:ascii="Arial" w:hAnsi="Arial" w:cs="Arial"/>
          <w:sz w:val="22"/>
          <w:szCs w:val="22"/>
        </w:rPr>
        <w:t>When oxygen is available, pyruvate enters the mitochondria, where it is further broken down during the Krebs cycle. This stage releases energy-rich electrons that are passed along a series of proteins in the electron transport chain. Oxygen plays a vital role in the final stage of this process, known as oxidative phosphorylation (Tortora and Derrickson, 2021).</w:t>
      </w:r>
    </w:p>
    <w:p w14:paraId="3F52ADCB" w14:textId="77777777" w:rsidR="003B6CC2" w:rsidRPr="003B6CC2" w:rsidRDefault="003B6CC2" w:rsidP="006045A7">
      <w:pPr>
        <w:spacing w:line="360" w:lineRule="auto"/>
        <w:rPr>
          <w:rFonts w:ascii="Arial" w:hAnsi="Arial" w:cs="Arial"/>
          <w:sz w:val="22"/>
          <w:szCs w:val="22"/>
        </w:rPr>
      </w:pPr>
      <w:r w:rsidRPr="003B6CC2">
        <w:rPr>
          <w:rFonts w:ascii="Arial" w:hAnsi="Arial" w:cs="Arial"/>
          <w:sz w:val="22"/>
          <w:szCs w:val="22"/>
        </w:rPr>
        <w:t xml:space="preserve">During oxidative phosphorylation, oxygen acts as the final electron acceptor, allowing electrons to combine with hydrogen ions to form water. This process enables the production of large amounts of ATP, making it the most efficient stage of cellular respiration (McCance and Huether, 2019). </w:t>
      </w:r>
      <w:proofErr w:type="gramStart"/>
      <w:r w:rsidRPr="003B6CC2">
        <w:rPr>
          <w:rFonts w:ascii="Arial" w:hAnsi="Arial" w:cs="Arial"/>
          <w:sz w:val="22"/>
          <w:szCs w:val="22"/>
        </w:rPr>
        <w:t>The majority of</w:t>
      </w:r>
      <w:proofErr w:type="gramEnd"/>
      <w:r w:rsidRPr="003B6CC2">
        <w:rPr>
          <w:rFonts w:ascii="Arial" w:hAnsi="Arial" w:cs="Arial"/>
          <w:sz w:val="22"/>
          <w:szCs w:val="22"/>
        </w:rPr>
        <w:t xml:space="preserve"> the body’s energy supply is generated during this stage.</w:t>
      </w:r>
    </w:p>
    <w:p w14:paraId="61E2149E" w14:textId="77777777" w:rsidR="003B6CC2" w:rsidRPr="003B6CC2" w:rsidRDefault="003B6CC2" w:rsidP="006045A7">
      <w:pPr>
        <w:spacing w:line="360" w:lineRule="auto"/>
        <w:rPr>
          <w:rFonts w:ascii="Arial" w:hAnsi="Arial" w:cs="Arial"/>
          <w:sz w:val="22"/>
          <w:szCs w:val="22"/>
        </w:rPr>
      </w:pPr>
      <w:r w:rsidRPr="003B6CC2">
        <w:rPr>
          <w:rFonts w:ascii="Arial" w:hAnsi="Arial" w:cs="Arial"/>
          <w:sz w:val="22"/>
          <w:szCs w:val="22"/>
        </w:rPr>
        <w:t xml:space="preserve">In people with Type 2 diabetes, glucose uptake into cells is impaired due to insulin resistance. Even though blood glucose levels may be high, glucose cannot easily enter cells to be used for energy (DeFronzo </w:t>
      </w:r>
      <w:r w:rsidRPr="00D05F0C">
        <w:rPr>
          <w:rFonts w:ascii="Arial" w:hAnsi="Arial" w:cs="Arial"/>
          <w:i/>
          <w:iCs/>
          <w:sz w:val="22"/>
          <w:szCs w:val="22"/>
        </w:rPr>
        <w:t>et al.</w:t>
      </w:r>
      <w:r w:rsidRPr="003B6CC2">
        <w:rPr>
          <w:rFonts w:ascii="Arial" w:hAnsi="Arial" w:cs="Arial"/>
          <w:sz w:val="22"/>
          <w:szCs w:val="22"/>
        </w:rPr>
        <w:t>, 2015). As a result, cells may be deprived of the energy they need, leading to symptoms such as fatigue, weakness, and reduced exercise tolerance.</w:t>
      </w:r>
    </w:p>
    <w:p w14:paraId="393DE35D" w14:textId="77777777" w:rsidR="003B6CC2" w:rsidRPr="003B6CC2" w:rsidRDefault="003B6CC2" w:rsidP="006045A7">
      <w:pPr>
        <w:spacing w:line="360" w:lineRule="auto"/>
        <w:rPr>
          <w:rFonts w:ascii="Arial" w:hAnsi="Arial" w:cs="Arial"/>
          <w:sz w:val="22"/>
          <w:szCs w:val="22"/>
        </w:rPr>
      </w:pPr>
      <w:r w:rsidRPr="003B6CC2">
        <w:rPr>
          <w:rFonts w:ascii="Arial" w:hAnsi="Arial" w:cs="Arial"/>
          <w:sz w:val="22"/>
          <w:szCs w:val="22"/>
        </w:rPr>
        <w:t>This imbalance highlights the importance of effective blood glucose control in individuals with diabetes. Maintaining blood glucose levels within a target range ensures that cells have access to glucose for energy production and helps support normal metabolic function across the body.</w:t>
      </w:r>
    </w:p>
    <w:p w14:paraId="0FE61A91" w14:textId="77777777" w:rsidR="00712F76" w:rsidRPr="00835864" w:rsidRDefault="00712F76" w:rsidP="006045A7">
      <w:pPr>
        <w:spacing w:line="360" w:lineRule="auto"/>
        <w:rPr>
          <w:rFonts w:ascii="Arial" w:hAnsi="Arial" w:cs="Arial"/>
          <w:b/>
          <w:bCs/>
          <w:sz w:val="22"/>
          <w:szCs w:val="22"/>
        </w:rPr>
      </w:pPr>
      <w:r w:rsidRPr="00835864">
        <w:rPr>
          <w:rFonts w:ascii="Arial" w:hAnsi="Arial" w:cs="Arial"/>
          <w:b/>
          <w:bCs/>
          <w:sz w:val="22"/>
          <w:szCs w:val="22"/>
        </w:rPr>
        <w:t>Importance of Recording and Tracking Blood Sugar Levels</w:t>
      </w:r>
    </w:p>
    <w:p w14:paraId="695C248A" w14:textId="77777777" w:rsidR="006045A7" w:rsidRPr="006045A7" w:rsidRDefault="006045A7" w:rsidP="006045A7">
      <w:pPr>
        <w:spacing w:line="360" w:lineRule="auto"/>
        <w:rPr>
          <w:rFonts w:ascii="Arial" w:hAnsi="Arial" w:cs="Arial"/>
          <w:sz w:val="22"/>
          <w:szCs w:val="22"/>
        </w:rPr>
      </w:pPr>
      <w:r w:rsidRPr="006045A7">
        <w:rPr>
          <w:rFonts w:ascii="Arial" w:hAnsi="Arial" w:cs="Arial"/>
          <w:sz w:val="22"/>
          <w:szCs w:val="22"/>
        </w:rPr>
        <w:t xml:space="preserve">Monitoring and recording blood glucose levels is a central component of safe and effective Type 2 diabetes management. Self-monitoring of blood glucose (SMBG) enables individuals to understand how their blood sugar levels change throughout the day and in response to </w:t>
      </w:r>
      <w:r w:rsidRPr="006045A7">
        <w:rPr>
          <w:rFonts w:ascii="Arial" w:hAnsi="Arial" w:cs="Arial"/>
          <w:sz w:val="22"/>
          <w:szCs w:val="22"/>
        </w:rPr>
        <w:lastRenderedPageBreak/>
        <w:t>different factors, such as diet, physical activity, medication, stress, and illness (Diabetes UK, 2024).</w:t>
      </w:r>
    </w:p>
    <w:p w14:paraId="0EF2B33E" w14:textId="77777777" w:rsidR="006045A7" w:rsidRPr="006045A7" w:rsidRDefault="006045A7" w:rsidP="006045A7">
      <w:pPr>
        <w:spacing w:line="360" w:lineRule="auto"/>
        <w:rPr>
          <w:rFonts w:ascii="Arial" w:hAnsi="Arial" w:cs="Arial"/>
          <w:sz w:val="22"/>
          <w:szCs w:val="22"/>
        </w:rPr>
      </w:pPr>
      <w:r w:rsidRPr="006045A7">
        <w:rPr>
          <w:rFonts w:ascii="Arial" w:hAnsi="Arial" w:cs="Arial"/>
          <w:sz w:val="22"/>
          <w:szCs w:val="22"/>
        </w:rPr>
        <w:t>Recording blood glucose readings over time allows individuals and healthcare professionals to identify patterns and trends rather than focusing on single readings. For example, repeated high readings after meals may suggest that dietary changes are needed, while frequent low readings may indicate that medication doses require adjustment (NICE, 2023). This information supports personalised care and helps improve treatment effectiveness.</w:t>
      </w:r>
    </w:p>
    <w:p w14:paraId="0FD2F8F0" w14:textId="77777777" w:rsidR="006045A7" w:rsidRPr="006045A7" w:rsidRDefault="006045A7" w:rsidP="006045A7">
      <w:pPr>
        <w:spacing w:line="360" w:lineRule="auto"/>
        <w:rPr>
          <w:rFonts w:ascii="Arial" w:hAnsi="Arial" w:cs="Arial"/>
          <w:sz w:val="22"/>
          <w:szCs w:val="22"/>
        </w:rPr>
      </w:pPr>
      <w:r w:rsidRPr="006045A7">
        <w:rPr>
          <w:rFonts w:ascii="Arial" w:hAnsi="Arial" w:cs="Arial"/>
          <w:sz w:val="22"/>
          <w:szCs w:val="22"/>
        </w:rPr>
        <w:t>Regular monitoring also plays an important role in reducing the risk of complications. Persistent hyperglycaemia increases the likelihood of long-term complications, including heart disease, kidney damage, and nerve damage. In contrast, hypoglycaemia can cause immediate symptoms such as dizziness, confusion, sweating, and loss of consciousness, which may pose safety risks, particularly for older adults (Frier, 2014).</w:t>
      </w:r>
    </w:p>
    <w:p w14:paraId="2BA4D77F" w14:textId="77777777" w:rsidR="006045A7" w:rsidRPr="006045A7" w:rsidRDefault="006045A7" w:rsidP="006045A7">
      <w:pPr>
        <w:spacing w:line="360" w:lineRule="auto"/>
        <w:rPr>
          <w:rFonts w:ascii="Arial" w:hAnsi="Arial" w:cs="Arial"/>
          <w:sz w:val="22"/>
          <w:szCs w:val="22"/>
        </w:rPr>
      </w:pPr>
      <w:r w:rsidRPr="006045A7">
        <w:rPr>
          <w:rFonts w:ascii="Arial" w:hAnsi="Arial" w:cs="Arial"/>
          <w:sz w:val="22"/>
          <w:szCs w:val="22"/>
        </w:rPr>
        <w:t>By recording blood glucose levels, individuals can recognise early warning signs and take appropriate action, such as consuming carbohydrates to prevent hypoglycaemia or seeking medical advice if readings remain consistently high. SMBG also supports shared decision-making during healthcare appointments, as accurate records enable nurses and other healthcare professionals to review progress and adjust care plans accordingly.</w:t>
      </w:r>
    </w:p>
    <w:p w14:paraId="6DEBE179" w14:textId="77777777" w:rsidR="006045A7" w:rsidRPr="006045A7" w:rsidRDefault="006045A7" w:rsidP="006045A7">
      <w:pPr>
        <w:spacing w:line="360" w:lineRule="auto"/>
        <w:rPr>
          <w:rFonts w:ascii="Arial" w:hAnsi="Arial" w:cs="Arial"/>
          <w:sz w:val="22"/>
          <w:szCs w:val="22"/>
        </w:rPr>
      </w:pPr>
      <w:r w:rsidRPr="006045A7">
        <w:rPr>
          <w:rFonts w:ascii="Arial" w:hAnsi="Arial" w:cs="Arial"/>
          <w:sz w:val="22"/>
          <w:szCs w:val="22"/>
        </w:rPr>
        <w:t>In addition to clinical benefits, monitoring blood glucose levels can improve patient engagement and motivation. When individuals see improvements in their readings following positive lifestyle changes, such as healthier eating or increased physical activity, they may feel more confident and motivated to continue managing their condition effectively (Diabetes UK, 2024).</w:t>
      </w:r>
    </w:p>
    <w:p w14:paraId="4F514C14" w14:textId="77777777" w:rsidR="00712F76" w:rsidRPr="00835864" w:rsidRDefault="00712F76" w:rsidP="006045A7">
      <w:pPr>
        <w:spacing w:line="360" w:lineRule="auto"/>
        <w:rPr>
          <w:rFonts w:ascii="Arial" w:hAnsi="Arial" w:cs="Arial"/>
          <w:b/>
          <w:bCs/>
          <w:sz w:val="22"/>
          <w:szCs w:val="22"/>
        </w:rPr>
      </w:pPr>
      <w:r w:rsidRPr="00835864">
        <w:rPr>
          <w:rFonts w:ascii="Arial" w:hAnsi="Arial" w:cs="Arial"/>
          <w:b/>
          <w:bCs/>
          <w:sz w:val="22"/>
          <w:szCs w:val="22"/>
        </w:rPr>
        <w:t>Lifestyle Changes and Evidence-Based Recommendations</w:t>
      </w:r>
    </w:p>
    <w:p w14:paraId="26A29D9A" w14:textId="77777777" w:rsidR="006045A7" w:rsidRPr="006045A7" w:rsidRDefault="006045A7" w:rsidP="006045A7">
      <w:pPr>
        <w:spacing w:line="360" w:lineRule="auto"/>
        <w:rPr>
          <w:rFonts w:ascii="Arial" w:hAnsi="Arial" w:cs="Arial"/>
          <w:sz w:val="22"/>
          <w:szCs w:val="22"/>
        </w:rPr>
      </w:pPr>
      <w:r w:rsidRPr="006045A7">
        <w:rPr>
          <w:rFonts w:ascii="Arial" w:hAnsi="Arial" w:cs="Arial"/>
          <w:sz w:val="22"/>
          <w:szCs w:val="22"/>
        </w:rPr>
        <w:t>Lifestyle modification is a key element in the management of Type 2 diabetes and is strongly supported by clinical evidence. Addressing lifestyle factors such as diet, physical activity, and smoking can significantly improve blood glucose control, reduce insulin resistance, and lower the risk of long-term complications (NICE, 2023).</w:t>
      </w:r>
    </w:p>
    <w:p w14:paraId="4784E6F9" w14:textId="77777777" w:rsidR="006045A7" w:rsidRPr="006045A7" w:rsidRDefault="006045A7" w:rsidP="006045A7">
      <w:pPr>
        <w:spacing w:line="360" w:lineRule="auto"/>
        <w:rPr>
          <w:rFonts w:ascii="Arial" w:hAnsi="Arial" w:cs="Arial"/>
          <w:b/>
          <w:bCs/>
          <w:sz w:val="22"/>
          <w:szCs w:val="22"/>
        </w:rPr>
      </w:pPr>
      <w:r w:rsidRPr="006045A7">
        <w:rPr>
          <w:rFonts w:ascii="Arial" w:hAnsi="Arial" w:cs="Arial"/>
          <w:b/>
          <w:bCs/>
          <w:sz w:val="22"/>
          <w:szCs w:val="22"/>
        </w:rPr>
        <w:t>Diet</w:t>
      </w:r>
    </w:p>
    <w:p w14:paraId="509DC9FA" w14:textId="77777777" w:rsidR="006045A7" w:rsidRPr="006045A7" w:rsidRDefault="006045A7" w:rsidP="006045A7">
      <w:pPr>
        <w:spacing w:line="360" w:lineRule="auto"/>
        <w:rPr>
          <w:rFonts w:ascii="Arial" w:hAnsi="Arial" w:cs="Arial"/>
          <w:sz w:val="22"/>
          <w:szCs w:val="22"/>
        </w:rPr>
      </w:pPr>
      <w:r w:rsidRPr="006045A7">
        <w:rPr>
          <w:rFonts w:ascii="Arial" w:hAnsi="Arial" w:cs="Arial"/>
          <w:sz w:val="22"/>
          <w:szCs w:val="22"/>
        </w:rPr>
        <w:t xml:space="preserve">A balanced and nutritious diet is essential for effective blood glucose management. Diets that are high in whole grains, vegetables, fruits, lean proteins, and unsaturated fats have been shown to improve insulin sensitivity and help stabilise blood glucose levels (Dyson </w:t>
      </w:r>
      <w:r w:rsidRPr="00D05F0C">
        <w:rPr>
          <w:rFonts w:ascii="Arial" w:hAnsi="Arial" w:cs="Arial"/>
          <w:i/>
          <w:iCs/>
          <w:sz w:val="22"/>
          <w:szCs w:val="22"/>
        </w:rPr>
        <w:t>et al</w:t>
      </w:r>
      <w:r w:rsidRPr="006045A7">
        <w:rPr>
          <w:rFonts w:ascii="Arial" w:hAnsi="Arial" w:cs="Arial"/>
          <w:sz w:val="22"/>
          <w:szCs w:val="22"/>
        </w:rPr>
        <w:t>., 2018). These foods are digested more slowly, leading to a gradual release of glucose into the bloodstream.</w:t>
      </w:r>
    </w:p>
    <w:p w14:paraId="505A6EC2" w14:textId="77777777" w:rsidR="006045A7" w:rsidRPr="006045A7" w:rsidRDefault="006045A7" w:rsidP="006045A7">
      <w:pPr>
        <w:spacing w:line="360" w:lineRule="auto"/>
        <w:rPr>
          <w:rFonts w:ascii="Arial" w:hAnsi="Arial" w:cs="Arial"/>
          <w:sz w:val="22"/>
          <w:szCs w:val="22"/>
        </w:rPr>
      </w:pPr>
      <w:r w:rsidRPr="006045A7">
        <w:rPr>
          <w:rFonts w:ascii="Arial" w:hAnsi="Arial" w:cs="Arial"/>
          <w:sz w:val="22"/>
          <w:szCs w:val="22"/>
        </w:rPr>
        <w:lastRenderedPageBreak/>
        <w:t>Reducing the intake of refined carbohydrates and foods high in added sugars is particularly important for people with Type 2 diabetes. Sugary foods and drinks can cause rapid increases in blood glucose levels, making it more difficult to maintain control. Limiting processed foods and choosing healthier alternatives supports more stable blood glucose levels.</w:t>
      </w:r>
    </w:p>
    <w:p w14:paraId="3857FABE" w14:textId="77777777" w:rsidR="006045A7" w:rsidRPr="006045A7" w:rsidRDefault="006045A7" w:rsidP="006045A7">
      <w:pPr>
        <w:spacing w:line="360" w:lineRule="auto"/>
        <w:rPr>
          <w:rFonts w:ascii="Arial" w:hAnsi="Arial" w:cs="Arial"/>
          <w:sz w:val="22"/>
          <w:szCs w:val="22"/>
        </w:rPr>
      </w:pPr>
      <w:r w:rsidRPr="006045A7">
        <w:rPr>
          <w:rFonts w:ascii="Arial" w:hAnsi="Arial" w:cs="Arial"/>
          <w:sz w:val="22"/>
          <w:szCs w:val="22"/>
        </w:rPr>
        <w:t xml:space="preserve">Portion control and regular meal patterns also play a significant role in diabetes management. Eating regular meals and spreading carbohydrate intake evenly throughout the day helps prevent large fluctuations in blood glucose levels (Dyson </w:t>
      </w:r>
      <w:r w:rsidRPr="00D05F0C">
        <w:rPr>
          <w:rFonts w:ascii="Arial" w:hAnsi="Arial" w:cs="Arial"/>
          <w:i/>
          <w:iCs/>
          <w:sz w:val="22"/>
          <w:szCs w:val="22"/>
        </w:rPr>
        <w:t>et al.</w:t>
      </w:r>
      <w:r w:rsidRPr="006045A7">
        <w:rPr>
          <w:rFonts w:ascii="Arial" w:hAnsi="Arial" w:cs="Arial"/>
          <w:sz w:val="22"/>
          <w:szCs w:val="22"/>
        </w:rPr>
        <w:t>, 2018). NICE (2023) recommends that dietary advice should be personalised and delivered by trained healthcare professionals to ensure it is practical, culturally appropriate, and sustainable over the long term.</w:t>
      </w:r>
    </w:p>
    <w:p w14:paraId="223B24F1" w14:textId="77777777" w:rsidR="006045A7" w:rsidRPr="006045A7" w:rsidRDefault="006045A7" w:rsidP="006045A7">
      <w:pPr>
        <w:spacing w:line="360" w:lineRule="auto"/>
        <w:rPr>
          <w:rFonts w:ascii="Arial" w:hAnsi="Arial" w:cs="Arial"/>
          <w:b/>
          <w:bCs/>
          <w:sz w:val="22"/>
          <w:szCs w:val="22"/>
        </w:rPr>
      </w:pPr>
      <w:r w:rsidRPr="006045A7">
        <w:rPr>
          <w:rFonts w:ascii="Arial" w:hAnsi="Arial" w:cs="Arial"/>
          <w:b/>
          <w:bCs/>
          <w:sz w:val="22"/>
          <w:szCs w:val="22"/>
        </w:rPr>
        <w:t>Physical Activity</w:t>
      </w:r>
    </w:p>
    <w:p w14:paraId="5204E3D4" w14:textId="53F85FEF" w:rsidR="006045A7" w:rsidRPr="006045A7" w:rsidRDefault="006045A7" w:rsidP="006045A7">
      <w:pPr>
        <w:spacing w:line="360" w:lineRule="auto"/>
        <w:rPr>
          <w:rFonts w:ascii="Arial" w:hAnsi="Arial" w:cs="Arial"/>
          <w:sz w:val="22"/>
          <w:szCs w:val="22"/>
        </w:rPr>
      </w:pPr>
      <w:r w:rsidRPr="006045A7">
        <w:rPr>
          <w:rFonts w:ascii="Arial" w:hAnsi="Arial" w:cs="Arial"/>
          <w:sz w:val="22"/>
          <w:szCs w:val="22"/>
        </w:rPr>
        <w:t xml:space="preserve">Regular physical activity is highly beneficial for individuals with Type 2 diabetes. Exercise improves insulin sensitivity, allowing glucose to be taken up more effectively by muscle cells, which helps lower blood glucose levels (Colberg </w:t>
      </w:r>
      <w:r w:rsidRPr="00D05F0C">
        <w:rPr>
          <w:rFonts w:ascii="Arial" w:hAnsi="Arial" w:cs="Arial"/>
          <w:i/>
          <w:iCs/>
          <w:sz w:val="22"/>
          <w:szCs w:val="22"/>
        </w:rPr>
        <w:t>et al</w:t>
      </w:r>
      <w:r w:rsidRPr="006045A7">
        <w:rPr>
          <w:rFonts w:ascii="Arial" w:hAnsi="Arial" w:cs="Arial"/>
          <w:sz w:val="22"/>
          <w:szCs w:val="22"/>
        </w:rPr>
        <w:t>., 2016). Physical activity also supports weight management, which is particularly important as excess weight contributes to insulin resistance.</w:t>
      </w:r>
    </w:p>
    <w:p w14:paraId="20A51149" w14:textId="77777777" w:rsidR="006045A7" w:rsidRPr="006045A7" w:rsidRDefault="006045A7" w:rsidP="006045A7">
      <w:pPr>
        <w:spacing w:line="360" w:lineRule="auto"/>
        <w:rPr>
          <w:rFonts w:ascii="Arial" w:hAnsi="Arial" w:cs="Arial"/>
          <w:sz w:val="22"/>
          <w:szCs w:val="22"/>
        </w:rPr>
      </w:pPr>
      <w:r w:rsidRPr="006045A7">
        <w:rPr>
          <w:rFonts w:ascii="Arial" w:hAnsi="Arial" w:cs="Arial"/>
          <w:sz w:val="22"/>
          <w:szCs w:val="22"/>
        </w:rPr>
        <w:t>Current guidelines recommend that adults with Type 2 diabetes engage in at least 150 minutes of moderate-intensity aerobic activity per week, such as brisk walking or cycling (NICE, 2023). Resistance training is also encouraged, as increased muscle mass improves glucose utilisation and overall metabolic health (Colberg et al., 2016).</w:t>
      </w:r>
    </w:p>
    <w:p w14:paraId="7794EC1E" w14:textId="77777777" w:rsidR="006045A7" w:rsidRPr="006045A7" w:rsidRDefault="006045A7" w:rsidP="006045A7">
      <w:pPr>
        <w:spacing w:line="360" w:lineRule="auto"/>
        <w:rPr>
          <w:rFonts w:ascii="Arial" w:hAnsi="Arial" w:cs="Arial"/>
          <w:sz w:val="22"/>
          <w:szCs w:val="22"/>
        </w:rPr>
      </w:pPr>
      <w:r w:rsidRPr="006045A7">
        <w:rPr>
          <w:rFonts w:ascii="Arial" w:hAnsi="Arial" w:cs="Arial"/>
          <w:sz w:val="22"/>
          <w:szCs w:val="22"/>
        </w:rPr>
        <w:t>In addition to physical benefits, regular exercise can improve mental wellbeing, reduce stress, and enhance quality of life. Encouraging individuals to choose activities they enjoy increases the likelihood of long-term adherence and successful diabetes management.</w:t>
      </w:r>
    </w:p>
    <w:p w14:paraId="2733297F" w14:textId="77777777" w:rsidR="006045A7" w:rsidRPr="006045A7" w:rsidRDefault="006045A7" w:rsidP="006045A7">
      <w:pPr>
        <w:spacing w:line="360" w:lineRule="auto"/>
        <w:rPr>
          <w:rFonts w:ascii="Arial" w:hAnsi="Arial" w:cs="Arial"/>
          <w:b/>
          <w:bCs/>
          <w:sz w:val="22"/>
          <w:szCs w:val="22"/>
        </w:rPr>
      </w:pPr>
      <w:r w:rsidRPr="006045A7">
        <w:rPr>
          <w:rFonts w:ascii="Arial" w:hAnsi="Arial" w:cs="Arial"/>
          <w:b/>
          <w:bCs/>
          <w:sz w:val="22"/>
          <w:szCs w:val="22"/>
        </w:rPr>
        <w:t>Smoking</w:t>
      </w:r>
    </w:p>
    <w:p w14:paraId="70CBA482" w14:textId="77777777" w:rsidR="006045A7" w:rsidRPr="006045A7" w:rsidRDefault="006045A7" w:rsidP="006045A7">
      <w:pPr>
        <w:spacing w:line="360" w:lineRule="auto"/>
        <w:rPr>
          <w:rFonts w:ascii="Arial" w:hAnsi="Arial" w:cs="Arial"/>
          <w:sz w:val="22"/>
          <w:szCs w:val="22"/>
        </w:rPr>
      </w:pPr>
      <w:r w:rsidRPr="006045A7">
        <w:rPr>
          <w:rFonts w:ascii="Arial" w:hAnsi="Arial" w:cs="Arial"/>
          <w:sz w:val="22"/>
          <w:szCs w:val="22"/>
        </w:rPr>
        <w:t xml:space="preserve">Smoking is a modifiable risk factor that significantly worsens outcomes for people with Type 2 diabetes. Evidence shows that smoking increases insulin resistance and is associated with poorer blood glucose control (Pan </w:t>
      </w:r>
      <w:r w:rsidRPr="009A3B75">
        <w:rPr>
          <w:rFonts w:ascii="Arial" w:hAnsi="Arial" w:cs="Arial"/>
          <w:i/>
          <w:iCs/>
          <w:sz w:val="22"/>
          <w:szCs w:val="22"/>
        </w:rPr>
        <w:t>et al</w:t>
      </w:r>
      <w:r w:rsidRPr="006045A7">
        <w:rPr>
          <w:rFonts w:ascii="Arial" w:hAnsi="Arial" w:cs="Arial"/>
          <w:sz w:val="22"/>
          <w:szCs w:val="22"/>
        </w:rPr>
        <w:t>., 2015). Smokers with diabetes are also at a higher risk of cardiovascular disease, stroke, and microvascular complications.</w:t>
      </w:r>
    </w:p>
    <w:p w14:paraId="4F72F1FB" w14:textId="77777777" w:rsidR="006045A7" w:rsidRPr="006045A7" w:rsidRDefault="006045A7" w:rsidP="006045A7">
      <w:pPr>
        <w:spacing w:line="360" w:lineRule="auto"/>
        <w:rPr>
          <w:rFonts w:ascii="Arial" w:hAnsi="Arial" w:cs="Arial"/>
          <w:sz w:val="22"/>
          <w:szCs w:val="22"/>
        </w:rPr>
      </w:pPr>
      <w:r w:rsidRPr="006045A7">
        <w:rPr>
          <w:rFonts w:ascii="Arial" w:hAnsi="Arial" w:cs="Arial"/>
          <w:sz w:val="22"/>
          <w:szCs w:val="22"/>
        </w:rPr>
        <w:t xml:space="preserve">Supporting smoking cessation is therefore an important aspect of diabetes care. Primary care teams should actively promote smoking cessation and refer patients to appropriate support services. Quitting smoking has been shown to improve insulin sensitivity and reduce </w:t>
      </w:r>
      <w:r w:rsidRPr="006045A7">
        <w:rPr>
          <w:rFonts w:ascii="Arial" w:hAnsi="Arial" w:cs="Arial"/>
          <w:sz w:val="22"/>
          <w:szCs w:val="22"/>
        </w:rPr>
        <w:lastRenderedPageBreak/>
        <w:t xml:space="preserve">the risk of diabetes-related complications, leading to improved long-term health outcomes (Pan </w:t>
      </w:r>
      <w:r w:rsidRPr="009A3B75">
        <w:rPr>
          <w:rFonts w:ascii="Arial" w:hAnsi="Arial" w:cs="Arial"/>
          <w:i/>
          <w:iCs/>
          <w:sz w:val="22"/>
          <w:szCs w:val="22"/>
        </w:rPr>
        <w:t>et al</w:t>
      </w:r>
      <w:r w:rsidRPr="006045A7">
        <w:rPr>
          <w:rFonts w:ascii="Arial" w:hAnsi="Arial" w:cs="Arial"/>
          <w:sz w:val="22"/>
          <w:szCs w:val="22"/>
        </w:rPr>
        <w:t>., 2015).</w:t>
      </w:r>
    </w:p>
    <w:p w14:paraId="40B67CFF" w14:textId="77777777" w:rsidR="00712F76" w:rsidRPr="00835864" w:rsidRDefault="00712F76" w:rsidP="006045A7">
      <w:pPr>
        <w:spacing w:line="360" w:lineRule="auto"/>
        <w:rPr>
          <w:rFonts w:ascii="Arial" w:hAnsi="Arial" w:cs="Arial"/>
          <w:b/>
          <w:bCs/>
          <w:sz w:val="22"/>
          <w:szCs w:val="22"/>
        </w:rPr>
      </w:pPr>
      <w:r w:rsidRPr="00835864">
        <w:rPr>
          <w:rFonts w:ascii="Arial" w:hAnsi="Arial" w:cs="Arial"/>
          <w:b/>
          <w:bCs/>
          <w:sz w:val="22"/>
          <w:szCs w:val="22"/>
        </w:rPr>
        <w:t>Conclusion</w:t>
      </w:r>
    </w:p>
    <w:p w14:paraId="33E61FDA" w14:textId="77777777" w:rsidR="00712F76" w:rsidRPr="00835864" w:rsidRDefault="00712F76" w:rsidP="006045A7">
      <w:pPr>
        <w:spacing w:line="360" w:lineRule="auto"/>
        <w:rPr>
          <w:rFonts w:ascii="Arial" w:hAnsi="Arial" w:cs="Arial"/>
          <w:sz w:val="22"/>
          <w:szCs w:val="22"/>
        </w:rPr>
      </w:pPr>
      <w:r w:rsidRPr="00835864">
        <w:rPr>
          <w:rFonts w:ascii="Arial" w:hAnsi="Arial" w:cs="Arial"/>
          <w:sz w:val="22"/>
          <w:szCs w:val="22"/>
        </w:rPr>
        <w:t>Type 2 diabetes is a complex chronic condition that requires effective self-management and ongoing professional support. As a practice nurse, providing patients with clear, evidence-based education is essential in enabling them to understand their condition and engage with their care plans. This report has explained the nature of diabetes, identified key risk factors, and described how blood glucose levels are regulated in the body.</w:t>
      </w:r>
    </w:p>
    <w:p w14:paraId="1E60B72E" w14:textId="77777777" w:rsidR="00712F76" w:rsidRPr="00835864" w:rsidRDefault="00712F76" w:rsidP="006045A7">
      <w:pPr>
        <w:spacing w:line="360" w:lineRule="auto"/>
        <w:rPr>
          <w:rFonts w:ascii="Arial" w:hAnsi="Arial" w:cs="Arial"/>
          <w:sz w:val="22"/>
          <w:szCs w:val="22"/>
        </w:rPr>
      </w:pPr>
      <w:r w:rsidRPr="00835864">
        <w:rPr>
          <w:rFonts w:ascii="Arial" w:hAnsi="Arial" w:cs="Arial"/>
          <w:sz w:val="22"/>
          <w:szCs w:val="22"/>
        </w:rPr>
        <w:t>An understanding of cellular metabolism highlights the importance of glucose and oxygen in energy production and demonstrates why poor glycaemic control can have wide-ranging effects on health. Recording and tracking blood glucose levels supports safer diabetes management by identifying patterns and reducing the risk of complications. Evidence-based lifestyle changes, including dietary improvements, increased physical activity, and smoking cessation, play a vital role in improving blood glucose control and overall health outcomes.</w:t>
      </w:r>
    </w:p>
    <w:p w14:paraId="7F601009" w14:textId="77777777" w:rsidR="00712F76" w:rsidRPr="00835864" w:rsidRDefault="00712F76" w:rsidP="006045A7">
      <w:pPr>
        <w:spacing w:line="360" w:lineRule="auto"/>
        <w:rPr>
          <w:rFonts w:ascii="Arial" w:hAnsi="Arial" w:cs="Arial"/>
          <w:sz w:val="22"/>
          <w:szCs w:val="22"/>
        </w:rPr>
      </w:pPr>
      <w:r w:rsidRPr="00835864">
        <w:rPr>
          <w:rFonts w:ascii="Arial" w:hAnsi="Arial" w:cs="Arial"/>
          <w:sz w:val="22"/>
          <w:szCs w:val="22"/>
        </w:rPr>
        <w:t>By empowering patients with knowledge and practical strategies, practice nurses can support effective diabetes self-management and contribute to improved long-term outcomes for individuals living with Type 2 diabetes.</w:t>
      </w:r>
    </w:p>
    <w:p w14:paraId="23542F8B" w14:textId="0DE5357A" w:rsidR="00712F76" w:rsidRPr="00835864" w:rsidRDefault="00712F76" w:rsidP="00835864">
      <w:pPr>
        <w:spacing w:line="360" w:lineRule="auto"/>
        <w:rPr>
          <w:rFonts w:ascii="Arial" w:hAnsi="Arial" w:cs="Arial"/>
          <w:sz w:val="22"/>
          <w:szCs w:val="22"/>
        </w:rPr>
      </w:pPr>
    </w:p>
    <w:p w14:paraId="3B8F66BB" w14:textId="3FA0EF4D" w:rsidR="005C1332" w:rsidRPr="00835864" w:rsidRDefault="005C1332" w:rsidP="00835864">
      <w:pPr>
        <w:spacing w:line="360" w:lineRule="auto"/>
        <w:rPr>
          <w:rFonts w:ascii="Arial" w:hAnsi="Arial" w:cs="Arial"/>
          <w:sz w:val="22"/>
          <w:szCs w:val="22"/>
        </w:rPr>
      </w:pPr>
      <w:r w:rsidRPr="00835864">
        <w:rPr>
          <w:rFonts w:ascii="Arial" w:hAnsi="Arial" w:cs="Arial"/>
          <w:sz w:val="22"/>
          <w:szCs w:val="22"/>
        </w:rPr>
        <w:br/>
      </w:r>
    </w:p>
    <w:p w14:paraId="1C092FB2" w14:textId="77777777" w:rsidR="005C1332" w:rsidRPr="00835864" w:rsidRDefault="005C1332" w:rsidP="00835864">
      <w:pPr>
        <w:spacing w:line="360" w:lineRule="auto"/>
        <w:rPr>
          <w:rFonts w:ascii="Arial" w:hAnsi="Arial" w:cs="Arial"/>
          <w:sz w:val="22"/>
          <w:szCs w:val="22"/>
        </w:rPr>
      </w:pPr>
      <w:r w:rsidRPr="00835864">
        <w:rPr>
          <w:rFonts w:ascii="Arial" w:hAnsi="Arial" w:cs="Arial"/>
          <w:sz w:val="22"/>
          <w:szCs w:val="22"/>
        </w:rPr>
        <w:br w:type="page"/>
      </w:r>
    </w:p>
    <w:p w14:paraId="6FB0AE27" w14:textId="791B02ED" w:rsidR="00712F76" w:rsidRPr="00835864" w:rsidRDefault="00712F76" w:rsidP="00835864">
      <w:pPr>
        <w:spacing w:line="360" w:lineRule="auto"/>
        <w:rPr>
          <w:rFonts w:ascii="Arial" w:hAnsi="Arial" w:cs="Arial"/>
          <w:b/>
          <w:bCs/>
          <w:sz w:val="22"/>
          <w:szCs w:val="22"/>
        </w:rPr>
      </w:pPr>
      <w:r w:rsidRPr="00835864">
        <w:rPr>
          <w:rFonts w:ascii="Arial" w:hAnsi="Arial" w:cs="Arial"/>
          <w:b/>
          <w:bCs/>
          <w:sz w:val="22"/>
          <w:szCs w:val="22"/>
        </w:rPr>
        <w:lastRenderedPageBreak/>
        <w:t>Reference List</w:t>
      </w:r>
    </w:p>
    <w:p w14:paraId="54382186" w14:textId="77777777" w:rsidR="00512543" w:rsidRPr="00512543" w:rsidRDefault="00512543" w:rsidP="00835864">
      <w:pPr>
        <w:spacing w:line="360" w:lineRule="auto"/>
        <w:rPr>
          <w:rFonts w:ascii="Arial" w:hAnsi="Arial" w:cs="Arial"/>
          <w:sz w:val="22"/>
          <w:szCs w:val="22"/>
        </w:rPr>
      </w:pPr>
      <w:r w:rsidRPr="00512543">
        <w:rPr>
          <w:rFonts w:ascii="Arial" w:hAnsi="Arial" w:cs="Arial"/>
          <w:sz w:val="22"/>
          <w:szCs w:val="22"/>
        </w:rPr>
        <w:t xml:space="preserve">Colberg, S.R., Sigal, R.J., Yardley, J.E. </w:t>
      </w:r>
      <w:r w:rsidRPr="00512543">
        <w:rPr>
          <w:rFonts w:ascii="Arial" w:hAnsi="Arial" w:cs="Arial"/>
          <w:i/>
          <w:iCs/>
          <w:sz w:val="22"/>
          <w:szCs w:val="22"/>
        </w:rPr>
        <w:t>et al.</w:t>
      </w:r>
      <w:r w:rsidRPr="00512543">
        <w:rPr>
          <w:rFonts w:ascii="Arial" w:hAnsi="Arial" w:cs="Arial"/>
          <w:sz w:val="22"/>
          <w:szCs w:val="22"/>
        </w:rPr>
        <w:t xml:space="preserve"> (2016) ‘Physical activity/exercise and diabetes’, </w:t>
      </w:r>
      <w:r w:rsidRPr="00512543">
        <w:rPr>
          <w:rFonts w:ascii="Arial" w:hAnsi="Arial" w:cs="Arial"/>
          <w:i/>
          <w:iCs/>
          <w:sz w:val="22"/>
          <w:szCs w:val="22"/>
        </w:rPr>
        <w:t>Diabetes Care</w:t>
      </w:r>
      <w:r w:rsidRPr="00512543">
        <w:rPr>
          <w:rFonts w:ascii="Arial" w:hAnsi="Arial" w:cs="Arial"/>
          <w:sz w:val="22"/>
          <w:szCs w:val="22"/>
        </w:rPr>
        <w:t>, 39(11), pp. 2065–2079.</w:t>
      </w:r>
    </w:p>
    <w:p w14:paraId="086AE8FA" w14:textId="77777777" w:rsidR="00512543" w:rsidRPr="00512543" w:rsidRDefault="00512543" w:rsidP="00835864">
      <w:pPr>
        <w:spacing w:line="360" w:lineRule="auto"/>
        <w:rPr>
          <w:rFonts w:ascii="Arial" w:hAnsi="Arial" w:cs="Arial"/>
          <w:sz w:val="22"/>
          <w:szCs w:val="22"/>
        </w:rPr>
      </w:pPr>
      <w:r w:rsidRPr="00512543">
        <w:rPr>
          <w:rFonts w:ascii="Arial" w:hAnsi="Arial" w:cs="Arial"/>
          <w:sz w:val="22"/>
          <w:szCs w:val="22"/>
        </w:rPr>
        <w:t xml:space="preserve">DeFronzo, R.A., </w:t>
      </w:r>
      <w:proofErr w:type="spellStart"/>
      <w:r w:rsidRPr="00512543">
        <w:rPr>
          <w:rFonts w:ascii="Arial" w:hAnsi="Arial" w:cs="Arial"/>
          <w:sz w:val="22"/>
          <w:szCs w:val="22"/>
        </w:rPr>
        <w:t>Ferrannini</w:t>
      </w:r>
      <w:proofErr w:type="spellEnd"/>
      <w:r w:rsidRPr="00512543">
        <w:rPr>
          <w:rFonts w:ascii="Arial" w:hAnsi="Arial" w:cs="Arial"/>
          <w:sz w:val="22"/>
          <w:szCs w:val="22"/>
        </w:rPr>
        <w:t xml:space="preserve">, E., Groop, L. </w:t>
      </w:r>
      <w:r w:rsidRPr="00512543">
        <w:rPr>
          <w:rFonts w:ascii="Arial" w:hAnsi="Arial" w:cs="Arial"/>
          <w:i/>
          <w:iCs/>
          <w:sz w:val="22"/>
          <w:szCs w:val="22"/>
        </w:rPr>
        <w:t>et al.</w:t>
      </w:r>
      <w:r w:rsidRPr="00512543">
        <w:rPr>
          <w:rFonts w:ascii="Arial" w:hAnsi="Arial" w:cs="Arial"/>
          <w:sz w:val="22"/>
          <w:szCs w:val="22"/>
        </w:rPr>
        <w:t xml:space="preserve"> (2015) ‘Type 2 diabetes mellitus’, </w:t>
      </w:r>
      <w:r w:rsidRPr="00512543">
        <w:rPr>
          <w:rFonts w:ascii="Arial" w:hAnsi="Arial" w:cs="Arial"/>
          <w:i/>
          <w:iCs/>
          <w:sz w:val="22"/>
          <w:szCs w:val="22"/>
        </w:rPr>
        <w:t>Nature Reviews Disease Primers</w:t>
      </w:r>
      <w:r w:rsidRPr="00512543">
        <w:rPr>
          <w:rFonts w:ascii="Arial" w:hAnsi="Arial" w:cs="Arial"/>
          <w:sz w:val="22"/>
          <w:szCs w:val="22"/>
        </w:rPr>
        <w:t>, 1, pp. 1–22.</w:t>
      </w:r>
    </w:p>
    <w:p w14:paraId="08786364" w14:textId="5FF7A2F9" w:rsidR="00512543" w:rsidRPr="00512543" w:rsidRDefault="00512543" w:rsidP="00835864">
      <w:pPr>
        <w:spacing w:line="360" w:lineRule="auto"/>
        <w:rPr>
          <w:rFonts w:ascii="Arial" w:hAnsi="Arial" w:cs="Arial"/>
          <w:sz w:val="22"/>
          <w:szCs w:val="22"/>
        </w:rPr>
      </w:pPr>
      <w:r w:rsidRPr="00512543">
        <w:rPr>
          <w:rFonts w:ascii="Arial" w:hAnsi="Arial" w:cs="Arial"/>
          <w:sz w:val="22"/>
          <w:szCs w:val="22"/>
        </w:rPr>
        <w:t xml:space="preserve">Diabetes UK (2024) </w:t>
      </w:r>
      <w:r w:rsidRPr="00512543">
        <w:rPr>
          <w:rFonts w:ascii="Arial" w:hAnsi="Arial" w:cs="Arial"/>
          <w:i/>
          <w:iCs/>
          <w:sz w:val="22"/>
          <w:szCs w:val="22"/>
        </w:rPr>
        <w:t>Type 2 diabetes</w:t>
      </w:r>
      <w:r w:rsidRPr="00512543">
        <w:rPr>
          <w:rFonts w:ascii="Arial" w:hAnsi="Arial" w:cs="Arial"/>
          <w:sz w:val="22"/>
          <w:szCs w:val="22"/>
        </w:rPr>
        <w:t xml:space="preserve">. Available at: </w:t>
      </w:r>
      <w:r w:rsidRPr="0017204A">
        <w:rPr>
          <w:rFonts w:ascii="Arial" w:hAnsi="Arial" w:cs="Arial"/>
          <w:sz w:val="22"/>
          <w:szCs w:val="22"/>
        </w:rPr>
        <w:t>https://www.diabetes.org.uk</w:t>
      </w:r>
      <w:r w:rsidRPr="00512543">
        <w:rPr>
          <w:rFonts w:ascii="Arial" w:hAnsi="Arial" w:cs="Arial"/>
          <w:sz w:val="22"/>
          <w:szCs w:val="22"/>
        </w:rPr>
        <w:t xml:space="preserve"> (Accessed: 10 February 2026).</w:t>
      </w:r>
    </w:p>
    <w:p w14:paraId="0D899905" w14:textId="77777777" w:rsidR="00512543" w:rsidRPr="00512543" w:rsidRDefault="00512543" w:rsidP="00835864">
      <w:pPr>
        <w:spacing w:line="360" w:lineRule="auto"/>
        <w:rPr>
          <w:rFonts w:ascii="Arial" w:hAnsi="Arial" w:cs="Arial"/>
          <w:sz w:val="22"/>
          <w:szCs w:val="22"/>
        </w:rPr>
      </w:pPr>
      <w:r w:rsidRPr="00512543">
        <w:rPr>
          <w:rFonts w:ascii="Arial" w:hAnsi="Arial" w:cs="Arial"/>
          <w:sz w:val="22"/>
          <w:szCs w:val="22"/>
        </w:rPr>
        <w:t xml:space="preserve">Dyson, P., </w:t>
      </w:r>
      <w:proofErr w:type="spellStart"/>
      <w:r w:rsidRPr="00512543">
        <w:rPr>
          <w:rFonts w:ascii="Arial" w:hAnsi="Arial" w:cs="Arial"/>
          <w:sz w:val="22"/>
          <w:szCs w:val="22"/>
        </w:rPr>
        <w:t>Twenefour</w:t>
      </w:r>
      <w:proofErr w:type="spellEnd"/>
      <w:r w:rsidRPr="00512543">
        <w:rPr>
          <w:rFonts w:ascii="Arial" w:hAnsi="Arial" w:cs="Arial"/>
          <w:sz w:val="22"/>
          <w:szCs w:val="22"/>
        </w:rPr>
        <w:t xml:space="preserve">, D., Breen, C. </w:t>
      </w:r>
      <w:r w:rsidRPr="00512543">
        <w:rPr>
          <w:rFonts w:ascii="Arial" w:hAnsi="Arial" w:cs="Arial"/>
          <w:i/>
          <w:iCs/>
          <w:sz w:val="22"/>
          <w:szCs w:val="22"/>
        </w:rPr>
        <w:t>et al.</w:t>
      </w:r>
      <w:r w:rsidRPr="00512543">
        <w:rPr>
          <w:rFonts w:ascii="Arial" w:hAnsi="Arial" w:cs="Arial"/>
          <w:sz w:val="22"/>
          <w:szCs w:val="22"/>
        </w:rPr>
        <w:t xml:space="preserve"> (2018) ‘Diabetes UK evidence-based nutrition guidelines’, </w:t>
      </w:r>
      <w:r w:rsidRPr="00512543">
        <w:rPr>
          <w:rFonts w:ascii="Arial" w:hAnsi="Arial" w:cs="Arial"/>
          <w:i/>
          <w:iCs/>
          <w:sz w:val="22"/>
          <w:szCs w:val="22"/>
        </w:rPr>
        <w:t>Diabetic Medicine</w:t>
      </w:r>
      <w:r w:rsidRPr="00512543">
        <w:rPr>
          <w:rFonts w:ascii="Arial" w:hAnsi="Arial" w:cs="Arial"/>
          <w:sz w:val="22"/>
          <w:szCs w:val="22"/>
        </w:rPr>
        <w:t>, 35(5), pp. 541–547.</w:t>
      </w:r>
    </w:p>
    <w:p w14:paraId="72C0164D" w14:textId="77777777" w:rsidR="00512543" w:rsidRPr="00512543" w:rsidRDefault="00512543" w:rsidP="00835864">
      <w:pPr>
        <w:spacing w:line="360" w:lineRule="auto"/>
        <w:rPr>
          <w:rFonts w:ascii="Arial" w:hAnsi="Arial" w:cs="Arial"/>
          <w:sz w:val="22"/>
          <w:szCs w:val="22"/>
        </w:rPr>
      </w:pPr>
      <w:r w:rsidRPr="00512543">
        <w:rPr>
          <w:rFonts w:ascii="Arial" w:hAnsi="Arial" w:cs="Arial"/>
          <w:sz w:val="22"/>
          <w:szCs w:val="22"/>
        </w:rPr>
        <w:t xml:space="preserve">Frier, B.M. (2014) ‘Hypoglycaemia in diabetes mellitus’, </w:t>
      </w:r>
      <w:r w:rsidRPr="00512543">
        <w:rPr>
          <w:rFonts w:ascii="Arial" w:hAnsi="Arial" w:cs="Arial"/>
          <w:i/>
          <w:iCs/>
          <w:sz w:val="22"/>
          <w:szCs w:val="22"/>
        </w:rPr>
        <w:t>Nature Reviews Endocrinology</w:t>
      </w:r>
      <w:r w:rsidRPr="00512543">
        <w:rPr>
          <w:rFonts w:ascii="Arial" w:hAnsi="Arial" w:cs="Arial"/>
          <w:sz w:val="22"/>
          <w:szCs w:val="22"/>
        </w:rPr>
        <w:t>, 10(12), pp. 711–722.</w:t>
      </w:r>
    </w:p>
    <w:p w14:paraId="4E247EBC" w14:textId="77777777" w:rsidR="00512543" w:rsidRPr="00512543" w:rsidRDefault="00512543" w:rsidP="00835864">
      <w:pPr>
        <w:spacing w:line="360" w:lineRule="auto"/>
        <w:rPr>
          <w:rFonts w:ascii="Arial" w:hAnsi="Arial" w:cs="Arial"/>
          <w:sz w:val="22"/>
          <w:szCs w:val="22"/>
        </w:rPr>
      </w:pPr>
      <w:r w:rsidRPr="00512543">
        <w:rPr>
          <w:rFonts w:ascii="Arial" w:hAnsi="Arial" w:cs="Arial"/>
          <w:sz w:val="22"/>
          <w:szCs w:val="22"/>
        </w:rPr>
        <w:t xml:space="preserve">Hall, J.E. and Guyton, A.C. (2020) </w:t>
      </w:r>
      <w:r w:rsidRPr="00512543">
        <w:rPr>
          <w:rFonts w:ascii="Arial" w:hAnsi="Arial" w:cs="Arial"/>
          <w:i/>
          <w:iCs/>
          <w:sz w:val="22"/>
          <w:szCs w:val="22"/>
        </w:rPr>
        <w:t>Guyton and Hall textbook of medical physiology</w:t>
      </w:r>
      <w:r w:rsidRPr="00512543">
        <w:rPr>
          <w:rFonts w:ascii="Arial" w:hAnsi="Arial" w:cs="Arial"/>
          <w:sz w:val="22"/>
          <w:szCs w:val="22"/>
        </w:rPr>
        <w:t xml:space="preserve">. 14th </w:t>
      </w:r>
      <w:proofErr w:type="spellStart"/>
      <w:r w:rsidRPr="00512543">
        <w:rPr>
          <w:rFonts w:ascii="Arial" w:hAnsi="Arial" w:cs="Arial"/>
          <w:sz w:val="22"/>
          <w:szCs w:val="22"/>
        </w:rPr>
        <w:t>edn</w:t>
      </w:r>
      <w:proofErr w:type="spellEnd"/>
      <w:r w:rsidRPr="00512543">
        <w:rPr>
          <w:rFonts w:ascii="Arial" w:hAnsi="Arial" w:cs="Arial"/>
          <w:sz w:val="22"/>
          <w:szCs w:val="22"/>
        </w:rPr>
        <w:t>. Philadelphia: Elsevier.</w:t>
      </w:r>
    </w:p>
    <w:p w14:paraId="691EC863" w14:textId="77777777" w:rsidR="00512543" w:rsidRPr="00512543" w:rsidRDefault="00512543" w:rsidP="00835864">
      <w:pPr>
        <w:spacing w:line="360" w:lineRule="auto"/>
        <w:rPr>
          <w:rFonts w:ascii="Arial" w:hAnsi="Arial" w:cs="Arial"/>
          <w:sz w:val="22"/>
          <w:szCs w:val="22"/>
        </w:rPr>
      </w:pPr>
      <w:r w:rsidRPr="00512543">
        <w:rPr>
          <w:rFonts w:ascii="Arial" w:hAnsi="Arial" w:cs="Arial"/>
          <w:sz w:val="22"/>
          <w:szCs w:val="22"/>
        </w:rPr>
        <w:t xml:space="preserve">McCance, K.L. and Huether, S.E. (2019) </w:t>
      </w:r>
      <w:r w:rsidRPr="00512543">
        <w:rPr>
          <w:rFonts w:ascii="Arial" w:hAnsi="Arial" w:cs="Arial"/>
          <w:i/>
          <w:iCs/>
          <w:sz w:val="22"/>
          <w:szCs w:val="22"/>
        </w:rPr>
        <w:t>Pathophysiology: the biologic basis for disease in adults and children</w:t>
      </w:r>
      <w:r w:rsidRPr="00512543">
        <w:rPr>
          <w:rFonts w:ascii="Arial" w:hAnsi="Arial" w:cs="Arial"/>
          <w:sz w:val="22"/>
          <w:szCs w:val="22"/>
        </w:rPr>
        <w:t xml:space="preserve">. 8th </w:t>
      </w:r>
      <w:proofErr w:type="spellStart"/>
      <w:r w:rsidRPr="00512543">
        <w:rPr>
          <w:rFonts w:ascii="Arial" w:hAnsi="Arial" w:cs="Arial"/>
          <w:sz w:val="22"/>
          <w:szCs w:val="22"/>
        </w:rPr>
        <w:t>edn</w:t>
      </w:r>
      <w:proofErr w:type="spellEnd"/>
      <w:r w:rsidRPr="00512543">
        <w:rPr>
          <w:rFonts w:ascii="Arial" w:hAnsi="Arial" w:cs="Arial"/>
          <w:sz w:val="22"/>
          <w:szCs w:val="22"/>
        </w:rPr>
        <w:t>. St. Louis: Elsevier.</w:t>
      </w:r>
    </w:p>
    <w:p w14:paraId="5CFA72DA" w14:textId="77777777" w:rsidR="00512543" w:rsidRPr="00512543" w:rsidRDefault="00512543" w:rsidP="00835864">
      <w:pPr>
        <w:spacing w:line="360" w:lineRule="auto"/>
        <w:rPr>
          <w:rFonts w:ascii="Arial" w:hAnsi="Arial" w:cs="Arial"/>
          <w:sz w:val="22"/>
          <w:szCs w:val="22"/>
        </w:rPr>
      </w:pPr>
      <w:r w:rsidRPr="00512543">
        <w:rPr>
          <w:rFonts w:ascii="Arial" w:hAnsi="Arial" w:cs="Arial"/>
          <w:sz w:val="22"/>
          <w:szCs w:val="22"/>
        </w:rPr>
        <w:t xml:space="preserve">NICE (2023) </w:t>
      </w:r>
      <w:r w:rsidRPr="00512543">
        <w:rPr>
          <w:rFonts w:ascii="Arial" w:hAnsi="Arial" w:cs="Arial"/>
          <w:i/>
          <w:iCs/>
          <w:sz w:val="22"/>
          <w:szCs w:val="22"/>
        </w:rPr>
        <w:t>Type 2 diabetes in adults: management (NG28)</w:t>
      </w:r>
      <w:r w:rsidRPr="00512543">
        <w:rPr>
          <w:rFonts w:ascii="Arial" w:hAnsi="Arial" w:cs="Arial"/>
          <w:sz w:val="22"/>
          <w:szCs w:val="22"/>
        </w:rPr>
        <w:t>. London: National Institute for Health and Care Excellence.</w:t>
      </w:r>
    </w:p>
    <w:p w14:paraId="0F14FCD3" w14:textId="77777777" w:rsidR="00512543" w:rsidRPr="00512543" w:rsidRDefault="00512543" w:rsidP="00835864">
      <w:pPr>
        <w:spacing w:line="360" w:lineRule="auto"/>
        <w:rPr>
          <w:rFonts w:ascii="Arial" w:hAnsi="Arial" w:cs="Arial"/>
          <w:sz w:val="22"/>
          <w:szCs w:val="22"/>
        </w:rPr>
      </w:pPr>
      <w:r w:rsidRPr="00512543">
        <w:rPr>
          <w:rFonts w:ascii="Arial" w:hAnsi="Arial" w:cs="Arial"/>
          <w:sz w:val="22"/>
          <w:szCs w:val="22"/>
        </w:rPr>
        <w:t xml:space="preserve">Pan, A., Wang, Y., Talaei, M. </w:t>
      </w:r>
      <w:r w:rsidRPr="00512543">
        <w:rPr>
          <w:rFonts w:ascii="Arial" w:hAnsi="Arial" w:cs="Arial"/>
          <w:i/>
          <w:iCs/>
          <w:sz w:val="22"/>
          <w:szCs w:val="22"/>
        </w:rPr>
        <w:t>et al.</w:t>
      </w:r>
      <w:r w:rsidRPr="00512543">
        <w:rPr>
          <w:rFonts w:ascii="Arial" w:hAnsi="Arial" w:cs="Arial"/>
          <w:sz w:val="22"/>
          <w:szCs w:val="22"/>
        </w:rPr>
        <w:t xml:space="preserve"> (2015) ‘Relation of smoking with total mortality and cardiovascular events among patients with diabetes mellitus’, </w:t>
      </w:r>
      <w:r w:rsidRPr="00512543">
        <w:rPr>
          <w:rFonts w:ascii="Arial" w:hAnsi="Arial" w:cs="Arial"/>
          <w:i/>
          <w:iCs/>
          <w:sz w:val="22"/>
          <w:szCs w:val="22"/>
        </w:rPr>
        <w:t>Circulation</w:t>
      </w:r>
      <w:r w:rsidRPr="00512543">
        <w:rPr>
          <w:rFonts w:ascii="Arial" w:hAnsi="Arial" w:cs="Arial"/>
          <w:sz w:val="22"/>
          <w:szCs w:val="22"/>
        </w:rPr>
        <w:t>, 132(19), pp. 1795–1804.</w:t>
      </w:r>
    </w:p>
    <w:p w14:paraId="3333E626" w14:textId="7C306B3A" w:rsidR="00512543" w:rsidRPr="00512543" w:rsidRDefault="00512543" w:rsidP="00835864">
      <w:pPr>
        <w:spacing w:line="360" w:lineRule="auto"/>
        <w:rPr>
          <w:rFonts w:ascii="Arial" w:hAnsi="Arial" w:cs="Arial"/>
          <w:sz w:val="22"/>
          <w:szCs w:val="22"/>
        </w:rPr>
      </w:pPr>
      <w:r w:rsidRPr="00512543">
        <w:rPr>
          <w:rFonts w:ascii="Arial" w:hAnsi="Arial" w:cs="Arial"/>
          <w:sz w:val="22"/>
          <w:szCs w:val="22"/>
        </w:rPr>
        <w:t xml:space="preserve">World Health Organization (2023) </w:t>
      </w:r>
      <w:r w:rsidRPr="00512543">
        <w:rPr>
          <w:rFonts w:ascii="Arial" w:hAnsi="Arial" w:cs="Arial"/>
          <w:i/>
          <w:iCs/>
          <w:sz w:val="22"/>
          <w:szCs w:val="22"/>
        </w:rPr>
        <w:t>Diabetes</w:t>
      </w:r>
      <w:r w:rsidRPr="00512543">
        <w:rPr>
          <w:rFonts w:ascii="Arial" w:hAnsi="Arial" w:cs="Arial"/>
          <w:sz w:val="22"/>
          <w:szCs w:val="22"/>
        </w:rPr>
        <w:t xml:space="preserve">. Available at: </w:t>
      </w:r>
      <w:r w:rsidRPr="0017204A">
        <w:rPr>
          <w:rFonts w:ascii="Arial" w:hAnsi="Arial" w:cs="Arial"/>
          <w:sz w:val="22"/>
          <w:szCs w:val="22"/>
        </w:rPr>
        <w:t>https://www.who.int</w:t>
      </w:r>
      <w:r w:rsidRPr="00512543">
        <w:rPr>
          <w:rFonts w:ascii="Arial" w:hAnsi="Arial" w:cs="Arial"/>
          <w:sz w:val="22"/>
          <w:szCs w:val="22"/>
        </w:rPr>
        <w:t xml:space="preserve"> (Accessed: 10 February 2026).</w:t>
      </w:r>
    </w:p>
    <w:p w14:paraId="26AD618B" w14:textId="77777777" w:rsidR="00712F76" w:rsidRPr="00835864" w:rsidRDefault="00712F76" w:rsidP="00835864">
      <w:pPr>
        <w:spacing w:line="360" w:lineRule="auto"/>
        <w:rPr>
          <w:rFonts w:ascii="Arial" w:hAnsi="Arial" w:cs="Arial"/>
          <w:sz w:val="22"/>
          <w:szCs w:val="22"/>
        </w:rPr>
      </w:pPr>
    </w:p>
    <w:sectPr w:rsidR="00712F76" w:rsidRPr="00835864" w:rsidSect="00012D73">
      <w:headerReference w:type="default" r:id="rId7"/>
      <w:footerReference w:type="default" r:id="rId8"/>
      <w:pgSz w:w="11906" w:h="16838"/>
      <w:pgMar w:top="1440" w:right="1440" w:bottom="1440" w:left="1440" w:header="397"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8E058" w14:textId="77777777" w:rsidR="00090CA5" w:rsidRDefault="00090CA5" w:rsidP="00456A59">
      <w:pPr>
        <w:spacing w:after="0" w:line="240" w:lineRule="auto"/>
      </w:pPr>
      <w:r>
        <w:separator/>
      </w:r>
    </w:p>
  </w:endnote>
  <w:endnote w:type="continuationSeparator" w:id="0">
    <w:p w14:paraId="55D681C4" w14:textId="77777777" w:rsidR="00090CA5" w:rsidRDefault="00090CA5" w:rsidP="00456A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1257140"/>
      <w:docPartObj>
        <w:docPartGallery w:val="Page Numbers (Bottom of Page)"/>
        <w:docPartUnique/>
      </w:docPartObj>
    </w:sdtPr>
    <w:sdtEndPr>
      <w:rPr>
        <w:noProof/>
      </w:rPr>
    </w:sdtEndPr>
    <w:sdtContent>
      <w:p w14:paraId="75606AA0" w14:textId="5EDC13D1" w:rsidR="001B6F9C" w:rsidRDefault="001B6F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398419" w14:textId="77777777" w:rsidR="001B6F9C" w:rsidRDefault="001B6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8991C" w14:textId="77777777" w:rsidR="00090CA5" w:rsidRDefault="00090CA5" w:rsidP="00456A59">
      <w:pPr>
        <w:spacing w:after="0" w:line="240" w:lineRule="auto"/>
      </w:pPr>
      <w:r>
        <w:separator/>
      </w:r>
    </w:p>
  </w:footnote>
  <w:footnote w:type="continuationSeparator" w:id="0">
    <w:p w14:paraId="4755E710" w14:textId="77777777" w:rsidR="00090CA5" w:rsidRDefault="00090CA5" w:rsidP="00456A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DFC039" w14:textId="64BAAEC6" w:rsidR="00456A59" w:rsidRDefault="00456A59">
    <w:pPr>
      <w:pStyle w:val="Header"/>
    </w:pPr>
    <w:r>
      <w:t>Foqia Farooq</w:t>
    </w:r>
  </w:p>
  <w:p w14:paraId="209390BF" w14:textId="77777777" w:rsidR="00456A59" w:rsidRDefault="00456A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F76"/>
    <w:rsid w:val="00001EE6"/>
    <w:rsid w:val="00012D73"/>
    <w:rsid w:val="00081E6E"/>
    <w:rsid w:val="00090CA5"/>
    <w:rsid w:val="001240B2"/>
    <w:rsid w:val="0017204A"/>
    <w:rsid w:val="001B6F9C"/>
    <w:rsid w:val="002574C7"/>
    <w:rsid w:val="00262873"/>
    <w:rsid w:val="00265E43"/>
    <w:rsid w:val="00294028"/>
    <w:rsid w:val="002A4988"/>
    <w:rsid w:val="002E0E1B"/>
    <w:rsid w:val="0038610C"/>
    <w:rsid w:val="003B6CC2"/>
    <w:rsid w:val="003C151A"/>
    <w:rsid w:val="003F2759"/>
    <w:rsid w:val="00450F55"/>
    <w:rsid w:val="00453152"/>
    <w:rsid w:val="00456A59"/>
    <w:rsid w:val="00484F8C"/>
    <w:rsid w:val="004A693C"/>
    <w:rsid w:val="004B3A20"/>
    <w:rsid w:val="00512543"/>
    <w:rsid w:val="00526539"/>
    <w:rsid w:val="005356B8"/>
    <w:rsid w:val="005B11BE"/>
    <w:rsid w:val="005C1332"/>
    <w:rsid w:val="006045A7"/>
    <w:rsid w:val="00620111"/>
    <w:rsid w:val="00677889"/>
    <w:rsid w:val="006C2B86"/>
    <w:rsid w:val="006E5673"/>
    <w:rsid w:val="00712F76"/>
    <w:rsid w:val="00752301"/>
    <w:rsid w:val="007868D0"/>
    <w:rsid w:val="00813836"/>
    <w:rsid w:val="00835864"/>
    <w:rsid w:val="008800CC"/>
    <w:rsid w:val="008A392A"/>
    <w:rsid w:val="008B3FC6"/>
    <w:rsid w:val="00957BF9"/>
    <w:rsid w:val="00987FC9"/>
    <w:rsid w:val="009A3B75"/>
    <w:rsid w:val="009B1DF4"/>
    <w:rsid w:val="009E25E3"/>
    <w:rsid w:val="009F5D61"/>
    <w:rsid w:val="00A050BA"/>
    <w:rsid w:val="00B3110C"/>
    <w:rsid w:val="00B45EA0"/>
    <w:rsid w:val="00BB5900"/>
    <w:rsid w:val="00BC43F2"/>
    <w:rsid w:val="00C255CB"/>
    <w:rsid w:val="00C416CF"/>
    <w:rsid w:val="00CC222F"/>
    <w:rsid w:val="00CC41CD"/>
    <w:rsid w:val="00CE1B0C"/>
    <w:rsid w:val="00CF2999"/>
    <w:rsid w:val="00D05F0C"/>
    <w:rsid w:val="00D23B57"/>
    <w:rsid w:val="00D53992"/>
    <w:rsid w:val="00D644F6"/>
    <w:rsid w:val="00D74631"/>
    <w:rsid w:val="00D858B0"/>
    <w:rsid w:val="00DB5BEA"/>
    <w:rsid w:val="00DE4C2E"/>
    <w:rsid w:val="00DF3D90"/>
    <w:rsid w:val="00E51FF1"/>
    <w:rsid w:val="00EC6720"/>
    <w:rsid w:val="00F3568E"/>
    <w:rsid w:val="00F4310F"/>
    <w:rsid w:val="00F67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E9D5D"/>
  <w15:chartTrackingRefBased/>
  <w15:docId w15:val="{4C2B2187-5EC5-4126-8149-701DC428A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2F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2F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2F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2F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2F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2F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2F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2F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2F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F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2F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2F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2F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2F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2F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2F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2F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2F76"/>
    <w:rPr>
      <w:rFonts w:eastAsiaTheme="majorEastAsia" w:cstheme="majorBidi"/>
      <w:color w:val="272727" w:themeColor="text1" w:themeTint="D8"/>
    </w:rPr>
  </w:style>
  <w:style w:type="paragraph" w:styleId="Title">
    <w:name w:val="Title"/>
    <w:basedOn w:val="Normal"/>
    <w:next w:val="Normal"/>
    <w:link w:val="TitleChar"/>
    <w:uiPriority w:val="10"/>
    <w:qFormat/>
    <w:rsid w:val="00712F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2F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2F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2F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2F76"/>
    <w:pPr>
      <w:spacing w:before="160"/>
      <w:jc w:val="center"/>
    </w:pPr>
    <w:rPr>
      <w:i/>
      <w:iCs/>
      <w:color w:val="404040" w:themeColor="text1" w:themeTint="BF"/>
    </w:rPr>
  </w:style>
  <w:style w:type="character" w:customStyle="1" w:styleId="QuoteChar">
    <w:name w:val="Quote Char"/>
    <w:basedOn w:val="DefaultParagraphFont"/>
    <w:link w:val="Quote"/>
    <w:uiPriority w:val="29"/>
    <w:rsid w:val="00712F76"/>
    <w:rPr>
      <w:i/>
      <w:iCs/>
      <w:color w:val="404040" w:themeColor="text1" w:themeTint="BF"/>
    </w:rPr>
  </w:style>
  <w:style w:type="paragraph" w:styleId="ListParagraph">
    <w:name w:val="List Paragraph"/>
    <w:basedOn w:val="Normal"/>
    <w:uiPriority w:val="34"/>
    <w:qFormat/>
    <w:rsid w:val="00712F76"/>
    <w:pPr>
      <w:ind w:left="720"/>
      <w:contextualSpacing/>
    </w:pPr>
  </w:style>
  <w:style w:type="character" w:styleId="IntenseEmphasis">
    <w:name w:val="Intense Emphasis"/>
    <w:basedOn w:val="DefaultParagraphFont"/>
    <w:uiPriority w:val="21"/>
    <w:qFormat/>
    <w:rsid w:val="00712F76"/>
    <w:rPr>
      <w:i/>
      <w:iCs/>
      <w:color w:val="0F4761" w:themeColor="accent1" w:themeShade="BF"/>
    </w:rPr>
  </w:style>
  <w:style w:type="paragraph" w:styleId="IntenseQuote">
    <w:name w:val="Intense Quote"/>
    <w:basedOn w:val="Normal"/>
    <w:next w:val="Normal"/>
    <w:link w:val="IntenseQuoteChar"/>
    <w:uiPriority w:val="30"/>
    <w:qFormat/>
    <w:rsid w:val="00712F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2F76"/>
    <w:rPr>
      <w:i/>
      <w:iCs/>
      <w:color w:val="0F4761" w:themeColor="accent1" w:themeShade="BF"/>
    </w:rPr>
  </w:style>
  <w:style w:type="character" w:styleId="IntenseReference">
    <w:name w:val="Intense Reference"/>
    <w:basedOn w:val="DefaultParagraphFont"/>
    <w:uiPriority w:val="32"/>
    <w:qFormat/>
    <w:rsid w:val="00712F76"/>
    <w:rPr>
      <w:b/>
      <w:bCs/>
      <w:smallCaps/>
      <w:color w:val="0F4761" w:themeColor="accent1" w:themeShade="BF"/>
      <w:spacing w:val="5"/>
    </w:rPr>
  </w:style>
  <w:style w:type="character" w:styleId="Hyperlink">
    <w:name w:val="Hyperlink"/>
    <w:basedOn w:val="DefaultParagraphFont"/>
    <w:uiPriority w:val="99"/>
    <w:unhideWhenUsed/>
    <w:rsid w:val="00712F76"/>
    <w:rPr>
      <w:color w:val="467886" w:themeColor="hyperlink"/>
      <w:u w:val="single"/>
    </w:rPr>
  </w:style>
  <w:style w:type="character" w:styleId="UnresolvedMention">
    <w:name w:val="Unresolved Mention"/>
    <w:basedOn w:val="DefaultParagraphFont"/>
    <w:uiPriority w:val="99"/>
    <w:semiHidden/>
    <w:unhideWhenUsed/>
    <w:rsid w:val="00712F76"/>
    <w:rPr>
      <w:color w:val="605E5C"/>
      <w:shd w:val="clear" w:color="auto" w:fill="E1DFDD"/>
    </w:rPr>
  </w:style>
  <w:style w:type="paragraph" w:styleId="Header">
    <w:name w:val="header"/>
    <w:basedOn w:val="Normal"/>
    <w:link w:val="HeaderChar"/>
    <w:uiPriority w:val="99"/>
    <w:unhideWhenUsed/>
    <w:rsid w:val="00456A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A59"/>
  </w:style>
  <w:style w:type="paragraph" w:styleId="Footer">
    <w:name w:val="footer"/>
    <w:basedOn w:val="Normal"/>
    <w:link w:val="FooterChar"/>
    <w:uiPriority w:val="99"/>
    <w:unhideWhenUsed/>
    <w:rsid w:val="00456A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A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64</TotalTime>
  <Pages>9</Pages>
  <Words>2429</Words>
  <Characters>13846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shamis hamid</dc:creator>
  <cp:keywords/>
  <dc:description/>
  <cp:lastModifiedBy>shamis hamid</cp:lastModifiedBy>
  <cp:revision>57</cp:revision>
  <dcterms:created xsi:type="dcterms:W3CDTF">2026-01-22T21:43:00Z</dcterms:created>
  <dcterms:modified xsi:type="dcterms:W3CDTF">2026-02-18T14:50:00Z</dcterms:modified>
</cp:coreProperties>
</file>