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205BC" w14:textId="77777777" w:rsidR="0071290C" w:rsidRPr="0071290C" w:rsidRDefault="0071290C" w:rsidP="0071290C">
      <w:pPr>
        <w:pStyle w:val="NormalWeb"/>
        <w:spacing w:before="0" w:beforeAutospacing="0" w:after="0" w:afterAutospacing="0"/>
        <w:jc w:val="center"/>
        <w:rPr>
          <w:color w:val="000000" w:themeColor="text1"/>
        </w:rPr>
      </w:pPr>
    </w:p>
    <w:p w14:paraId="2755CB5F" w14:textId="77777777" w:rsidR="0071290C" w:rsidRPr="0071290C" w:rsidRDefault="0071290C" w:rsidP="0071290C">
      <w:pPr>
        <w:pStyle w:val="NormalWeb"/>
        <w:spacing w:before="0" w:beforeAutospacing="0" w:after="0" w:afterAutospacing="0"/>
        <w:jc w:val="center"/>
        <w:rPr>
          <w:color w:val="000000" w:themeColor="text1"/>
          <w:u w:val="single"/>
        </w:rPr>
      </w:pPr>
      <w:r w:rsidRPr="0071290C">
        <w:rPr>
          <w:rFonts w:eastAsia="Quicksand"/>
          <w:color w:val="000000" w:themeColor="text1"/>
          <w:u w:val="single"/>
        </w:rPr>
        <w:t>Interview Technique Video References</w:t>
      </w:r>
    </w:p>
    <w:p w14:paraId="466D1C12" w14:textId="77777777" w:rsidR="0071290C" w:rsidRPr="0071290C" w:rsidRDefault="0071290C" w:rsidP="0071290C">
      <w:pPr>
        <w:pStyle w:val="NormalWeb"/>
        <w:spacing w:before="0" w:beforeAutospacing="0" w:after="200" w:afterAutospacing="0" w:line="276" w:lineRule="auto"/>
        <w:ind w:left="720" w:hanging="720"/>
        <w:rPr>
          <w:rFonts w:eastAsia="Calibri"/>
          <w:color w:val="000000" w:themeColor="text1"/>
        </w:rPr>
      </w:pPr>
    </w:p>
    <w:p w14:paraId="0E6F53E2" w14:textId="004FF9A3" w:rsidR="0071290C" w:rsidRPr="0071290C" w:rsidRDefault="0071290C" w:rsidP="0071290C">
      <w:pPr>
        <w:pStyle w:val="NormalWeb"/>
        <w:spacing w:before="0" w:beforeAutospacing="0" w:after="200" w:afterAutospacing="0" w:line="276" w:lineRule="auto"/>
        <w:rPr>
          <w:color w:val="000000" w:themeColor="text1"/>
        </w:rPr>
      </w:pPr>
      <w:r w:rsidRPr="0071290C">
        <w:rPr>
          <w:rFonts w:eastAsia="Calibri"/>
          <w:color w:val="000000" w:themeColor="text1"/>
        </w:rPr>
        <w:t>Advocacy Charter (2018) Available at: https://www.ndti.org.uk/resources/new-advocacy-charter (Accessed: 12 February 2021).</w:t>
      </w:r>
    </w:p>
    <w:p w14:paraId="5FF1C22B" w14:textId="77777777" w:rsidR="0071290C" w:rsidRPr="0071290C" w:rsidRDefault="0071290C" w:rsidP="0071290C">
      <w:pPr>
        <w:pStyle w:val="NormalWeb"/>
        <w:spacing w:before="0" w:beforeAutospacing="0" w:after="200" w:afterAutospacing="0" w:line="276" w:lineRule="auto"/>
        <w:ind w:left="720" w:hanging="720"/>
        <w:rPr>
          <w:color w:val="000000" w:themeColor="text1"/>
        </w:rPr>
      </w:pPr>
      <w:r w:rsidRPr="0071290C">
        <w:rPr>
          <w:rFonts w:eastAsia="Calibri"/>
          <w:color w:val="000000" w:themeColor="text1"/>
        </w:rPr>
        <w:t xml:space="preserve">Bateman, N. (2000) </w:t>
      </w:r>
      <w:r w:rsidRPr="0071290C">
        <w:rPr>
          <w:rFonts w:eastAsia="Calibri"/>
          <w:i/>
          <w:iCs/>
          <w:color w:val="000000" w:themeColor="text1"/>
        </w:rPr>
        <w:t>Advocacy Skills for Health and Social Care Professionals</w:t>
      </w:r>
      <w:r w:rsidRPr="0071290C">
        <w:rPr>
          <w:rFonts w:eastAsia="Calibri"/>
          <w:color w:val="000000" w:themeColor="text1"/>
        </w:rPr>
        <w:t>. London: Jessica Kingsley Publishers.</w:t>
      </w:r>
    </w:p>
    <w:p w14:paraId="58B2C6E2" w14:textId="77777777" w:rsidR="0071290C" w:rsidRPr="0071290C" w:rsidRDefault="0071290C" w:rsidP="0071290C">
      <w:pPr>
        <w:pStyle w:val="NormalWeb"/>
        <w:spacing w:before="0" w:beforeAutospacing="0" w:after="200" w:afterAutospacing="0" w:line="276" w:lineRule="auto"/>
        <w:ind w:left="720" w:hanging="720"/>
        <w:rPr>
          <w:color w:val="000000" w:themeColor="text1"/>
        </w:rPr>
      </w:pPr>
      <w:r w:rsidRPr="0071290C">
        <w:rPr>
          <w:rFonts w:eastAsia="Calibri"/>
          <w:color w:val="000000" w:themeColor="text1"/>
        </w:rPr>
        <w:t xml:space="preserve">Bronfenbrenner, U. (1979) </w:t>
      </w:r>
      <w:r w:rsidRPr="0071290C">
        <w:rPr>
          <w:rFonts w:eastAsia="Calibri"/>
          <w:i/>
          <w:iCs/>
          <w:color w:val="000000" w:themeColor="text1"/>
        </w:rPr>
        <w:t>The Ecology of Human Development: Experiments by Nature and Design</w:t>
      </w:r>
      <w:r w:rsidRPr="0071290C">
        <w:rPr>
          <w:rFonts w:eastAsia="Calibri"/>
          <w:color w:val="000000" w:themeColor="text1"/>
        </w:rPr>
        <w:t xml:space="preserve">. Massachusetts: Harvard University Press. </w:t>
      </w:r>
    </w:p>
    <w:p w14:paraId="5D84AF15" w14:textId="77777777" w:rsidR="0071290C" w:rsidRPr="0071290C" w:rsidRDefault="0071290C" w:rsidP="0071290C">
      <w:pPr>
        <w:pStyle w:val="NormalWeb"/>
        <w:spacing w:before="0" w:beforeAutospacing="0" w:after="200" w:afterAutospacing="0" w:line="276" w:lineRule="auto"/>
        <w:ind w:left="720" w:hanging="720"/>
        <w:rPr>
          <w:color w:val="000000" w:themeColor="text1"/>
        </w:rPr>
      </w:pPr>
      <w:r w:rsidRPr="0071290C">
        <w:rPr>
          <w:rFonts w:eastAsia="Calibri"/>
          <w:color w:val="000000" w:themeColor="text1"/>
        </w:rPr>
        <w:t>Easy Read Advocacy Charter (2018) Available at: https://www.ndti.org.uk/resources/new-advocacy-charter (Accessed: 12 February 2021).</w:t>
      </w:r>
    </w:p>
    <w:p w14:paraId="463D9072" w14:textId="77777777" w:rsidR="0071290C" w:rsidRPr="0071290C" w:rsidRDefault="0071290C" w:rsidP="0071290C">
      <w:pPr>
        <w:pStyle w:val="NormalWeb"/>
        <w:spacing w:before="0" w:beforeAutospacing="0" w:after="200" w:afterAutospacing="0" w:line="276" w:lineRule="auto"/>
        <w:ind w:left="720" w:hanging="720"/>
        <w:rPr>
          <w:color w:val="000000" w:themeColor="text1"/>
        </w:rPr>
      </w:pPr>
      <w:r w:rsidRPr="0071290C">
        <w:rPr>
          <w:rFonts w:eastAsia="Calibri"/>
          <w:color w:val="000000" w:themeColor="text1"/>
        </w:rPr>
        <w:t xml:space="preserve">Frankel, S. (2018) </w:t>
      </w:r>
      <w:r w:rsidRPr="0071290C">
        <w:rPr>
          <w:rFonts w:eastAsia="Calibri"/>
          <w:i/>
          <w:iCs/>
          <w:color w:val="000000" w:themeColor="text1"/>
        </w:rPr>
        <w:t>Giving Children a Voice</w:t>
      </w:r>
      <w:r w:rsidRPr="0071290C">
        <w:rPr>
          <w:rFonts w:eastAsia="Calibri"/>
          <w:color w:val="000000" w:themeColor="text1"/>
        </w:rPr>
        <w:t xml:space="preserve">: </w:t>
      </w:r>
      <w:r w:rsidRPr="0071290C">
        <w:rPr>
          <w:rFonts w:eastAsia="Calibri"/>
          <w:i/>
          <w:iCs/>
          <w:color w:val="000000" w:themeColor="text1"/>
        </w:rPr>
        <w:t>A Step-by-step Guide to Promoting Child-Centred practice</w:t>
      </w:r>
      <w:r w:rsidRPr="0071290C">
        <w:rPr>
          <w:rFonts w:eastAsia="Calibri"/>
          <w:color w:val="000000" w:themeColor="text1"/>
        </w:rPr>
        <w:t xml:space="preserve">. London: Jessica Kingsley Publishers. </w:t>
      </w:r>
    </w:p>
    <w:p w14:paraId="42DB3AC2" w14:textId="77777777" w:rsidR="0071290C" w:rsidRPr="0071290C" w:rsidRDefault="0071290C" w:rsidP="0071290C">
      <w:pPr>
        <w:pStyle w:val="NormalWeb"/>
        <w:spacing w:before="0" w:beforeAutospacing="0" w:after="200" w:afterAutospacing="0" w:line="276" w:lineRule="auto"/>
        <w:ind w:left="720" w:hanging="720"/>
        <w:rPr>
          <w:color w:val="000000" w:themeColor="text1"/>
        </w:rPr>
      </w:pPr>
      <w:r w:rsidRPr="0071290C">
        <w:rPr>
          <w:rFonts w:eastAsia="Calibri"/>
          <w:color w:val="000000" w:themeColor="text1"/>
        </w:rPr>
        <w:t xml:space="preserve">McLeod, A. </w:t>
      </w:r>
      <w:r w:rsidRPr="0071290C">
        <w:rPr>
          <w:rFonts w:eastAsia="Calibri"/>
          <w:i/>
          <w:iCs/>
          <w:color w:val="000000" w:themeColor="text1"/>
        </w:rPr>
        <w:t>Listening to Children: A Practitioners Guide</w:t>
      </w:r>
      <w:r w:rsidRPr="0071290C">
        <w:rPr>
          <w:rFonts w:eastAsia="Calibri"/>
          <w:color w:val="000000" w:themeColor="text1"/>
        </w:rPr>
        <w:t>. London: Jessica Kingsley Publishers.</w:t>
      </w:r>
    </w:p>
    <w:p w14:paraId="6F69FA0B" w14:textId="77777777" w:rsidR="0071290C" w:rsidRPr="0071290C" w:rsidRDefault="0071290C" w:rsidP="0071290C">
      <w:pPr>
        <w:pStyle w:val="NormalWeb"/>
        <w:spacing w:before="0" w:beforeAutospacing="0" w:after="200" w:afterAutospacing="0" w:line="276" w:lineRule="auto"/>
        <w:ind w:left="720" w:hanging="720"/>
        <w:rPr>
          <w:color w:val="000000" w:themeColor="text1"/>
        </w:rPr>
      </w:pPr>
      <w:r w:rsidRPr="0071290C">
        <w:rPr>
          <w:rFonts w:eastAsia="Calibri"/>
          <w:color w:val="000000" w:themeColor="text1"/>
        </w:rPr>
        <w:t>Social Services and Well-being (Wales) Act 2014 Available at: https://www.legislation.gov.uk/anaw/2014/4/contents (Accessed: 12 February 2021).</w:t>
      </w:r>
    </w:p>
    <w:p w14:paraId="4FAA6278" w14:textId="77777777" w:rsidR="0071290C" w:rsidRPr="0071290C" w:rsidRDefault="0071290C" w:rsidP="0071290C">
      <w:pPr>
        <w:pStyle w:val="NormalWeb"/>
        <w:spacing w:before="0" w:beforeAutospacing="0" w:after="200" w:afterAutospacing="0" w:line="276" w:lineRule="auto"/>
        <w:ind w:left="720" w:hanging="720"/>
        <w:rPr>
          <w:color w:val="000000" w:themeColor="text1"/>
        </w:rPr>
      </w:pPr>
      <w:r w:rsidRPr="0071290C">
        <w:rPr>
          <w:rFonts w:eastAsia="Calibri"/>
          <w:color w:val="000000" w:themeColor="text1"/>
        </w:rPr>
        <w:t xml:space="preserve">Thompson, N. (2011) </w:t>
      </w:r>
      <w:r w:rsidRPr="0071290C">
        <w:rPr>
          <w:rFonts w:eastAsia="Calibri"/>
          <w:i/>
          <w:iCs/>
          <w:color w:val="000000" w:themeColor="text1"/>
        </w:rPr>
        <w:t>Promoting Equality: Working with Diversity and Difference.</w:t>
      </w:r>
      <w:r w:rsidRPr="0071290C">
        <w:rPr>
          <w:rFonts w:eastAsia="Calibri"/>
          <w:color w:val="000000" w:themeColor="text1"/>
        </w:rPr>
        <w:t xml:space="preserve"> Basingstoke: Palgrave Macmillan.</w:t>
      </w:r>
    </w:p>
    <w:p w14:paraId="569073C7" w14:textId="77777777" w:rsidR="0071290C" w:rsidRPr="0071290C" w:rsidRDefault="0071290C" w:rsidP="0071290C">
      <w:pPr>
        <w:pStyle w:val="NormalWeb"/>
        <w:spacing w:before="0" w:beforeAutospacing="0" w:after="200" w:afterAutospacing="0" w:line="276" w:lineRule="auto"/>
        <w:ind w:left="720" w:hanging="720"/>
        <w:rPr>
          <w:color w:val="000000" w:themeColor="text1"/>
        </w:rPr>
      </w:pPr>
      <w:r w:rsidRPr="0071290C">
        <w:rPr>
          <w:rFonts w:eastAsia="Calibri"/>
          <w:color w:val="000000" w:themeColor="text1"/>
        </w:rPr>
        <w:t xml:space="preserve">UNCRC (1989) </w:t>
      </w:r>
      <w:r w:rsidRPr="0071290C">
        <w:rPr>
          <w:rFonts w:eastAsia="Calibri"/>
          <w:i/>
          <w:iCs/>
          <w:color w:val="000000" w:themeColor="text1"/>
        </w:rPr>
        <w:t>The United Nations Convention on the Rights of the Child</w:t>
      </w:r>
      <w:r w:rsidRPr="0071290C">
        <w:rPr>
          <w:rFonts w:eastAsia="Calibri"/>
          <w:color w:val="000000" w:themeColor="text1"/>
        </w:rPr>
        <w:t>. Available at: https://www.unicef.org.uk/what-we-do/un-convention-child-rights/ (Accessed: 12 February 2021).</w:t>
      </w:r>
    </w:p>
    <w:p w14:paraId="7EB67F7E" w14:textId="77777777" w:rsidR="0071290C" w:rsidRPr="0071290C" w:rsidRDefault="0071290C" w:rsidP="0071290C">
      <w:pPr>
        <w:pStyle w:val="NormalWeb"/>
        <w:spacing w:before="0" w:beforeAutospacing="0" w:after="200" w:afterAutospacing="0" w:line="276" w:lineRule="auto"/>
        <w:ind w:left="720" w:hanging="720"/>
        <w:rPr>
          <w:color w:val="000000" w:themeColor="text1"/>
        </w:rPr>
      </w:pPr>
      <w:r w:rsidRPr="0071290C">
        <w:rPr>
          <w:rFonts w:eastAsia="Calibri"/>
          <w:color w:val="000000" w:themeColor="text1"/>
        </w:rPr>
        <w:t xml:space="preserve">Youth Justice Board (2018) </w:t>
      </w:r>
      <w:r w:rsidRPr="0071290C">
        <w:rPr>
          <w:rFonts w:eastAsia="Calibri"/>
          <w:i/>
          <w:iCs/>
          <w:color w:val="000000" w:themeColor="text1"/>
        </w:rPr>
        <w:t>Referral Order Guidance.</w:t>
      </w:r>
      <w:r w:rsidRPr="0071290C">
        <w:rPr>
          <w:rFonts w:eastAsia="Calibri"/>
          <w:color w:val="000000" w:themeColor="text1"/>
        </w:rPr>
        <w:t xml:space="preserve"> Available at: https://yjresourcehub.uk/working-with-volunteers/item/613-referral-order-guidance-2018.html (Accessed: 12 February 2021).</w:t>
      </w:r>
    </w:p>
    <w:p w14:paraId="74C2202B" w14:textId="77777777" w:rsidR="00735F69" w:rsidRPr="0071290C" w:rsidRDefault="00735F6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35F69" w:rsidRPr="0071290C" w:rsidSect="00930088">
      <w:headerReference w:type="default" r:id="rId6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285B6" w14:textId="77777777" w:rsidR="000201AE" w:rsidRDefault="000201AE" w:rsidP="0071290C">
      <w:pPr>
        <w:spacing w:after="0" w:line="240" w:lineRule="auto"/>
      </w:pPr>
      <w:r>
        <w:separator/>
      </w:r>
    </w:p>
  </w:endnote>
  <w:endnote w:type="continuationSeparator" w:id="0">
    <w:p w14:paraId="188B41FD" w14:textId="77777777" w:rsidR="000201AE" w:rsidRDefault="000201AE" w:rsidP="00712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Quicksand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6C768" w14:textId="77777777" w:rsidR="000201AE" w:rsidRDefault="000201AE" w:rsidP="0071290C">
      <w:pPr>
        <w:spacing w:after="0" w:line="240" w:lineRule="auto"/>
      </w:pPr>
      <w:r>
        <w:separator/>
      </w:r>
    </w:p>
  </w:footnote>
  <w:footnote w:type="continuationSeparator" w:id="0">
    <w:p w14:paraId="42F2C27B" w14:textId="77777777" w:rsidR="000201AE" w:rsidRDefault="000201AE" w:rsidP="00712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D006" w14:textId="549A29D4" w:rsidR="0071290C" w:rsidRDefault="0071290C">
    <w:pPr>
      <w:pStyle w:val="Header"/>
    </w:pPr>
    <w:r>
      <w:t>ECAY6001</w:t>
    </w:r>
    <w:r>
      <w:ptab w:relativeTo="margin" w:alignment="center" w:leader="none"/>
    </w:r>
    <w:r>
      <w:t>ASS#1</w:t>
    </w:r>
    <w:r>
      <w:ptab w:relativeTo="margin" w:alignment="right" w:leader="none"/>
    </w:r>
    <w:r>
      <w:t>1802094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Y0NjAzMDExMTcwMTZX0lEKTi0uzszPAykwrAUAzy4JJiwAAAA="/>
  </w:docVars>
  <w:rsids>
    <w:rsidRoot w:val="0071290C"/>
    <w:rsid w:val="000201AE"/>
    <w:rsid w:val="0071290C"/>
    <w:rsid w:val="00735F69"/>
    <w:rsid w:val="0093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FB006"/>
  <w15:chartTrackingRefBased/>
  <w15:docId w15:val="{1AF6219B-C03E-4182-9BBB-13060E7DD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F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2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129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90C"/>
  </w:style>
  <w:style w:type="paragraph" w:styleId="Footer">
    <w:name w:val="footer"/>
    <w:basedOn w:val="Normal"/>
    <w:link w:val="FooterChar"/>
    <w:uiPriority w:val="99"/>
    <w:unhideWhenUsed/>
    <w:rsid w:val="007129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39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gwynn</dc:creator>
  <cp:keywords/>
  <dc:description/>
  <cp:lastModifiedBy>jane gwynn</cp:lastModifiedBy>
  <cp:revision>1</cp:revision>
  <dcterms:created xsi:type="dcterms:W3CDTF">2021-04-26T17:09:00Z</dcterms:created>
  <dcterms:modified xsi:type="dcterms:W3CDTF">2021-04-26T17:13:00Z</dcterms:modified>
</cp:coreProperties>
</file>