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pPr>
      <w:r>
        <w:rPr>
          <w:rtl w:val="0"/>
          <w:lang w:val="en-US"/>
        </w:rPr>
        <w:t>Linnea Strileckis</w:t>
      </w:r>
    </w:p>
    <w:p>
      <w:pPr>
        <w:pStyle w:val="Body"/>
        <w:jc w:val="both"/>
      </w:pPr>
    </w:p>
    <w:p>
      <w:pPr>
        <w:pStyle w:val="Body"/>
        <w:jc w:val="both"/>
      </w:pPr>
    </w:p>
    <w:p>
      <w:pPr>
        <w:pStyle w:val="Body"/>
        <w:jc w:val="both"/>
      </w:pPr>
    </w:p>
    <w:p>
      <w:pPr>
        <w:pStyle w:val="Body"/>
        <w:jc w:val="both"/>
      </w:pPr>
      <w:r>
        <w:rPr>
          <w:rtl w:val="0"/>
          <w:lang w:val="en-US"/>
        </w:rPr>
        <w:t xml:space="preserve">Sources as noted in </w:t>
      </w:r>
      <w:r>
        <w:rPr>
          <w:rtl w:val="0"/>
          <w:lang w:val="en-US"/>
        </w:rPr>
        <w:t>“</w:t>
      </w:r>
      <w:r>
        <w:rPr>
          <w:rtl w:val="0"/>
          <w:lang w:val="en-US"/>
        </w:rPr>
        <w:t>The Annals of Dunstable Priory: From Living Memory to Written Record in a Thirteenth-Century Textual Community</w:t>
      </w:r>
      <w:r>
        <w:rPr>
          <w:rtl w:val="0"/>
          <w:lang w:val="en-US"/>
        </w:rPr>
        <w:t xml:space="preserve">” </w:t>
      </w:r>
      <w:r>
        <w:rPr>
          <w:rtl w:val="0"/>
          <w:lang w:val="en-US"/>
        </w:rPr>
        <w:t xml:space="preserve">by Harriett Webster.  </w:t>
      </w:r>
    </w:p>
    <w:p>
      <w:pPr>
        <w:pStyle w:val="Body"/>
        <w:jc w:val="both"/>
      </w:pPr>
    </w:p>
    <w:p>
      <w:pPr>
        <w:pStyle w:val="Body"/>
        <w:jc w:val="both"/>
      </w:pPr>
      <w:r>
        <w:rPr>
          <w:rtl w:val="0"/>
          <w:lang w:val="en-US"/>
        </w:rPr>
        <w:t xml:space="preserve">The following primary source, </w:t>
      </w:r>
      <w:r>
        <w:rPr>
          <w:i w:val="1"/>
          <w:iCs w:val="1"/>
          <w:rtl w:val="0"/>
          <w:lang w:val="en-US"/>
        </w:rPr>
        <w:t xml:space="preserve">The Annals of Dunstable Priory, </w:t>
      </w:r>
      <w:r>
        <w:rPr>
          <w:rtl w:val="0"/>
          <w:lang w:val="en-US"/>
        </w:rPr>
        <w:t xml:space="preserve">trans. by David Preest and ed. by Harriet Webster hints to the author likely viewing the archived text of </w:t>
      </w:r>
      <w:r>
        <w:rPr>
          <w:i w:val="1"/>
          <w:iCs w:val="1"/>
          <w:rtl w:val="0"/>
          <w:lang w:val="en-US"/>
        </w:rPr>
        <w:t xml:space="preserve">The Annals of the Dunstable Priory, </w:t>
      </w:r>
      <w:r>
        <w:rPr>
          <w:rtl w:val="0"/>
          <w:lang w:val="en-US"/>
        </w:rPr>
        <w:t xml:space="preserve">noted as the manuscript London, British Library, Cotton MS. Tiberius A.X.  An additional translation and primary source is in Latin, </w:t>
      </w:r>
      <w:r>
        <w:rPr>
          <w:i w:val="1"/>
          <w:iCs w:val="1"/>
          <w:rtl w:val="0"/>
          <w:lang w:val="en-US"/>
        </w:rPr>
        <w:t xml:space="preserve">Annales prioratus de Dunstaplia </w:t>
      </w:r>
      <w:r>
        <w:rPr>
          <w:rtl w:val="0"/>
          <w:lang w:val="en-US"/>
        </w:rPr>
        <w:t xml:space="preserve">ed. by Richards Luard.  </w:t>
      </w:r>
    </w:p>
    <w:p>
      <w:pPr>
        <w:pStyle w:val="Body"/>
        <w:jc w:val="both"/>
      </w:pPr>
    </w:p>
    <w:p>
      <w:pPr>
        <w:pStyle w:val="Body"/>
        <w:jc w:val="both"/>
      </w:pPr>
      <w:r>
        <w:rPr>
          <w:rtl w:val="0"/>
          <w:lang w:val="en-US"/>
        </w:rPr>
        <w:t>In addition to primary sources, there exist several secondary sources noted directly and for further reading on the topic.  These included the following:</w:t>
      </w:r>
    </w:p>
    <w:p>
      <w:pPr>
        <w:pStyle w:val="Body 1"/>
        <w:numPr>
          <w:ilvl w:val="1"/>
          <w:numId w:val="1"/>
        </w:numPr>
        <w:bidi w:val="0"/>
      </w:pPr>
      <w:r>
        <w:rPr>
          <w:rtl w:val="0"/>
          <w:lang w:val="en-US"/>
        </w:rPr>
        <w:t xml:space="preserve">Origins of the Austin Canons </w:t>
      </w:r>
      <w:r>
        <w:rPr>
          <w:rtl w:val="0"/>
        </w:rPr>
        <w:t>by Dickson.</w:t>
      </w:r>
    </w:p>
    <w:p>
      <w:pPr>
        <w:pStyle w:val="Body 1"/>
        <w:numPr>
          <w:ilvl w:val="1"/>
          <w:numId w:val="1"/>
        </w:numPr>
        <w:bidi w:val="0"/>
      </w:pPr>
      <w:r>
        <w:rPr>
          <w:rtl w:val="0"/>
          <w:lang w:val="en-US"/>
        </w:rPr>
        <w:t xml:space="preserve">Religious Orders in the East Riding of Yorkshire </w:t>
      </w:r>
      <w:r>
        <w:rPr>
          <w:rtl w:val="0"/>
        </w:rPr>
        <w:t>by Burton.</w:t>
      </w:r>
    </w:p>
    <w:p>
      <w:pPr>
        <w:pStyle w:val="Body 1"/>
        <w:numPr>
          <w:ilvl w:val="1"/>
          <w:numId w:val="1"/>
        </w:numPr>
        <w:bidi w:val="0"/>
      </w:pPr>
      <w:r>
        <w:rPr>
          <w:rtl w:val="0"/>
          <w:lang w:val="en-US"/>
        </w:rPr>
        <w:t xml:space="preserve">Rievaulx Abbey and its Social Context </w:t>
      </w:r>
      <w:r>
        <w:rPr>
          <w:rtl w:val="0"/>
        </w:rPr>
        <w:t>by Jamroziak.</w:t>
      </w:r>
    </w:p>
    <w:p>
      <w:pPr>
        <w:pStyle w:val="Body 1"/>
        <w:numPr>
          <w:ilvl w:val="1"/>
          <w:numId w:val="1"/>
        </w:numPr>
        <w:bidi w:val="0"/>
      </w:pPr>
      <w:r>
        <w:rPr>
          <w:rtl w:val="0"/>
          <w:lang w:val="en-US"/>
        </w:rPr>
        <w:t xml:space="preserve">Historical Writing in England </w:t>
      </w:r>
      <w:r>
        <w:rPr>
          <w:rtl w:val="0"/>
        </w:rPr>
        <w:t>by Gransden.</w:t>
        <w:tab/>
      </w:r>
    </w:p>
    <w:p>
      <w:pPr>
        <w:pStyle w:val="Body 1"/>
        <w:numPr>
          <w:ilvl w:val="1"/>
          <w:numId w:val="1"/>
        </w:numPr>
        <w:bidi w:val="0"/>
      </w:pPr>
      <w:r>
        <w:rPr>
          <w:rtl w:val="0"/>
        </w:rPr>
        <w:t>“</w:t>
      </w:r>
      <w:r>
        <w:rPr>
          <w:rtl w:val="0"/>
        </w:rPr>
        <w:t>Notes on the Making of the Dunstable Annals</w:t>
      </w:r>
      <w:r>
        <w:rPr>
          <w:rtl w:val="0"/>
        </w:rPr>
        <w:t xml:space="preserve">” </w:t>
      </w:r>
      <w:r>
        <w:rPr>
          <w:rtl w:val="0"/>
        </w:rPr>
        <w:t>by Cheney.</w:t>
      </w:r>
    </w:p>
    <w:p>
      <w:pPr>
        <w:pStyle w:val="Body 1"/>
        <w:numPr>
          <w:ilvl w:val="1"/>
          <w:numId w:val="1"/>
        </w:numPr>
        <w:bidi w:val="0"/>
      </w:pPr>
      <w:r>
        <w:rPr>
          <w:rtl w:val="0"/>
        </w:rPr>
        <w:t xml:space="preserve">Dictionary of Writers of Thirteenth Century England </w:t>
      </w:r>
      <w:r>
        <w:rPr>
          <w:i w:val="0"/>
          <w:iCs w:val="0"/>
          <w:rtl w:val="0"/>
          <w:lang w:val="en-US"/>
        </w:rPr>
        <w:t>by Russell.</w:t>
      </w:r>
    </w:p>
    <w:p>
      <w:pPr>
        <w:pStyle w:val="Body 1"/>
        <w:numPr>
          <w:ilvl w:val="1"/>
          <w:numId w:val="1"/>
        </w:numPr>
        <w:bidi w:val="0"/>
      </w:pPr>
      <w:r>
        <w:rPr>
          <w:i w:val="0"/>
          <w:iCs w:val="0"/>
          <w:rtl w:val="0"/>
          <w:lang w:val="en-US"/>
        </w:rPr>
        <w:t>“</w:t>
      </w:r>
      <w:r>
        <w:rPr>
          <w:i w:val="0"/>
          <w:iCs w:val="0"/>
          <w:rtl w:val="0"/>
          <w:lang w:val="en-US"/>
        </w:rPr>
        <w:t>Auteurs latins et autographes des XIe et XIIe si</w:t>
      </w:r>
      <w:r>
        <w:rPr>
          <w:i w:val="0"/>
          <w:iCs w:val="0"/>
          <w:rtl w:val="0"/>
          <w:lang w:val="en-US"/>
        </w:rPr>
        <w:t>è</w:t>
      </w:r>
      <w:r>
        <w:rPr>
          <w:i w:val="0"/>
          <w:iCs w:val="0"/>
          <w:rtl w:val="0"/>
          <w:lang w:val="en-US"/>
        </w:rPr>
        <w:t>cles</w:t>
      </w:r>
      <w:r>
        <w:rPr>
          <w:i w:val="0"/>
          <w:iCs w:val="0"/>
          <w:rtl w:val="0"/>
          <w:lang w:val="en-US"/>
        </w:rPr>
        <w:t xml:space="preserve">” </w:t>
      </w:r>
      <w:r>
        <w:rPr>
          <w:i w:val="0"/>
          <w:iCs w:val="0"/>
          <w:rtl w:val="0"/>
          <w:lang w:val="en-US"/>
        </w:rPr>
        <w:t>by Grand.</w:t>
      </w:r>
    </w:p>
    <w:p>
      <w:pPr>
        <w:pStyle w:val="Body 1"/>
        <w:numPr>
          <w:ilvl w:val="1"/>
          <w:numId w:val="1"/>
        </w:numPr>
        <w:bidi w:val="0"/>
      </w:pPr>
      <w:r>
        <w:rPr>
          <w:rtl w:val="0"/>
        </w:rPr>
        <w:t xml:space="preserve">Ex rerum Anglicarum scriptoribus </w:t>
      </w:r>
      <w:r>
        <w:rPr>
          <w:i w:val="0"/>
          <w:iCs w:val="0"/>
          <w:rtl w:val="0"/>
          <w:lang w:val="en-US"/>
        </w:rPr>
        <w:t>eds. Paulini and Liebermann.</w:t>
      </w:r>
    </w:p>
    <w:p>
      <w:pPr>
        <w:pStyle w:val="Body 1"/>
        <w:numPr>
          <w:ilvl w:val="1"/>
          <w:numId w:val="1"/>
        </w:numPr>
        <w:bidi w:val="0"/>
      </w:pPr>
      <w:r>
        <w:rPr>
          <w:i w:val="0"/>
          <w:iCs w:val="0"/>
          <w:rtl w:val="0"/>
          <w:lang w:val="en-US"/>
        </w:rPr>
        <w:t>“</w:t>
      </w:r>
      <w:r>
        <w:rPr>
          <w:i w:val="0"/>
          <w:iCs w:val="0"/>
          <w:rtl w:val="0"/>
          <w:lang w:val="en-US"/>
        </w:rPr>
        <w:t>The Lord Edward</w:t>
      </w:r>
      <w:r>
        <w:rPr>
          <w:i w:val="0"/>
          <w:iCs w:val="0"/>
          <w:rtl w:val="0"/>
          <w:lang w:val="en-US"/>
        </w:rPr>
        <w:t>’</w:t>
      </w:r>
      <w:r>
        <w:rPr>
          <w:i w:val="0"/>
          <w:iCs w:val="0"/>
          <w:rtl w:val="0"/>
          <w:lang w:val="en-US"/>
        </w:rPr>
        <w:t>s Oath to Aid and Counsel Simon de Montfort</w:t>
      </w:r>
      <w:r>
        <w:rPr>
          <w:i w:val="0"/>
          <w:iCs w:val="0"/>
          <w:rtl w:val="0"/>
          <w:lang w:val="en-US"/>
        </w:rPr>
        <w:t xml:space="preserve">” </w:t>
      </w:r>
      <w:r>
        <w:rPr>
          <w:i w:val="0"/>
          <w:iCs w:val="0"/>
          <w:rtl w:val="0"/>
          <w:lang w:val="en-US"/>
        </w:rPr>
        <w:t>by Carpenter.</w:t>
      </w:r>
    </w:p>
    <w:p>
      <w:pPr>
        <w:pStyle w:val="Body 1"/>
        <w:numPr>
          <w:ilvl w:val="1"/>
          <w:numId w:val="1"/>
        </w:numPr>
        <w:bidi w:val="0"/>
      </w:pPr>
      <w:r>
        <w:rPr>
          <w:rtl w:val="0"/>
        </w:rPr>
        <w:t>First English Revolution</w:t>
      </w:r>
      <w:r>
        <w:rPr>
          <w:i w:val="0"/>
          <w:iCs w:val="0"/>
          <w:rtl w:val="0"/>
          <w:lang w:val="en-US"/>
        </w:rPr>
        <w:t xml:space="preserve"> by Jobson.</w:t>
      </w:r>
    </w:p>
    <w:p>
      <w:pPr>
        <w:pStyle w:val="Body 1"/>
        <w:numPr>
          <w:ilvl w:val="1"/>
          <w:numId w:val="1"/>
        </w:numPr>
        <w:bidi w:val="0"/>
      </w:pPr>
      <w:r>
        <w:rPr>
          <w:rtl w:val="0"/>
        </w:rPr>
        <w:t xml:space="preserve">Chronicles: The Writing of History in Medieval England </w:t>
      </w:r>
      <w:r>
        <w:rPr>
          <w:i w:val="0"/>
          <w:iCs w:val="0"/>
          <w:rtl w:val="0"/>
          <w:lang w:val="en-US"/>
        </w:rPr>
        <w:t>by Given-Wilson.</w:t>
      </w:r>
    </w:p>
    <w:p>
      <w:pPr>
        <w:pStyle w:val="Body 1"/>
        <w:numPr>
          <w:ilvl w:val="1"/>
          <w:numId w:val="1"/>
        </w:numPr>
        <w:bidi w:val="0"/>
      </w:pPr>
      <w:r>
        <w:rPr>
          <w:rtl w:val="0"/>
        </w:rPr>
        <w:t xml:space="preserve">From Memory to Written Record: England 1066-1307 </w:t>
      </w:r>
      <w:r>
        <w:rPr>
          <w:i w:val="0"/>
          <w:iCs w:val="0"/>
          <w:rtl w:val="0"/>
          <w:lang w:val="en-US"/>
        </w:rPr>
        <w:t>by Clanchy.</w:t>
      </w:r>
    </w:p>
    <w:p>
      <w:pPr>
        <w:pStyle w:val="Body 1"/>
        <w:numPr>
          <w:ilvl w:val="1"/>
          <w:numId w:val="1"/>
        </w:numPr>
        <w:bidi w:val="0"/>
      </w:pPr>
      <w:r>
        <w:rPr>
          <w:rtl w:val="0"/>
        </w:rPr>
        <w:t xml:space="preserve">Medieval Law in Context </w:t>
      </w:r>
      <w:r>
        <w:rPr>
          <w:i w:val="0"/>
          <w:iCs w:val="0"/>
          <w:rtl w:val="0"/>
          <w:lang w:val="en-US"/>
        </w:rPr>
        <w:t>by Musson.</w:t>
      </w:r>
    </w:p>
    <w:p>
      <w:pPr>
        <w:pStyle w:val="Body 1"/>
        <w:numPr>
          <w:ilvl w:val="1"/>
          <w:numId w:val="1"/>
        </w:numPr>
        <w:bidi w:val="0"/>
      </w:pPr>
      <w:r>
        <w:rPr>
          <w:rtl w:val="0"/>
        </w:rPr>
        <w:t xml:space="preserve">Gesta abbatum monasterio Santi Albani </w:t>
      </w:r>
      <w:r>
        <w:rPr>
          <w:i w:val="0"/>
          <w:iCs w:val="0"/>
          <w:rtl w:val="0"/>
          <w:lang w:val="en-US"/>
        </w:rPr>
        <w:t>ed. by James G. Clark and trans. by David Preest.</w:t>
      </w:r>
    </w:p>
    <w:p>
      <w:pPr>
        <w:pStyle w:val="Body 1"/>
        <w:bidi w:val="0"/>
        <w:rPr>
          <w:i w:val="0"/>
          <w:iCs w:val="0"/>
        </w:rPr>
      </w:pPr>
      <w:r>
        <w:rPr>
          <w:i w:val="0"/>
          <w:iCs w:val="0"/>
          <w:rtl w:val="0"/>
          <w:lang w:val="en-US"/>
        </w:rPr>
        <w:t>While choices of these secondary sources are directly referenced within the text of the article, others are noted in the footnotes as containing further information illustrating the author</w:t>
      </w:r>
      <w:r>
        <w:rPr>
          <w:i w:val="0"/>
          <w:iCs w:val="0"/>
          <w:rtl w:val="0"/>
          <w:lang w:val="en-US"/>
        </w:rPr>
        <w:t>’</w:t>
      </w:r>
      <w:r>
        <w:rPr>
          <w:i w:val="0"/>
          <w:iCs w:val="0"/>
          <w:rtl w:val="0"/>
          <w:lang w:val="en-US"/>
        </w:rPr>
        <w:t xml:space="preserve">s words.  </w:t>
      </w:r>
    </w:p>
    <w:p>
      <w:pPr>
        <w:pStyle w:val="Body 1"/>
        <w:bidi w:val="0"/>
        <w:rPr>
          <w:i w:val="0"/>
          <w:iCs w:val="0"/>
        </w:rPr>
      </w:pPr>
    </w:p>
    <w:p>
      <w:pPr>
        <w:pStyle w:val="Body 1"/>
        <w:bidi w:val="0"/>
      </w:pPr>
      <w:r>
        <w:rPr>
          <w:i w:val="0"/>
          <w:iCs w:val="0"/>
          <w:rtl w:val="0"/>
          <w:lang w:val="en-US"/>
        </w:rPr>
        <w:t xml:space="preserve">The author has chosen to utilize sources ranging from archival works, notably the Annals, in addition to published texts be them articles or books.  Not obvious is the use of online sources, leading the reader to believe none were used.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i w:val="1"/>
        <w:iCs w:val="1"/>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Body 1">
    <w:name w:val="Body 1"/>
    <w:next w:val="Body 1"/>
    <w:pPr>
      <w:keepNext w:val="0"/>
      <w:keepLines w:val="0"/>
      <w:pageBreakBefore w:val="0"/>
      <w:widowControl w:val="1"/>
      <w:shd w:val="clear" w:color="auto" w:fill="auto"/>
      <w:suppressAutoHyphens w:val="0"/>
      <w:bidi w:val="0"/>
      <w:spacing w:before="0" w:after="0" w:line="240" w:lineRule="auto"/>
      <w:ind w:left="0" w:right="0" w:firstLine="0"/>
      <w:jc w:val="both"/>
      <w:outlineLvl w:val="9"/>
    </w:pPr>
    <w:rPr>
      <w:rFonts w:ascii="Helvetica Neue" w:cs="Arial Unicode MS" w:hAnsi="Helvetica Neue" w:eastAsia="Arial Unicode MS"/>
      <w:b w:val="0"/>
      <w:bCs w:val="0"/>
      <w:i w:val="1"/>
      <w:iCs w:val="1"/>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