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cs="Times New Roman"/>
          <w:color w:val="000000" w:themeColor="text1"/>
          <w:sz w:val="32"/>
          <w:szCs w:val="32"/>
          <w:shd w:val="clear" w:color="auto" w:fill="FFFFFF"/>
          <w:lang w:val="en-GB"/>
        </w:rPr>
      </w:pPr>
      <w:bookmarkStart w:id="0" w:name="OLE_LINK5"/>
      <w:bookmarkStart w:id="1" w:name="OLE_LINK6"/>
    </w:p>
    <w:p>
      <w:pPr>
        <w:jc w:val="both"/>
        <w:rPr>
          <w:rFonts w:cs="Times New Roman"/>
          <w:color w:val="000000" w:themeColor="text1"/>
          <w:sz w:val="32"/>
          <w:szCs w:val="32"/>
          <w:shd w:val="clear" w:color="auto" w:fill="FFFFFF"/>
          <w:lang w:val="en-GB"/>
        </w:rPr>
      </w:pPr>
    </w:p>
    <w:p>
      <w:pPr>
        <w:jc w:val="center"/>
        <w:rPr>
          <w:rFonts w:cs="Times New Roman"/>
          <w:b/>
          <w:bCs/>
          <w:color w:val="000000" w:themeColor="text1"/>
          <w:sz w:val="32"/>
          <w:szCs w:val="32"/>
          <w:shd w:val="clear" w:color="auto" w:fill="FFFFFF"/>
          <w:lang w:val="en-GB"/>
        </w:rPr>
      </w:pPr>
      <w:r>
        <w:rPr>
          <w:rFonts w:hint="eastAsia" w:cs="Times New Roman"/>
          <w:b/>
          <w:bCs/>
          <w:color w:val="000000" w:themeColor="text1"/>
          <w:sz w:val="32"/>
          <w:szCs w:val="32"/>
          <w:shd w:val="clear" w:color="auto" w:fill="FFFFFF"/>
          <w:lang w:val="en-GB"/>
        </w:rPr>
        <w:t>Corporate Social Responsibility in the Public Sector</w:t>
      </w:r>
    </w:p>
    <w:p>
      <w:pPr>
        <w:jc w:val="both"/>
        <w:rPr>
          <w:rFonts w:cs="Times New Roman"/>
          <w:color w:val="000000" w:themeColor="text1"/>
          <w:sz w:val="32"/>
          <w:szCs w:val="32"/>
          <w:shd w:val="clear" w:color="auto" w:fill="FFFFFF"/>
          <w:lang w:val="en-GB"/>
        </w:rPr>
      </w:pPr>
    </w:p>
    <w:p>
      <w:pPr>
        <w:jc w:val="center"/>
        <w:rPr>
          <w:rFonts w:cs="Times New Roman"/>
          <w:b/>
          <w:color w:val="000000" w:themeColor="text1"/>
          <w:szCs w:val="24"/>
          <w:shd w:val="clear" w:color="auto" w:fill="FFFFFF"/>
          <w:lang w:val="en-GB"/>
        </w:rPr>
      </w:pPr>
      <w:r>
        <w:rPr>
          <w:rFonts w:cs="Times New Roman"/>
          <w:b/>
          <w:color w:val="000000" w:themeColor="text1"/>
          <w:szCs w:val="24"/>
          <w:shd w:val="clear" w:color="auto" w:fill="FFFFFF"/>
          <w:lang w:val="en-GB"/>
        </w:rPr>
        <w:t>CSR POLICIES IN NESTLE</w:t>
      </w:r>
    </w:p>
    <w:p>
      <w:pPr>
        <w:jc w:val="center"/>
        <w:rPr>
          <w:rFonts w:hint="default" w:cs="Times New Roman"/>
          <w:color w:val="000000" w:themeColor="text1"/>
          <w:szCs w:val="32"/>
          <w:shd w:val="clear" w:color="auto" w:fill="FFFFFF"/>
          <w:lang w:val="en-GB"/>
        </w:rPr>
      </w:pPr>
      <w:r>
        <w:rPr>
          <w:rFonts w:cs="Times New Roman"/>
          <w:color w:val="000000" w:themeColor="text1"/>
          <w:szCs w:val="32"/>
          <w:shd w:val="clear" w:color="auto" w:fill="FFFFFF"/>
          <w:lang w:val="en-GB"/>
        </w:rPr>
        <w:t>Name</w:t>
      </w:r>
      <w:r>
        <w:rPr>
          <w:rFonts w:hint="default" w:cs="Times New Roman"/>
          <w:color w:val="000000" w:themeColor="text1"/>
          <w:szCs w:val="32"/>
          <w:shd w:val="clear" w:color="auto" w:fill="FFFFFF"/>
          <w:lang w:val="en-GB"/>
        </w:rPr>
        <w:t>:Tongzhou Ding</w:t>
      </w:r>
    </w:p>
    <w:p>
      <w:pPr>
        <w:jc w:val="center"/>
        <w:rPr>
          <w:rFonts w:hint="default" w:cs="Times New Roman"/>
          <w:color w:val="000000" w:themeColor="text1"/>
          <w:szCs w:val="32"/>
          <w:shd w:val="clear" w:color="auto" w:fill="FFFFFF"/>
          <w:lang w:val="en-GB"/>
        </w:rPr>
      </w:pPr>
      <w:r>
        <w:rPr>
          <w:rFonts w:hint="default" w:cs="Times New Roman"/>
          <w:color w:val="000000" w:themeColor="text1"/>
          <w:szCs w:val="32"/>
          <w:shd w:val="clear" w:color="auto" w:fill="FFFFFF"/>
          <w:lang w:val="en-GB"/>
        </w:rPr>
        <w:t>Student ID:1903371</w:t>
      </w:r>
    </w:p>
    <w:p>
      <w:pPr>
        <w:jc w:val="center"/>
        <w:rPr>
          <w:rFonts w:cs="Times New Roman"/>
          <w:b/>
          <w:color w:val="000000" w:themeColor="text1"/>
          <w:szCs w:val="24"/>
          <w:lang w:val="en-GB"/>
        </w:rPr>
      </w:pPr>
      <w:r>
        <w:rPr>
          <w:rFonts w:hint="default" w:cs="Times New Roman"/>
          <w:color w:val="000000" w:themeColor="text1"/>
          <w:szCs w:val="32"/>
          <w:shd w:val="clear" w:color="auto" w:fill="FFFFFF"/>
          <w:lang w:val="en-GB"/>
        </w:rPr>
        <w:t>Time:3.2.2020</w:t>
      </w:r>
      <w:r>
        <w:rPr>
          <w:rFonts w:cs="Times New Roman"/>
          <w:b/>
          <w:color w:val="000000" w:themeColor="text1"/>
          <w:szCs w:val="24"/>
          <w:lang w:val="en-GB"/>
        </w:rPr>
        <w:br w:type="page"/>
      </w:r>
    </w:p>
    <w:p>
      <w:pPr>
        <w:pStyle w:val="2"/>
        <w:jc w:val="both"/>
        <w:rPr>
          <w:rFonts w:hint="default" w:ascii="Times New Roman" w:hAnsi="Times New Roman" w:cs="Times New Roman"/>
          <w:sz w:val="24"/>
          <w:szCs w:val="24"/>
          <w:lang w:val="en-GB"/>
        </w:rPr>
      </w:pPr>
      <w:bookmarkStart w:id="2" w:name="_Toc34058061"/>
      <w:r>
        <w:rPr>
          <w:rFonts w:hint="default" w:ascii="Times New Roman" w:hAnsi="Times New Roman" w:cs="Times New Roman"/>
          <w:sz w:val="24"/>
          <w:szCs w:val="24"/>
          <w:lang w:val="en-GB"/>
        </w:rPr>
        <w:t>Introduction</w:t>
      </w:r>
      <w:bookmarkEnd w:id="2"/>
    </w:p>
    <w:p>
      <w:pPr>
        <w:jc w:val="both"/>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Corporate social responsibility popularly termed as CSR is the kind of self-regulation adopted by private businesses which operate internationally. By implementing corporate social policies the organisations aim at contributing to the societal goals of the activist charitable and philanthropic nature. They also engage in and support volunteering the ethically oriented practices. Maintaining and understanding this responsibility is highly important for businesses to function globally. The CSR policies and strategies eventually help in gaining trust of consumers. The study focuses on activities of CSR initiated by Nestle in its overseas operations.</w:t>
      </w:r>
      <w:r>
        <w:rPr>
          <w:rFonts w:hint="default" w:ascii="Times New Roman" w:hAnsi="Times New Roman" w:cs="Times New Roman"/>
          <w:color w:val="000000" w:themeColor="text1"/>
          <w:sz w:val="24"/>
          <w:szCs w:val="24"/>
          <w:lang w:val="en-GB"/>
          <w14:textFill>
            <w14:solidFill>
              <w14:schemeClr w14:val="tx1"/>
            </w14:solidFill>
          </w14:textFill>
        </w:rPr>
        <w:t>(Statista, 2020)</w:t>
      </w:r>
    </w:p>
    <w:p>
      <w:pPr>
        <w:jc w:val="both"/>
        <w:rPr>
          <w:rFonts w:hint="default" w:ascii="Times New Roman" w:hAnsi="Times New Roman" w:cs="Times New Roman"/>
          <w:color w:val="000000" w:themeColor="text1"/>
          <w:sz w:val="24"/>
          <w:szCs w:val="24"/>
        </w:rPr>
      </w:pPr>
    </w:p>
    <w:p>
      <w:pPr>
        <w:jc w:val="both"/>
        <w:rPr>
          <w:rFonts w:hint="default" w:ascii="Times New Roman" w:hAnsi="Times New Roman" w:cs="Times New Roman"/>
          <w:color w:val="000000" w:themeColor="text1"/>
          <w:sz w:val="24"/>
          <w:szCs w:val="24"/>
        </w:rPr>
      </w:pPr>
    </w:p>
    <w:p>
      <w:pPr>
        <w:jc w:val="both"/>
        <w:rPr>
          <w:rFonts w:hint="default" w:ascii="Times New Roman" w:hAnsi="Times New Roman" w:cs="Times New Roman"/>
          <w:color w:val="000000" w:themeColor="text1"/>
          <w:sz w:val="24"/>
          <w:szCs w:val="24"/>
        </w:rPr>
      </w:pPr>
    </w:p>
    <w:p>
      <w:pPr>
        <w:jc w:val="both"/>
        <w:rPr>
          <w:rFonts w:hint="default" w:ascii="Times New Roman" w:hAnsi="Times New Roman" w:cs="Times New Roman"/>
          <w:color w:val="000000" w:themeColor="text1"/>
          <w:sz w:val="24"/>
          <w:szCs w:val="24"/>
        </w:rPr>
      </w:pPr>
    </w:p>
    <w:p>
      <w:pPr>
        <w:jc w:val="both"/>
        <w:rPr>
          <w:rFonts w:hint="default" w:ascii="Times New Roman" w:hAnsi="Times New Roman" w:cs="Times New Roman"/>
          <w:color w:val="000000" w:themeColor="text1"/>
          <w:sz w:val="24"/>
          <w:szCs w:val="24"/>
        </w:rPr>
      </w:pPr>
    </w:p>
    <w:p>
      <w:pPr>
        <w:jc w:val="both"/>
        <w:rPr>
          <w:rFonts w:hint="default" w:ascii="Times New Roman" w:hAnsi="Times New Roman" w:cs="Times New Roman"/>
          <w:color w:val="000000" w:themeColor="text1"/>
          <w:sz w:val="24"/>
          <w:szCs w:val="24"/>
        </w:rPr>
      </w:pPr>
    </w:p>
    <w:p>
      <w:pPr>
        <w:jc w:val="both"/>
        <w:rPr>
          <w:rFonts w:hint="default" w:ascii="Times New Roman" w:hAnsi="Times New Roman" w:cs="Times New Roman"/>
          <w:color w:val="000000" w:themeColor="text1"/>
          <w:sz w:val="24"/>
          <w:szCs w:val="24"/>
        </w:rPr>
      </w:pPr>
    </w:p>
    <w:p>
      <w:pPr>
        <w:jc w:val="both"/>
        <w:rPr>
          <w:rFonts w:hint="default" w:ascii="Times New Roman" w:hAnsi="Times New Roman" w:cs="Times New Roman"/>
          <w:color w:val="000000" w:themeColor="text1"/>
          <w:sz w:val="24"/>
          <w:szCs w:val="24"/>
        </w:rPr>
      </w:pPr>
    </w:p>
    <w:p>
      <w:pPr>
        <w:jc w:val="both"/>
        <w:rPr>
          <w:rFonts w:hint="default" w:ascii="Times New Roman" w:hAnsi="Times New Roman" w:cs="Times New Roman"/>
          <w:color w:val="000000" w:themeColor="text1"/>
          <w:sz w:val="24"/>
          <w:szCs w:val="24"/>
        </w:rPr>
      </w:pPr>
    </w:p>
    <w:p>
      <w:pPr>
        <w:jc w:val="both"/>
        <w:rPr>
          <w:rFonts w:hint="default" w:ascii="Times New Roman" w:hAnsi="Times New Roman" w:cs="Times New Roman"/>
          <w:color w:val="000000" w:themeColor="text1"/>
          <w:sz w:val="24"/>
          <w:szCs w:val="24"/>
        </w:rPr>
      </w:pPr>
    </w:p>
    <w:p>
      <w:pPr>
        <w:jc w:val="both"/>
        <w:rPr>
          <w:rFonts w:hint="default" w:ascii="Times New Roman" w:hAnsi="Times New Roman" w:cs="Times New Roman"/>
          <w:color w:val="000000" w:themeColor="text1"/>
          <w:sz w:val="24"/>
          <w:szCs w:val="24"/>
        </w:rPr>
      </w:pPr>
    </w:p>
    <w:p>
      <w:pPr>
        <w:jc w:val="both"/>
        <w:rPr>
          <w:rFonts w:hint="default" w:ascii="Times New Roman" w:hAnsi="Times New Roman" w:cs="Times New Roman"/>
          <w:color w:val="000000" w:themeColor="text1"/>
          <w:sz w:val="24"/>
          <w:szCs w:val="24"/>
        </w:rPr>
      </w:pPr>
    </w:p>
    <w:p>
      <w:pPr>
        <w:jc w:val="both"/>
        <w:rPr>
          <w:rFonts w:hint="default" w:ascii="Times New Roman" w:hAnsi="Times New Roman" w:cs="Times New Roman"/>
          <w:color w:val="000000" w:themeColor="text1"/>
          <w:sz w:val="24"/>
          <w:szCs w:val="24"/>
        </w:rPr>
      </w:pPr>
    </w:p>
    <w:p>
      <w:pPr>
        <w:jc w:val="both"/>
        <w:rPr>
          <w:rFonts w:hint="default" w:ascii="Times New Roman" w:hAnsi="Times New Roman" w:cs="Times New Roman"/>
          <w:color w:val="000000" w:themeColor="text1"/>
          <w:sz w:val="24"/>
          <w:szCs w:val="24"/>
        </w:rPr>
      </w:pPr>
    </w:p>
    <w:p>
      <w:pPr>
        <w:jc w:val="both"/>
        <w:rPr>
          <w:rFonts w:hint="default" w:ascii="Times New Roman" w:hAnsi="Times New Roman" w:cs="Times New Roman"/>
          <w:color w:val="000000" w:themeColor="text1"/>
          <w:sz w:val="24"/>
          <w:szCs w:val="24"/>
        </w:rPr>
      </w:pPr>
    </w:p>
    <w:p>
      <w:pPr>
        <w:pStyle w:val="3"/>
        <w:rPr>
          <w:rFonts w:hint="default" w:ascii="Times New Roman" w:hAnsi="Times New Roman" w:cs="Times New Roman"/>
          <w:sz w:val="24"/>
          <w:szCs w:val="24"/>
        </w:rPr>
      </w:pPr>
      <w:bookmarkStart w:id="3" w:name="_Toc34058063"/>
      <w:r>
        <w:rPr>
          <w:rFonts w:hint="default" w:ascii="Times New Roman" w:hAnsi="Times New Roman" w:cs="Times New Roman"/>
          <w:sz w:val="24"/>
          <w:szCs w:val="24"/>
        </w:rPr>
        <w:t>Nestle CSR strategy and aim</w:t>
      </w:r>
      <w:bookmarkEnd w:id="3"/>
    </w:p>
    <w:p>
      <w:pPr>
        <w:jc w:val="both"/>
        <w:rPr>
          <w:rFonts w:hint="default" w:ascii="Times New Roman" w:hAnsi="Times New Roman" w:cs="Times New Roman"/>
          <w:color w:val="000000" w:themeColor="text1"/>
          <w:sz w:val="24"/>
          <w:szCs w:val="24"/>
          <w:lang w:val="en-GB"/>
        </w:rPr>
      </w:pPr>
      <w:r>
        <w:rPr>
          <w:rFonts w:hint="default" w:ascii="Times New Roman" w:hAnsi="Times New Roman" w:cs="Times New Roman"/>
          <w:color w:val="000000" w:themeColor="text1"/>
          <w:sz w:val="24"/>
          <w:szCs w:val="24"/>
          <w:lang w:val="en-GB"/>
        </w:rPr>
        <w:t xml:space="preserve">Nestle is a popular international food and beverage company. At present, this firm is focusing on improving its CSR activities across the world. They aim to create health awareness among the individuals and provide access to clean drinking water and sanitation by 2022 (Nestle, 2020a). </w:t>
      </w:r>
    </w:p>
    <w:p>
      <w:pPr>
        <w:jc w:val="both"/>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lang w:val="en-GB"/>
        </w:rPr>
        <w:t>According to the WHO report of the year 2016, around 829000 deaths occurred worldwide due to poor sanitation and water-borne diseases (WHO, 2020). Agnihotri and Bhattacharya (2016), argued that creating health awareness among children has become a major responsibility for every food and beverage company. To deal with these issues Nestle has taken Health and wellness policy and water awareness policy as its current CSR policies (Nestle, 2020b). To shape and carry forward these policies, Nestle has taken the following strategies:</w:t>
      </w:r>
    </w:p>
    <w:p>
      <w:pPr>
        <w:jc w:val="both"/>
        <w:rPr>
          <w:rFonts w:hint="default" w:ascii="Times New Roman" w:hAnsi="Times New Roman" w:cs="Times New Roman"/>
          <w:b/>
          <w:i/>
          <w:color w:val="000000" w:themeColor="text1"/>
          <w:sz w:val="24"/>
          <w:szCs w:val="24"/>
          <w:lang w:val="en-GB"/>
        </w:rPr>
      </w:pPr>
      <w:r>
        <w:rPr>
          <w:rFonts w:hint="default" w:ascii="Times New Roman" w:hAnsi="Times New Roman" w:cs="Times New Roman"/>
          <w:b/>
          <w:i/>
          <w:color w:val="000000" w:themeColor="text1"/>
          <w:sz w:val="24"/>
          <w:szCs w:val="24"/>
          <w:lang w:val="en-GB"/>
        </w:rPr>
        <w:t>Child health development strategy</w:t>
      </w:r>
    </w:p>
    <w:p>
      <w:pPr>
        <w:jc w:val="both"/>
        <w:rPr>
          <w:rFonts w:hint="default" w:ascii="Times New Roman" w:hAnsi="Times New Roman" w:cs="Times New Roman"/>
          <w:color w:val="000000" w:themeColor="text1"/>
          <w:sz w:val="24"/>
          <w:szCs w:val="24"/>
          <w:lang w:val="en-GB"/>
        </w:rPr>
      </w:pPr>
      <w:r>
        <w:rPr>
          <w:rFonts w:hint="default" w:ascii="Times New Roman" w:hAnsi="Times New Roman" w:cs="Times New Roman"/>
          <w:color w:val="000000" w:themeColor="text1"/>
          <w:sz w:val="24"/>
          <w:szCs w:val="24"/>
          <w:lang w:val="en-GB"/>
        </w:rPr>
        <w:t>The statistic shows that in UK</w:t>
      </w:r>
      <w:r>
        <w:rPr>
          <w:rFonts w:hint="default" w:cs="Times New Roman"/>
          <w:color w:val="000000" w:themeColor="text1"/>
          <w:sz w:val="24"/>
          <w:szCs w:val="24"/>
          <w:lang w:val="en-GB"/>
        </w:rPr>
        <w:t xml:space="preserve"> </w:t>
      </w:r>
      <w:r>
        <w:rPr>
          <w:rFonts w:hint="default" w:ascii="Times New Roman" w:hAnsi="Times New Roman" w:cs="Times New Roman"/>
          <w:color w:val="000000" w:themeColor="text1"/>
          <w:sz w:val="24"/>
          <w:szCs w:val="24"/>
          <w:lang w:val="en-GB"/>
        </w:rPr>
        <w:t xml:space="preserve">every 1 in 3 children under the age of 5 years is either overweight or undernourished (The Guardian, 2020a). This is due to rising levels of poverty and a lack of education aboutnutrition among general population. The data shows that 47% of UK families cannot spend enough to purchase food for their children (Statista, 2020). These rising issues lead Nestle to incorporate health and wellness strategy into its CSR policy. Nestle currently focuses on improving child health and they aim to deliver nutrition education to adolescents across the world. Their </w:t>
      </w:r>
      <w:r>
        <w:rPr>
          <w:rFonts w:hint="default" w:ascii="Times New Roman" w:hAnsi="Times New Roman" w:cs="Times New Roman"/>
          <w:b/>
          <w:i/>
          <w:color w:val="000000" w:themeColor="text1"/>
          <w:sz w:val="24"/>
          <w:szCs w:val="24"/>
          <w:lang w:val="en-GB"/>
        </w:rPr>
        <w:t>healthy kids' program</w:t>
      </w:r>
      <w:r>
        <w:rPr>
          <w:rFonts w:hint="default" w:ascii="Times New Roman" w:hAnsi="Times New Roman" w:cs="Times New Roman"/>
          <w:color w:val="000000" w:themeColor="text1"/>
          <w:sz w:val="24"/>
          <w:szCs w:val="24"/>
          <w:lang w:val="en-GB"/>
        </w:rPr>
        <w:t xml:space="preserve"> will deliverinformation and resources about good nutritional practices and fitness among the students in rural schools. It is expected that this current strategy will develop the future CSR perspectives of Nestle. </w:t>
      </w:r>
    </w:p>
    <w:p>
      <w:pPr>
        <w:jc w:val="both"/>
        <w:rPr>
          <w:rFonts w:hint="default" w:ascii="Times New Roman" w:hAnsi="Times New Roman" w:cs="Times New Roman"/>
          <w:b/>
          <w:i/>
          <w:color w:val="auto"/>
          <w:sz w:val="24"/>
          <w:szCs w:val="24"/>
          <w:lang w:val="en-GB"/>
        </w:rPr>
      </w:pPr>
      <w:bookmarkStart w:id="8" w:name="_GoBack"/>
      <w:r>
        <w:rPr>
          <w:rFonts w:hint="default" w:ascii="Times New Roman" w:hAnsi="Times New Roman" w:cs="Times New Roman"/>
          <w:b/>
          <w:i/>
          <w:color w:val="auto"/>
          <w:sz w:val="24"/>
          <w:szCs w:val="24"/>
          <w:lang w:val="en-GB"/>
        </w:rPr>
        <w:t>Safe drinking water strategy</w:t>
      </w:r>
    </w:p>
    <w:p>
      <w:pPr>
        <w:jc w:val="both"/>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lang w:val="en-GB"/>
        </w:rPr>
        <w:t>The waterborne diseases have become a rising concern of UK government. According to the statistical data in UK, approximately 100,000 people died in the year 2017 due to waterborne diseases (WHO, 2020). As mentioned that Jauernig and Valentinov (2019), inappropriate chemical treatment in water purification and poor sanitation process in UK villages caused this incident. On the contrary Karim et al. (2019), claimed that lack of education regarding health and hygiene lead people to perform unhealthy activities. To deal with this issue Nestle has taken a safe drinking water strategy to create awareness among the general population. This strategy will focus on supporting farmers to manage the waste water that originates from agricultural activities. Therefore, they aim to create awareness on water conservation and providing access to proper sanitation and drinking water to the general public.</w:t>
      </w:r>
    </w:p>
    <w:p>
      <w:pPr>
        <w:pStyle w:val="3"/>
        <w:rPr>
          <w:rFonts w:hint="default" w:ascii="Times New Roman" w:hAnsi="Times New Roman" w:cs="Times New Roman"/>
          <w:color w:val="auto"/>
          <w:sz w:val="24"/>
          <w:szCs w:val="24"/>
          <w:lang w:val="en-GB"/>
        </w:rPr>
      </w:pPr>
      <w:bookmarkStart w:id="4" w:name="_Toc34058064"/>
      <w:r>
        <w:rPr>
          <w:rFonts w:hint="default" w:ascii="Times New Roman" w:hAnsi="Times New Roman" w:cs="Times New Roman"/>
          <w:color w:val="auto"/>
          <w:sz w:val="24"/>
          <w:szCs w:val="24"/>
          <w:lang w:val="en-GB"/>
        </w:rPr>
        <w:t>Implementation and development</w:t>
      </w:r>
      <w:bookmarkEnd w:id="4"/>
    </w:p>
    <w:p>
      <w:pPr>
        <w:jc w:val="both"/>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lang w:val="en-GB"/>
        </w:rPr>
        <w:t xml:space="preserve">To measure the development of any strategy an organisation requires measuring its economic status or GDP of the host country. As per Jauernig and Valentinov (2019), in 2019 the GDP of UK was £523588m, which ensures that the economic condition of this country is stable. </w:t>
      </w:r>
      <w:r>
        <w:rPr>
          <w:rFonts w:hint="default" w:cs="Times New Roman"/>
          <w:color w:val="auto"/>
          <w:sz w:val="24"/>
          <w:szCs w:val="24"/>
          <w:lang w:val="en-GB"/>
        </w:rPr>
        <w:t>T</w:t>
      </w:r>
      <w:r>
        <w:rPr>
          <w:rFonts w:hint="default" w:ascii="Times New Roman" w:hAnsi="Times New Roman" w:cs="Times New Roman"/>
          <w:color w:val="auto"/>
          <w:sz w:val="24"/>
          <w:szCs w:val="24"/>
          <w:lang w:val="en-GB"/>
        </w:rPr>
        <w:t>he current economy of UK will allow Nestle to develop its CSR strategies by utilizing its resources. On the other hand, in 2019 Nestle has increased its earnings per share by 15.7% in UK market (Nestle, 2020c). This means Nestle has the proper resources to invest more in developing its CSR strategies.</w:t>
      </w:r>
    </w:p>
    <w:p>
      <w:pPr>
        <w:jc w:val="both"/>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lang w:val="en-GB"/>
        </w:rPr>
        <w:t xml:space="preserve">Koep (2017) describes that the </w:t>
      </w:r>
      <w:r>
        <w:rPr>
          <w:rFonts w:hint="default" w:ascii="Times New Roman" w:hAnsi="Times New Roman" w:cs="Times New Roman"/>
          <w:b/>
          <w:color w:val="auto"/>
          <w:sz w:val="24"/>
          <w:szCs w:val="24"/>
          <w:lang w:val="en-GB"/>
        </w:rPr>
        <w:t xml:space="preserve">Rostow's five-stage model </w:t>
      </w:r>
      <w:r>
        <w:rPr>
          <w:rFonts w:hint="default" w:ascii="Times New Roman" w:hAnsi="Times New Roman" w:cs="Times New Roman"/>
          <w:color w:val="auto"/>
          <w:sz w:val="24"/>
          <w:szCs w:val="24"/>
          <w:lang w:val="en-GB"/>
        </w:rPr>
        <w:t xml:space="preserve">highlights five major stages of organisation development one of the major steps is mass consumption. This focuses on increased customer expenditure. On the contrary Lueg et al. (2016), argued that technological development is crucial to increase the product consumption in a particular target segment. This concept emphasises the second stage of this model, which focuses on how businesses can expand in different markets by using technology. The third stage focuses on traditional society that means limited capital and low productivity. In the fourth stage or pre- take-off stage business can gain more output. In the last stage of take off stage, an organisation experience rising productivity and competitive advantage. At present, Nestle is present in the mass consumption phase in the UK beverage industry. In UK market Nestle has approximately 3.3million customers. Lueg et al.(2016) supports that this strong base of customers influences this firm to develop its current CSR strategies. For example, modern people are more health-conscious thus they require sustainable and eco-friendly business. Hence, having a large consumer base will encourage Nestle to develop and implement its health and wellness strategies. As argued by Agnihotri and Bhattacharya (2016), to retain the old customers an organization should invest more in its product development. This supports the third stage of this model that means the take-off phase. In the context of Nestle, for strengthen its customer base it must improve the manufacturing technique in terms of making hygienic food according to the market interest. </w:t>
      </w:r>
    </w:p>
    <w:p>
      <w:pPr>
        <w:jc w:val="both"/>
        <w:rPr>
          <w:rFonts w:hint="default" w:ascii="Times New Roman" w:hAnsi="Times New Roman" w:cs="Times New Roman"/>
          <w:color w:val="auto"/>
          <w:sz w:val="24"/>
          <w:szCs w:val="24"/>
          <w:lang w:val="en-GB"/>
        </w:rPr>
      </w:pPr>
      <w:r>
        <w:rPr>
          <w:rFonts w:hint="default" w:ascii="Times New Roman" w:hAnsi="Times New Roman" w:cs="Times New Roman"/>
          <w:b/>
          <w:color w:val="auto"/>
          <w:sz w:val="24"/>
          <w:szCs w:val="24"/>
          <w:lang w:val="en-GB"/>
        </w:rPr>
        <w:t xml:space="preserve">Goal setting: </w:t>
      </w:r>
      <w:r>
        <w:rPr>
          <w:rFonts w:hint="default" w:ascii="Times New Roman" w:hAnsi="Times New Roman" w:cs="Times New Roman"/>
          <w:color w:val="auto"/>
          <w:sz w:val="24"/>
          <w:szCs w:val="24"/>
          <w:lang w:val="en-GB"/>
        </w:rPr>
        <w:t xml:space="preserve">Kulinkina et al. (2017) states that to implement a strategy setting a proper goal is crucial. Marano and Kostova (2015), opposed that any organizational goal should be realistic and specific for gaining success. In the context of Nestle, their major CSR goal is to ensure the health and wellness of individuals across the world. This goal specifies the improvement of health and wellness of individuals and it is realistic as it highlights the health concerns of modern customers, which is an emerging issue in today’s food industry. </w:t>
      </w:r>
    </w:p>
    <w:p>
      <w:pPr>
        <w:jc w:val="both"/>
        <w:rPr>
          <w:rFonts w:hint="default" w:ascii="Times New Roman" w:hAnsi="Times New Roman" w:cs="Times New Roman"/>
          <w:color w:val="auto"/>
          <w:sz w:val="24"/>
          <w:szCs w:val="24"/>
          <w:lang w:val="en-GB"/>
        </w:rPr>
      </w:pPr>
      <w:r>
        <w:rPr>
          <w:rFonts w:hint="default" w:ascii="Times New Roman" w:hAnsi="Times New Roman" w:cs="Times New Roman"/>
          <w:b/>
          <w:color w:val="auto"/>
          <w:sz w:val="24"/>
          <w:szCs w:val="24"/>
          <w:lang w:val="en-GB"/>
        </w:rPr>
        <w:t>Policy formulation:</w:t>
      </w:r>
      <w:r>
        <w:rPr>
          <w:rFonts w:hint="default" w:ascii="Times New Roman" w:hAnsi="Times New Roman" w:cs="Times New Roman"/>
          <w:color w:val="auto"/>
          <w:sz w:val="24"/>
          <w:szCs w:val="24"/>
          <w:lang w:val="en-GB"/>
        </w:rPr>
        <w:t xml:space="preserve"> To shape a strategy an effective policy should be taken by an organisation (Marano and Kostova, 2015). On the other hand, Sharma and Song (2018), argued that an organizational policy should protect the individual right. In the context of Nestle, it has taken equality policy to protect the rights of individuals while implementing CSR strategies.  </w:t>
      </w:r>
    </w:p>
    <w:p>
      <w:pPr>
        <w:jc w:val="both"/>
        <w:rPr>
          <w:rFonts w:hint="default" w:ascii="Times New Roman" w:hAnsi="Times New Roman" w:cs="Times New Roman"/>
          <w:color w:val="auto"/>
          <w:sz w:val="24"/>
          <w:szCs w:val="24"/>
          <w:lang w:val="en-GB"/>
        </w:rPr>
      </w:pPr>
      <w:r>
        <w:rPr>
          <w:rFonts w:hint="default" w:ascii="Times New Roman" w:hAnsi="Times New Roman" w:cs="Times New Roman"/>
          <w:b/>
          <w:color w:val="auto"/>
          <w:sz w:val="24"/>
          <w:szCs w:val="24"/>
          <w:lang w:val="en-GB"/>
        </w:rPr>
        <w:t xml:space="preserve">Resource allocation and budgeting: </w:t>
      </w:r>
      <w:r>
        <w:rPr>
          <w:rFonts w:hint="default" w:ascii="Times New Roman" w:hAnsi="Times New Roman" w:cs="Times New Roman"/>
          <w:color w:val="auto"/>
          <w:sz w:val="24"/>
          <w:szCs w:val="24"/>
          <w:lang w:val="en-GB"/>
        </w:rPr>
        <w:t xml:space="preserve">According to Nyarku and Ayekple (2019), proper resource allocation is crucial for an organisation while implementing a strategy. Nestle needs to set a proper budget based on which it will allocate its resources. The expected implementation cost of these CSR strategies is £10719.85.  </w:t>
      </w:r>
    </w:p>
    <w:p>
      <w:pPr>
        <w:jc w:val="both"/>
        <w:rPr>
          <w:rFonts w:hint="default" w:ascii="Times New Roman" w:hAnsi="Times New Roman" w:cs="Times New Roman"/>
          <w:color w:val="auto"/>
          <w:sz w:val="24"/>
          <w:szCs w:val="24"/>
          <w:lang w:val="en-GB"/>
        </w:rPr>
      </w:pPr>
      <w:r>
        <w:rPr>
          <w:rFonts w:hint="default" w:ascii="Times New Roman" w:hAnsi="Times New Roman" w:cs="Times New Roman"/>
          <w:b/>
          <w:color w:val="auto"/>
          <w:sz w:val="24"/>
          <w:szCs w:val="24"/>
          <w:lang w:val="en-GB"/>
        </w:rPr>
        <w:t xml:space="preserve">Taken activities: </w:t>
      </w:r>
      <w:r>
        <w:rPr>
          <w:rFonts w:hint="default" w:ascii="Times New Roman" w:hAnsi="Times New Roman" w:cs="Times New Roman"/>
          <w:color w:val="auto"/>
          <w:sz w:val="24"/>
          <w:szCs w:val="24"/>
          <w:lang w:val="en-GB"/>
        </w:rPr>
        <w:t xml:space="preserve">Nestle will adopt a multi-partnership approach for implementing the Healthy Kids Program. Khojastehpour and Shams (2019) suggest that stakeholder involvement is a major activity of CSR policy implementation. On the contrary Nyarku and Ayekple (2019), said that most of the multinational firms are facing problem in communicating their stakeholders while implementing a strategy. However, Nestle has taken solution for it. This firm invited many village schools in UK to participate in this program. Therefore, Nestle has 250 partners across the international market such as local and national governments, NGO and health institutions who will involve in this program (Nestle, 2020d). On the other hand, to create water awareness among the UK citizens, Nestle will continue to engage the UK government, stakeholders, farmers, external audit agencies and local NGOs. </w:t>
      </w:r>
    </w:p>
    <w:p>
      <w:pPr>
        <w:jc w:val="both"/>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lang w:val="en-GB"/>
        </w:rPr>
        <w:t xml:space="preserve">According to Sharma and Song(2018), Nestle will follow a structured governance method to control and monitor this policy implementation. The Board of directors will be involved in governing the CSR strategies taken by Nestle. As suggested by Lueg et al. (2016), the effectiveness of these strategies will be measured by following the principles of the Companies Act. </w:t>
      </w:r>
    </w:p>
    <w:p>
      <w:pPr>
        <w:jc w:val="both"/>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lang w:val="en-GB"/>
        </w:rPr>
        <w:t>The current governance structure of Nestle includes a social responsibility committee and corporate governance for formulating the CSR policies. The Board of directors is responsible to manage and analyse the expenditure for CSR policy implementation (Nestle, 2020e). Therefore, the CSR department involves monitoring and controlling each CSR project. Moreover, the independent directors are responsible to visit each project from time to time and report the survey result to CSR committee.</w:t>
      </w:r>
    </w:p>
    <w:p>
      <w:pPr>
        <w:jc w:val="both"/>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lang w:val="en-GB"/>
        </w:rPr>
        <w:t xml:space="preserve">Nestle focuses on developing an ethical business by implementing its business strategies. For example, it keeps transparency in its business practices by using the Anti-corruption measure (Nestle, 2020f). As commented by Xia et al. (2019), to implement the health and wellness policy and water awareness policy, Nestle requires involving its stakeholders in this process. On the contrary Sharma and Song (2018), said that this may put pressure on Nestle to keep fairness and integrity in its partnership business. Hence, by using the anti-corruption policy Nestle will minimise the personal activities of employees that may create conflict in CSR policy implementation. Therefore, Nestle aims to reduce child labour from its business practices and protect employee rights while restructuring its CSR policies (Nestle, 2020e). Hence, it can be said that the current governance structure and organisational policies will allow Nestle to implement its CSR strategies successfully along with keeping transparency. </w:t>
      </w:r>
    </w:p>
    <w:p>
      <w:pPr>
        <w:pStyle w:val="3"/>
        <w:rPr>
          <w:rFonts w:hint="default" w:ascii="Times New Roman" w:hAnsi="Times New Roman" w:cs="Times New Roman"/>
          <w:color w:val="auto"/>
          <w:sz w:val="24"/>
          <w:szCs w:val="24"/>
          <w:lang w:val="en-GB"/>
        </w:rPr>
      </w:pPr>
      <w:bookmarkStart w:id="5" w:name="_Toc34058065"/>
      <w:r>
        <w:rPr>
          <w:rFonts w:hint="default" w:ascii="Times New Roman" w:hAnsi="Times New Roman" w:cs="Times New Roman"/>
          <w:color w:val="auto"/>
          <w:sz w:val="24"/>
          <w:szCs w:val="24"/>
          <w:lang w:val="en-GB"/>
        </w:rPr>
        <w:t>Evaluation of CSR strategies</w:t>
      </w:r>
      <w:bookmarkEnd w:id="5"/>
    </w:p>
    <w:p>
      <w:pPr>
        <w:jc w:val="both"/>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lang w:val="en-GB"/>
        </w:rPr>
        <w:t xml:space="preserve">As stated by Xia et al. (2019), Nestle always aims to develop the health and wealth of individuals. As criticized by Sharma and Song (2018), previously Nestle focused on reducing the unemployment rate and improving education in rural areas of UK, which are not sufficient to make a firm sustainable as being a food company health and hygiene should be the highest priority of Nestle. </w:t>
      </w:r>
      <w:r>
        <w:rPr>
          <w:rStyle w:val="16"/>
          <w:rFonts w:hint="default" w:ascii="Times New Roman" w:hAnsi="Times New Roman" w:cs="Times New Roman"/>
          <w:color w:val="auto"/>
          <w:sz w:val="24"/>
          <w:szCs w:val="24"/>
          <w:lang w:val="en-GB"/>
        </w:rPr>
        <w:t>Agnihotri and Bhattacharya (2016</w:t>
      </w:r>
      <w:r>
        <w:rPr>
          <w:rFonts w:hint="default" w:ascii="Times New Roman" w:hAnsi="Times New Roman" w:cs="Times New Roman"/>
          <w:color w:val="auto"/>
          <w:sz w:val="24"/>
          <w:szCs w:val="24"/>
          <w:lang w:val="en-GB"/>
        </w:rPr>
        <w:t xml:space="preserve">) say that at present, this firm focuses on </w:t>
      </w:r>
      <w:r>
        <w:rPr>
          <w:rFonts w:hint="default" w:ascii="Times New Roman" w:hAnsi="Times New Roman" w:cs="Times New Roman"/>
          <w:b/>
          <w:i/>
          <w:color w:val="auto"/>
          <w:sz w:val="24"/>
          <w:szCs w:val="24"/>
          <w:lang w:val="en-GB"/>
        </w:rPr>
        <w:t>improving child health and create water awareness among people</w:t>
      </w:r>
      <w:r>
        <w:rPr>
          <w:rFonts w:hint="default" w:ascii="Times New Roman" w:hAnsi="Times New Roman" w:cs="Times New Roman"/>
          <w:color w:val="auto"/>
          <w:sz w:val="24"/>
          <w:szCs w:val="24"/>
          <w:lang w:val="en-GB"/>
        </w:rPr>
        <w:t xml:space="preserve">. The previous CSR strategies were taken 5 years ago while many social, economic and environmental changes occurred in these five years. As criticized by Karim et al. (2019), the previous CSR strategies of Nestle mainly focused on social development rather than environmental protection. At present, </w:t>
      </w:r>
      <w:r>
        <w:rPr>
          <w:rStyle w:val="16"/>
          <w:rFonts w:hint="default" w:ascii="Times New Roman" w:hAnsi="Times New Roman" w:cs="Times New Roman"/>
          <w:color w:val="auto"/>
          <w:sz w:val="24"/>
          <w:szCs w:val="24"/>
          <w:lang w:val="en-GB"/>
        </w:rPr>
        <w:t>Franco et al. (2019</w:t>
      </w:r>
      <w:r>
        <w:rPr>
          <w:rFonts w:hint="default" w:ascii="Times New Roman" w:hAnsi="Times New Roman" w:cs="Times New Roman"/>
          <w:color w:val="auto"/>
          <w:sz w:val="24"/>
          <w:szCs w:val="24"/>
          <w:lang w:val="en-GB"/>
        </w:rPr>
        <w:t xml:space="preserve">) argues that water scarcity becomes a growing issue in UK business environment. By considering this issue, Nestle has changed its focus and incorporated environmental policies into its CSR practices.  Hence, it can be said that the CSR objectives of Nestle have been changed over time. Based on the CSR model, the responsibilities of CSR can be examined. </w:t>
      </w:r>
    </w:p>
    <w:p>
      <w:pPr>
        <w:jc w:val="both"/>
        <w:rPr>
          <w:rFonts w:hint="default" w:ascii="Times New Roman" w:hAnsi="Times New Roman" w:cs="Times New Roman"/>
          <w:color w:val="auto"/>
          <w:sz w:val="24"/>
          <w:szCs w:val="24"/>
          <w:lang w:val="en-GB"/>
        </w:rPr>
      </w:pPr>
      <w:r>
        <w:rPr>
          <w:rFonts w:hint="default" w:ascii="Times New Roman" w:hAnsi="Times New Roman" w:cs="Times New Roman"/>
          <w:b/>
          <w:color w:val="auto"/>
          <w:sz w:val="24"/>
          <w:szCs w:val="24"/>
          <w:lang w:val="en-GB"/>
        </w:rPr>
        <w:t>Economic responsibility:</w:t>
      </w:r>
      <w:r>
        <w:rPr>
          <w:rFonts w:hint="default" w:ascii="Times New Roman" w:hAnsi="Times New Roman" w:cs="Times New Roman"/>
          <w:color w:val="auto"/>
          <w:sz w:val="24"/>
          <w:szCs w:val="24"/>
          <w:lang w:val="en-GB"/>
        </w:rPr>
        <w:t xml:space="preserve"> As mentioned by Xia et al. (2019), Nestle turns the perishable goods into high quality and safe food products. On the contrary Franco et al. (2019), argued that Nestle always considers environmental factors while managing its supply chain. Nestle committed that they put special emphasis on water usage in their supply chain management (Nestle, 2020). To reduce the water usage Nestle maximizes the eco-efficiency of its supply chain management. They have taken many conservation programs to improve water quality. These initiatives taken by Nestle provide short-term results while Nestle aimed to deliver long-term results. The Oxfam report shows that maximum multinational companies' CSR policies focus on improving the current capitalist system rather than implementing a new system (The Guardian, 2020b). This is observed in the context of Nestle. Nestle has taken a </w:t>
      </w:r>
      <w:r>
        <w:rPr>
          <w:rFonts w:hint="default" w:ascii="Times New Roman" w:hAnsi="Times New Roman" w:cs="Times New Roman"/>
          <w:b/>
          <w:i/>
          <w:color w:val="auto"/>
          <w:sz w:val="24"/>
          <w:szCs w:val="24"/>
          <w:lang w:val="en-GB"/>
        </w:rPr>
        <w:t>safe drinking water strategy</w:t>
      </w:r>
      <w:r>
        <w:rPr>
          <w:rFonts w:hint="default" w:ascii="Times New Roman" w:hAnsi="Times New Roman" w:cs="Times New Roman"/>
          <w:color w:val="auto"/>
          <w:sz w:val="24"/>
          <w:szCs w:val="24"/>
          <w:lang w:val="en-GB"/>
        </w:rPr>
        <w:t xml:space="preserve"> however, it currently focuses on reducing water usage in its supply chain management rather than transforming the sources of waste water.</w:t>
      </w:r>
    </w:p>
    <w:p>
      <w:pPr>
        <w:jc w:val="both"/>
        <w:rPr>
          <w:rFonts w:hint="default" w:ascii="Times New Roman" w:hAnsi="Times New Roman" w:cs="Times New Roman"/>
          <w:color w:val="auto"/>
          <w:sz w:val="24"/>
          <w:szCs w:val="24"/>
          <w:lang w:val="en-GB"/>
        </w:rPr>
      </w:pPr>
      <w:r>
        <w:rPr>
          <w:rFonts w:hint="default" w:ascii="Times New Roman" w:hAnsi="Times New Roman" w:cs="Times New Roman"/>
          <w:b/>
          <w:color w:val="auto"/>
          <w:sz w:val="24"/>
          <w:szCs w:val="24"/>
          <w:lang w:val="en-GB"/>
        </w:rPr>
        <w:t>Legal responsibility:</w:t>
      </w:r>
      <w:r>
        <w:rPr>
          <w:rFonts w:hint="default" w:ascii="Times New Roman" w:hAnsi="Times New Roman" w:cs="Times New Roman"/>
          <w:color w:val="auto"/>
          <w:sz w:val="24"/>
          <w:szCs w:val="24"/>
          <w:lang w:val="en-GB"/>
        </w:rPr>
        <w:t xml:space="preserve"> Nestle committed to creating water awareness among the consumers however, in reality, the water bottling of this firm is failed to follow the legislation (Nestle, 2020f). As observed by Nyarku and Ayekple (2019), Nestle used a lot of groundwater for its bottling and the CSR policies are monitored by CSR committee of Nestle. This affects the water conservation policy of Nestle. Nestle aimed to improve the health and wellness of individuals by complying with the Companies Act of 2006. In real, Dhanesh and Sriramesh (2018) criticises that this firm only focuses on some specific projects such as a reduction in water usage and training of farmers, which are not sufficient to achieve this CSR goal proposed by Nestle.</w:t>
      </w:r>
    </w:p>
    <w:p>
      <w:pPr>
        <w:jc w:val="both"/>
        <w:rPr>
          <w:rFonts w:hint="default" w:ascii="Times New Roman" w:hAnsi="Times New Roman" w:cs="Times New Roman"/>
          <w:color w:val="auto"/>
          <w:sz w:val="24"/>
          <w:szCs w:val="24"/>
          <w:lang w:val="en-GB"/>
        </w:rPr>
      </w:pPr>
      <w:r>
        <w:rPr>
          <w:rFonts w:hint="default" w:ascii="Times New Roman" w:hAnsi="Times New Roman" w:cs="Times New Roman"/>
          <w:b/>
          <w:color w:val="auto"/>
          <w:sz w:val="24"/>
          <w:szCs w:val="24"/>
          <w:lang w:val="en-GB"/>
        </w:rPr>
        <w:t>Ethical responsibility:</w:t>
      </w:r>
      <w:r>
        <w:rPr>
          <w:rFonts w:hint="default" w:ascii="Times New Roman" w:hAnsi="Times New Roman" w:cs="Times New Roman"/>
          <w:color w:val="auto"/>
          <w:sz w:val="24"/>
          <w:szCs w:val="24"/>
          <w:lang w:val="en-GB"/>
        </w:rPr>
        <w:t xml:space="preserve"> Nestle committed to leaving a positive impact on the community, individuals, and families.  The rural development, nutrition, and water are the main three pillars of their CSR policies. According to </w:t>
      </w:r>
      <w:r>
        <w:rPr>
          <w:rStyle w:val="16"/>
          <w:rFonts w:hint="default" w:ascii="Times New Roman" w:hAnsi="Times New Roman" w:cs="Times New Roman"/>
          <w:color w:val="auto"/>
          <w:sz w:val="24"/>
          <w:szCs w:val="24"/>
          <w:lang w:val="en-GB"/>
        </w:rPr>
        <w:t>Karim, Manab and Ismail (2019</w:t>
      </w:r>
      <w:r>
        <w:rPr>
          <w:rFonts w:hint="default" w:ascii="Times New Roman" w:hAnsi="Times New Roman" w:cs="Times New Roman"/>
          <w:color w:val="auto"/>
          <w:sz w:val="24"/>
          <w:szCs w:val="24"/>
          <w:lang w:val="en-GB"/>
        </w:rPr>
        <w:t xml:space="preserve">), studies show that Nestle mainly focuses on water conservation rather than other two areas. It has been received that Nestle invested £12 million in improving water usage while in rural development it invested only £8 million. From this data, Khojastehpour and Shams (2019) concludes that Nestle failed to fulfil its CSR commitment in this particular area. Stakeholder involvement is a major area of every CSR policies. On the contrary, </w:t>
      </w:r>
      <w:r>
        <w:rPr>
          <w:rStyle w:val="16"/>
          <w:rFonts w:hint="default" w:ascii="Times New Roman" w:hAnsi="Times New Roman" w:cs="Times New Roman"/>
          <w:color w:val="auto"/>
          <w:sz w:val="24"/>
          <w:szCs w:val="24"/>
          <w:lang w:val="en-GB"/>
        </w:rPr>
        <w:t>Karim, Manab and Ismail (2019</w:t>
      </w:r>
      <w:r>
        <w:rPr>
          <w:rFonts w:hint="default" w:ascii="Times New Roman" w:hAnsi="Times New Roman" w:cs="Times New Roman"/>
          <w:color w:val="auto"/>
          <w:sz w:val="24"/>
          <w:szCs w:val="24"/>
          <w:lang w:val="en-GB"/>
        </w:rPr>
        <w:t>) opposed that without stakeholder involvement a firm can never successfully implement its CSR policy. Nestle also proposed that it will deliver food safety training among the street vendors for creating awareness about health and hygiene. However, Nestle did not take any initiative regarding this objective (Nestle, 2020e). Lueg et al. (2016) observed that recently, many organisations implement their CSR practices through employee volunteering programs. Nestle also committed to following the same. However, in reality, this organisation did not provide any training to its employees for engaging the children and create nutrition awareness among them.</w:t>
      </w:r>
    </w:p>
    <w:p>
      <w:pPr>
        <w:jc w:val="both"/>
        <w:rPr>
          <w:rFonts w:hint="default" w:ascii="Times New Roman" w:hAnsi="Times New Roman" w:cs="Times New Roman"/>
          <w:color w:val="auto"/>
          <w:sz w:val="24"/>
          <w:szCs w:val="24"/>
          <w:lang w:val="en-GB"/>
        </w:rPr>
      </w:pPr>
      <w:r>
        <w:rPr>
          <w:rFonts w:hint="default" w:ascii="Times New Roman" w:hAnsi="Times New Roman" w:cs="Times New Roman"/>
          <w:b/>
          <w:color w:val="auto"/>
          <w:sz w:val="24"/>
          <w:szCs w:val="24"/>
          <w:lang w:val="en-GB"/>
        </w:rPr>
        <w:t>Philanthropic responsibilities</w:t>
      </w:r>
      <w:r>
        <w:rPr>
          <w:rFonts w:hint="default" w:ascii="Times New Roman" w:hAnsi="Times New Roman" w:cs="Times New Roman"/>
          <w:color w:val="auto"/>
          <w:sz w:val="24"/>
          <w:szCs w:val="24"/>
          <w:lang w:val="en-GB"/>
        </w:rPr>
        <w:t xml:space="preserve">: Nestle committed to increasing drinking water facilities in village schools by developing water wells and constructing storage tanks (Nestle, 2020). As mentioned by Xia et al. (2019), Nestle committed that the water will be stored in a specially designed hygienic tank. On the other hand, Nyarku and Ayekple (2019), opined that in real life, Nestle only constructed 250 tanks across UK by 2018 while it committed to construct 380 tanks by 2019. According to </w:t>
      </w:r>
      <w:r>
        <w:rPr>
          <w:rStyle w:val="16"/>
          <w:rFonts w:hint="default" w:ascii="Times New Roman" w:hAnsi="Times New Roman" w:cs="Times New Roman"/>
          <w:color w:val="auto"/>
          <w:sz w:val="24"/>
          <w:szCs w:val="24"/>
          <w:lang w:val="en-GB"/>
        </w:rPr>
        <w:t>Xia et al. (2019</w:t>
      </w:r>
      <w:r>
        <w:rPr>
          <w:rFonts w:hint="default" w:ascii="Times New Roman" w:hAnsi="Times New Roman" w:cs="Times New Roman"/>
          <w:color w:val="auto"/>
          <w:sz w:val="24"/>
          <w:szCs w:val="24"/>
          <w:lang w:val="en-GB"/>
        </w:rPr>
        <w:t xml:space="preserve">), an organisation needs to set proper objectives while going to implement a strategy. On the contrary, </w:t>
      </w:r>
      <w:r>
        <w:rPr>
          <w:rStyle w:val="16"/>
          <w:rFonts w:hint="default" w:ascii="Times New Roman" w:hAnsi="Times New Roman" w:cs="Times New Roman"/>
          <w:color w:val="auto"/>
          <w:sz w:val="24"/>
          <w:szCs w:val="24"/>
          <w:lang w:val="en-GB"/>
        </w:rPr>
        <w:t>Phiri, Mantzari and Gleadle (2019</w:t>
      </w:r>
      <w:r>
        <w:rPr>
          <w:rFonts w:hint="default" w:ascii="Times New Roman" w:hAnsi="Times New Roman" w:cs="Times New Roman"/>
          <w:color w:val="auto"/>
          <w:sz w:val="24"/>
          <w:szCs w:val="24"/>
          <w:lang w:val="en-GB"/>
        </w:rPr>
        <w:t xml:space="preserve">) argued that it can be said that without a specific goal an organisation will never gain success in its business. In the context of Nestle, it does not have specific CSR objectives, which lead this firm to face difficulties in meeting their commitments. In the context of Nestle, it committed that it will </w:t>
      </w:r>
      <w:r>
        <w:rPr>
          <w:rFonts w:hint="default" w:ascii="Times New Roman" w:hAnsi="Times New Roman" w:cs="Times New Roman"/>
          <w:b/>
          <w:i/>
          <w:color w:val="auto"/>
          <w:sz w:val="24"/>
          <w:szCs w:val="24"/>
          <w:lang w:val="en-GB"/>
        </w:rPr>
        <w:t>create health awareness among the chil</w:t>
      </w:r>
      <w:r>
        <w:rPr>
          <w:rFonts w:hint="default" w:ascii="Times New Roman" w:hAnsi="Times New Roman" w:cs="Times New Roman"/>
          <w:color w:val="auto"/>
          <w:sz w:val="24"/>
          <w:szCs w:val="24"/>
          <w:lang w:val="en-GB"/>
        </w:rPr>
        <w:t>dren by involving stakeholders. In real this firm has decided to develop a partnership work with the government, NGOs, and school to provide nutrition education in the rural schools. Hence, Nestle successfully meets this commitment.</w:t>
      </w:r>
    </w:p>
    <w:p>
      <w:pPr>
        <w:jc w:val="both"/>
        <w:rPr>
          <w:rFonts w:hint="default" w:ascii="Times New Roman" w:hAnsi="Times New Roman" w:cs="Times New Roman"/>
          <w:color w:val="auto"/>
          <w:sz w:val="24"/>
          <w:szCs w:val="24"/>
          <w:lang w:val="en-GB"/>
        </w:rPr>
      </w:pPr>
    </w:p>
    <w:p>
      <w:pPr>
        <w:jc w:val="both"/>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lang w:val="en-GB"/>
        </w:rPr>
        <w:t>Jauernig and Valentinov (2019), argued on this concept and illustrated that a team should include much experience and knowledge while working on a CSR policy. Nestle said about developing a special team of technical expertise for monitoring the major areas of CSR policies. However, this firm did not form any special team for monitoring the kids' health program and water awareness policy (Nestle, 2020f).</w:t>
      </w:r>
    </w:p>
    <w:p>
      <w:pPr>
        <w:jc w:val="both"/>
        <w:rPr>
          <w:rFonts w:hint="default" w:ascii="Times New Roman" w:hAnsi="Times New Roman" w:cs="Times New Roman"/>
          <w:color w:val="auto"/>
          <w:sz w:val="24"/>
          <w:szCs w:val="24"/>
          <w:lang w:val="en-GB"/>
        </w:rPr>
      </w:pPr>
    </w:p>
    <w:p>
      <w:pPr>
        <w:pStyle w:val="2"/>
        <w:jc w:val="both"/>
        <w:rPr>
          <w:rFonts w:hint="default" w:ascii="Times New Roman" w:hAnsi="Times New Roman" w:cs="Times New Roman"/>
          <w:color w:val="auto"/>
          <w:sz w:val="24"/>
          <w:szCs w:val="24"/>
          <w:lang w:val="en-GB"/>
        </w:rPr>
      </w:pPr>
      <w:bookmarkStart w:id="6" w:name="_Toc34058066"/>
      <w:r>
        <w:rPr>
          <w:rFonts w:hint="default" w:ascii="Times New Roman" w:hAnsi="Times New Roman" w:cs="Times New Roman"/>
          <w:color w:val="auto"/>
          <w:sz w:val="24"/>
          <w:szCs w:val="24"/>
        </w:rPr>
        <w:t>Conclusion</w:t>
      </w:r>
      <w:bookmarkEnd w:id="6"/>
    </w:p>
    <w:p>
      <w:pPr>
        <w:jc w:val="both"/>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lang w:val="en-GB"/>
        </w:rPr>
        <w:t xml:space="preserve">Hence, based on the above analysis it can be said that Nestle has made many commitments regarding its CSR policy implementation however, limited number of commitments are fulfilled by this organisation. This may impact the future CSR activities of Nestle. </w:t>
      </w:r>
      <w:r>
        <w:rPr>
          <w:rFonts w:hint="default" w:ascii="Times New Roman" w:hAnsi="Times New Roman" w:cs="Times New Roman"/>
          <w:color w:val="auto"/>
          <w:sz w:val="24"/>
          <w:szCs w:val="24"/>
        </w:rPr>
        <w:t>The two fundamental strategies developed by Nestle UK to comply with the corporate social responsibility are Strategy of safe drinking water and development of child health.</w:t>
      </w:r>
    </w:p>
    <w:p>
      <w:pPr>
        <w:jc w:val="both"/>
        <w:rPr>
          <w:rFonts w:hint="default" w:ascii="Times New Roman" w:hAnsi="Times New Roman" w:cs="Times New Roman"/>
          <w:b/>
          <w:color w:val="auto"/>
          <w:sz w:val="24"/>
          <w:szCs w:val="24"/>
          <w:lang w:val="en-GB"/>
        </w:rPr>
      </w:pPr>
      <w:r>
        <w:rPr>
          <w:rFonts w:hint="default" w:ascii="Times New Roman" w:hAnsi="Times New Roman" w:cs="Times New Roman"/>
          <w:b/>
          <w:color w:val="auto"/>
          <w:sz w:val="24"/>
          <w:szCs w:val="24"/>
          <w:lang w:val="en-GB"/>
        </w:rPr>
        <w:br w:type="page"/>
      </w:r>
    </w:p>
    <w:bookmarkEnd w:id="8"/>
    <w:p>
      <w:pPr>
        <w:pStyle w:val="2"/>
        <w:jc w:val="both"/>
        <w:rPr>
          <w:lang w:val="en-GB"/>
        </w:rPr>
      </w:pPr>
      <w:bookmarkStart w:id="7" w:name="_Toc34058067"/>
      <w:r>
        <w:rPr>
          <w:lang w:val="en-GB"/>
        </w:rPr>
        <w:t>References</w:t>
      </w:r>
      <w:bookmarkEnd w:id="7"/>
    </w:p>
    <w:p>
      <w:pPr>
        <w:numPr>
          <w:ilvl w:val="0"/>
          <w:numId w:val="1"/>
        </w:numPr>
        <w:ind w:left="425" w:leftChars="0" w:hanging="425" w:firstLineChars="0"/>
        <w:jc w:val="both"/>
        <w:rPr>
          <w:rFonts w:cs="Times New Roman"/>
          <w:color w:val="000000" w:themeColor="text1"/>
          <w:szCs w:val="24"/>
          <w:lang w:val="en-GB"/>
        </w:rPr>
      </w:pPr>
      <w:r>
        <w:rPr>
          <w:rFonts w:cs="Times New Roman"/>
          <w:color w:val="000000" w:themeColor="text1"/>
          <w:szCs w:val="24"/>
          <w:lang w:val="en-GB"/>
        </w:rPr>
        <w:t>Agnihotri, A. and Bhattacharya, S. (2016). Communicating CSR practices – Role of internationalization of emerging market firms. </w:t>
      </w:r>
      <w:r>
        <w:rPr>
          <w:rFonts w:cs="Times New Roman"/>
          <w:i/>
          <w:iCs/>
          <w:color w:val="000000" w:themeColor="text1"/>
          <w:szCs w:val="24"/>
          <w:lang w:val="en-GB"/>
        </w:rPr>
        <w:t>Journal of Marketing Communications</w:t>
      </w:r>
      <w:r>
        <w:rPr>
          <w:rFonts w:cs="Times New Roman"/>
          <w:color w:val="000000" w:themeColor="text1"/>
          <w:szCs w:val="24"/>
          <w:lang w:val="en-GB"/>
        </w:rPr>
        <w:t>, [online] 25(4), pp.365-384. Available at: https://www.tandfonline.com/doi/abs/10.1080/13527266.2016.1251488 [Accessed 25 Feb. 2020].</w:t>
      </w:r>
    </w:p>
    <w:p>
      <w:pPr>
        <w:numPr>
          <w:ilvl w:val="0"/>
          <w:numId w:val="1"/>
        </w:numPr>
        <w:ind w:left="425" w:leftChars="0" w:hanging="425" w:firstLineChars="0"/>
        <w:jc w:val="both"/>
        <w:rPr>
          <w:rFonts w:cs="Times New Roman"/>
          <w:color w:val="000000" w:themeColor="text1"/>
          <w:szCs w:val="24"/>
          <w:lang w:val="en-GB"/>
        </w:rPr>
      </w:pPr>
      <w:r>
        <w:rPr>
          <w:rFonts w:cs="Times New Roman"/>
          <w:color w:val="000000" w:themeColor="text1"/>
          <w:szCs w:val="24"/>
          <w:lang w:val="en-GB"/>
        </w:rPr>
        <w:t>Civero, G., Rusciano, V. and Scarpato, D. (2018). Orientation of Agri-Food Companies to CSR and Consumer Perception: A Survey on Two Italian Companies. </w:t>
      </w:r>
      <w:r>
        <w:rPr>
          <w:rFonts w:cs="Times New Roman"/>
          <w:i/>
          <w:iCs/>
          <w:color w:val="000000" w:themeColor="text1"/>
          <w:szCs w:val="24"/>
          <w:lang w:val="en-GB"/>
        </w:rPr>
        <w:t>Recent Patents on Food, Nutrition &amp; Agriculture</w:t>
      </w:r>
      <w:r>
        <w:rPr>
          <w:rFonts w:cs="Times New Roman"/>
          <w:color w:val="000000" w:themeColor="text1"/>
          <w:szCs w:val="24"/>
          <w:lang w:val="en-GB"/>
        </w:rPr>
        <w:t>, [online] 9(2), pp.134-141. Available at: https://www.ingentaconnect.com/contentone/ben/pfna/2018/00000009/00000002/art00011 [Accessed 25 Feb. 2020].</w:t>
      </w:r>
    </w:p>
    <w:p>
      <w:pPr>
        <w:numPr>
          <w:ilvl w:val="0"/>
          <w:numId w:val="1"/>
        </w:numPr>
        <w:ind w:left="425" w:leftChars="0" w:hanging="425" w:firstLineChars="0"/>
        <w:jc w:val="both"/>
        <w:rPr>
          <w:rFonts w:cs="Times New Roman"/>
          <w:color w:val="000000" w:themeColor="text1"/>
          <w:szCs w:val="24"/>
          <w:lang w:val="en-GB"/>
        </w:rPr>
      </w:pPr>
      <w:r>
        <w:rPr>
          <w:rFonts w:cs="Times New Roman"/>
          <w:color w:val="000000" w:themeColor="text1"/>
          <w:szCs w:val="24"/>
          <w:lang w:val="en-GB"/>
        </w:rPr>
        <w:t>Dhanesh, G. and Sriramesh, K. (2018). Culture and Crisis Communication: Nestle India's Maggi Noodles Case. </w:t>
      </w:r>
      <w:r>
        <w:rPr>
          <w:rFonts w:cs="Times New Roman"/>
          <w:i/>
          <w:iCs/>
          <w:color w:val="000000" w:themeColor="text1"/>
          <w:szCs w:val="24"/>
          <w:lang w:val="en-GB"/>
        </w:rPr>
        <w:t>Journal of International Management</w:t>
      </w:r>
      <w:r>
        <w:rPr>
          <w:rFonts w:cs="Times New Roman"/>
          <w:color w:val="000000" w:themeColor="text1"/>
          <w:szCs w:val="24"/>
          <w:lang w:val="en-GB"/>
        </w:rPr>
        <w:t>, [online] 24(3), pp.204-214. Available at: https://www.sciencedirect.com/science/article/abs/pii/S1075425317304726 [Accessed 25 Feb. 2020].</w:t>
      </w:r>
    </w:p>
    <w:p>
      <w:pPr>
        <w:numPr>
          <w:ilvl w:val="0"/>
          <w:numId w:val="1"/>
        </w:numPr>
        <w:ind w:left="425" w:leftChars="0" w:hanging="425" w:firstLineChars="0"/>
        <w:jc w:val="both"/>
        <w:rPr>
          <w:rFonts w:cs="Times New Roman"/>
          <w:color w:val="000000" w:themeColor="text1"/>
          <w:szCs w:val="24"/>
          <w:lang w:val="en-GB"/>
        </w:rPr>
      </w:pPr>
      <w:r>
        <w:rPr>
          <w:rFonts w:cs="Times New Roman"/>
          <w:color w:val="000000" w:themeColor="text1"/>
          <w:szCs w:val="24"/>
          <w:lang w:val="en-GB"/>
        </w:rPr>
        <w:t>Franco, S., Caroli, M., Cappa, F. and Del Chiappa, G. (2019). Are you good enough? CSR, quality management and corporate financial performance in the hospitality industry. </w:t>
      </w:r>
      <w:r>
        <w:rPr>
          <w:rFonts w:cs="Times New Roman"/>
          <w:i/>
          <w:iCs/>
          <w:color w:val="000000" w:themeColor="text1"/>
          <w:szCs w:val="24"/>
          <w:lang w:val="en-GB"/>
        </w:rPr>
        <w:t>International Journal of Hospitality Management</w:t>
      </w:r>
      <w:r>
        <w:rPr>
          <w:rFonts w:cs="Times New Roman"/>
          <w:color w:val="000000" w:themeColor="text1"/>
          <w:szCs w:val="24"/>
          <w:lang w:val="en-GB"/>
        </w:rPr>
        <w:t>, [online] p.102395. Available at: https://www.sciencedirect.com/science/article/abs/pii/S0278431919304724 [Accessed 25 Feb. 2020].</w:t>
      </w:r>
    </w:p>
    <w:p>
      <w:pPr>
        <w:numPr>
          <w:ilvl w:val="0"/>
          <w:numId w:val="1"/>
        </w:numPr>
        <w:ind w:left="425" w:leftChars="0" w:hanging="425" w:firstLineChars="0"/>
        <w:jc w:val="both"/>
        <w:rPr>
          <w:rFonts w:cs="Times New Roman"/>
          <w:color w:val="000000" w:themeColor="text1"/>
          <w:szCs w:val="24"/>
          <w:lang w:val="en-GB"/>
        </w:rPr>
      </w:pPr>
      <w:r>
        <w:rPr>
          <w:rFonts w:cs="Times New Roman"/>
          <w:color w:val="000000" w:themeColor="text1"/>
          <w:szCs w:val="24"/>
          <w:lang w:val="en-GB"/>
        </w:rPr>
        <w:t>Jauernig, J. and Valentinov, V. (2019). CSR as hypocrisy avoidance: a conceptual framework. </w:t>
      </w:r>
      <w:r>
        <w:rPr>
          <w:rFonts w:cs="Times New Roman"/>
          <w:i/>
          <w:iCs/>
          <w:color w:val="000000" w:themeColor="text1"/>
          <w:szCs w:val="24"/>
          <w:lang w:val="en-GB"/>
        </w:rPr>
        <w:t>Sustainability Accounting, Management and Policy Journal</w:t>
      </w:r>
      <w:r>
        <w:rPr>
          <w:rFonts w:cs="Times New Roman"/>
          <w:color w:val="000000" w:themeColor="text1"/>
          <w:szCs w:val="24"/>
          <w:lang w:val="en-GB"/>
        </w:rPr>
        <w:t>, [online] 10(1), pp.2-25. Available at: https://www.emerald.com/insight/content/doi/10.1108/SAMPJ-05-2018-0141/full/html [Accessed 25 Feb. 2020].</w:t>
      </w:r>
    </w:p>
    <w:p>
      <w:pPr>
        <w:numPr>
          <w:ilvl w:val="0"/>
          <w:numId w:val="1"/>
        </w:numPr>
        <w:ind w:left="425" w:leftChars="0" w:hanging="425" w:firstLineChars="0"/>
        <w:jc w:val="both"/>
        <w:rPr>
          <w:rFonts w:cs="Times New Roman"/>
          <w:color w:val="000000" w:themeColor="text1"/>
          <w:szCs w:val="24"/>
          <w:lang w:val="en-GB"/>
        </w:rPr>
      </w:pPr>
      <w:r>
        <w:rPr>
          <w:rFonts w:cs="Times New Roman"/>
          <w:color w:val="000000" w:themeColor="text1"/>
          <w:szCs w:val="24"/>
          <w:lang w:val="en-GB"/>
        </w:rPr>
        <w:t>Karim, S., Manab, N. and Ismail, R. (2019). The dynamic impact of board composition on CSR practices and their mutual effect on organisational returns. </w:t>
      </w:r>
      <w:r>
        <w:rPr>
          <w:rFonts w:cs="Times New Roman"/>
          <w:i/>
          <w:iCs/>
          <w:color w:val="000000" w:themeColor="text1"/>
          <w:szCs w:val="24"/>
          <w:lang w:val="en-GB"/>
        </w:rPr>
        <w:t>Journal of Asia Business Studies</w:t>
      </w:r>
      <w:r>
        <w:rPr>
          <w:rFonts w:cs="Times New Roman"/>
          <w:color w:val="000000" w:themeColor="text1"/>
          <w:szCs w:val="24"/>
          <w:lang w:val="en-GB"/>
        </w:rPr>
        <w:t>, [online] ahead-of-print(ahead-of-print). Available at: https://www.emerald.com/insight/content/doi/10.1108/JABS-07-2019-0214/full/html [Accessed 25 Feb. 2020].</w:t>
      </w:r>
    </w:p>
    <w:p>
      <w:pPr>
        <w:numPr>
          <w:ilvl w:val="0"/>
          <w:numId w:val="1"/>
        </w:numPr>
        <w:ind w:left="425" w:leftChars="0" w:hanging="425" w:firstLineChars="0"/>
        <w:jc w:val="both"/>
        <w:rPr>
          <w:rFonts w:cs="Times New Roman"/>
          <w:color w:val="000000" w:themeColor="text1"/>
          <w:szCs w:val="24"/>
          <w:lang w:val="en-GB"/>
        </w:rPr>
      </w:pPr>
      <w:r>
        <w:rPr>
          <w:rFonts w:cs="Times New Roman"/>
          <w:color w:val="000000" w:themeColor="text1"/>
          <w:szCs w:val="24"/>
          <w:lang w:val="en-GB"/>
        </w:rPr>
        <w:t>Khojastehpour, M. and Shams, S. (2019). Addressing the complexity of stakeholder management in international ecological setting: A CSR approach. </w:t>
      </w:r>
      <w:r>
        <w:rPr>
          <w:rFonts w:cs="Times New Roman"/>
          <w:i/>
          <w:iCs/>
          <w:color w:val="000000" w:themeColor="text1"/>
          <w:szCs w:val="24"/>
          <w:lang w:val="en-GB"/>
        </w:rPr>
        <w:t>Journal of Business Research</w:t>
      </w:r>
      <w:r>
        <w:rPr>
          <w:rFonts w:cs="Times New Roman"/>
          <w:color w:val="000000" w:themeColor="text1"/>
          <w:szCs w:val="24"/>
          <w:lang w:val="en-GB"/>
        </w:rPr>
        <w:t>. [online] Available at: https://www.sciencedirect.com/science/article/abs/pii/S0148296319303200 [Accessed 25 Feb. 2020].</w:t>
      </w:r>
    </w:p>
    <w:p>
      <w:pPr>
        <w:numPr>
          <w:ilvl w:val="0"/>
          <w:numId w:val="1"/>
        </w:numPr>
        <w:ind w:left="425" w:leftChars="0" w:hanging="425" w:firstLineChars="0"/>
        <w:jc w:val="both"/>
        <w:rPr>
          <w:rFonts w:cs="Times New Roman"/>
          <w:color w:val="000000" w:themeColor="text1"/>
          <w:szCs w:val="24"/>
          <w:lang w:val="en-GB"/>
        </w:rPr>
      </w:pPr>
      <w:r>
        <w:rPr>
          <w:rFonts w:cs="Times New Roman"/>
          <w:color w:val="000000" w:themeColor="text1"/>
          <w:szCs w:val="24"/>
          <w:lang w:val="en-GB"/>
        </w:rPr>
        <w:t>Koep, L. (2017). Tensions in Aspirational CSR Communication—A Longitudinal Investigation of CSR Reporting. </w:t>
      </w:r>
      <w:r>
        <w:rPr>
          <w:rFonts w:cs="Times New Roman"/>
          <w:i/>
          <w:iCs/>
          <w:color w:val="000000" w:themeColor="text1"/>
          <w:szCs w:val="24"/>
          <w:lang w:val="en-GB"/>
        </w:rPr>
        <w:t>Sustainability</w:t>
      </w:r>
      <w:r>
        <w:rPr>
          <w:rFonts w:cs="Times New Roman"/>
          <w:color w:val="000000" w:themeColor="text1"/>
          <w:szCs w:val="24"/>
          <w:lang w:val="en-GB"/>
        </w:rPr>
        <w:t>, [online] 9(12), p.2202. Available at: https://www.mdpi.com/2071-1050/9/12/2202 [Accessed 25 Feb. 2020].</w:t>
      </w:r>
    </w:p>
    <w:p>
      <w:pPr>
        <w:numPr>
          <w:ilvl w:val="0"/>
          <w:numId w:val="1"/>
        </w:numPr>
        <w:ind w:left="425" w:leftChars="0" w:hanging="425" w:firstLineChars="0"/>
        <w:jc w:val="both"/>
        <w:rPr>
          <w:rFonts w:cs="Times New Roman"/>
          <w:color w:val="000000" w:themeColor="text1"/>
          <w:szCs w:val="24"/>
          <w:lang w:val="en-GB"/>
        </w:rPr>
      </w:pPr>
      <w:r>
        <w:rPr>
          <w:rFonts w:cs="Times New Roman"/>
          <w:color w:val="000000" w:themeColor="text1"/>
          <w:szCs w:val="24"/>
          <w:lang w:val="en-GB"/>
        </w:rPr>
        <w:t>Kulinkina, A., Kosinski, K., Plummer, J., Durant, J., Bosompem, K., Adjei, M., Griffiths, J., Gute, D. and Naumova, E. (2017). Indicators of improved water access in the context of schistosomiasis transmission in rural Eastern Region, Ghana. </w:t>
      </w:r>
      <w:r>
        <w:rPr>
          <w:rFonts w:cs="Times New Roman"/>
          <w:i/>
          <w:iCs/>
          <w:color w:val="000000" w:themeColor="text1"/>
          <w:szCs w:val="24"/>
          <w:lang w:val="en-GB"/>
        </w:rPr>
        <w:t>Science of The Total Environment</w:t>
      </w:r>
      <w:r>
        <w:rPr>
          <w:rFonts w:cs="Times New Roman"/>
          <w:color w:val="000000" w:themeColor="text1"/>
          <w:szCs w:val="24"/>
          <w:lang w:val="en-GB"/>
        </w:rPr>
        <w:t>, [online] 579, pp.1745-1755. Available at: https://www.sciencedirect.com/science/article/pii/S0048969716325955 [Accessed 25 Feb. 2020].</w:t>
      </w:r>
    </w:p>
    <w:p>
      <w:pPr>
        <w:numPr>
          <w:ilvl w:val="0"/>
          <w:numId w:val="1"/>
        </w:numPr>
        <w:ind w:left="425" w:leftChars="0" w:hanging="425" w:firstLineChars="0"/>
        <w:jc w:val="both"/>
        <w:rPr>
          <w:rFonts w:cs="Times New Roman"/>
          <w:color w:val="000000" w:themeColor="text1"/>
          <w:szCs w:val="24"/>
          <w:lang w:val="en-GB"/>
        </w:rPr>
      </w:pPr>
      <w:r>
        <w:rPr>
          <w:rFonts w:cs="Times New Roman"/>
          <w:color w:val="000000" w:themeColor="text1"/>
          <w:szCs w:val="24"/>
          <w:lang w:val="en-GB"/>
        </w:rPr>
        <w:t>Lueg, K., Lueg, R., Andersen, K. and Dancianu, V. (2016). Integrated reporting with CSR practices. </w:t>
      </w:r>
      <w:r>
        <w:rPr>
          <w:rFonts w:cs="Times New Roman"/>
          <w:i/>
          <w:iCs/>
          <w:color w:val="000000" w:themeColor="text1"/>
          <w:szCs w:val="24"/>
          <w:lang w:val="en-GB"/>
        </w:rPr>
        <w:t>Corporate Communications: An International Journal</w:t>
      </w:r>
      <w:r>
        <w:rPr>
          <w:rFonts w:cs="Times New Roman"/>
          <w:color w:val="000000" w:themeColor="text1"/>
          <w:szCs w:val="24"/>
          <w:lang w:val="en-GB"/>
        </w:rPr>
        <w:t>, [online] 21(1), pp.20-35. Available at: https://www.emerald.com/insight/content/doi/10.1108/CCIJ-08-2014-0053/full/html [Accessed 25 Feb. 2020].</w:t>
      </w:r>
    </w:p>
    <w:p>
      <w:pPr>
        <w:numPr>
          <w:ilvl w:val="0"/>
          <w:numId w:val="1"/>
        </w:numPr>
        <w:ind w:left="425" w:leftChars="0" w:hanging="425" w:firstLineChars="0"/>
        <w:jc w:val="both"/>
        <w:rPr>
          <w:rFonts w:cs="Times New Roman"/>
          <w:color w:val="000000" w:themeColor="text1"/>
          <w:szCs w:val="24"/>
          <w:lang w:val="en-GB"/>
        </w:rPr>
      </w:pPr>
      <w:r>
        <w:rPr>
          <w:rFonts w:cs="Times New Roman"/>
          <w:color w:val="000000" w:themeColor="text1"/>
          <w:szCs w:val="24"/>
          <w:lang w:val="en-GB"/>
        </w:rPr>
        <w:t>Marano, V. and Kostova, T. (2015). Unpacking the Institutional Complexity in Adoption of CSR Practices in Multinational Enterprises. </w:t>
      </w:r>
      <w:r>
        <w:rPr>
          <w:rFonts w:cs="Times New Roman"/>
          <w:i/>
          <w:iCs/>
          <w:color w:val="000000" w:themeColor="text1"/>
          <w:szCs w:val="24"/>
          <w:lang w:val="en-GB"/>
        </w:rPr>
        <w:t>Journal of Management Studies</w:t>
      </w:r>
      <w:r>
        <w:rPr>
          <w:rFonts w:cs="Times New Roman"/>
          <w:color w:val="000000" w:themeColor="text1"/>
          <w:szCs w:val="24"/>
          <w:lang w:val="en-GB"/>
        </w:rPr>
        <w:t>, [online] 53(1), pp.28-54. Available at: https://onlinelibrary.wiley.com/doi/abs/10.1111/joms.12124 [Accessed 25 Feb. 2020].</w:t>
      </w:r>
    </w:p>
    <w:p>
      <w:pPr>
        <w:numPr>
          <w:ilvl w:val="0"/>
          <w:numId w:val="1"/>
        </w:numPr>
        <w:ind w:left="425" w:leftChars="0" w:hanging="425" w:firstLineChars="0"/>
        <w:jc w:val="both"/>
        <w:rPr>
          <w:rFonts w:cs="Times New Roman"/>
          <w:color w:val="000000" w:themeColor="text1"/>
          <w:szCs w:val="24"/>
          <w:lang w:val="en-GB"/>
        </w:rPr>
      </w:pPr>
      <w:r>
        <w:rPr>
          <w:rFonts w:cs="Times New Roman"/>
          <w:color w:val="000000" w:themeColor="text1"/>
          <w:szCs w:val="24"/>
          <w:lang w:val="en-GB"/>
        </w:rPr>
        <w:t>Nestle, N. (2020a). </w:t>
      </w:r>
      <w:r>
        <w:rPr>
          <w:rFonts w:cs="Times New Roman"/>
          <w:i/>
          <w:iCs/>
          <w:color w:val="000000" w:themeColor="text1"/>
          <w:szCs w:val="24"/>
          <w:lang w:val="en-GB"/>
        </w:rPr>
        <w:t>Annual Report 2018</w:t>
      </w:r>
      <w:r>
        <w:rPr>
          <w:rFonts w:cs="Times New Roman"/>
          <w:color w:val="000000" w:themeColor="text1"/>
          <w:szCs w:val="24"/>
          <w:lang w:val="en-GB"/>
        </w:rPr>
        <w:t>. [online] nestle.com. Available at: https://www.nestle.com/investors/annual-report [Accessed 25 Feb. 2020].</w:t>
      </w:r>
    </w:p>
    <w:p>
      <w:pPr>
        <w:numPr>
          <w:ilvl w:val="0"/>
          <w:numId w:val="1"/>
        </w:numPr>
        <w:ind w:left="425" w:leftChars="0" w:hanging="425" w:firstLineChars="0"/>
        <w:jc w:val="both"/>
        <w:rPr>
          <w:rFonts w:cs="Times New Roman"/>
          <w:color w:val="000000" w:themeColor="text1"/>
          <w:szCs w:val="24"/>
          <w:lang w:val="en-GB"/>
        </w:rPr>
      </w:pPr>
      <w:r>
        <w:rPr>
          <w:rFonts w:cs="Times New Roman"/>
          <w:color w:val="000000" w:themeColor="text1"/>
          <w:szCs w:val="24"/>
          <w:lang w:val="en-GB"/>
        </w:rPr>
        <w:t>Nestle, N. (2020b). </w:t>
      </w:r>
      <w:r>
        <w:rPr>
          <w:rFonts w:cs="Times New Roman"/>
          <w:i/>
          <w:iCs/>
          <w:color w:val="000000" w:themeColor="text1"/>
          <w:szCs w:val="24"/>
          <w:lang w:val="en-GB"/>
        </w:rPr>
        <w:t>Do you have any Corporate Social Responsibility (CSR) activities from Nestlé?</w:t>
      </w:r>
      <w:r>
        <w:rPr>
          <w:rFonts w:cs="Times New Roman"/>
          <w:color w:val="000000" w:themeColor="text1"/>
          <w:szCs w:val="24"/>
          <w:lang w:val="en-GB"/>
        </w:rPr>
        <w:t>. [online] nestle.com. Available at: https://www.nestle.com.bd/ask-nestle/our-company/answers/csr-activities [Accessed 25 Feb. 2020].</w:t>
      </w:r>
    </w:p>
    <w:p>
      <w:pPr>
        <w:numPr>
          <w:ilvl w:val="0"/>
          <w:numId w:val="1"/>
        </w:numPr>
        <w:ind w:left="425" w:leftChars="0" w:hanging="425" w:firstLineChars="0"/>
        <w:jc w:val="both"/>
        <w:rPr>
          <w:rFonts w:cs="Times New Roman"/>
          <w:color w:val="000000" w:themeColor="text1"/>
          <w:szCs w:val="24"/>
          <w:lang w:val="en-GB"/>
        </w:rPr>
      </w:pPr>
      <w:r>
        <w:rPr>
          <w:rFonts w:cs="Times New Roman"/>
          <w:color w:val="000000" w:themeColor="text1"/>
          <w:szCs w:val="24"/>
          <w:lang w:val="en-GB"/>
        </w:rPr>
        <w:t>Nestle, N. (2020c). </w:t>
      </w:r>
      <w:r>
        <w:rPr>
          <w:rFonts w:cs="Times New Roman"/>
          <w:i/>
          <w:iCs/>
          <w:color w:val="000000" w:themeColor="text1"/>
          <w:szCs w:val="24"/>
          <w:lang w:val="en-GB"/>
        </w:rPr>
        <w:t>Governance and policies</w:t>
      </w:r>
      <w:r>
        <w:rPr>
          <w:rFonts w:cs="Times New Roman"/>
          <w:color w:val="000000" w:themeColor="text1"/>
          <w:szCs w:val="24"/>
          <w:lang w:val="en-GB"/>
        </w:rPr>
        <w:t>. [online] Available at: https://www.nestle.com/csv/what-is-csv/governance [Accessed 25 Feb. 2020].</w:t>
      </w:r>
    </w:p>
    <w:p>
      <w:pPr>
        <w:numPr>
          <w:ilvl w:val="0"/>
          <w:numId w:val="1"/>
        </w:numPr>
        <w:ind w:left="425" w:leftChars="0" w:hanging="425" w:firstLineChars="0"/>
        <w:jc w:val="both"/>
        <w:rPr>
          <w:rFonts w:cs="Times New Roman"/>
          <w:color w:val="000000" w:themeColor="text1"/>
          <w:szCs w:val="24"/>
          <w:lang w:val="en-GB"/>
        </w:rPr>
      </w:pPr>
      <w:r>
        <w:rPr>
          <w:rFonts w:cs="Times New Roman"/>
          <w:color w:val="000000" w:themeColor="text1"/>
          <w:szCs w:val="24"/>
          <w:lang w:val="en-GB"/>
        </w:rPr>
        <w:t>Nestle, N. (2020d). </w:t>
      </w:r>
      <w:r>
        <w:rPr>
          <w:rFonts w:cs="Times New Roman"/>
          <w:i/>
          <w:iCs/>
          <w:color w:val="000000" w:themeColor="text1"/>
          <w:szCs w:val="24"/>
          <w:lang w:val="en-GB"/>
        </w:rPr>
        <w:t>How we make an impact</w:t>
      </w:r>
      <w:r>
        <w:rPr>
          <w:rFonts w:cs="Times New Roman"/>
          <w:color w:val="000000" w:themeColor="text1"/>
          <w:szCs w:val="24"/>
          <w:lang w:val="en-GB"/>
        </w:rPr>
        <w:t>. [online] nestle.com. Available at: https://www.nestle.com/csv [Accessed 25 Feb. 2020].</w:t>
      </w:r>
    </w:p>
    <w:p>
      <w:pPr>
        <w:numPr>
          <w:ilvl w:val="0"/>
          <w:numId w:val="1"/>
        </w:numPr>
        <w:ind w:left="425" w:leftChars="0" w:hanging="425" w:firstLineChars="0"/>
        <w:jc w:val="both"/>
        <w:rPr>
          <w:rFonts w:cs="Times New Roman"/>
          <w:color w:val="000000" w:themeColor="text1"/>
          <w:szCs w:val="24"/>
          <w:lang w:val="en-GB"/>
        </w:rPr>
      </w:pPr>
      <w:r>
        <w:rPr>
          <w:rFonts w:cs="Times New Roman"/>
          <w:color w:val="000000" w:themeColor="text1"/>
          <w:szCs w:val="24"/>
          <w:lang w:val="en-GB"/>
        </w:rPr>
        <w:t>Nestle, N. (2020e). </w:t>
      </w:r>
      <w:r>
        <w:rPr>
          <w:rFonts w:cs="Times New Roman"/>
          <w:i/>
          <w:iCs/>
          <w:color w:val="000000" w:themeColor="text1"/>
          <w:szCs w:val="24"/>
          <w:lang w:val="en-GB"/>
        </w:rPr>
        <w:t>Nestle Healthy Kids Programme</w:t>
      </w:r>
      <w:r>
        <w:rPr>
          <w:rFonts w:cs="Times New Roman"/>
          <w:color w:val="000000" w:themeColor="text1"/>
          <w:szCs w:val="24"/>
          <w:lang w:val="en-GB"/>
        </w:rPr>
        <w:t>. [online] nestle-esar.com. Available at: https://www.nestle-esar.com/csv/nutrition/nestle-healthy-kids-programme [Accessed 25 Feb. 2020].</w:t>
      </w:r>
    </w:p>
    <w:p>
      <w:pPr>
        <w:numPr>
          <w:ilvl w:val="0"/>
          <w:numId w:val="1"/>
        </w:numPr>
        <w:ind w:left="425" w:leftChars="0" w:hanging="425" w:firstLineChars="0"/>
        <w:jc w:val="both"/>
        <w:rPr>
          <w:rFonts w:cs="Times New Roman"/>
          <w:color w:val="000000" w:themeColor="text1"/>
          <w:szCs w:val="24"/>
          <w:lang w:val="en-GB"/>
        </w:rPr>
      </w:pPr>
      <w:r>
        <w:rPr>
          <w:rFonts w:cs="Times New Roman"/>
          <w:color w:val="000000" w:themeColor="text1"/>
          <w:szCs w:val="24"/>
          <w:lang w:val="en-GB"/>
        </w:rPr>
        <w:t>Nestle, N. (2020f). </w:t>
      </w:r>
      <w:r>
        <w:rPr>
          <w:rFonts w:cs="Times New Roman"/>
          <w:i/>
          <w:iCs/>
          <w:color w:val="000000" w:themeColor="text1"/>
          <w:szCs w:val="24"/>
          <w:lang w:val="en-GB"/>
        </w:rPr>
        <w:t>The Nestlé Sustainability Review</w:t>
      </w:r>
      <w:r>
        <w:rPr>
          <w:rFonts w:cs="Times New Roman"/>
          <w:color w:val="000000" w:themeColor="text1"/>
          <w:szCs w:val="24"/>
          <w:lang w:val="en-GB"/>
        </w:rPr>
        <w:t>. [online] nestle.com. Available at: https://www.nestle.com/sites/default/files/asset-library/documents/reports/csv%20reports/environmental%20sustainability/sustainability_review_english.pdf [Accessed 25 Feb. 2020].</w:t>
      </w:r>
    </w:p>
    <w:p>
      <w:pPr>
        <w:numPr>
          <w:ilvl w:val="0"/>
          <w:numId w:val="1"/>
        </w:numPr>
        <w:ind w:left="425" w:leftChars="0" w:hanging="425" w:firstLineChars="0"/>
        <w:jc w:val="both"/>
        <w:rPr>
          <w:rFonts w:cs="Times New Roman"/>
          <w:color w:val="000000" w:themeColor="text1"/>
          <w:szCs w:val="24"/>
          <w:lang w:val="en-GB"/>
        </w:rPr>
      </w:pPr>
      <w:r>
        <w:rPr>
          <w:rFonts w:cs="Times New Roman"/>
          <w:color w:val="000000" w:themeColor="text1"/>
          <w:szCs w:val="24"/>
          <w:lang w:val="en-GB"/>
        </w:rPr>
        <w:t>Nyarku, K. and Ayekple, S. (2019). Influence of corporate social responsibility on non-financial performance. </w:t>
      </w:r>
      <w:r>
        <w:rPr>
          <w:rFonts w:cs="Times New Roman"/>
          <w:i/>
          <w:iCs/>
          <w:color w:val="000000" w:themeColor="text1"/>
          <w:szCs w:val="24"/>
          <w:lang w:val="en-GB"/>
        </w:rPr>
        <w:t>Social Responsibility Journal</w:t>
      </w:r>
      <w:r>
        <w:rPr>
          <w:rFonts w:cs="Times New Roman"/>
          <w:color w:val="000000" w:themeColor="text1"/>
          <w:szCs w:val="24"/>
          <w:lang w:val="en-GB"/>
        </w:rPr>
        <w:t>, [online] 15(7), pp.910-923. Available at: https://www.emerald.com/insight/content/doi/10.1108/SRJ-04-2017-0059/full/html [Accessed 25 Feb. 2020].</w:t>
      </w:r>
    </w:p>
    <w:p>
      <w:pPr>
        <w:numPr>
          <w:ilvl w:val="0"/>
          <w:numId w:val="1"/>
        </w:numPr>
        <w:ind w:left="425" w:leftChars="0" w:hanging="425" w:firstLineChars="0"/>
        <w:jc w:val="both"/>
        <w:rPr>
          <w:rFonts w:cs="Times New Roman"/>
          <w:color w:val="000000" w:themeColor="text1"/>
          <w:szCs w:val="24"/>
          <w:lang w:val="en-GB"/>
        </w:rPr>
      </w:pPr>
      <w:r>
        <w:rPr>
          <w:rFonts w:cs="Times New Roman"/>
          <w:color w:val="000000" w:themeColor="text1"/>
          <w:szCs w:val="24"/>
          <w:lang w:val="en-GB"/>
        </w:rPr>
        <w:t>Phiri, O., Mantzari, E. and Gleadle, P. (2019). Stakeholder interactions and corporate social responsibility (CSR) practices. </w:t>
      </w:r>
      <w:r>
        <w:rPr>
          <w:rFonts w:cs="Times New Roman"/>
          <w:i/>
          <w:iCs/>
          <w:color w:val="000000" w:themeColor="text1"/>
          <w:szCs w:val="24"/>
          <w:lang w:val="en-GB"/>
        </w:rPr>
        <w:t>Accounting, Auditing &amp; Accountability Journal</w:t>
      </w:r>
      <w:r>
        <w:rPr>
          <w:rFonts w:cs="Times New Roman"/>
          <w:color w:val="000000" w:themeColor="text1"/>
          <w:szCs w:val="24"/>
          <w:lang w:val="en-GB"/>
        </w:rPr>
        <w:t>, [online] 32(1), pp.26-54. Available at: https://www.emerald.com/insight/content/doi/10.1108/AAAJ-04-2016-2540/full/html [Accessed 25 Feb. 2020].</w:t>
      </w:r>
    </w:p>
    <w:p>
      <w:pPr>
        <w:numPr>
          <w:ilvl w:val="0"/>
          <w:numId w:val="1"/>
        </w:numPr>
        <w:ind w:left="425" w:leftChars="0" w:hanging="425" w:firstLineChars="0"/>
        <w:jc w:val="both"/>
        <w:rPr>
          <w:rFonts w:cs="Times New Roman"/>
          <w:color w:val="000000" w:themeColor="text1"/>
          <w:szCs w:val="24"/>
          <w:lang w:val="en-GB"/>
        </w:rPr>
      </w:pPr>
      <w:r>
        <w:rPr>
          <w:rFonts w:cs="Times New Roman"/>
          <w:color w:val="000000" w:themeColor="text1"/>
          <w:szCs w:val="24"/>
          <w:lang w:val="en-GB"/>
        </w:rPr>
        <w:t>Sharma, Z. and Song, L. (2018). Corporate social responsibility (CSR) practices by SIN firms. </w:t>
      </w:r>
      <w:r>
        <w:rPr>
          <w:rFonts w:cs="Times New Roman"/>
          <w:i/>
          <w:iCs/>
          <w:color w:val="000000" w:themeColor="text1"/>
          <w:szCs w:val="24"/>
          <w:lang w:val="en-GB"/>
        </w:rPr>
        <w:t>Asian Review of Accounting</w:t>
      </w:r>
      <w:r>
        <w:rPr>
          <w:rFonts w:cs="Times New Roman"/>
          <w:color w:val="000000" w:themeColor="text1"/>
          <w:szCs w:val="24"/>
          <w:lang w:val="en-GB"/>
        </w:rPr>
        <w:t>, [online] 26(3), pp.359-372. Available at: https://www.emerald.com/insight/content/doi/10.1108/ARA-06-2017-0102/full/html [Accessed 25 Feb. 2020].</w:t>
      </w:r>
    </w:p>
    <w:p>
      <w:pPr>
        <w:numPr>
          <w:ilvl w:val="0"/>
          <w:numId w:val="1"/>
        </w:numPr>
        <w:ind w:left="425" w:leftChars="0" w:hanging="425" w:firstLineChars="0"/>
        <w:jc w:val="both"/>
        <w:rPr>
          <w:rFonts w:cs="Times New Roman"/>
          <w:color w:val="000000" w:themeColor="text1"/>
          <w:szCs w:val="24"/>
          <w:lang w:val="en-GB"/>
        </w:rPr>
      </w:pPr>
      <w:r>
        <w:rPr>
          <w:rFonts w:cs="Times New Roman"/>
          <w:color w:val="000000" w:themeColor="text1"/>
          <w:szCs w:val="24"/>
          <w:lang w:val="en-GB"/>
        </w:rPr>
        <w:t>Statista, S. (2020). </w:t>
      </w:r>
      <w:r>
        <w:rPr>
          <w:rFonts w:cs="Times New Roman"/>
          <w:i/>
          <w:iCs/>
          <w:color w:val="000000" w:themeColor="text1"/>
          <w:szCs w:val="24"/>
          <w:lang w:val="en-GB"/>
        </w:rPr>
        <w:t>Rate of mortality from chronic liver disease* in England 2017, by region and gender</w:t>
      </w:r>
      <w:r>
        <w:rPr>
          <w:rFonts w:cs="Times New Roman"/>
          <w:color w:val="000000" w:themeColor="text1"/>
          <w:szCs w:val="24"/>
          <w:lang w:val="en-GB"/>
        </w:rPr>
        <w:t>. [online] Statista.com. Available at: https://www.statista.com/statistics/1035240/mortality-rate-from-liver-disease-england-by-region/ [Accessed 25 Feb. 2020].</w:t>
      </w:r>
    </w:p>
    <w:p>
      <w:pPr>
        <w:numPr>
          <w:ilvl w:val="0"/>
          <w:numId w:val="1"/>
        </w:numPr>
        <w:ind w:left="425" w:leftChars="0" w:hanging="425" w:firstLineChars="0"/>
        <w:jc w:val="both"/>
        <w:rPr>
          <w:rFonts w:cs="Times New Roman"/>
          <w:color w:val="000000" w:themeColor="text1"/>
          <w:szCs w:val="24"/>
          <w:lang w:val="en-GB"/>
        </w:rPr>
      </w:pPr>
      <w:r>
        <w:rPr>
          <w:rFonts w:cs="Times New Roman"/>
          <w:color w:val="000000" w:themeColor="text1"/>
          <w:szCs w:val="24"/>
          <w:lang w:val="en-GB"/>
        </w:rPr>
        <w:t>The Guardian, T. (2020a). </w:t>
      </w:r>
      <w:r>
        <w:rPr>
          <w:rFonts w:cs="Times New Roman"/>
          <w:i/>
          <w:iCs/>
          <w:color w:val="000000" w:themeColor="text1"/>
          <w:szCs w:val="24"/>
          <w:lang w:val="en-GB"/>
        </w:rPr>
        <w:t>Four million UK children too poor to have a healthy diet, study finds</w:t>
      </w:r>
      <w:r>
        <w:rPr>
          <w:rFonts w:cs="Times New Roman"/>
          <w:color w:val="000000" w:themeColor="text1"/>
          <w:szCs w:val="24"/>
          <w:lang w:val="en-GB"/>
        </w:rPr>
        <w:t>. [online] theguardian.com. Available at: https://www.theguardian.com/society/2018/sep/05/four-million-uk-children-too-poor-to-have-a-healthy-diet-study-finds [Accessed 25 Feb. 2020].</w:t>
      </w:r>
    </w:p>
    <w:p>
      <w:pPr>
        <w:numPr>
          <w:ilvl w:val="0"/>
          <w:numId w:val="1"/>
        </w:numPr>
        <w:ind w:left="425" w:leftChars="0" w:hanging="425" w:firstLineChars="0"/>
        <w:jc w:val="both"/>
        <w:rPr>
          <w:rFonts w:cs="Times New Roman"/>
          <w:color w:val="000000" w:themeColor="text1"/>
          <w:szCs w:val="24"/>
          <w:lang w:val="en-GB"/>
        </w:rPr>
      </w:pPr>
      <w:r>
        <w:rPr>
          <w:rFonts w:cs="Times New Roman"/>
          <w:color w:val="000000" w:themeColor="text1"/>
          <w:szCs w:val="24"/>
          <w:lang w:val="en-GB"/>
        </w:rPr>
        <w:t>The Guardian, T. (2020b). </w:t>
      </w:r>
      <w:r>
        <w:rPr>
          <w:rFonts w:cs="Times New Roman"/>
          <w:i/>
          <w:iCs/>
          <w:color w:val="000000" w:themeColor="text1"/>
          <w:szCs w:val="24"/>
          <w:lang w:val="en-GB"/>
        </w:rPr>
        <w:t>Oxfam report shows multinational companies failing on CSR goals</w:t>
      </w:r>
      <w:r>
        <w:rPr>
          <w:rFonts w:cs="Times New Roman"/>
          <w:color w:val="000000" w:themeColor="text1"/>
          <w:szCs w:val="24"/>
          <w:lang w:val="en-GB"/>
        </w:rPr>
        <w:t>. [online] theguardian.com. Available at: https://www.theguardian.com/sustainable-business/oxfam-multinational-companies-failing-csr [Accessed 25 Feb. 2020].</w:t>
      </w:r>
    </w:p>
    <w:p>
      <w:pPr>
        <w:numPr>
          <w:ilvl w:val="0"/>
          <w:numId w:val="1"/>
        </w:numPr>
        <w:ind w:left="425" w:leftChars="0" w:hanging="425" w:firstLineChars="0"/>
        <w:jc w:val="both"/>
        <w:rPr>
          <w:rFonts w:cs="Times New Roman"/>
          <w:color w:val="000000" w:themeColor="text1"/>
          <w:szCs w:val="24"/>
          <w:lang w:val="en-GB"/>
        </w:rPr>
      </w:pPr>
      <w:r>
        <w:rPr>
          <w:rFonts w:cs="Times New Roman"/>
          <w:color w:val="000000" w:themeColor="text1"/>
          <w:szCs w:val="24"/>
          <w:lang w:val="en-GB"/>
        </w:rPr>
        <w:t>WHO, W. (2020). </w:t>
      </w:r>
      <w:r>
        <w:rPr>
          <w:rFonts w:cs="Times New Roman"/>
          <w:i/>
          <w:iCs/>
          <w:color w:val="000000" w:themeColor="text1"/>
          <w:szCs w:val="24"/>
          <w:lang w:val="en-GB"/>
        </w:rPr>
        <w:t>Mortality and burden of disease from water and sanitation</w:t>
      </w:r>
      <w:r>
        <w:rPr>
          <w:rFonts w:cs="Times New Roman"/>
          <w:color w:val="000000" w:themeColor="text1"/>
          <w:szCs w:val="24"/>
          <w:lang w:val="en-GB"/>
        </w:rPr>
        <w:t>. [online] who.int. Available at: https://www.who.int/gho/phe/water_sanitation/burden/en/ [Accessed 25 Feb. 2020].</w:t>
      </w:r>
    </w:p>
    <w:p>
      <w:pPr>
        <w:numPr>
          <w:ilvl w:val="0"/>
          <w:numId w:val="1"/>
        </w:numPr>
        <w:ind w:left="425" w:leftChars="0" w:hanging="425" w:firstLineChars="0"/>
        <w:jc w:val="both"/>
        <w:rPr>
          <w:rFonts w:cs="Times New Roman"/>
          <w:color w:val="000000" w:themeColor="text1"/>
          <w:szCs w:val="24"/>
          <w:lang w:val="en-GB"/>
        </w:rPr>
      </w:pPr>
      <w:r>
        <w:rPr>
          <w:rFonts w:cs="Times New Roman"/>
          <w:color w:val="000000" w:themeColor="text1"/>
          <w:szCs w:val="24"/>
          <w:lang w:val="en-GB"/>
        </w:rPr>
        <w:t>Xia, B., Zainal, N., Drogemuller, R., Xie, L., Liu, Y. and Jiang, X. (2019). Corporate Social Responsibility (CSR) Reporting Practices in the Australian Construction Industry. </w:t>
      </w:r>
      <w:r>
        <w:rPr>
          <w:rFonts w:cs="Times New Roman"/>
          <w:i/>
          <w:iCs/>
          <w:color w:val="000000" w:themeColor="text1"/>
          <w:szCs w:val="24"/>
          <w:lang w:val="en-GB"/>
        </w:rPr>
        <w:t>Innovative Production and Construction</w:t>
      </w:r>
      <w:r>
        <w:rPr>
          <w:rFonts w:cs="Times New Roman"/>
          <w:color w:val="000000" w:themeColor="text1"/>
          <w:szCs w:val="24"/>
          <w:lang w:val="en-GB"/>
        </w:rPr>
        <w:t>, [online] pp.367-384. Available at: https://www.worldscientific.com/doi/abs/10.1142/9789813272491_0022 [Accessed 25 Feb. 2020].</w:t>
      </w:r>
      <w:bookmarkEnd w:id="0"/>
      <w:bookmarkEnd w:id="1"/>
    </w:p>
    <w:sectPr>
      <w:headerReference r:id="rId4" w:type="first"/>
      <w:headerReference r:id="rId3" w:type="default"/>
      <w:footerReference r:id="rId5" w:type="default"/>
      <w:pgSz w:w="11906" w:h="16838"/>
      <w:pgMar w:top="1440" w:right="1440" w:bottom="1440" w:left="1440" w:header="708" w:footer="708"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48039"/>
      <w:docPartObj>
        <w:docPartGallery w:val="autotext"/>
      </w:docPartObj>
    </w:sdtPr>
    <w:sdtContent>
      <w:p>
        <w:pPr>
          <w:pStyle w:val="6"/>
          <w:jc w:val="center"/>
        </w:pPr>
        <w:r>
          <w:fldChar w:fldCharType="begin"/>
        </w:r>
        <w:r>
          <w:instrText xml:space="preserve"> PAGE   \* MERGEFORMAT </w:instrText>
        </w:r>
        <w:r>
          <w:fldChar w:fldCharType="separate"/>
        </w:r>
        <w:r>
          <w:t>2</w:t>
        </w:r>
        <w:r>
          <w:fldChar w:fldCharType="end"/>
        </w:r>
      </w:p>
    </w:sdtContent>
  </w:sdt>
  <w:p>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bCs/>
      </w:rPr>
      <w:t>Corporate governance and social responsibility</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bCs/>
      </w:rPr>
      <w:t>Corporate governance and social responsibility</w:t>
    </w:r>
  </w:p>
  <w:p>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3149DC0"/>
    <w:multiLevelType w:val="singleLevel"/>
    <w:tmpl w:val="F3149DC0"/>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cumentProtection w:enforcement="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1A0"/>
    <w:rsid w:val="0000482B"/>
    <w:rsid w:val="00022BC8"/>
    <w:rsid w:val="000556C7"/>
    <w:rsid w:val="00070CC1"/>
    <w:rsid w:val="00076B3A"/>
    <w:rsid w:val="000843F4"/>
    <w:rsid w:val="0009084B"/>
    <w:rsid w:val="0009250F"/>
    <w:rsid w:val="000A653F"/>
    <w:rsid w:val="000B3606"/>
    <w:rsid w:val="000B418D"/>
    <w:rsid w:val="000B65FB"/>
    <w:rsid w:val="000C5DD4"/>
    <w:rsid w:val="000D20A8"/>
    <w:rsid w:val="000D609B"/>
    <w:rsid w:val="001305E5"/>
    <w:rsid w:val="00133E2A"/>
    <w:rsid w:val="00152090"/>
    <w:rsid w:val="00166CA6"/>
    <w:rsid w:val="001728A0"/>
    <w:rsid w:val="001759DB"/>
    <w:rsid w:val="00185E55"/>
    <w:rsid w:val="00190063"/>
    <w:rsid w:val="001C3D85"/>
    <w:rsid w:val="001C49AB"/>
    <w:rsid w:val="001C57D0"/>
    <w:rsid w:val="001C7F48"/>
    <w:rsid w:val="001E077A"/>
    <w:rsid w:val="001E42D5"/>
    <w:rsid w:val="001E6AA2"/>
    <w:rsid w:val="00200577"/>
    <w:rsid w:val="002311BD"/>
    <w:rsid w:val="0023534D"/>
    <w:rsid w:val="0024129E"/>
    <w:rsid w:val="0025225A"/>
    <w:rsid w:val="00252859"/>
    <w:rsid w:val="00252889"/>
    <w:rsid w:val="00253086"/>
    <w:rsid w:val="00255FBB"/>
    <w:rsid w:val="00257D6D"/>
    <w:rsid w:val="00281587"/>
    <w:rsid w:val="00283DEF"/>
    <w:rsid w:val="002A4A12"/>
    <w:rsid w:val="002B0F87"/>
    <w:rsid w:val="002B2FF2"/>
    <w:rsid w:val="002B53DE"/>
    <w:rsid w:val="002B59FA"/>
    <w:rsid w:val="002D3682"/>
    <w:rsid w:val="002F27F1"/>
    <w:rsid w:val="002F5C1A"/>
    <w:rsid w:val="002F78AD"/>
    <w:rsid w:val="00302525"/>
    <w:rsid w:val="003065EC"/>
    <w:rsid w:val="00320FC4"/>
    <w:rsid w:val="00331D82"/>
    <w:rsid w:val="003356E4"/>
    <w:rsid w:val="00345797"/>
    <w:rsid w:val="00355367"/>
    <w:rsid w:val="00370974"/>
    <w:rsid w:val="00382009"/>
    <w:rsid w:val="0038797D"/>
    <w:rsid w:val="003936B8"/>
    <w:rsid w:val="00394B25"/>
    <w:rsid w:val="003B54BB"/>
    <w:rsid w:val="003B5C8A"/>
    <w:rsid w:val="003C57F2"/>
    <w:rsid w:val="004024EC"/>
    <w:rsid w:val="00447FBA"/>
    <w:rsid w:val="004519D9"/>
    <w:rsid w:val="00470486"/>
    <w:rsid w:val="00484807"/>
    <w:rsid w:val="004935D7"/>
    <w:rsid w:val="004A0062"/>
    <w:rsid w:val="004B0C76"/>
    <w:rsid w:val="004B7903"/>
    <w:rsid w:val="004B795F"/>
    <w:rsid w:val="004C7EA9"/>
    <w:rsid w:val="004F08FD"/>
    <w:rsid w:val="004F1B8A"/>
    <w:rsid w:val="004F268A"/>
    <w:rsid w:val="00517D92"/>
    <w:rsid w:val="00525CC2"/>
    <w:rsid w:val="005324E8"/>
    <w:rsid w:val="00552D6B"/>
    <w:rsid w:val="00574201"/>
    <w:rsid w:val="00576625"/>
    <w:rsid w:val="005A0B7C"/>
    <w:rsid w:val="005A7C2C"/>
    <w:rsid w:val="005B1988"/>
    <w:rsid w:val="005C4597"/>
    <w:rsid w:val="005C66AE"/>
    <w:rsid w:val="005C7EE4"/>
    <w:rsid w:val="005D25A2"/>
    <w:rsid w:val="005D2866"/>
    <w:rsid w:val="005E3682"/>
    <w:rsid w:val="005E371C"/>
    <w:rsid w:val="005E6947"/>
    <w:rsid w:val="005F05FA"/>
    <w:rsid w:val="005F36B4"/>
    <w:rsid w:val="00600E1E"/>
    <w:rsid w:val="006345A7"/>
    <w:rsid w:val="006709D2"/>
    <w:rsid w:val="00683896"/>
    <w:rsid w:val="006A0CE0"/>
    <w:rsid w:val="006B11C3"/>
    <w:rsid w:val="006D0E87"/>
    <w:rsid w:val="006D22C5"/>
    <w:rsid w:val="006F1BC4"/>
    <w:rsid w:val="006F7AE5"/>
    <w:rsid w:val="00712A2C"/>
    <w:rsid w:val="00720F5C"/>
    <w:rsid w:val="00726067"/>
    <w:rsid w:val="007308C6"/>
    <w:rsid w:val="00731766"/>
    <w:rsid w:val="00732F64"/>
    <w:rsid w:val="007347FC"/>
    <w:rsid w:val="00762849"/>
    <w:rsid w:val="007765C2"/>
    <w:rsid w:val="007C0172"/>
    <w:rsid w:val="007C0316"/>
    <w:rsid w:val="007D6DB2"/>
    <w:rsid w:val="007E29EC"/>
    <w:rsid w:val="007E2CF4"/>
    <w:rsid w:val="007F562E"/>
    <w:rsid w:val="00816928"/>
    <w:rsid w:val="00817293"/>
    <w:rsid w:val="008301FE"/>
    <w:rsid w:val="00837200"/>
    <w:rsid w:val="00837430"/>
    <w:rsid w:val="0084710E"/>
    <w:rsid w:val="00852785"/>
    <w:rsid w:val="008569A2"/>
    <w:rsid w:val="00863B8D"/>
    <w:rsid w:val="00887122"/>
    <w:rsid w:val="008B23A1"/>
    <w:rsid w:val="008C1974"/>
    <w:rsid w:val="008D1B7D"/>
    <w:rsid w:val="008F5A13"/>
    <w:rsid w:val="00900505"/>
    <w:rsid w:val="0090486B"/>
    <w:rsid w:val="009249A3"/>
    <w:rsid w:val="00926C5E"/>
    <w:rsid w:val="00935401"/>
    <w:rsid w:val="00941EF7"/>
    <w:rsid w:val="009470B1"/>
    <w:rsid w:val="00950F3D"/>
    <w:rsid w:val="00960785"/>
    <w:rsid w:val="00970D8D"/>
    <w:rsid w:val="00983D5E"/>
    <w:rsid w:val="009A3F23"/>
    <w:rsid w:val="009B46BA"/>
    <w:rsid w:val="009C7D99"/>
    <w:rsid w:val="009D4EFA"/>
    <w:rsid w:val="009F6A3F"/>
    <w:rsid w:val="00A03104"/>
    <w:rsid w:val="00A367A5"/>
    <w:rsid w:val="00A447A1"/>
    <w:rsid w:val="00A566DA"/>
    <w:rsid w:val="00A63178"/>
    <w:rsid w:val="00A71B3E"/>
    <w:rsid w:val="00A81045"/>
    <w:rsid w:val="00A966C9"/>
    <w:rsid w:val="00A96F8E"/>
    <w:rsid w:val="00A977D1"/>
    <w:rsid w:val="00AA103E"/>
    <w:rsid w:val="00AA7283"/>
    <w:rsid w:val="00AC331F"/>
    <w:rsid w:val="00AD2215"/>
    <w:rsid w:val="00AE126A"/>
    <w:rsid w:val="00AE6FDF"/>
    <w:rsid w:val="00AE7F01"/>
    <w:rsid w:val="00B07AB1"/>
    <w:rsid w:val="00B130C7"/>
    <w:rsid w:val="00B27565"/>
    <w:rsid w:val="00B331CE"/>
    <w:rsid w:val="00B3507A"/>
    <w:rsid w:val="00B63B0B"/>
    <w:rsid w:val="00B63E3C"/>
    <w:rsid w:val="00B70F06"/>
    <w:rsid w:val="00B7500E"/>
    <w:rsid w:val="00B8226C"/>
    <w:rsid w:val="00B9583B"/>
    <w:rsid w:val="00B97E5C"/>
    <w:rsid w:val="00BA324B"/>
    <w:rsid w:val="00BA452D"/>
    <w:rsid w:val="00BA4831"/>
    <w:rsid w:val="00BC06B7"/>
    <w:rsid w:val="00BC346C"/>
    <w:rsid w:val="00BC49C1"/>
    <w:rsid w:val="00BC4F47"/>
    <w:rsid w:val="00BE3BD8"/>
    <w:rsid w:val="00BE3F6F"/>
    <w:rsid w:val="00BE73F3"/>
    <w:rsid w:val="00C05669"/>
    <w:rsid w:val="00C12D21"/>
    <w:rsid w:val="00C31445"/>
    <w:rsid w:val="00C811A0"/>
    <w:rsid w:val="00C86C87"/>
    <w:rsid w:val="00C93299"/>
    <w:rsid w:val="00C94071"/>
    <w:rsid w:val="00C944CE"/>
    <w:rsid w:val="00CA01ED"/>
    <w:rsid w:val="00CA6DA0"/>
    <w:rsid w:val="00CB0254"/>
    <w:rsid w:val="00CB26C8"/>
    <w:rsid w:val="00CB3DF2"/>
    <w:rsid w:val="00CC7167"/>
    <w:rsid w:val="00D04CC7"/>
    <w:rsid w:val="00D04D16"/>
    <w:rsid w:val="00D13E54"/>
    <w:rsid w:val="00D17FC8"/>
    <w:rsid w:val="00D272C3"/>
    <w:rsid w:val="00D36935"/>
    <w:rsid w:val="00D401AD"/>
    <w:rsid w:val="00D76904"/>
    <w:rsid w:val="00D92EC6"/>
    <w:rsid w:val="00DA1076"/>
    <w:rsid w:val="00DA2FF5"/>
    <w:rsid w:val="00DC48DC"/>
    <w:rsid w:val="00DC5BBD"/>
    <w:rsid w:val="00DE24CD"/>
    <w:rsid w:val="00E4640C"/>
    <w:rsid w:val="00E61D27"/>
    <w:rsid w:val="00E63D97"/>
    <w:rsid w:val="00E64E26"/>
    <w:rsid w:val="00E65124"/>
    <w:rsid w:val="00E8124F"/>
    <w:rsid w:val="00E91651"/>
    <w:rsid w:val="00E9496E"/>
    <w:rsid w:val="00EA1423"/>
    <w:rsid w:val="00EA6ED0"/>
    <w:rsid w:val="00EA6F26"/>
    <w:rsid w:val="00EB25C1"/>
    <w:rsid w:val="00EE21A7"/>
    <w:rsid w:val="00EE3722"/>
    <w:rsid w:val="00EF2CBE"/>
    <w:rsid w:val="00EF3E12"/>
    <w:rsid w:val="00F14988"/>
    <w:rsid w:val="00F30B93"/>
    <w:rsid w:val="00F332F3"/>
    <w:rsid w:val="00F46727"/>
    <w:rsid w:val="00F51382"/>
    <w:rsid w:val="00F96699"/>
    <w:rsid w:val="00FA2F07"/>
    <w:rsid w:val="00FA5BFF"/>
    <w:rsid w:val="00FB0ECF"/>
    <w:rsid w:val="00FC0C62"/>
    <w:rsid w:val="00FD1288"/>
    <w:rsid w:val="00FD2311"/>
    <w:rsid w:val="00FE3D3A"/>
    <w:rsid w:val="0BF62F89"/>
    <w:rsid w:val="2A103EDA"/>
    <w:rsid w:val="463664C3"/>
  </w:rsids>
  <m:mathPr>
    <m:mathFont m:val="Cambria Math"/>
    <m:brkBin m:val="before"/>
    <m:brkBinSub m:val="--"/>
    <m:smallFrac m:val="1"/>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360" w:lineRule="auto"/>
    </w:pPr>
    <w:rPr>
      <w:rFonts w:ascii="Times New Roman" w:hAnsi="Times New Roman" w:eastAsiaTheme="minorEastAsia" w:cstheme="minorBidi"/>
      <w:color w:val="0C0C0C" w:themeColor="text1" w:themeTint="F2"/>
      <w:sz w:val="24"/>
      <w:szCs w:val="22"/>
      <w:lang w:val="en-IN" w:eastAsia="en-IN" w:bidi="ar-SA"/>
    </w:rPr>
  </w:style>
  <w:style w:type="paragraph" w:styleId="2">
    <w:name w:val="heading 1"/>
    <w:basedOn w:val="1"/>
    <w:next w:val="1"/>
    <w:link w:val="17"/>
    <w:qFormat/>
    <w:uiPriority w:val="9"/>
    <w:pPr>
      <w:keepNext/>
      <w:keepLines/>
      <w:spacing w:before="480" w:after="0"/>
      <w:outlineLvl w:val="0"/>
    </w:pPr>
    <w:rPr>
      <w:rFonts w:eastAsiaTheme="majorEastAsia" w:cstheme="majorBidi"/>
      <w:b/>
      <w:bCs/>
      <w:color w:val="000000" w:themeColor="text1"/>
      <w:szCs w:val="28"/>
    </w:rPr>
  </w:style>
  <w:style w:type="paragraph" w:styleId="3">
    <w:name w:val="heading 2"/>
    <w:basedOn w:val="1"/>
    <w:next w:val="1"/>
    <w:link w:val="20"/>
    <w:unhideWhenUsed/>
    <w:qFormat/>
    <w:uiPriority w:val="9"/>
    <w:pPr>
      <w:keepNext/>
      <w:keepLines/>
      <w:spacing w:before="40" w:after="0"/>
      <w:outlineLvl w:val="1"/>
    </w:pPr>
    <w:rPr>
      <w:rFonts w:eastAsiaTheme="majorEastAsia" w:cstheme="majorBidi"/>
      <w:b/>
      <w:szCs w:val="26"/>
    </w:rPr>
  </w:style>
  <w:style w:type="paragraph" w:styleId="4">
    <w:name w:val="heading 3"/>
    <w:basedOn w:val="1"/>
    <w:next w:val="1"/>
    <w:link w:val="21"/>
    <w:unhideWhenUsed/>
    <w:qFormat/>
    <w:uiPriority w:val="9"/>
    <w:pPr>
      <w:keepNext/>
      <w:keepLines/>
      <w:spacing w:before="40" w:after="0"/>
      <w:outlineLvl w:val="2"/>
    </w:pPr>
    <w:rPr>
      <w:rFonts w:asciiTheme="majorHAnsi" w:hAnsiTheme="majorHAnsi" w:eastAsiaTheme="majorEastAsia" w:cstheme="majorBidi"/>
      <w:color w:val="243F61" w:themeColor="accent1" w:themeShade="7F"/>
      <w:szCs w:val="24"/>
    </w:rPr>
  </w:style>
  <w:style w:type="character" w:default="1" w:styleId="12">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5">
    <w:name w:val="Balloon Text"/>
    <w:basedOn w:val="1"/>
    <w:link w:val="18"/>
    <w:semiHidden/>
    <w:unhideWhenUsed/>
    <w:qFormat/>
    <w:uiPriority w:val="99"/>
    <w:pPr>
      <w:spacing w:after="0" w:line="240" w:lineRule="auto"/>
    </w:pPr>
    <w:rPr>
      <w:rFonts w:ascii="Tahoma" w:hAnsi="Tahoma" w:cs="Tahoma"/>
      <w:sz w:val="16"/>
      <w:szCs w:val="16"/>
    </w:rPr>
  </w:style>
  <w:style w:type="paragraph" w:styleId="6">
    <w:name w:val="footer"/>
    <w:basedOn w:val="1"/>
    <w:link w:val="15"/>
    <w:unhideWhenUsed/>
    <w:qFormat/>
    <w:uiPriority w:val="99"/>
    <w:pPr>
      <w:tabs>
        <w:tab w:val="center" w:pos="4513"/>
        <w:tab w:val="right" w:pos="9026"/>
      </w:tabs>
      <w:spacing w:after="0" w:line="240" w:lineRule="auto"/>
    </w:pPr>
  </w:style>
  <w:style w:type="paragraph" w:styleId="7">
    <w:name w:val="header"/>
    <w:basedOn w:val="1"/>
    <w:link w:val="14"/>
    <w:unhideWhenUsed/>
    <w:qFormat/>
    <w:uiPriority w:val="99"/>
    <w:pPr>
      <w:tabs>
        <w:tab w:val="center" w:pos="4513"/>
        <w:tab w:val="right" w:pos="9026"/>
      </w:tabs>
      <w:spacing w:after="0" w:line="240" w:lineRule="auto"/>
    </w:pPr>
  </w:style>
  <w:style w:type="paragraph" w:styleId="8">
    <w:name w:val="toc 1"/>
    <w:basedOn w:val="1"/>
    <w:next w:val="1"/>
    <w:unhideWhenUsed/>
    <w:uiPriority w:val="39"/>
    <w:pPr>
      <w:spacing w:after="100"/>
    </w:pPr>
  </w:style>
  <w:style w:type="paragraph" w:styleId="9">
    <w:name w:val="toc 2"/>
    <w:basedOn w:val="1"/>
    <w:next w:val="1"/>
    <w:unhideWhenUsed/>
    <w:qFormat/>
    <w:uiPriority w:val="39"/>
    <w:pPr>
      <w:spacing w:after="100"/>
      <w:ind w:left="240"/>
    </w:pPr>
  </w:style>
  <w:style w:type="table" w:styleId="11">
    <w:name w:val="Table Grid"/>
    <w:basedOn w:val="10"/>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3">
    <w:name w:val="Hyperlink"/>
    <w:basedOn w:val="12"/>
    <w:unhideWhenUsed/>
    <w:qFormat/>
    <w:uiPriority w:val="99"/>
    <w:rPr>
      <w:color w:val="0000FF" w:themeColor="hyperlink"/>
      <w:u w:val="single"/>
    </w:rPr>
  </w:style>
  <w:style w:type="character" w:customStyle="1" w:styleId="14">
    <w:name w:val="Header Char"/>
    <w:basedOn w:val="12"/>
    <w:link w:val="7"/>
    <w:uiPriority w:val="99"/>
  </w:style>
  <w:style w:type="character" w:customStyle="1" w:styleId="15">
    <w:name w:val="Footer Char"/>
    <w:basedOn w:val="12"/>
    <w:link w:val="6"/>
    <w:qFormat/>
    <w:uiPriority w:val="99"/>
  </w:style>
  <w:style w:type="character" w:customStyle="1" w:styleId="16">
    <w:name w:val="selectable"/>
    <w:basedOn w:val="12"/>
    <w:uiPriority w:val="0"/>
  </w:style>
  <w:style w:type="character" w:customStyle="1" w:styleId="17">
    <w:name w:val="Heading 1 Char"/>
    <w:basedOn w:val="12"/>
    <w:link w:val="2"/>
    <w:uiPriority w:val="9"/>
    <w:rPr>
      <w:rFonts w:ascii="Times New Roman" w:hAnsi="Times New Roman" w:eastAsiaTheme="majorEastAsia" w:cstheme="majorBidi"/>
      <w:b/>
      <w:bCs/>
      <w:color w:val="000000" w:themeColor="text1"/>
      <w:sz w:val="24"/>
      <w:szCs w:val="28"/>
    </w:rPr>
  </w:style>
  <w:style w:type="character" w:customStyle="1" w:styleId="18">
    <w:name w:val="Balloon Text Char"/>
    <w:basedOn w:val="12"/>
    <w:link w:val="5"/>
    <w:semiHidden/>
    <w:uiPriority w:val="99"/>
    <w:rPr>
      <w:rFonts w:ascii="Tahoma" w:hAnsi="Tahoma" w:cs="Tahoma"/>
      <w:sz w:val="16"/>
      <w:szCs w:val="16"/>
    </w:rPr>
  </w:style>
  <w:style w:type="paragraph" w:customStyle="1" w:styleId="19">
    <w:name w:val="TOC Heading"/>
    <w:basedOn w:val="2"/>
    <w:next w:val="1"/>
    <w:semiHidden/>
    <w:unhideWhenUsed/>
    <w:qFormat/>
    <w:uiPriority w:val="39"/>
    <w:pPr>
      <w:spacing w:line="276" w:lineRule="auto"/>
      <w:outlineLvl w:val="9"/>
    </w:pPr>
    <w:rPr>
      <w:rFonts w:asciiTheme="majorHAnsi" w:hAnsiTheme="majorHAnsi"/>
      <w:color w:val="366091" w:themeColor="accent1" w:themeShade="BF"/>
      <w:sz w:val="28"/>
      <w:lang w:val="en-US" w:eastAsia="en-US"/>
    </w:rPr>
  </w:style>
  <w:style w:type="character" w:customStyle="1" w:styleId="20">
    <w:name w:val="Heading 2 Char"/>
    <w:basedOn w:val="12"/>
    <w:link w:val="3"/>
    <w:uiPriority w:val="9"/>
    <w:rPr>
      <w:rFonts w:ascii="Times New Roman" w:hAnsi="Times New Roman" w:eastAsiaTheme="majorEastAsia" w:cstheme="majorBidi"/>
      <w:b/>
      <w:color w:val="0C0C0C" w:themeColor="text1" w:themeTint="F2"/>
      <w:sz w:val="24"/>
      <w:szCs w:val="26"/>
    </w:rPr>
  </w:style>
  <w:style w:type="character" w:customStyle="1" w:styleId="21">
    <w:name w:val="Heading 3 Char"/>
    <w:basedOn w:val="12"/>
    <w:link w:val="4"/>
    <w:uiPriority w:val="9"/>
    <w:rPr>
      <w:rFonts w:asciiTheme="majorHAnsi" w:hAnsiTheme="majorHAnsi" w:eastAsiaTheme="majorEastAsia" w:cstheme="majorBidi"/>
      <w:color w:val="243F61" w:themeColor="accent1" w:themeShade="7F"/>
      <w:sz w:val="24"/>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E4AC67C-DB2B-ED4F-B03B-129923AF3713}">
  <ds:schemaRefs/>
</ds:datastoreItem>
</file>

<file path=docProps/app.xml><?xml version="1.0" encoding="utf-8"?>
<Properties xmlns="http://schemas.openxmlformats.org/officeDocument/2006/extended-properties" xmlns:vt="http://schemas.openxmlformats.org/officeDocument/2006/docPropsVTypes">
  <Template>Normal.dotm</Template>
  <Pages>14</Pages>
  <Words>3372</Words>
  <Characters>20856</Characters>
  <Lines>373</Lines>
  <Paragraphs>82</Paragraphs>
  <TotalTime>20</TotalTime>
  <ScaleCrop>false</ScaleCrop>
  <LinksUpToDate>false</LinksUpToDate>
  <CharactersWithSpaces>24164</CharactersWithSpaces>
  <Application>WPS Office_11.1.0.9440_F1E327BC-269C-435d-A152-05C5408002CA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2020-02-25T06:37:00Z</dcterms:created>
  <dc:creator>J</dc:creator>
  <cp:lastModifiedBy>J</cp:lastModifiedBy>
  <dcterms:modified xsi:type="dcterms:W3CDTF">2020-03-02T21:43:48Z</dcterms:modified>
  <cp:revision>279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2052-11.1.0.9440</vt:lpwstr>
  </property>
</Properties>
</file>