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15479" w14:textId="77777777" w:rsidR="00015AA6" w:rsidRPr="00015AA6" w:rsidRDefault="00015AA6" w:rsidP="00015AA6">
      <w:pPr>
        <w:widowControl w:val="0"/>
        <w:autoSpaceDE w:val="0"/>
        <w:autoSpaceDN w:val="0"/>
        <w:spacing w:after="0" w:line="240" w:lineRule="auto"/>
        <w:rPr>
          <w:rFonts w:ascii="Times New Roman" w:eastAsia="Calibri Light" w:hAnsi="Arial" w:cs="Calibri Light"/>
          <w:noProof/>
          <w:kern w:val="0"/>
          <w:sz w:val="20"/>
          <w:szCs w:val="22"/>
          <w14:ligatures w14:val="none"/>
        </w:rPr>
      </w:pPr>
    </w:p>
    <w:p w14:paraId="2C12AEB4" w14:textId="77777777" w:rsidR="00015AA6" w:rsidRPr="00015AA6" w:rsidRDefault="00015AA6" w:rsidP="00015AA6">
      <w:pPr>
        <w:widowControl w:val="0"/>
        <w:autoSpaceDE w:val="0"/>
        <w:autoSpaceDN w:val="0"/>
        <w:spacing w:after="0" w:line="240" w:lineRule="auto"/>
        <w:ind w:left="2798"/>
        <w:rPr>
          <w:rFonts w:ascii="Times New Roman" w:eastAsia="Calibri Light" w:hAnsi="Arial" w:cs="Calibri Light"/>
          <w:noProof/>
          <w:kern w:val="0"/>
          <w:sz w:val="20"/>
          <w:szCs w:val="22"/>
          <w14:ligatures w14:val="none"/>
        </w:rPr>
      </w:pPr>
    </w:p>
    <w:p w14:paraId="63C4F5E5" w14:textId="77777777" w:rsidR="00015AA6" w:rsidRPr="00015AA6" w:rsidRDefault="00015AA6" w:rsidP="00015AA6">
      <w:pPr>
        <w:widowControl w:val="0"/>
        <w:autoSpaceDE w:val="0"/>
        <w:autoSpaceDN w:val="0"/>
        <w:spacing w:after="0" w:line="240" w:lineRule="auto"/>
        <w:ind w:left="2798"/>
        <w:rPr>
          <w:rFonts w:ascii="Times New Roman" w:eastAsia="Calibri Light" w:hAnsi="Arial" w:cs="Calibri Light"/>
          <w:noProof/>
          <w:kern w:val="0"/>
          <w:sz w:val="20"/>
          <w:szCs w:val="22"/>
          <w14:ligatures w14:val="none"/>
        </w:rPr>
      </w:pPr>
    </w:p>
    <w:p w14:paraId="161A4F79" w14:textId="77777777" w:rsidR="00015AA6" w:rsidRPr="00015AA6" w:rsidRDefault="00015AA6" w:rsidP="00015AA6">
      <w:pPr>
        <w:widowControl w:val="0"/>
        <w:autoSpaceDE w:val="0"/>
        <w:autoSpaceDN w:val="0"/>
        <w:spacing w:after="0" w:line="240" w:lineRule="auto"/>
        <w:ind w:left="2798"/>
        <w:rPr>
          <w:rFonts w:ascii="Times New Roman" w:eastAsia="Calibri Light" w:hAnsi="Arial" w:cs="Calibri Light"/>
          <w:noProof/>
          <w:kern w:val="0"/>
          <w:sz w:val="20"/>
          <w:szCs w:val="22"/>
          <w14:ligatures w14:val="none"/>
        </w:rPr>
      </w:pPr>
    </w:p>
    <w:p w14:paraId="0A67A369" w14:textId="77777777" w:rsidR="00015AA6" w:rsidRPr="00015AA6" w:rsidRDefault="00015AA6" w:rsidP="00015AA6">
      <w:pPr>
        <w:widowControl w:val="0"/>
        <w:autoSpaceDE w:val="0"/>
        <w:autoSpaceDN w:val="0"/>
        <w:spacing w:after="0" w:line="240" w:lineRule="auto"/>
        <w:ind w:left="2798"/>
        <w:rPr>
          <w:rFonts w:ascii="Times New Roman" w:eastAsia="Calibri Light" w:hAnsi="Arial" w:cs="Calibri Light"/>
          <w:kern w:val="0"/>
          <w:sz w:val="20"/>
          <w:szCs w:val="22"/>
          <w:lang w:bidi="en-GB"/>
          <w14:ligatures w14:val="none"/>
        </w:rPr>
      </w:pPr>
      <w:r w:rsidRPr="00015AA6">
        <w:rPr>
          <w:rFonts w:ascii="Arial" w:eastAsia="Calibri Light" w:hAnsi="Arial" w:cs="Calibri Light"/>
          <w:noProof/>
          <w:kern w:val="0"/>
          <w:sz w:val="22"/>
          <w:szCs w:val="22"/>
          <w:lang w:bidi="en-GB"/>
          <w14:ligatures w14:val="none"/>
        </w:rPr>
        <w:drawing>
          <wp:anchor distT="0" distB="0" distL="114300" distR="114300" simplePos="0" relativeHeight="251661312" behindDoc="1" locked="0" layoutInCell="1" allowOverlap="1" wp14:anchorId="4AB6A808" wp14:editId="5C591365">
            <wp:simplePos x="0" y="0"/>
            <wp:positionH relativeFrom="column">
              <wp:posOffset>1054100</wp:posOffset>
            </wp:positionH>
            <wp:positionV relativeFrom="paragraph">
              <wp:posOffset>12700</wp:posOffset>
            </wp:positionV>
            <wp:extent cx="5438775" cy="1328420"/>
            <wp:effectExtent l="0" t="0" r="0" b="0"/>
            <wp:wrapTight wrapText="bothSides">
              <wp:wrapPolygon edited="0">
                <wp:start x="681" y="3407"/>
                <wp:lineTo x="681" y="8983"/>
                <wp:lineTo x="984" y="13939"/>
                <wp:lineTo x="1816" y="17346"/>
                <wp:lineTo x="1891" y="17966"/>
                <wp:lineTo x="5599" y="17966"/>
                <wp:lineTo x="9911" y="17346"/>
                <wp:lineTo x="9987" y="13939"/>
                <wp:lineTo x="13089" y="13629"/>
                <wp:lineTo x="13240" y="9602"/>
                <wp:lineTo x="16266" y="8983"/>
                <wp:lineTo x="16493" y="5266"/>
                <wp:lineTo x="14753" y="3407"/>
                <wp:lineTo x="681"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VO | Sandwell Council of Voluntary Organisa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38775" cy="1328420"/>
                    </a:xfrm>
                    <a:prstGeom prst="rect">
                      <a:avLst/>
                    </a:prstGeom>
                    <a:noFill/>
                  </pic:spPr>
                </pic:pic>
              </a:graphicData>
            </a:graphic>
            <wp14:sizeRelH relativeFrom="page">
              <wp14:pctWidth>0</wp14:pctWidth>
            </wp14:sizeRelH>
            <wp14:sizeRelV relativeFrom="page">
              <wp14:pctHeight>0</wp14:pctHeight>
            </wp14:sizeRelV>
          </wp:anchor>
        </w:drawing>
      </w:r>
      <w:r w:rsidRPr="00015AA6">
        <w:rPr>
          <w:rFonts w:ascii="Times New Roman" w:eastAsia="Calibri Light" w:hAnsi="Arial" w:cs="Calibri Light"/>
          <w:noProof/>
          <w:kern w:val="0"/>
          <w:sz w:val="20"/>
          <w:szCs w:val="22"/>
          <w14:ligatures w14:val="none"/>
        </w:rPr>
        <w:t xml:space="preserve"> </w:t>
      </w:r>
    </w:p>
    <w:p w14:paraId="44F4AD70" w14:textId="77777777" w:rsidR="00015AA6" w:rsidRPr="00015AA6" w:rsidRDefault="00015AA6" w:rsidP="00015AA6">
      <w:pPr>
        <w:widowControl w:val="0"/>
        <w:autoSpaceDE w:val="0"/>
        <w:autoSpaceDN w:val="0"/>
        <w:spacing w:after="0" w:line="240" w:lineRule="auto"/>
        <w:rPr>
          <w:rFonts w:ascii="Times New Roman" w:eastAsia="Calibri Light" w:hAnsi="Arial" w:cs="Calibri Light"/>
          <w:kern w:val="0"/>
          <w:sz w:val="20"/>
          <w:szCs w:val="22"/>
          <w:lang w:bidi="en-GB"/>
          <w14:ligatures w14:val="none"/>
        </w:rPr>
      </w:pPr>
    </w:p>
    <w:p w14:paraId="79AE87A9" w14:textId="77777777" w:rsidR="00015AA6" w:rsidRPr="00015AA6" w:rsidRDefault="00015AA6" w:rsidP="00015AA6">
      <w:pPr>
        <w:widowControl w:val="0"/>
        <w:autoSpaceDE w:val="0"/>
        <w:autoSpaceDN w:val="0"/>
        <w:spacing w:after="0" w:line="240" w:lineRule="auto"/>
        <w:rPr>
          <w:rFonts w:ascii="Times New Roman" w:eastAsia="Calibri Light" w:hAnsi="Arial" w:cs="Calibri Light"/>
          <w:kern w:val="0"/>
          <w:sz w:val="20"/>
          <w:szCs w:val="22"/>
          <w:lang w:bidi="en-GB"/>
          <w14:ligatures w14:val="none"/>
        </w:rPr>
      </w:pPr>
    </w:p>
    <w:p w14:paraId="379766C4" w14:textId="77777777" w:rsidR="00015AA6" w:rsidRPr="00015AA6" w:rsidRDefault="00015AA6" w:rsidP="00015AA6">
      <w:pPr>
        <w:widowControl w:val="0"/>
        <w:autoSpaceDE w:val="0"/>
        <w:autoSpaceDN w:val="0"/>
        <w:spacing w:after="0" w:line="240" w:lineRule="auto"/>
        <w:rPr>
          <w:rFonts w:ascii="Times New Roman" w:eastAsia="Calibri Light" w:hAnsi="Arial" w:cs="Calibri Light"/>
          <w:kern w:val="0"/>
          <w:sz w:val="20"/>
          <w:szCs w:val="22"/>
          <w:lang w:bidi="en-GB"/>
          <w14:ligatures w14:val="none"/>
        </w:rPr>
      </w:pPr>
    </w:p>
    <w:p w14:paraId="464E3728" w14:textId="77777777" w:rsidR="00015AA6" w:rsidRPr="00015AA6" w:rsidRDefault="00015AA6" w:rsidP="00015AA6">
      <w:pPr>
        <w:widowControl w:val="0"/>
        <w:autoSpaceDE w:val="0"/>
        <w:autoSpaceDN w:val="0"/>
        <w:spacing w:after="0" w:line="240" w:lineRule="auto"/>
        <w:rPr>
          <w:rFonts w:ascii="Times New Roman" w:eastAsia="Calibri Light" w:hAnsi="Arial" w:cs="Calibri Light"/>
          <w:kern w:val="0"/>
          <w:sz w:val="20"/>
          <w:szCs w:val="22"/>
          <w:lang w:bidi="en-GB"/>
          <w14:ligatures w14:val="none"/>
        </w:rPr>
      </w:pPr>
    </w:p>
    <w:p w14:paraId="41A6DE16" w14:textId="77777777" w:rsidR="00015AA6" w:rsidRPr="00015AA6" w:rsidRDefault="00015AA6" w:rsidP="00015AA6">
      <w:pPr>
        <w:widowControl w:val="0"/>
        <w:autoSpaceDE w:val="0"/>
        <w:autoSpaceDN w:val="0"/>
        <w:spacing w:after="0" w:line="240" w:lineRule="auto"/>
        <w:rPr>
          <w:rFonts w:ascii="Times New Roman" w:eastAsia="Calibri Light" w:hAnsi="Arial" w:cs="Calibri Light"/>
          <w:kern w:val="0"/>
          <w:sz w:val="20"/>
          <w:szCs w:val="22"/>
          <w:lang w:bidi="en-GB"/>
          <w14:ligatures w14:val="none"/>
        </w:rPr>
      </w:pPr>
    </w:p>
    <w:p w14:paraId="39A2C2B1" w14:textId="77777777" w:rsidR="00015AA6" w:rsidRPr="00015AA6" w:rsidRDefault="00015AA6" w:rsidP="00015AA6">
      <w:pPr>
        <w:widowControl w:val="0"/>
        <w:autoSpaceDE w:val="0"/>
        <w:autoSpaceDN w:val="0"/>
        <w:spacing w:before="2" w:after="0" w:line="240" w:lineRule="auto"/>
        <w:rPr>
          <w:rFonts w:ascii="Arial" w:eastAsia="Calibri Light" w:hAnsi="Arial" w:cs="Arial"/>
          <w:kern w:val="0"/>
          <w:sz w:val="29"/>
          <w:szCs w:val="22"/>
          <w:lang w:bidi="en-GB"/>
          <w14:ligatures w14:val="none"/>
        </w:rPr>
      </w:pPr>
    </w:p>
    <w:p w14:paraId="3413CBD4" w14:textId="77777777" w:rsidR="00015AA6" w:rsidRPr="00015AA6" w:rsidRDefault="00015AA6" w:rsidP="00015AA6">
      <w:pPr>
        <w:widowControl w:val="0"/>
        <w:autoSpaceDE w:val="0"/>
        <w:autoSpaceDN w:val="0"/>
        <w:spacing w:after="0" w:line="692" w:lineRule="exact"/>
        <w:ind w:left="1835"/>
        <w:rPr>
          <w:rFonts w:ascii="Arial" w:eastAsia="Calibri Light" w:hAnsi="Arial" w:cs="Arial"/>
          <w:kern w:val="0"/>
          <w:sz w:val="58"/>
          <w:szCs w:val="22"/>
          <w:lang w:bidi="en-GB"/>
          <w14:ligatures w14:val="none"/>
        </w:rPr>
      </w:pPr>
    </w:p>
    <w:p w14:paraId="767F6173" w14:textId="77777777" w:rsidR="00015AA6" w:rsidRPr="00015AA6" w:rsidRDefault="00015AA6" w:rsidP="00015AA6">
      <w:pPr>
        <w:widowControl w:val="0"/>
        <w:autoSpaceDE w:val="0"/>
        <w:autoSpaceDN w:val="0"/>
        <w:spacing w:after="0" w:line="692" w:lineRule="exact"/>
        <w:rPr>
          <w:rFonts w:ascii="Arial" w:eastAsia="Calibri Light" w:hAnsi="Arial" w:cs="Arial"/>
          <w:kern w:val="0"/>
          <w:sz w:val="58"/>
          <w:szCs w:val="22"/>
          <w:lang w:bidi="en-GB"/>
          <w14:ligatures w14:val="none"/>
        </w:rPr>
      </w:pPr>
    </w:p>
    <w:p w14:paraId="0FCA6607" w14:textId="77777777" w:rsidR="00015AA6" w:rsidRPr="00015AA6" w:rsidRDefault="00015AA6" w:rsidP="00015AA6">
      <w:pPr>
        <w:widowControl w:val="0"/>
        <w:autoSpaceDE w:val="0"/>
        <w:autoSpaceDN w:val="0"/>
        <w:spacing w:after="0" w:line="692" w:lineRule="exact"/>
        <w:ind w:left="1835"/>
        <w:rPr>
          <w:rFonts w:ascii="Arial" w:eastAsia="Calibri Light" w:hAnsi="Arial" w:cs="Arial"/>
          <w:kern w:val="0"/>
          <w:sz w:val="58"/>
          <w:szCs w:val="22"/>
          <w:lang w:bidi="en-GB"/>
          <w14:ligatures w14:val="none"/>
        </w:rPr>
      </w:pPr>
      <w:r w:rsidRPr="00015AA6">
        <w:rPr>
          <w:rFonts w:ascii="Arial" w:eastAsia="Calibri Light" w:hAnsi="Arial" w:cs="Arial"/>
          <w:kern w:val="0"/>
          <w:sz w:val="58"/>
          <w:szCs w:val="22"/>
          <w:lang w:bidi="en-GB"/>
          <w14:ligatures w14:val="none"/>
        </w:rPr>
        <w:t>Sefydliad Dysgu Canol Dinas /</w:t>
      </w:r>
    </w:p>
    <w:p w14:paraId="62B8C7B9" w14:textId="77777777" w:rsidR="00015AA6" w:rsidRPr="00015AA6" w:rsidRDefault="00015AA6" w:rsidP="00015AA6">
      <w:pPr>
        <w:widowControl w:val="0"/>
        <w:autoSpaceDE w:val="0"/>
        <w:autoSpaceDN w:val="0"/>
        <w:spacing w:after="0" w:line="240" w:lineRule="auto"/>
        <w:ind w:left="1234" w:right="1229"/>
        <w:jc w:val="center"/>
        <w:rPr>
          <w:rFonts w:ascii="Arial" w:eastAsia="Calibri Light" w:hAnsi="Arial" w:cs="Arial"/>
          <w:kern w:val="0"/>
          <w:sz w:val="58"/>
          <w:szCs w:val="22"/>
          <w:lang w:bidi="en-GB"/>
          <w14:ligatures w14:val="none"/>
        </w:rPr>
      </w:pPr>
      <w:r w:rsidRPr="00015AA6">
        <w:rPr>
          <w:rFonts w:ascii="Arial" w:eastAsia="Calibri Light" w:hAnsi="Arial" w:cs="Arial"/>
          <w:kern w:val="0"/>
          <w:sz w:val="58"/>
          <w:szCs w:val="22"/>
          <w:lang w:bidi="en-GB"/>
          <w14:ligatures w14:val="none"/>
        </w:rPr>
        <w:t xml:space="preserve">Institute of Inner City Learning </w:t>
      </w:r>
    </w:p>
    <w:p w14:paraId="65D2F25A" w14:textId="77777777" w:rsidR="00015AA6" w:rsidRPr="00015AA6" w:rsidRDefault="00015AA6" w:rsidP="00015AA6">
      <w:pPr>
        <w:widowControl w:val="0"/>
        <w:autoSpaceDE w:val="0"/>
        <w:autoSpaceDN w:val="0"/>
        <w:spacing w:after="0" w:line="240" w:lineRule="auto"/>
        <w:rPr>
          <w:rFonts w:ascii="Arial" w:eastAsia="Calibri Light" w:hAnsi="Arial" w:cs="Arial"/>
          <w:kern w:val="0"/>
          <w:sz w:val="20"/>
          <w:szCs w:val="22"/>
          <w:lang w:bidi="en-GB"/>
          <w14:ligatures w14:val="none"/>
        </w:rPr>
      </w:pPr>
    </w:p>
    <w:p w14:paraId="68A840FB" w14:textId="77777777" w:rsidR="00015AA6" w:rsidRPr="00015AA6" w:rsidRDefault="00015AA6" w:rsidP="00015AA6">
      <w:pPr>
        <w:widowControl w:val="0"/>
        <w:autoSpaceDE w:val="0"/>
        <w:autoSpaceDN w:val="0"/>
        <w:spacing w:after="0" w:line="240" w:lineRule="auto"/>
        <w:rPr>
          <w:rFonts w:ascii="Arial" w:eastAsia="Calibri Light" w:hAnsi="Arial" w:cs="Arial"/>
          <w:kern w:val="0"/>
          <w:sz w:val="20"/>
          <w:szCs w:val="22"/>
          <w:lang w:bidi="en-GB"/>
          <w14:ligatures w14:val="none"/>
        </w:rPr>
      </w:pPr>
    </w:p>
    <w:p w14:paraId="19D1D8AB" w14:textId="77777777" w:rsidR="00015AA6" w:rsidRPr="00015AA6" w:rsidRDefault="00015AA6" w:rsidP="00015AA6">
      <w:pPr>
        <w:widowControl w:val="0"/>
        <w:autoSpaceDE w:val="0"/>
        <w:autoSpaceDN w:val="0"/>
        <w:spacing w:after="0" w:line="240" w:lineRule="auto"/>
        <w:jc w:val="center"/>
        <w:rPr>
          <w:rFonts w:ascii="Arial" w:eastAsia="Calibri Light" w:hAnsi="Arial" w:cs="Arial"/>
          <w:kern w:val="0"/>
          <w:sz w:val="56"/>
          <w:szCs w:val="56"/>
          <w:lang w:bidi="en-GB"/>
          <w14:ligatures w14:val="none"/>
        </w:rPr>
      </w:pPr>
    </w:p>
    <w:p w14:paraId="2271D8C9" w14:textId="77777777" w:rsidR="00015AA6" w:rsidRPr="00015AA6" w:rsidRDefault="00015AA6" w:rsidP="00015AA6">
      <w:pPr>
        <w:widowControl w:val="0"/>
        <w:autoSpaceDE w:val="0"/>
        <w:autoSpaceDN w:val="0"/>
        <w:spacing w:after="0" w:line="240" w:lineRule="auto"/>
        <w:jc w:val="center"/>
        <w:rPr>
          <w:rFonts w:ascii="Arial" w:eastAsia="Calibri Light" w:hAnsi="Arial" w:cs="Arial"/>
          <w:kern w:val="0"/>
          <w:sz w:val="56"/>
          <w:szCs w:val="56"/>
          <w:lang w:bidi="en-GB"/>
          <w14:ligatures w14:val="none"/>
        </w:rPr>
      </w:pPr>
    </w:p>
    <w:p w14:paraId="0496677F" w14:textId="77777777" w:rsidR="00015AA6" w:rsidRPr="00015AA6" w:rsidRDefault="00015AA6" w:rsidP="00015AA6">
      <w:pPr>
        <w:widowControl w:val="0"/>
        <w:autoSpaceDE w:val="0"/>
        <w:autoSpaceDN w:val="0"/>
        <w:spacing w:after="0" w:line="240" w:lineRule="auto"/>
        <w:jc w:val="center"/>
        <w:rPr>
          <w:rFonts w:ascii="Arial" w:eastAsia="Calibri Light" w:hAnsi="Arial" w:cs="Arial"/>
          <w:kern w:val="0"/>
          <w:sz w:val="56"/>
          <w:szCs w:val="56"/>
          <w:lang w:bidi="en-GB"/>
          <w14:ligatures w14:val="none"/>
        </w:rPr>
      </w:pPr>
      <w:r w:rsidRPr="00015AA6">
        <w:rPr>
          <w:rFonts w:ascii="Arial" w:eastAsia="Calibri Light" w:hAnsi="Arial" w:cs="Arial"/>
          <w:kern w:val="0"/>
          <w:sz w:val="56"/>
          <w:szCs w:val="56"/>
          <w:lang w:bidi="en-GB"/>
          <w14:ligatures w14:val="none"/>
        </w:rPr>
        <w:t xml:space="preserve">MSc Public Health and </w:t>
      </w:r>
      <w:r w:rsidRPr="00015AA6">
        <w:rPr>
          <w:rFonts w:ascii="Arial" w:eastAsia="Calibri Light" w:hAnsi="Arial" w:cs="Arial"/>
          <w:kern w:val="0"/>
          <w:sz w:val="56"/>
          <w:szCs w:val="56"/>
          <w:lang w:bidi="en-GB"/>
          <w14:ligatures w14:val="none"/>
        </w:rPr>
        <w:br/>
        <w:t>Social Care in Practice</w:t>
      </w:r>
    </w:p>
    <w:p w14:paraId="190D29C3" w14:textId="77777777" w:rsidR="00015AA6" w:rsidRPr="00015AA6" w:rsidRDefault="00015AA6" w:rsidP="00015AA6">
      <w:pPr>
        <w:widowControl w:val="0"/>
        <w:autoSpaceDE w:val="0"/>
        <w:autoSpaceDN w:val="0"/>
        <w:spacing w:after="0" w:line="240" w:lineRule="auto"/>
        <w:jc w:val="center"/>
        <w:rPr>
          <w:rFonts w:ascii="Arial" w:eastAsia="Arial Unicode MS" w:hAnsi="Arial" w:cs="Arial"/>
          <w:kern w:val="0"/>
          <w:sz w:val="56"/>
          <w:szCs w:val="56"/>
          <w:lang w:bidi="en-GB"/>
          <w14:ligatures w14:val="none"/>
        </w:rPr>
      </w:pPr>
      <w:r w:rsidRPr="00015AA6">
        <w:rPr>
          <w:rFonts w:ascii="Arial" w:eastAsia="Calibri Light" w:hAnsi="Arial" w:cs="Arial"/>
          <w:kern w:val="0"/>
          <w:sz w:val="70"/>
          <w:szCs w:val="22"/>
          <w:lang w:bidi="en-GB"/>
          <w14:ligatures w14:val="none"/>
        </w:rPr>
        <w:br/>
      </w:r>
    </w:p>
    <w:p w14:paraId="2907E147" w14:textId="77777777" w:rsidR="00015AA6" w:rsidRPr="00015AA6" w:rsidRDefault="00015AA6" w:rsidP="00015AA6">
      <w:pPr>
        <w:widowControl w:val="0"/>
        <w:autoSpaceDE w:val="0"/>
        <w:autoSpaceDN w:val="0"/>
        <w:spacing w:after="0" w:line="240" w:lineRule="auto"/>
        <w:rPr>
          <w:rFonts w:ascii="Arial" w:eastAsia="Calibri Light" w:hAnsi="Arial" w:cs="Arial"/>
          <w:b/>
          <w:bCs/>
          <w:kern w:val="0"/>
          <w:sz w:val="56"/>
          <w:szCs w:val="56"/>
          <w:lang w:bidi="en-GB"/>
          <w14:ligatures w14:val="none"/>
        </w:rPr>
      </w:pPr>
      <w:bookmarkStart w:id="0" w:name="_Hlk131690384"/>
    </w:p>
    <w:p w14:paraId="2E5A268D" w14:textId="77777777" w:rsidR="00015AA6" w:rsidRPr="00015AA6" w:rsidRDefault="00015AA6" w:rsidP="00015AA6">
      <w:pPr>
        <w:widowControl w:val="0"/>
        <w:autoSpaceDE w:val="0"/>
        <w:autoSpaceDN w:val="0"/>
        <w:spacing w:after="0" w:line="240" w:lineRule="auto"/>
        <w:rPr>
          <w:rFonts w:ascii="Arial" w:eastAsia="Calibri Light" w:hAnsi="Arial" w:cs="Arial"/>
          <w:b/>
          <w:bCs/>
          <w:kern w:val="0"/>
          <w:sz w:val="56"/>
          <w:szCs w:val="56"/>
          <w:lang w:bidi="en-GB"/>
          <w14:ligatures w14:val="none"/>
        </w:rPr>
      </w:pPr>
    </w:p>
    <w:p w14:paraId="5385CD2F" w14:textId="77777777" w:rsidR="00015AA6" w:rsidRPr="00015AA6" w:rsidRDefault="00015AA6" w:rsidP="00015AA6">
      <w:pPr>
        <w:widowControl w:val="0"/>
        <w:autoSpaceDE w:val="0"/>
        <w:autoSpaceDN w:val="0"/>
        <w:spacing w:after="0" w:line="240" w:lineRule="auto"/>
        <w:rPr>
          <w:rFonts w:ascii="Arial" w:eastAsia="Calibri Light" w:hAnsi="Arial" w:cs="Arial"/>
          <w:b/>
          <w:bCs/>
          <w:kern w:val="0"/>
          <w:sz w:val="56"/>
          <w:szCs w:val="56"/>
          <w:lang w:bidi="en-GB"/>
          <w14:ligatures w14:val="none"/>
        </w:rPr>
      </w:pPr>
    </w:p>
    <w:bookmarkEnd w:id="0"/>
    <w:p w14:paraId="2A73E411" w14:textId="77777777" w:rsidR="00015AA6" w:rsidRPr="00015AA6" w:rsidRDefault="00015AA6" w:rsidP="00015AA6">
      <w:pPr>
        <w:spacing w:after="0" w:line="240" w:lineRule="auto"/>
        <w:rPr>
          <w:rFonts w:ascii="Arial" w:eastAsia="Calibri Light" w:hAnsi="Arial" w:cs="Arial"/>
          <w:kern w:val="0"/>
          <w:sz w:val="20"/>
          <w:szCs w:val="22"/>
          <w:lang w:bidi="en-GB"/>
          <w14:ligatures w14:val="none"/>
        </w:rPr>
        <w:sectPr w:rsidR="00015AA6" w:rsidRPr="00015AA6" w:rsidSect="00015AA6">
          <w:pgSz w:w="12240" w:h="15840"/>
          <w:pgMar w:top="520" w:right="840" w:bottom="1240" w:left="500" w:header="720" w:footer="1053" w:gutter="0"/>
          <w:pgNumType w:start="1"/>
          <w:cols w:space="720"/>
        </w:sectPr>
      </w:pPr>
    </w:p>
    <w:p w14:paraId="2E05F34E" w14:textId="08C17829" w:rsidR="00015AA6" w:rsidRPr="00BA6532" w:rsidRDefault="003B78D5" w:rsidP="00E5573C">
      <w:pPr>
        <w:widowControl w:val="0"/>
        <w:autoSpaceDE w:val="0"/>
        <w:autoSpaceDN w:val="0"/>
        <w:spacing w:after="0" w:line="240" w:lineRule="auto"/>
        <w:rPr>
          <w:rFonts w:ascii="Arial" w:eastAsia="Arial Unicode MS" w:hAnsi="Arial" w:cs="Arial"/>
          <w:b/>
          <w:kern w:val="0"/>
          <w:sz w:val="36"/>
          <w:szCs w:val="36"/>
          <w:lang w:bidi="en-GB"/>
          <w14:ligatures w14:val="none"/>
        </w:rPr>
      </w:pPr>
      <w:r w:rsidRPr="004C6FDF">
        <w:rPr>
          <w:rFonts w:ascii="Arial" w:eastAsia="Arial Unicode MS" w:hAnsi="Arial" w:cs="Arial"/>
          <w:b/>
          <w:color w:val="215E99" w:themeColor="text2" w:themeTint="BF"/>
          <w:kern w:val="0"/>
          <w:sz w:val="36"/>
          <w:szCs w:val="36"/>
          <w:lang w:bidi="en-GB"/>
          <w14:ligatures w14:val="none"/>
        </w:rPr>
        <w:lastRenderedPageBreak/>
        <w:t xml:space="preserve">Title: </w:t>
      </w:r>
      <w:r w:rsidR="007B6C66" w:rsidRPr="007B6C66">
        <w:rPr>
          <w:rFonts w:ascii="Arial" w:eastAsia="Arial Unicode MS" w:hAnsi="Arial" w:cs="Arial"/>
          <w:b/>
          <w:bCs/>
          <w:kern w:val="0"/>
          <w:sz w:val="36"/>
          <w:szCs w:val="36"/>
          <w:lang w:bidi="en-GB"/>
          <w14:ligatures w14:val="none"/>
        </w:rPr>
        <w:t>Exploring the Lived Experiences of Adults with Type 2 Diabetes (T2D) Using Tirzepatide (Mounjaro) in the UK: A Qualitative Systematic Review of Facilitators, Barriers, and Associated Factors.</w:t>
      </w:r>
    </w:p>
    <w:p w14:paraId="7AE45833" w14:textId="01D25B1A" w:rsidR="006873F0" w:rsidRPr="00015AA6" w:rsidRDefault="00541C81" w:rsidP="00015AA6">
      <w:pPr>
        <w:widowControl w:val="0"/>
        <w:autoSpaceDE w:val="0"/>
        <w:autoSpaceDN w:val="0"/>
        <w:spacing w:after="0" w:line="240" w:lineRule="auto"/>
        <w:jc w:val="center"/>
        <w:rPr>
          <w:rFonts w:ascii="Times New Roman" w:eastAsia="Times New Roman" w:hAnsi="Times New Roman" w:cs="Times New Roman"/>
          <w:kern w:val="0"/>
          <w:sz w:val="20"/>
          <w:szCs w:val="20"/>
          <w:lang w:bidi="en-GB"/>
          <w14:ligatures w14:val="none"/>
        </w:rPr>
      </w:pPr>
      <w:r>
        <w:rPr>
          <w:noProof/>
        </w:rPr>
        <mc:AlternateContent>
          <mc:Choice Requires="wps">
            <w:drawing>
              <wp:inline distT="0" distB="0" distL="0" distR="0" wp14:anchorId="7DFDB003" wp14:editId="08564C72">
                <wp:extent cx="306705" cy="306705"/>
                <wp:effectExtent l="0" t="0" r="0" b="0"/>
                <wp:docPr id="1149088688" name="AutoShape 4" descr=", AI generat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2C79C7" id="AutoShape 4" o:spid="_x0000_s1026" alt=", AI generated"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r>
        <w:rPr>
          <w:noProof/>
        </w:rPr>
        <mc:AlternateContent>
          <mc:Choice Requires="wps">
            <w:drawing>
              <wp:inline distT="0" distB="0" distL="0" distR="0" wp14:anchorId="74211019" wp14:editId="3373730A">
                <wp:extent cx="306705" cy="306705"/>
                <wp:effectExtent l="0" t="0" r="0" b="0"/>
                <wp:docPr id="2116524769" name="AutoShape 2" descr=", AI generat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E31039" id="AutoShape 2" o:spid="_x0000_s1026" alt=", AI generated"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" filled="f" stroked="f">
                <o:lock v:ext="edit" aspectratio="t"/>
                <w10:anchorlock/>
              </v:rect>
            </w:pict>
          </mc:Fallback>
        </mc:AlternateContent>
      </w:r>
    </w:p>
    <w:p w14:paraId="42434079" w14:textId="4A4CB56A" w:rsidR="00957DD5" w:rsidRPr="00015AA6" w:rsidRDefault="00C57684" w:rsidP="003B78D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56"/>
          <w:szCs w:val="56"/>
          <w:lang w:bidi="en-GB"/>
          <w14:ligatures w14:val="none"/>
        </w:rPr>
      </w:pPr>
      <w:r>
        <w:rPr>
          <w:rFonts w:ascii="Arial" w:eastAsia="Arial Unicode MS" w:hAnsi="Arial" w:cs="Arial"/>
          <w:b/>
          <w:noProof/>
          <w:kern w:val="0"/>
          <w:sz w:val="56"/>
          <w:szCs w:val="56"/>
          <w:lang w:bidi="en-GB"/>
          <w14:ligatures w14:val="none"/>
        </w:rPr>
        <w:drawing>
          <wp:inline distT="0" distB="0" distL="0" distR="0" wp14:anchorId="2E3F251B" wp14:editId="7AF9B73D">
            <wp:extent cx="6026785" cy="5532698"/>
            <wp:effectExtent l="0" t="0" r="0" b="0"/>
            <wp:docPr id="17801725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14561" cy="5613278"/>
                    </a:xfrm>
                    <a:prstGeom prst="rect">
                      <a:avLst/>
                    </a:prstGeom>
                    <a:noFill/>
                  </pic:spPr>
                </pic:pic>
              </a:graphicData>
            </a:graphic>
          </wp:inline>
        </w:drawing>
      </w:r>
    </w:p>
    <w:p w14:paraId="19BBEFA3" w14:textId="77777777" w:rsidR="00015AA6" w:rsidRPr="00015AA6" w:rsidRDefault="00015AA6" w:rsidP="00015A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jc w:val="center"/>
        <w:rPr>
          <w:rFonts w:ascii="Arial" w:eastAsia="Arial Unicode MS" w:hAnsi="Arial" w:cs="Arial"/>
          <w:b/>
          <w:kern w:val="0"/>
          <w:sz w:val="36"/>
          <w:szCs w:val="36"/>
          <w:lang w:bidi="en-GB"/>
          <w14:ligatures w14:val="none"/>
        </w:rPr>
      </w:pPr>
    </w:p>
    <w:p w14:paraId="74DC6E00" w14:textId="69350932" w:rsidR="00015AA6" w:rsidRPr="003B78D5" w:rsidRDefault="00F221E7" w:rsidP="00E557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36"/>
          <w:szCs w:val="36"/>
          <w:lang w:bidi="en-GB"/>
          <w14:ligatures w14:val="none"/>
        </w:rPr>
      </w:pPr>
      <w:r w:rsidRPr="004C6FDF">
        <w:rPr>
          <w:rFonts w:ascii="Arial" w:eastAsia="Arial Unicode MS" w:hAnsi="Arial" w:cs="Arial"/>
          <w:b/>
          <w:color w:val="215E99" w:themeColor="text2" w:themeTint="BF"/>
          <w:kern w:val="0"/>
          <w:sz w:val="36"/>
          <w:szCs w:val="36"/>
          <w:lang w:bidi="en-GB"/>
          <w14:ligatures w14:val="none"/>
        </w:rPr>
        <w:t xml:space="preserve">Name: </w:t>
      </w:r>
      <w:r w:rsidR="0058570F" w:rsidRPr="003B78D5">
        <w:rPr>
          <w:rFonts w:ascii="Arial" w:eastAsia="Arial Unicode MS" w:hAnsi="Arial" w:cs="Arial"/>
          <w:b/>
          <w:kern w:val="0"/>
          <w:sz w:val="36"/>
          <w:szCs w:val="36"/>
          <w:lang w:bidi="en-GB"/>
          <w14:ligatures w14:val="none"/>
        </w:rPr>
        <w:t>Nomathemba Amanda Primrose Socikwa</w:t>
      </w:r>
    </w:p>
    <w:p w14:paraId="1E7B2123" w14:textId="52E34CC6" w:rsidR="00212A4C" w:rsidRPr="00015AA6" w:rsidRDefault="00F221E7" w:rsidP="00E5573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kern w:val="0"/>
          <w:sz w:val="36"/>
          <w:szCs w:val="36"/>
          <w:lang w:bidi="en-GB"/>
          <w14:ligatures w14:val="none"/>
        </w:rPr>
      </w:pPr>
      <w:r w:rsidRPr="004C6FDF">
        <w:rPr>
          <w:rFonts w:ascii="Arial" w:eastAsia="Arial Unicode MS" w:hAnsi="Arial" w:cs="Arial"/>
          <w:b/>
          <w:color w:val="215E99" w:themeColor="text2" w:themeTint="BF"/>
          <w:kern w:val="0"/>
          <w:sz w:val="36"/>
          <w:szCs w:val="36"/>
          <w:lang w:bidi="en-GB"/>
          <w14:ligatures w14:val="none"/>
        </w:rPr>
        <w:t>Student No</w:t>
      </w:r>
      <w:r w:rsidR="00A8289F" w:rsidRPr="004C6FDF">
        <w:rPr>
          <w:rFonts w:ascii="Arial" w:eastAsia="Arial Unicode MS" w:hAnsi="Arial" w:cs="Arial"/>
          <w:b/>
          <w:color w:val="215E99" w:themeColor="text2" w:themeTint="BF"/>
          <w:kern w:val="0"/>
          <w:sz w:val="36"/>
          <w:szCs w:val="36"/>
          <w:lang w:bidi="en-GB"/>
          <w14:ligatures w14:val="none"/>
        </w:rPr>
        <w:t xml:space="preserve">: </w:t>
      </w:r>
      <w:r w:rsidR="00212A4C" w:rsidRPr="003B78D5">
        <w:rPr>
          <w:rFonts w:ascii="Arial" w:eastAsia="Arial Unicode MS" w:hAnsi="Arial" w:cs="Arial"/>
          <w:b/>
          <w:kern w:val="0"/>
          <w:sz w:val="36"/>
          <w:szCs w:val="36"/>
          <w:lang w:bidi="en-GB"/>
          <w14:ligatures w14:val="none"/>
        </w:rPr>
        <w:t>2128</w:t>
      </w:r>
      <w:r w:rsidR="00C37C7B" w:rsidRPr="003B78D5">
        <w:rPr>
          <w:rFonts w:ascii="Arial" w:eastAsia="Arial Unicode MS" w:hAnsi="Arial" w:cs="Arial"/>
          <w:b/>
          <w:kern w:val="0"/>
          <w:sz w:val="36"/>
          <w:szCs w:val="36"/>
          <w:lang w:bidi="en-GB"/>
          <w14:ligatures w14:val="none"/>
        </w:rPr>
        <w:t>581</w:t>
      </w:r>
    </w:p>
    <w:p w14:paraId="33237854" w14:textId="5072AF02" w:rsidR="00015AA6" w:rsidRDefault="00A8289F" w:rsidP="004C6FD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kern w:val="0"/>
          <w:sz w:val="36"/>
          <w:szCs w:val="36"/>
          <w:lang w:bidi="en-GB"/>
          <w14:ligatures w14:val="none"/>
        </w:rPr>
      </w:pPr>
      <w:r w:rsidRPr="004C6FDF">
        <w:rPr>
          <w:rFonts w:ascii="Arial" w:eastAsia="Arial Unicode MS" w:hAnsi="Arial" w:cs="Arial"/>
          <w:b/>
          <w:bCs/>
          <w:color w:val="215E99" w:themeColor="text2" w:themeTint="BF"/>
          <w:kern w:val="0"/>
          <w:sz w:val="36"/>
          <w:szCs w:val="36"/>
          <w:lang w:bidi="en-GB"/>
          <w14:ligatures w14:val="none"/>
        </w:rPr>
        <w:t>Supervisor</w:t>
      </w:r>
      <w:r w:rsidR="0073574B" w:rsidRPr="004C6FDF">
        <w:rPr>
          <w:rFonts w:ascii="Arial" w:eastAsia="Arial Unicode MS" w:hAnsi="Arial" w:cs="Arial"/>
          <w:b/>
          <w:bCs/>
          <w:color w:val="215E99" w:themeColor="text2" w:themeTint="BF"/>
          <w:kern w:val="0"/>
          <w:sz w:val="36"/>
          <w:szCs w:val="36"/>
          <w:lang w:bidi="en-GB"/>
          <w14:ligatures w14:val="none"/>
        </w:rPr>
        <w:t xml:space="preserve">: </w:t>
      </w:r>
      <w:r w:rsidR="000158E6" w:rsidRPr="003B78D5">
        <w:rPr>
          <w:rFonts w:ascii="Arial" w:eastAsia="Arial Unicode MS" w:hAnsi="Arial" w:cs="Arial"/>
          <w:b/>
          <w:bCs/>
          <w:kern w:val="0"/>
          <w:sz w:val="36"/>
          <w:szCs w:val="36"/>
          <w:lang w:bidi="en-GB"/>
          <w14:ligatures w14:val="none"/>
        </w:rPr>
        <w:t>Fahad K</w:t>
      </w:r>
      <w:r w:rsidR="00A37AD2" w:rsidRPr="003B78D5">
        <w:rPr>
          <w:rFonts w:ascii="Arial" w:eastAsia="Arial Unicode MS" w:hAnsi="Arial" w:cs="Arial"/>
          <w:b/>
          <w:bCs/>
          <w:kern w:val="0"/>
          <w:sz w:val="36"/>
          <w:szCs w:val="36"/>
          <w:lang w:bidi="en-GB"/>
          <w14:ligatures w14:val="none"/>
        </w:rPr>
        <w:t>han</w:t>
      </w:r>
    </w:p>
    <w:p w14:paraId="47395374" w14:textId="77777777" w:rsidR="00CC6006" w:rsidRPr="00015AA6" w:rsidRDefault="00CC6006" w:rsidP="004C6FD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Calibri Light" w:eastAsia="Arial Unicode MS" w:hAnsi="Calibri Light" w:cs="Arial Unicode MS"/>
          <w:kern w:val="0"/>
          <w:sz w:val="36"/>
          <w:szCs w:val="36"/>
          <w:lang w:bidi="en-GB"/>
          <w14:ligatures w14:val="none"/>
        </w:rPr>
      </w:pPr>
    </w:p>
    <w:p w14:paraId="72CC008F" w14:textId="77777777" w:rsidR="00015AA6" w:rsidRPr="00015AA6" w:rsidRDefault="00015AA6" w:rsidP="004B6E3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kern w:val="0"/>
          <w:lang w:bidi="en-GB"/>
          <w14:ligatures w14:val="none"/>
        </w:rPr>
      </w:pPr>
      <w:r w:rsidRPr="00015AA6">
        <w:rPr>
          <w:rFonts w:ascii="Arial" w:eastAsia="Arial Unicode MS" w:hAnsi="Arial" w:cs="Arial"/>
          <w:kern w:val="0"/>
          <w:lang w:bidi="en-GB"/>
          <w14:ligatures w14:val="none"/>
        </w:rPr>
        <w:t>Dissertation submitted as part of the requirements for the award of MSc Public Health and Social Care in Practice</w:t>
      </w:r>
    </w:p>
    <w:p w14:paraId="173E6A2F" w14:textId="77777777" w:rsidR="00015AA6" w:rsidRPr="00015AA6" w:rsidRDefault="00015AA6" w:rsidP="00015AA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jc w:val="center"/>
        <w:rPr>
          <w:rFonts w:ascii="Arial" w:eastAsia="Arial Unicode MS" w:hAnsi="Arial" w:cs="Arial"/>
          <w:kern w:val="0"/>
          <w:lang w:bidi="en-GB"/>
          <w14:ligatures w14:val="none"/>
        </w:rPr>
      </w:pPr>
    </w:p>
    <w:p w14:paraId="28E3545B" w14:textId="2B3740C4" w:rsidR="0088267C" w:rsidRPr="00153B74" w:rsidRDefault="00015AA6" w:rsidP="00153B74">
      <w:pPr>
        <w:autoSpaceDN w:val="0"/>
        <w:spacing w:line="256" w:lineRule="auto"/>
        <w:jc w:val="center"/>
        <w:rPr>
          <w:rFonts w:ascii="Arial" w:eastAsia="Calibri" w:hAnsi="Arial" w:cs="Arial"/>
          <w:kern w:val="0"/>
          <w:lang w:eastAsia="en-US"/>
          <w14:ligatures w14:val="none"/>
        </w:rPr>
      </w:pPr>
      <w:r w:rsidRPr="00015AA6">
        <w:rPr>
          <w:rFonts w:ascii="Arial" w:eastAsia="Calibri" w:hAnsi="Arial" w:cs="Arial"/>
          <w:kern w:val="0"/>
          <w:lang w:eastAsia="en-US"/>
          <w14:ligatures w14:val="none"/>
        </w:rPr>
        <w:lastRenderedPageBreak/>
        <w:t>M</w:t>
      </w:r>
      <w:r w:rsidR="007B16D6">
        <w:rPr>
          <w:rFonts w:ascii="Arial" w:eastAsia="Calibri" w:hAnsi="Arial" w:cs="Arial"/>
          <w:kern w:val="0"/>
          <w:lang w:eastAsia="en-US"/>
          <w14:ligatures w14:val="none"/>
        </w:rPr>
        <w:t>ay</w:t>
      </w:r>
      <w:r w:rsidRPr="00015AA6">
        <w:rPr>
          <w:rFonts w:ascii="Arial" w:eastAsia="Calibri" w:hAnsi="Arial" w:cs="Arial"/>
          <w:kern w:val="0"/>
          <w:lang w:eastAsia="en-US"/>
          <w14:ligatures w14:val="none"/>
        </w:rPr>
        <w:t>/</w:t>
      </w:r>
      <w:r w:rsidR="007B16D6">
        <w:rPr>
          <w:rFonts w:ascii="Arial" w:eastAsia="Calibri" w:hAnsi="Arial" w:cs="Arial"/>
          <w:kern w:val="0"/>
          <w:lang w:eastAsia="en-US"/>
          <w14:ligatures w14:val="none"/>
        </w:rPr>
        <w:t>2026</w:t>
      </w:r>
    </w:p>
    <w:p w14:paraId="4E6190EF" w14:textId="77777777" w:rsidR="004376C3" w:rsidRDefault="004376C3" w:rsidP="005555ED">
      <w:pPr>
        <w:widowControl w:val="0"/>
        <w:autoSpaceDE w:val="0"/>
        <w:autoSpaceDN w:val="0"/>
        <w:spacing w:after="0" w:line="240" w:lineRule="auto"/>
        <w:rPr>
          <w:rFonts w:ascii="Arial" w:eastAsia="Times New Roman" w:hAnsi="Arial" w:cs="Arial"/>
          <w:b/>
          <w:kern w:val="0"/>
          <w:sz w:val="28"/>
          <w:szCs w:val="28"/>
          <w:lang w:bidi="en-GB"/>
          <w14:ligatures w14:val="none"/>
        </w:rPr>
      </w:pPr>
    </w:p>
    <w:p w14:paraId="27F97C67" w14:textId="0E8639BC" w:rsidR="007E3322" w:rsidRPr="007E3322" w:rsidRDefault="007E3322" w:rsidP="007E3322">
      <w:pPr>
        <w:widowControl w:val="0"/>
        <w:autoSpaceDE w:val="0"/>
        <w:autoSpaceDN w:val="0"/>
        <w:spacing w:after="0" w:line="240" w:lineRule="auto"/>
        <w:jc w:val="center"/>
        <w:rPr>
          <w:rFonts w:ascii="Arial" w:eastAsia="Times New Roman" w:hAnsi="Arial" w:cs="Arial"/>
          <w:b/>
          <w:kern w:val="0"/>
          <w:sz w:val="28"/>
          <w:szCs w:val="28"/>
          <w:lang w:bidi="en-GB"/>
          <w14:ligatures w14:val="none"/>
        </w:rPr>
      </w:pPr>
      <w:r w:rsidRPr="007E3322">
        <w:rPr>
          <w:rFonts w:ascii="Arial" w:eastAsia="Times New Roman" w:hAnsi="Arial" w:cs="Arial"/>
          <w:b/>
          <w:kern w:val="0"/>
          <w:sz w:val="28"/>
          <w:szCs w:val="28"/>
          <w:lang w:bidi="en-GB"/>
          <w14:ligatures w14:val="none"/>
        </w:rPr>
        <w:t>DECLARATION</w:t>
      </w:r>
    </w:p>
    <w:p w14:paraId="292638C9" w14:textId="77777777" w:rsidR="007E3322" w:rsidRPr="007E3322" w:rsidRDefault="007E3322" w:rsidP="007E3322">
      <w:pPr>
        <w:widowControl w:val="0"/>
        <w:autoSpaceDE w:val="0"/>
        <w:autoSpaceDN w:val="0"/>
        <w:spacing w:after="0" w:line="240" w:lineRule="auto"/>
        <w:rPr>
          <w:rFonts w:ascii="Arial" w:eastAsia="Times New Roman" w:hAnsi="Arial" w:cs="Arial"/>
          <w:kern w:val="0"/>
          <w:sz w:val="22"/>
          <w:szCs w:val="22"/>
          <w:lang w:bidi="en-GB"/>
          <w14:ligatures w14:val="none"/>
        </w:rPr>
      </w:pPr>
    </w:p>
    <w:p w14:paraId="3A5D47CB" w14:textId="68AA4831"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Cs/>
          <w:kern w:val="0"/>
          <w:lang w:bidi="en-GB"/>
          <w14:ligatures w14:val="none"/>
        </w:rPr>
      </w:pPr>
      <w:r w:rsidRPr="007E3322">
        <w:rPr>
          <w:rFonts w:ascii="Arial" w:eastAsia="Arial Unicode MS" w:hAnsi="Arial" w:cs="Arial"/>
          <w:bCs/>
          <w:kern w:val="0"/>
          <w:lang w:bidi="en-GB"/>
          <w14:ligatures w14:val="none"/>
        </w:rPr>
        <w:t>I, [</w:t>
      </w:r>
      <w:r w:rsidR="00270923" w:rsidRPr="006053E8">
        <w:rPr>
          <w:rFonts w:ascii="Arial" w:eastAsia="Arial Unicode MS" w:hAnsi="Arial" w:cs="Arial"/>
          <w:bCs/>
          <w:kern w:val="0"/>
          <w:lang w:bidi="en-GB"/>
          <w14:ligatures w14:val="none"/>
        </w:rPr>
        <w:t>Nomathemba</w:t>
      </w:r>
      <w:r w:rsidR="0007118D" w:rsidRPr="006053E8">
        <w:rPr>
          <w:rFonts w:ascii="Arial" w:eastAsia="Arial Unicode MS" w:hAnsi="Arial" w:cs="Arial"/>
          <w:bCs/>
          <w:kern w:val="0"/>
          <w:lang w:bidi="en-GB"/>
          <w14:ligatures w14:val="none"/>
        </w:rPr>
        <w:t xml:space="preserve"> Amanda Primrose Socikwa</w:t>
      </w:r>
      <w:r w:rsidRPr="007E3322">
        <w:rPr>
          <w:rFonts w:ascii="Arial" w:eastAsia="Arial Unicode MS" w:hAnsi="Arial" w:cs="Arial"/>
          <w:bCs/>
          <w:kern w:val="0"/>
          <w:lang w:bidi="en-GB"/>
          <w14:ligatures w14:val="none"/>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798093E"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Cs/>
          <w:kern w:val="0"/>
          <w:lang w:bidi="en-GB"/>
          <w14:ligatures w14:val="none"/>
        </w:rPr>
      </w:pPr>
    </w:p>
    <w:p w14:paraId="0EA768D7" w14:textId="69A8C083" w:rsidR="007E3322" w:rsidRPr="007E3322" w:rsidRDefault="009A3268"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Cs/>
          <w:kern w:val="0"/>
          <w:lang w:bidi="en-GB"/>
          <w14:ligatures w14:val="none"/>
        </w:rPr>
      </w:pPr>
      <w:r w:rsidRPr="007E3322">
        <w:rPr>
          <w:rFonts w:ascii="Arial" w:eastAsia="Arial Unicode MS" w:hAnsi="Arial" w:cs="Arial"/>
          <w:bCs/>
          <w:kern w:val="0"/>
          <w:lang w:bidi="en-GB"/>
          <w14:ligatures w14:val="none"/>
        </w:rPr>
        <w:t xml:space="preserve">Signature: </w:t>
      </w:r>
      <w:r>
        <w:rPr>
          <w:rFonts w:ascii="Arial" w:eastAsia="Arial Unicode MS" w:hAnsi="Arial" w:cs="Arial"/>
          <w:bCs/>
          <w:kern w:val="0"/>
          <w:lang w:bidi="en-GB"/>
          <w14:ligatures w14:val="none"/>
        </w:rPr>
        <w:t>N.A.P</w:t>
      </w:r>
      <w:r w:rsidR="00720DE8">
        <w:rPr>
          <w:rFonts w:ascii="Arial" w:eastAsia="Arial Unicode MS" w:hAnsi="Arial" w:cs="Arial"/>
          <w:bCs/>
          <w:kern w:val="0"/>
          <w:lang w:bidi="en-GB"/>
          <w14:ligatures w14:val="none"/>
        </w:rPr>
        <w:t xml:space="preserve"> </w:t>
      </w:r>
      <w:r w:rsidR="00466E14">
        <w:rPr>
          <w:rFonts w:ascii="Arial" w:eastAsia="Arial Unicode MS" w:hAnsi="Arial" w:cs="Arial"/>
          <w:bCs/>
          <w:kern w:val="0"/>
          <w:lang w:bidi="en-GB"/>
          <w14:ligatures w14:val="none"/>
        </w:rPr>
        <w:t>Socikwa</w:t>
      </w:r>
      <w:r w:rsidR="00720DE8">
        <w:rPr>
          <w:rFonts w:ascii="Arial" w:eastAsia="Arial Unicode MS" w:hAnsi="Arial" w:cs="Arial"/>
          <w:bCs/>
          <w:kern w:val="0"/>
          <w:lang w:bidi="en-GB"/>
          <w14:ligatures w14:val="none"/>
        </w:rPr>
        <w:t>.</w:t>
      </w:r>
    </w:p>
    <w:p w14:paraId="476DC75D"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Cs/>
          <w:kern w:val="0"/>
          <w:lang w:bidi="en-GB"/>
          <w14:ligatures w14:val="none"/>
        </w:rPr>
      </w:pPr>
    </w:p>
    <w:p w14:paraId="59860AA8" w14:textId="4440FF76"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Cs/>
          <w:kern w:val="0"/>
          <w:lang w:bidi="en-GB"/>
          <w14:ligatures w14:val="none"/>
        </w:rPr>
      </w:pPr>
      <w:r w:rsidRPr="007E3322">
        <w:rPr>
          <w:rFonts w:ascii="Arial" w:eastAsia="Arial Unicode MS" w:hAnsi="Arial" w:cs="Arial"/>
          <w:bCs/>
          <w:kern w:val="0"/>
          <w:lang w:bidi="en-GB"/>
          <w14:ligatures w14:val="none"/>
        </w:rPr>
        <w:t xml:space="preserve">Date: </w:t>
      </w:r>
      <w:r w:rsidR="00214A36">
        <w:rPr>
          <w:rFonts w:ascii="Arial" w:eastAsia="Arial Unicode MS" w:hAnsi="Arial" w:cs="Arial"/>
          <w:bCs/>
          <w:kern w:val="0"/>
          <w:lang w:bidi="en-GB"/>
          <w14:ligatures w14:val="none"/>
        </w:rPr>
        <w:t>2026</w:t>
      </w:r>
    </w:p>
    <w:p w14:paraId="0653C100"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Cs/>
          <w:kern w:val="0"/>
          <w:lang w:bidi="en-GB"/>
          <w14:ligatures w14:val="none"/>
        </w:rPr>
      </w:pPr>
    </w:p>
    <w:p w14:paraId="561FDB0A"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1F22F7C2"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1B87A140"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3D41CA93"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20053754"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032867C3"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402159F0"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5A842B92"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1B8879A6"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5DAFA793"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5B8B9928" w14:textId="77777777" w:rsidR="007E3322" w:rsidRPr="007E3322" w:rsidRDefault="007E3322" w:rsidP="009322A4">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8"/>
          <w:szCs w:val="28"/>
          <w:lang w:bidi="en-GB"/>
          <w14:ligatures w14:val="none"/>
        </w:rPr>
      </w:pPr>
    </w:p>
    <w:p w14:paraId="157F82F4"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jc w:val="center"/>
        <w:rPr>
          <w:rFonts w:ascii="Arial" w:eastAsia="Arial Unicode MS" w:hAnsi="Arial" w:cs="Arial"/>
          <w:b/>
          <w:kern w:val="0"/>
          <w:sz w:val="28"/>
          <w:szCs w:val="28"/>
          <w:lang w:bidi="en-GB"/>
          <w14:ligatures w14:val="none"/>
        </w:rPr>
      </w:pPr>
      <w:r w:rsidRPr="007E3322">
        <w:rPr>
          <w:rFonts w:ascii="Arial" w:eastAsia="Arial Unicode MS" w:hAnsi="Arial" w:cs="Arial"/>
          <w:b/>
          <w:kern w:val="0"/>
          <w:sz w:val="28"/>
          <w:szCs w:val="28"/>
          <w:lang w:bidi="en-GB"/>
          <w14:ligatures w14:val="none"/>
        </w:rPr>
        <w:t>ACKNOWLEDGEMENTS</w:t>
      </w:r>
    </w:p>
    <w:p w14:paraId="57CF81F0"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i/>
          <w:kern w:val="0"/>
          <w:sz w:val="22"/>
          <w:szCs w:val="22"/>
          <w:lang w:bidi="en-GB"/>
          <w14:ligatures w14:val="none"/>
        </w:rPr>
      </w:pPr>
    </w:p>
    <w:p w14:paraId="4EB8AFF9"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i/>
          <w:kern w:val="0"/>
          <w:sz w:val="22"/>
          <w:szCs w:val="22"/>
          <w:lang w:bidi="en-GB"/>
          <w14:ligatures w14:val="none"/>
        </w:rPr>
      </w:pPr>
    </w:p>
    <w:p w14:paraId="1E43D0DB" w14:textId="77777777" w:rsidR="007E3322" w:rsidRPr="007E3322" w:rsidRDefault="007E3322" w:rsidP="007E3322">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240" w:lineRule="auto"/>
        <w:rPr>
          <w:rFonts w:ascii="Arial" w:eastAsia="Arial Unicode MS" w:hAnsi="Arial" w:cs="Arial"/>
          <w:b/>
          <w:kern w:val="0"/>
          <w:sz w:val="22"/>
          <w:szCs w:val="22"/>
          <w:lang w:bidi="en-GB"/>
          <w14:ligatures w14:val="none"/>
        </w:rPr>
      </w:pPr>
    </w:p>
    <w:p w14:paraId="746FD011" w14:textId="78368965" w:rsidR="00DF2BF6" w:rsidRPr="007E3322" w:rsidRDefault="00B508A5" w:rsidP="007E3322">
      <w:pPr>
        <w:shd w:val="clear" w:color="auto" w:fill="FFFFFF"/>
        <w:spacing w:after="150" w:line="300" w:lineRule="atLeast"/>
        <w:rPr>
          <w:rFonts w:ascii="Arial" w:eastAsia="Times New Roman" w:hAnsi="Arial" w:cs="Arial"/>
          <w:color w:val="333333"/>
          <w:kern w:val="0"/>
          <w14:ligatures w14:val="none"/>
        </w:rPr>
      </w:pPr>
      <w:r>
        <w:rPr>
          <w:rFonts w:ascii="Arial" w:eastAsia="Times New Roman" w:hAnsi="Arial" w:cs="Arial"/>
          <w:color w:val="333333"/>
          <w:kern w:val="0"/>
          <w14:ligatures w14:val="none"/>
        </w:rPr>
        <w:t xml:space="preserve">I would like to thank </w:t>
      </w:r>
      <w:r w:rsidR="00161444">
        <w:rPr>
          <w:rFonts w:ascii="Arial" w:eastAsia="Times New Roman" w:hAnsi="Arial" w:cs="Arial"/>
          <w:color w:val="333333"/>
          <w:kern w:val="0"/>
          <w14:ligatures w14:val="none"/>
        </w:rPr>
        <w:t>my supervisor Fahad Khan</w:t>
      </w:r>
      <w:r w:rsidR="00DF34DE">
        <w:rPr>
          <w:rFonts w:ascii="Arial" w:eastAsia="Times New Roman" w:hAnsi="Arial" w:cs="Arial"/>
          <w:color w:val="333333"/>
          <w:kern w:val="0"/>
          <w14:ligatures w14:val="none"/>
        </w:rPr>
        <w:t>,</w:t>
      </w:r>
      <w:r w:rsidR="00161444">
        <w:rPr>
          <w:rFonts w:ascii="Arial" w:eastAsia="Times New Roman" w:hAnsi="Arial" w:cs="Arial"/>
          <w:color w:val="333333"/>
          <w:kern w:val="0"/>
          <w14:ligatures w14:val="none"/>
        </w:rPr>
        <w:t xml:space="preserve"> my MSc </w:t>
      </w:r>
      <w:r w:rsidR="00DF34DE">
        <w:rPr>
          <w:rFonts w:ascii="Arial" w:eastAsia="Times New Roman" w:hAnsi="Arial" w:cs="Arial"/>
          <w:color w:val="333333"/>
          <w:kern w:val="0"/>
          <w14:ligatures w14:val="none"/>
        </w:rPr>
        <w:t>tutors</w:t>
      </w:r>
      <w:r w:rsidR="003B3E89">
        <w:rPr>
          <w:rFonts w:ascii="Arial" w:eastAsia="Times New Roman" w:hAnsi="Arial" w:cs="Arial"/>
          <w:color w:val="333333"/>
          <w:kern w:val="0"/>
          <w14:ligatures w14:val="none"/>
        </w:rPr>
        <w:t xml:space="preserve"> my family and friends especially my husband Boy</w:t>
      </w:r>
      <w:r w:rsidR="00B3790D">
        <w:rPr>
          <w:rFonts w:ascii="Arial" w:eastAsia="Times New Roman" w:hAnsi="Arial" w:cs="Arial"/>
          <w:color w:val="333333"/>
          <w:kern w:val="0"/>
          <w14:ligatures w14:val="none"/>
        </w:rPr>
        <w:t>d Richard Malcolm</w:t>
      </w:r>
    </w:p>
    <w:p w14:paraId="17674C66" w14:textId="77777777" w:rsidR="009322A4" w:rsidRDefault="009322A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7271B082" w14:textId="77777777" w:rsidR="009322A4" w:rsidRDefault="009322A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5F7F4DD0" w14:textId="77777777" w:rsidR="009322A4" w:rsidRDefault="009322A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707E7ABA" w14:textId="77777777" w:rsidR="009322A4" w:rsidRDefault="009322A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444F2129" w14:textId="77777777" w:rsidR="009322A4" w:rsidRDefault="009322A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7018C344" w14:textId="77777777" w:rsidR="009322A4" w:rsidRDefault="009322A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3399ADE8" w14:textId="77777777" w:rsidR="00153B74" w:rsidRDefault="00153B74" w:rsidP="006D1F3A">
      <w:pPr>
        <w:spacing w:before="100" w:beforeAutospacing="1" w:after="100" w:afterAutospacing="1" w:line="360" w:lineRule="auto"/>
        <w:outlineLvl w:val="2"/>
        <w:rPr>
          <w:rFonts w:ascii="Arial" w:eastAsia="Times New Roman" w:hAnsi="Arial" w:cs="Arial"/>
          <w:b/>
          <w:bCs/>
          <w:color w:val="196B24" w:themeColor="accent3"/>
          <w:kern w:val="0"/>
          <w:lang w:eastAsia="zh-CN"/>
          <w14:ligatures w14:val="none"/>
        </w:rPr>
      </w:pPr>
    </w:p>
    <w:p w14:paraId="22E7EE74" w14:textId="77777777" w:rsidR="00C02C54" w:rsidRPr="00565D9A" w:rsidRDefault="00AB6809" w:rsidP="0039189B">
      <w:pPr>
        <w:pStyle w:val="Heading1"/>
        <w:rPr>
          <w:b/>
          <w:bCs/>
          <w:lang w:eastAsia="zh-CN"/>
        </w:rPr>
      </w:pPr>
      <w:bookmarkStart w:id="1" w:name="_Toc230113823"/>
      <w:r w:rsidRPr="00565D9A">
        <w:rPr>
          <w:b/>
          <w:bCs/>
          <w:lang w:eastAsia="zh-CN"/>
        </w:rPr>
        <w:lastRenderedPageBreak/>
        <w:t>ABSTRACT</w:t>
      </w:r>
      <w:bookmarkEnd w:id="1"/>
    </w:p>
    <w:p w14:paraId="1D8F1B5E" w14:textId="72925A65" w:rsidR="003B591A" w:rsidRPr="0039189B" w:rsidRDefault="00AB6809" w:rsidP="00AF56CC">
      <w:pPr>
        <w:pStyle w:val="Heading3"/>
        <w:spacing w:line="360" w:lineRule="auto"/>
        <w:jc w:val="both"/>
        <w:rPr>
          <w:rFonts w:ascii="Arial" w:eastAsia="Times New Roman" w:hAnsi="Arial" w:cs="Arial"/>
          <w:b/>
          <w:bCs/>
          <w:kern w:val="0"/>
          <w:sz w:val="22"/>
          <w:szCs w:val="22"/>
          <w:lang w:eastAsia="zh-CN"/>
          <w14:ligatures w14:val="none"/>
        </w:rPr>
      </w:pPr>
      <w:bookmarkStart w:id="2" w:name="_Toc230113824"/>
      <w:r w:rsidRPr="0039189B">
        <w:rPr>
          <w:rStyle w:val="Heading3Char"/>
          <w:rFonts w:ascii="Arial" w:hAnsi="Arial" w:cs="Arial"/>
          <w:b/>
          <w:bCs/>
          <w:sz w:val="22"/>
          <w:szCs w:val="22"/>
        </w:rPr>
        <w:t>Background and Aim:</w:t>
      </w:r>
      <w:bookmarkEnd w:id="2"/>
      <w:r w:rsidRPr="0039189B">
        <w:rPr>
          <w:rFonts w:ascii="Arial" w:eastAsia="Times New Roman" w:hAnsi="Arial" w:cs="Arial"/>
          <w:b/>
          <w:bCs/>
          <w:kern w:val="0"/>
          <w:sz w:val="22"/>
          <w:szCs w:val="22"/>
          <w:lang w:eastAsia="zh-CN"/>
          <w14:ligatures w14:val="none"/>
        </w:rPr>
        <w:t xml:space="preserve"> </w:t>
      </w:r>
      <w:r w:rsidR="003A6273" w:rsidRPr="0039189B">
        <w:rPr>
          <w:rFonts w:ascii="Arial" w:eastAsia="Times New Roman" w:hAnsi="Arial" w:cs="Arial"/>
          <w:b/>
          <w:bCs/>
          <w:kern w:val="0"/>
          <w:sz w:val="22"/>
          <w:szCs w:val="22"/>
          <w:lang w:eastAsia="zh-CN"/>
          <w14:ligatures w14:val="none"/>
        </w:rPr>
        <w:t xml:space="preserve">  </w:t>
      </w:r>
    </w:p>
    <w:p w14:paraId="10D90C42" w14:textId="2A46B623" w:rsidR="00BB1D5B" w:rsidRPr="00724CC8" w:rsidRDefault="00AB6809" w:rsidP="00AF56CC">
      <w:pPr>
        <w:spacing w:line="360" w:lineRule="auto"/>
        <w:jc w:val="both"/>
        <w:rPr>
          <w:rFonts w:ascii="Arial" w:eastAsia="Times New Roman" w:hAnsi="Arial" w:cs="Arial"/>
          <w:kern w:val="0"/>
          <w:sz w:val="22"/>
          <w:szCs w:val="22"/>
          <w:lang w:eastAsia="zh-CN"/>
          <w14:ligatures w14:val="none"/>
        </w:rPr>
      </w:pPr>
      <w:r w:rsidRPr="00724CC8">
        <w:rPr>
          <w:rFonts w:ascii="Arial" w:hAnsi="Arial" w:cs="Arial"/>
          <w:sz w:val="22"/>
          <w:szCs w:val="22"/>
        </w:rPr>
        <w:t>Type 2 Diabetes Mellitus (T2DM) remains one of the most pressing public health challenges in the United Kingdom, demanding innovative therapeutic strategies that move beyond traditional glycaemic control. Tirzepatide, a first</w:t>
      </w:r>
      <w:r w:rsidR="00980ADE" w:rsidRPr="00724CC8">
        <w:rPr>
          <w:rFonts w:ascii="Arial" w:hAnsi="Arial" w:cs="Arial"/>
          <w:sz w:val="22"/>
          <w:szCs w:val="22"/>
        </w:rPr>
        <w:t xml:space="preserve"> </w:t>
      </w:r>
      <w:r w:rsidRPr="00724CC8">
        <w:rPr>
          <w:rFonts w:ascii="Arial" w:hAnsi="Arial" w:cs="Arial"/>
          <w:sz w:val="22"/>
          <w:szCs w:val="22"/>
        </w:rPr>
        <w:t>in</w:t>
      </w:r>
      <w:r w:rsidR="00980ADE" w:rsidRPr="00724CC8">
        <w:rPr>
          <w:rFonts w:ascii="Arial" w:hAnsi="Arial" w:cs="Arial"/>
          <w:sz w:val="22"/>
          <w:szCs w:val="22"/>
        </w:rPr>
        <w:t xml:space="preserve"> </w:t>
      </w:r>
      <w:r w:rsidRPr="00724CC8">
        <w:rPr>
          <w:rFonts w:ascii="Arial" w:hAnsi="Arial" w:cs="Arial"/>
          <w:sz w:val="22"/>
          <w:szCs w:val="22"/>
        </w:rPr>
        <w:t xml:space="preserve">class dual GIP/GLP-1 receptor agonist, has demonstrated clinical superiority in trials; however, its transition into the </w:t>
      </w:r>
      <w:r w:rsidR="00993CC0" w:rsidRPr="00724CC8">
        <w:rPr>
          <w:rFonts w:ascii="Arial" w:hAnsi="Arial" w:cs="Arial"/>
          <w:sz w:val="22"/>
          <w:szCs w:val="22"/>
        </w:rPr>
        <w:t>real-world</w:t>
      </w:r>
      <w:r w:rsidRPr="00724CC8">
        <w:rPr>
          <w:rFonts w:ascii="Arial" w:hAnsi="Arial" w:cs="Arial"/>
          <w:sz w:val="22"/>
          <w:szCs w:val="22"/>
        </w:rPr>
        <w:t xml:space="preserve"> UK landscape is mediated by a complex interplay of systemic and individual factors. This dissertation identifies and critically analyses the facilitators and barriers experienced by adults in the UK using Tirzepatide for T2DM management.</w:t>
      </w:r>
    </w:p>
    <w:p w14:paraId="2BAC51BE" w14:textId="729F2EA0" w:rsidR="004F6C71" w:rsidRPr="00724CC8" w:rsidRDefault="00AB6809" w:rsidP="00AF56CC">
      <w:pPr>
        <w:spacing w:before="100" w:beforeAutospacing="1" w:after="100" w:afterAutospacing="1" w:line="360" w:lineRule="auto"/>
        <w:jc w:val="both"/>
        <w:rPr>
          <w:rFonts w:ascii="Arial" w:eastAsia="Times New Roman" w:hAnsi="Arial" w:cs="Arial"/>
          <w:kern w:val="0"/>
          <w:sz w:val="22"/>
          <w:szCs w:val="22"/>
          <w:lang w:eastAsia="zh-CN"/>
          <w14:ligatures w14:val="none"/>
        </w:rPr>
      </w:pPr>
      <w:bookmarkStart w:id="3" w:name="_Toc230113825"/>
      <w:r w:rsidRPr="0039189B">
        <w:rPr>
          <w:rStyle w:val="Heading3Char"/>
          <w:rFonts w:ascii="Arial" w:hAnsi="Arial" w:cs="Arial"/>
          <w:b/>
          <w:bCs/>
          <w:sz w:val="22"/>
          <w:szCs w:val="22"/>
        </w:rPr>
        <w:t>Methods:</w:t>
      </w:r>
      <w:bookmarkEnd w:id="3"/>
      <w:r w:rsidRPr="00724CC8">
        <w:rPr>
          <w:rFonts w:ascii="Arial" w:eastAsia="Times New Roman" w:hAnsi="Arial" w:cs="Arial"/>
          <w:kern w:val="0"/>
          <w:sz w:val="22"/>
          <w:szCs w:val="22"/>
          <w:lang w:eastAsia="zh-CN"/>
          <w14:ligatures w14:val="none"/>
        </w:rPr>
        <w:t xml:space="preserve"> Utilizing a Systematic Literature Review (SLR) methodology, this study synthesised evidence from ten core articles (n=10) published between 2023 and 2026. The search strategy was guided by the PEO (Population, Exposure, Outcome) framework across four major databases: PubMed, CINAHL, EMBASE, and PsycINFO. Methodological rigour was ensured through the PRISMA 2020 protocol and the CASP Qualitative Checklist. Data were analysed using Braun and Clarke’s reflexive thematic synthesis to interpret the lived experiences of patients and the observations of healthcare providers within the NHS and private sectors.</w:t>
      </w:r>
    </w:p>
    <w:p w14:paraId="1AE2945C" w14:textId="6A91FA9C" w:rsidR="0062095D" w:rsidRPr="00724CC8" w:rsidRDefault="00AB6809" w:rsidP="00AF56CC">
      <w:pPr>
        <w:spacing w:before="100" w:beforeAutospacing="1" w:after="100" w:afterAutospacing="1" w:line="360" w:lineRule="auto"/>
        <w:jc w:val="both"/>
        <w:rPr>
          <w:rFonts w:ascii="Arial" w:eastAsia="Times New Roman" w:hAnsi="Arial" w:cs="Arial"/>
          <w:kern w:val="0"/>
          <w:sz w:val="22"/>
          <w:szCs w:val="22"/>
          <w:lang w:eastAsia="zh-CN"/>
          <w14:ligatures w14:val="none"/>
        </w:rPr>
      </w:pPr>
      <w:bookmarkStart w:id="4" w:name="_Toc230113826"/>
      <w:r w:rsidRPr="0039189B">
        <w:rPr>
          <w:rStyle w:val="Heading3Char"/>
          <w:rFonts w:ascii="Arial" w:hAnsi="Arial" w:cs="Arial"/>
          <w:b/>
          <w:bCs/>
          <w:sz w:val="22"/>
          <w:szCs w:val="22"/>
        </w:rPr>
        <w:t>Findings:</w:t>
      </w:r>
      <w:bookmarkEnd w:id="4"/>
      <w:r w:rsidRPr="00724CC8">
        <w:rPr>
          <w:rFonts w:ascii="Arial" w:eastAsia="Times New Roman" w:hAnsi="Arial" w:cs="Arial"/>
          <w:kern w:val="0"/>
          <w:sz w:val="22"/>
          <w:szCs w:val="22"/>
          <w:lang w:eastAsia="zh-CN"/>
          <w14:ligatures w14:val="none"/>
        </w:rPr>
        <w:t xml:space="preserve"> Three overarching themes emerged from the synthesis:</w:t>
      </w:r>
      <w:r w:rsidR="00D40C57" w:rsidRPr="00724CC8">
        <w:rPr>
          <w:rFonts w:ascii="Arial" w:eastAsia="Times New Roman" w:hAnsi="Arial" w:cs="Arial"/>
          <w:kern w:val="0"/>
          <w:sz w:val="22"/>
          <w:szCs w:val="22"/>
          <w:lang w:eastAsia="zh-CN"/>
          <w14:ligatures w14:val="none"/>
        </w:rPr>
        <w:t xml:space="preserve"> </w:t>
      </w:r>
      <w:r w:rsidRPr="00724CC8">
        <w:rPr>
          <w:rFonts w:ascii="Arial" w:eastAsia="Times New Roman" w:hAnsi="Arial" w:cs="Arial"/>
          <w:kern w:val="0"/>
          <w:sz w:val="22"/>
          <w:szCs w:val="22"/>
          <w:lang w:eastAsia="zh-CN"/>
          <w14:ligatures w14:val="none"/>
        </w:rPr>
        <w:t>The Biological-Psychological Interface: The silencing of food noise and the restoration of metabolic agency acted as primary facilitators, fostering a virtuous cycle of motivation through visible clinical results.</w:t>
      </w:r>
      <w:r w:rsidR="009523B9" w:rsidRPr="00724CC8">
        <w:rPr>
          <w:rFonts w:ascii="Arial" w:eastAsia="Times New Roman" w:hAnsi="Arial" w:cs="Arial"/>
          <w:kern w:val="0"/>
          <w:sz w:val="22"/>
          <w:szCs w:val="22"/>
          <w:lang w:eastAsia="zh-CN"/>
          <w14:ligatures w14:val="none"/>
        </w:rPr>
        <w:t xml:space="preserve"> </w:t>
      </w:r>
      <w:r w:rsidRPr="00724CC8">
        <w:rPr>
          <w:rFonts w:ascii="Arial" w:eastAsia="Times New Roman" w:hAnsi="Arial" w:cs="Arial"/>
          <w:kern w:val="0"/>
          <w:sz w:val="22"/>
          <w:szCs w:val="22"/>
          <w:lang w:eastAsia="zh-CN"/>
          <w14:ligatures w14:val="none"/>
        </w:rPr>
        <w:t xml:space="preserve">Systemic Friction and the Two-Tier Divide: Significant barriers included </w:t>
      </w:r>
      <w:r w:rsidR="009B7E1E" w:rsidRPr="00724CC8">
        <w:rPr>
          <w:rFonts w:ascii="Arial" w:hAnsi="Arial" w:cs="Arial"/>
          <w:sz w:val="22"/>
          <w:szCs w:val="22"/>
        </w:rPr>
        <w:t>acute gastrointestinal distress during titration</w:t>
      </w:r>
      <w:r w:rsidR="00F62195" w:rsidRPr="00724CC8">
        <w:rPr>
          <w:rFonts w:ascii="Arial" w:hAnsi="Arial" w:cs="Arial"/>
          <w:sz w:val="22"/>
          <w:szCs w:val="22"/>
        </w:rPr>
        <w:t>,</w:t>
      </w:r>
      <w:r w:rsidR="009B7E1E" w:rsidRPr="00724CC8">
        <w:rPr>
          <w:rFonts w:ascii="Arial" w:eastAsia="Times New Roman" w:hAnsi="Arial" w:cs="Arial"/>
          <w:kern w:val="0"/>
          <w:sz w:val="22"/>
          <w:szCs w:val="22"/>
          <w:lang w:eastAsia="zh-CN"/>
          <w14:ligatures w14:val="none"/>
        </w:rPr>
        <w:t xml:space="preserve"> </w:t>
      </w:r>
      <w:r w:rsidRPr="00724CC8">
        <w:rPr>
          <w:rFonts w:ascii="Arial" w:eastAsia="Times New Roman" w:hAnsi="Arial" w:cs="Arial"/>
          <w:kern w:val="0"/>
          <w:sz w:val="22"/>
          <w:szCs w:val="22"/>
          <w:lang w:eastAsia="zh-CN"/>
          <w14:ligatures w14:val="none"/>
        </w:rPr>
        <w:t>stock-out anxiety driven by supply chain instability and a burgeoning socioeconomic disparity between NHS-funded and private-paying patients.</w:t>
      </w:r>
      <w:r w:rsidR="009523B9" w:rsidRPr="00724CC8">
        <w:rPr>
          <w:rFonts w:ascii="Arial" w:eastAsia="Times New Roman" w:hAnsi="Arial" w:cs="Arial"/>
          <w:kern w:val="0"/>
          <w:sz w:val="22"/>
          <w:szCs w:val="22"/>
          <w:lang w:eastAsia="zh-CN"/>
          <w14:ligatures w14:val="none"/>
        </w:rPr>
        <w:t xml:space="preserve"> </w:t>
      </w:r>
      <w:r w:rsidRPr="00724CC8">
        <w:rPr>
          <w:rFonts w:ascii="Arial" w:eastAsia="Times New Roman" w:hAnsi="Arial" w:cs="Arial"/>
          <w:kern w:val="0"/>
          <w:sz w:val="22"/>
          <w:szCs w:val="22"/>
          <w:lang w:eastAsia="zh-CN"/>
          <w14:ligatures w14:val="none"/>
        </w:rPr>
        <w:t xml:space="preserve">Socio-Cultural Logistics: While the once-weekly </w:t>
      </w:r>
      <w:r w:rsidR="00944F4F" w:rsidRPr="00724CC8">
        <w:rPr>
          <w:rFonts w:ascii="Arial" w:eastAsia="Times New Roman" w:hAnsi="Arial" w:cs="Arial"/>
          <w:kern w:val="0"/>
          <w:sz w:val="22"/>
          <w:szCs w:val="22"/>
          <w:lang w:eastAsia="zh-CN"/>
          <w14:ligatures w14:val="none"/>
        </w:rPr>
        <w:t>Kwik Pen</w:t>
      </w:r>
      <w:r w:rsidRPr="00724CC8">
        <w:rPr>
          <w:rFonts w:ascii="Arial" w:eastAsia="Times New Roman" w:hAnsi="Arial" w:cs="Arial"/>
          <w:kern w:val="0"/>
          <w:sz w:val="22"/>
          <w:szCs w:val="22"/>
          <w:lang w:eastAsia="zh-CN"/>
          <w14:ligatures w14:val="none"/>
        </w:rPr>
        <w:t xml:space="preserve"> delivery facilitated adherence, socio-cultural stigmas (the skinny-jab narrative) and logistical hurdles, such as the sharps bin dilemma in urban housing, presented persistent challenges.</w:t>
      </w:r>
    </w:p>
    <w:p w14:paraId="4DD97CD1" w14:textId="3C0F307D" w:rsidR="00270923" w:rsidRPr="00724CC8" w:rsidRDefault="00AB6809" w:rsidP="00AF56CC">
      <w:pPr>
        <w:spacing w:before="100" w:beforeAutospacing="1" w:after="100" w:afterAutospacing="1" w:line="360" w:lineRule="auto"/>
        <w:jc w:val="both"/>
        <w:rPr>
          <w:rFonts w:ascii="Arial" w:eastAsia="Times New Roman" w:hAnsi="Arial" w:cs="Arial"/>
          <w:kern w:val="0"/>
          <w:sz w:val="22"/>
          <w:szCs w:val="22"/>
          <w:lang w:eastAsia="zh-CN"/>
          <w14:ligatures w14:val="none"/>
        </w:rPr>
      </w:pPr>
      <w:bookmarkStart w:id="5" w:name="_Toc230113827"/>
      <w:r w:rsidRPr="0039189B">
        <w:rPr>
          <w:rStyle w:val="Heading3Char"/>
          <w:rFonts w:ascii="Arial" w:hAnsi="Arial" w:cs="Arial"/>
          <w:b/>
          <w:bCs/>
          <w:sz w:val="22"/>
          <w:szCs w:val="22"/>
        </w:rPr>
        <w:t>Conclusion:</w:t>
      </w:r>
      <w:bookmarkEnd w:id="5"/>
      <w:r w:rsidRPr="00724CC8">
        <w:rPr>
          <w:rFonts w:ascii="Arial" w:eastAsia="Times New Roman" w:hAnsi="Arial" w:cs="Arial"/>
          <w:kern w:val="0"/>
          <w:sz w:val="22"/>
          <w:szCs w:val="22"/>
          <w:lang w:eastAsia="zh-CN"/>
          <w14:ligatures w14:val="none"/>
        </w:rPr>
        <w:t xml:space="preserve"> </w:t>
      </w:r>
      <w:r w:rsidRPr="00724CC8">
        <w:rPr>
          <w:rFonts w:ascii="Arial" w:hAnsi="Arial" w:cs="Arial"/>
          <w:sz w:val="22"/>
          <w:szCs w:val="22"/>
        </w:rPr>
        <w:t>Tirzepatide represents a paradigm shift in T2DM treatment, yet its utility is currently constrained by the systemic noise of the UK healthcare delivery model. Findings suggest that pharmacological efficacy alone is insufficient; long-term success necessitates a transition from a biomedical to a biopsychosocial model of care. The dissertation recommends the implementation of pharmacist-led titration clinics and metabolic dashboards to bridge the implementation gap, ensuring that this transformative therapy does not exacerbate existing</w:t>
      </w:r>
      <w:r w:rsidRPr="00724CC8">
        <w:rPr>
          <w:rFonts w:ascii="Arial" w:eastAsia="Times New Roman" w:hAnsi="Arial" w:cs="Arial"/>
          <w:kern w:val="0"/>
          <w:sz w:val="22"/>
          <w:szCs w:val="22"/>
          <w:lang w:eastAsia="zh-CN"/>
          <w14:ligatures w14:val="none"/>
        </w:rPr>
        <w:t xml:space="preserve"> health inequalities.</w:t>
      </w:r>
      <w:r w:rsidR="007A14C5" w:rsidRPr="00724CC8">
        <w:rPr>
          <w:rFonts w:ascii="Arial" w:eastAsia="Times New Roman" w:hAnsi="Arial" w:cs="Arial"/>
          <w:kern w:val="0"/>
          <w:sz w:val="22"/>
          <w:szCs w:val="22"/>
          <w:lang w:eastAsia="zh-CN"/>
          <w14:ligatures w14:val="none"/>
        </w:rPr>
        <w:t xml:space="preserve"> </w:t>
      </w:r>
      <w:r w:rsidRPr="00944F4F">
        <w:rPr>
          <w:rStyle w:val="Heading3Char"/>
          <w:rFonts w:ascii="Arial" w:hAnsi="Arial" w:cs="Arial"/>
          <w:b/>
          <w:bCs/>
          <w:sz w:val="22"/>
          <w:szCs w:val="22"/>
        </w:rPr>
        <w:t>Key</w:t>
      </w:r>
      <w:r w:rsidR="007A14C5" w:rsidRPr="00944F4F">
        <w:rPr>
          <w:rStyle w:val="Heading3Char"/>
          <w:rFonts w:ascii="Arial" w:hAnsi="Arial" w:cs="Arial"/>
          <w:b/>
          <w:bCs/>
          <w:sz w:val="22"/>
          <w:szCs w:val="22"/>
        </w:rPr>
        <w:t xml:space="preserve"> </w:t>
      </w:r>
      <w:r w:rsidRPr="00944F4F">
        <w:rPr>
          <w:rStyle w:val="Heading3Char"/>
          <w:rFonts w:ascii="Arial" w:hAnsi="Arial" w:cs="Arial"/>
          <w:b/>
          <w:bCs/>
          <w:sz w:val="22"/>
          <w:szCs w:val="22"/>
        </w:rPr>
        <w:t>words:</w:t>
      </w:r>
      <w:r w:rsidRPr="00724CC8">
        <w:rPr>
          <w:rFonts w:ascii="Arial" w:eastAsia="Times New Roman" w:hAnsi="Arial" w:cs="Arial"/>
          <w:kern w:val="0"/>
          <w:sz w:val="22"/>
          <w:szCs w:val="22"/>
          <w:lang w:eastAsia="zh-CN"/>
          <w14:ligatures w14:val="none"/>
        </w:rPr>
        <w:t xml:space="preserve"> Tirzepatide, Type 2 Diabetes, NHS England, Facilitators and Barriers, Food Noise, Health Inequalities, Biopsychosocial Care</w:t>
      </w:r>
      <w:r w:rsidR="00E72646" w:rsidRPr="00724CC8">
        <w:rPr>
          <w:rFonts w:ascii="Arial" w:eastAsia="Times New Roman" w:hAnsi="Arial" w:cs="Arial"/>
          <w:kern w:val="0"/>
          <w:sz w:val="22"/>
          <w:szCs w:val="22"/>
          <w:lang w:eastAsia="zh-CN"/>
          <w14:ligatures w14:val="none"/>
        </w:rPr>
        <w:t>,</w:t>
      </w:r>
      <w:r w:rsidR="001B6968" w:rsidRPr="00724CC8">
        <w:rPr>
          <w:rFonts w:ascii="Arial" w:hAnsi="Arial" w:cs="Arial"/>
          <w:sz w:val="22"/>
          <w:szCs w:val="22"/>
        </w:rPr>
        <w:t xml:space="preserve"> UK Public Health</w:t>
      </w:r>
      <w:r w:rsidR="00E72646" w:rsidRPr="00724CC8">
        <w:rPr>
          <w:rFonts w:ascii="Arial" w:hAnsi="Arial" w:cs="Arial"/>
          <w:sz w:val="22"/>
          <w:szCs w:val="22"/>
        </w:rPr>
        <w:t>.</w:t>
      </w:r>
    </w:p>
    <w:p w14:paraId="573A820F" w14:textId="4D19FED6" w:rsidR="00DE06FD" w:rsidRPr="00107D0A" w:rsidRDefault="00075840" w:rsidP="00FC1D17">
      <w:pPr>
        <w:pStyle w:val="Heading1"/>
        <w:spacing w:line="360" w:lineRule="auto"/>
        <w:rPr>
          <w:rFonts w:ascii="Arial" w:hAnsi="Arial" w:cs="Arial"/>
          <w:b/>
          <w:bCs/>
        </w:rPr>
      </w:pPr>
      <w:bookmarkStart w:id="6" w:name="_Toc230113828"/>
      <w:r w:rsidRPr="00107D0A">
        <w:rPr>
          <w:rFonts w:ascii="Arial" w:hAnsi="Arial" w:cs="Arial"/>
          <w:b/>
          <w:bCs/>
        </w:rPr>
        <w:lastRenderedPageBreak/>
        <w:t>Table of content</w:t>
      </w:r>
      <w:bookmarkEnd w:id="6"/>
      <w:r w:rsidRPr="00107D0A">
        <w:rPr>
          <w:rFonts w:ascii="Arial" w:hAnsi="Arial" w:cs="Arial"/>
          <w:b/>
          <w:bCs/>
        </w:rPr>
        <w:t xml:space="preserve"> </w:t>
      </w:r>
    </w:p>
    <w:sdt>
      <w:sdtPr>
        <w:rPr>
          <w:rFonts w:ascii="Arial" w:eastAsiaTheme="minorEastAsia" w:hAnsi="Arial" w:cs="Arial"/>
          <w:color w:val="auto"/>
          <w:kern w:val="2"/>
          <w:sz w:val="24"/>
          <w:szCs w:val="24"/>
          <w:lang w:val="en-GB" w:eastAsia="en-GB"/>
          <w14:ligatures w14:val="standardContextual"/>
        </w:rPr>
        <w:id w:val="-1041360025"/>
        <w:docPartObj>
          <w:docPartGallery w:val="Table of Contents"/>
          <w:docPartUnique/>
        </w:docPartObj>
      </w:sdtPr>
      <w:sdtEndPr>
        <w:rPr>
          <w:b/>
          <w:bCs/>
          <w:noProof/>
        </w:rPr>
      </w:sdtEndPr>
      <w:sdtContent>
        <w:p w14:paraId="6053F7FB" w14:textId="58AC3197" w:rsidR="00293047" w:rsidRPr="00107D0A" w:rsidRDefault="00293047" w:rsidP="00FC1D17">
          <w:pPr>
            <w:pStyle w:val="TOCHeading"/>
            <w:spacing w:line="360" w:lineRule="auto"/>
            <w:rPr>
              <w:rFonts w:ascii="Arial" w:hAnsi="Arial" w:cs="Arial"/>
              <w:color w:val="auto"/>
            </w:rPr>
          </w:pPr>
          <w:r w:rsidRPr="00107D0A">
            <w:rPr>
              <w:rFonts w:ascii="Arial" w:hAnsi="Arial" w:cs="Arial"/>
              <w:color w:val="auto"/>
            </w:rPr>
            <w:t>Table of Contents</w:t>
          </w:r>
        </w:p>
        <w:p w14:paraId="654FDE82" w14:textId="74344F8E" w:rsidR="00CF305A" w:rsidRDefault="00293047">
          <w:pPr>
            <w:pStyle w:val="TOC1"/>
            <w:tabs>
              <w:tab w:val="right" w:leader="dot" w:pos="9016"/>
            </w:tabs>
            <w:rPr>
              <w:noProof/>
              <w:lang w:eastAsia="zh-CN"/>
            </w:rPr>
          </w:pPr>
          <w:r w:rsidRPr="00107D0A">
            <w:rPr>
              <w:rFonts w:ascii="Arial" w:hAnsi="Arial" w:cs="Arial"/>
            </w:rPr>
            <w:fldChar w:fldCharType="begin"/>
          </w:r>
          <w:r w:rsidRPr="00107D0A">
            <w:rPr>
              <w:rFonts w:ascii="Arial" w:hAnsi="Arial" w:cs="Arial"/>
            </w:rPr>
            <w:instrText xml:space="preserve"> TOC \o "1-3" \h \z \u </w:instrText>
          </w:r>
          <w:r w:rsidRPr="00107D0A">
            <w:rPr>
              <w:rFonts w:ascii="Arial" w:hAnsi="Arial" w:cs="Arial"/>
            </w:rPr>
            <w:fldChar w:fldCharType="separate"/>
          </w:r>
          <w:hyperlink w:anchor="_Toc230113823" w:history="1">
            <w:r w:rsidR="00CF305A" w:rsidRPr="006B400E">
              <w:rPr>
                <w:rStyle w:val="Hyperlink"/>
                <w:b/>
                <w:bCs/>
                <w:noProof/>
                <w:lang w:eastAsia="zh-CN"/>
              </w:rPr>
              <w:t>ABSTRACT</w:t>
            </w:r>
            <w:r w:rsidR="00CF305A">
              <w:rPr>
                <w:noProof/>
                <w:webHidden/>
              </w:rPr>
              <w:tab/>
            </w:r>
            <w:r w:rsidR="00CF305A">
              <w:rPr>
                <w:noProof/>
                <w:webHidden/>
              </w:rPr>
              <w:fldChar w:fldCharType="begin"/>
            </w:r>
            <w:r w:rsidR="00CF305A">
              <w:rPr>
                <w:noProof/>
                <w:webHidden/>
              </w:rPr>
              <w:instrText xml:space="preserve"> PAGEREF _Toc230113823 \h </w:instrText>
            </w:r>
            <w:r w:rsidR="00CF305A">
              <w:rPr>
                <w:noProof/>
                <w:webHidden/>
              </w:rPr>
            </w:r>
            <w:r w:rsidR="00CF305A">
              <w:rPr>
                <w:noProof/>
                <w:webHidden/>
              </w:rPr>
              <w:fldChar w:fldCharType="separate"/>
            </w:r>
            <w:r w:rsidR="00CF305A">
              <w:rPr>
                <w:noProof/>
                <w:webHidden/>
              </w:rPr>
              <w:t>4</w:t>
            </w:r>
            <w:r w:rsidR="00CF305A">
              <w:rPr>
                <w:noProof/>
                <w:webHidden/>
              </w:rPr>
              <w:fldChar w:fldCharType="end"/>
            </w:r>
          </w:hyperlink>
        </w:p>
        <w:p w14:paraId="44181B6F" w14:textId="59712A6C" w:rsidR="00CF305A" w:rsidRDefault="00CF305A">
          <w:pPr>
            <w:pStyle w:val="TOC3"/>
            <w:tabs>
              <w:tab w:val="right" w:leader="dot" w:pos="9016"/>
            </w:tabs>
            <w:rPr>
              <w:noProof/>
              <w:lang w:eastAsia="zh-CN"/>
            </w:rPr>
          </w:pPr>
          <w:hyperlink w:anchor="_Toc230113824" w:history="1">
            <w:r w:rsidRPr="006B400E">
              <w:rPr>
                <w:rStyle w:val="Hyperlink"/>
                <w:rFonts w:ascii="Arial" w:hAnsi="Arial" w:cs="Arial"/>
                <w:b/>
                <w:bCs/>
                <w:noProof/>
              </w:rPr>
              <w:t>Background and Aim:</w:t>
            </w:r>
            <w:r>
              <w:rPr>
                <w:noProof/>
                <w:webHidden/>
              </w:rPr>
              <w:tab/>
            </w:r>
            <w:r>
              <w:rPr>
                <w:noProof/>
                <w:webHidden/>
              </w:rPr>
              <w:fldChar w:fldCharType="begin"/>
            </w:r>
            <w:r>
              <w:rPr>
                <w:noProof/>
                <w:webHidden/>
              </w:rPr>
              <w:instrText xml:space="preserve"> PAGEREF _Toc230113824 \h </w:instrText>
            </w:r>
            <w:r>
              <w:rPr>
                <w:noProof/>
                <w:webHidden/>
              </w:rPr>
            </w:r>
            <w:r>
              <w:rPr>
                <w:noProof/>
                <w:webHidden/>
              </w:rPr>
              <w:fldChar w:fldCharType="separate"/>
            </w:r>
            <w:r>
              <w:rPr>
                <w:noProof/>
                <w:webHidden/>
              </w:rPr>
              <w:t>4</w:t>
            </w:r>
            <w:r>
              <w:rPr>
                <w:noProof/>
                <w:webHidden/>
              </w:rPr>
              <w:fldChar w:fldCharType="end"/>
            </w:r>
          </w:hyperlink>
        </w:p>
        <w:p w14:paraId="6BE154FA" w14:textId="61353968" w:rsidR="00CF305A" w:rsidRDefault="00CF305A">
          <w:pPr>
            <w:pStyle w:val="TOC3"/>
            <w:tabs>
              <w:tab w:val="right" w:leader="dot" w:pos="9016"/>
            </w:tabs>
            <w:rPr>
              <w:noProof/>
              <w:lang w:eastAsia="zh-CN"/>
            </w:rPr>
          </w:pPr>
          <w:hyperlink w:anchor="_Toc230113825" w:history="1">
            <w:r w:rsidRPr="006B400E">
              <w:rPr>
                <w:rStyle w:val="Hyperlink"/>
                <w:rFonts w:ascii="Arial" w:hAnsi="Arial" w:cs="Arial"/>
                <w:b/>
                <w:bCs/>
                <w:noProof/>
              </w:rPr>
              <w:t>Methods:</w:t>
            </w:r>
            <w:r>
              <w:rPr>
                <w:noProof/>
                <w:webHidden/>
              </w:rPr>
              <w:tab/>
            </w:r>
            <w:r>
              <w:rPr>
                <w:noProof/>
                <w:webHidden/>
              </w:rPr>
              <w:fldChar w:fldCharType="begin"/>
            </w:r>
            <w:r>
              <w:rPr>
                <w:noProof/>
                <w:webHidden/>
              </w:rPr>
              <w:instrText xml:space="preserve"> PAGEREF _Toc230113825 \h </w:instrText>
            </w:r>
            <w:r>
              <w:rPr>
                <w:noProof/>
                <w:webHidden/>
              </w:rPr>
            </w:r>
            <w:r>
              <w:rPr>
                <w:noProof/>
                <w:webHidden/>
              </w:rPr>
              <w:fldChar w:fldCharType="separate"/>
            </w:r>
            <w:r>
              <w:rPr>
                <w:noProof/>
                <w:webHidden/>
              </w:rPr>
              <w:t>4</w:t>
            </w:r>
            <w:r>
              <w:rPr>
                <w:noProof/>
                <w:webHidden/>
              </w:rPr>
              <w:fldChar w:fldCharType="end"/>
            </w:r>
          </w:hyperlink>
        </w:p>
        <w:p w14:paraId="3E85EAFD" w14:textId="550AB451" w:rsidR="00CF305A" w:rsidRDefault="00CF305A">
          <w:pPr>
            <w:pStyle w:val="TOC3"/>
            <w:tabs>
              <w:tab w:val="right" w:leader="dot" w:pos="9016"/>
            </w:tabs>
            <w:rPr>
              <w:noProof/>
              <w:lang w:eastAsia="zh-CN"/>
            </w:rPr>
          </w:pPr>
          <w:hyperlink w:anchor="_Toc230113826" w:history="1">
            <w:r w:rsidRPr="006B400E">
              <w:rPr>
                <w:rStyle w:val="Hyperlink"/>
                <w:rFonts w:ascii="Arial" w:hAnsi="Arial" w:cs="Arial"/>
                <w:b/>
                <w:bCs/>
                <w:noProof/>
              </w:rPr>
              <w:t>Findings:</w:t>
            </w:r>
            <w:r>
              <w:rPr>
                <w:noProof/>
                <w:webHidden/>
              </w:rPr>
              <w:tab/>
            </w:r>
            <w:r>
              <w:rPr>
                <w:noProof/>
                <w:webHidden/>
              </w:rPr>
              <w:fldChar w:fldCharType="begin"/>
            </w:r>
            <w:r>
              <w:rPr>
                <w:noProof/>
                <w:webHidden/>
              </w:rPr>
              <w:instrText xml:space="preserve"> PAGEREF _Toc230113826 \h </w:instrText>
            </w:r>
            <w:r>
              <w:rPr>
                <w:noProof/>
                <w:webHidden/>
              </w:rPr>
            </w:r>
            <w:r>
              <w:rPr>
                <w:noProof/>
                <w:webHidden/>
              </w:rPr>
              <w:fldChar w:fldCharType="separate"/>
            </w:r>
            <w:r>
              <w:rPr>
                <w:noProof/>
                <w:webHidden/>
              </w:rPr>
              <w:t>4</w:t>
            </w:r>
            <w:r>
              <w:rPr>
                <w:noProof/>
                <w:webHidden/>
              </w:rPr>
              <w:fldChar w:fldCharType="end"/>
            </w:r>
          </w:hyperlink>
        </w:p>
        <w:p w14:paraId="3294C29A" w14:textId="21ED14E7" w:rsidR="00CF305A" w:rsidRDefault="00CF305A">
          <w:pPr>
            <w:pStyle w:val="TOC3"/>
            <w:tabs>
              <w:tab w:val="right" w:leader="dot" w:pos="9016"/>
            </w:tabs>
            <w:rPr>
              <w:noProof/>
              <w:lang w:eastAsia="zh-CN"/>
            </w:rPr>
          </w:pPr>
          <w:hyperlink w:anchor="_Toc230113827" w:history="1">
            <w:r w:rsidRPr="006B400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_Toc230113827 \h </w:instrText>
            </w:r>
            <w:r>
              <w:rPr>
                <w:noProof/>
                <w:webHidden/>
              </w:rPr>
            </w:r>
            <w:r>
              <w:rPr>
                <w:noProof/>
                <w:webHidden/>
              </w:rPr>
              <w:fldChar w:fldCharType="separate"/>
            </w:r>
            <w:r>
              <w:rPr>
                <w:noProof/>
                <w:webHidden/>
              </w:rPr>
              <w:t>4</w:t>
            </w:r>
            <w:r>
              <w:rPr>
                <w:noProof/>
                <w:webHidden/>
              </w:rPr>
              <w:fldChar w:fldCharType="end"/>
            </w:r>
          </w:hyperlink>
        </w:p>
        <w:p w14:paraId="0FFA6DDB" w14:textId="19E1A25B" w:rsidR="00CF305A" w:rsidRDefault="00CF305A">
          <w:pPr>
            <w:pStyle w:val="TOC1"/>
            <w:tabs>
              <w:tab w:val="right" w:leader="dot" w:pos="9016"/>
            </w:tabs>
            <w:rPr>
              <w:noProof/>
              <w:lang w:eastAsia="zh-CN"/>
            </w:rPr>
          </w:pPr>
          <w:hyperlink w:anchor="_Toc230113828" w:history="1">
            <w:r w:rsidRPr="006B400E">
              <w:rPr>
                <w:rStyle w:val="Hyperlink"/>
                <w:rFonts w:ascii="Arial" w:hAnsi="Arial" w:cs="Arial"/>
                <w:b/>
                <w:bCs/>
                <w:noProof/>
              </w:rPr>
              <w:t>Table of content</w:t>
            </w:r>
            <w:r>
              <w:rPr>
                <w:noProof/>
                <w:webHidden/>
              </w:rPr>
              <w:tab/>
            </w:r>
            <w:r>
              <w:rPr>
                <w:noProof/>
                <w:webHidden/>
              </w:rPr>
              <w:fldChar w:fldCharType="begin"/>
            </w:r>
            <w:r>
              <w:rPr>
                <w:noProof/>
                <w:webHidden/>
              </w:rPr>
              <w:instrText xml:space="preserve"> PAGEREF _Toc230113828 \h </w:instrText>
            </w:r>
            <w:r>
              <w:rPr>
                <w:noProof/>
                <w:webHidden/>
              </w:rPr>
            </w:r>
            <w:r>
              <w:rPr>
                <w:noProof/>
                <w:webHidden/>
              </w:rPr>
              <w:fldChar w:fldCharType="separate"/>
            </w:r>
            <w:r>
              <w:rPr>
                <w:noProof/>
                <w:webHidden/>
              </w:rPr>
              <w:t>5</w:t>
            </w:r>
            <w:r>
              <w:rPr>
                <w:noProof/>
                <w:webHidden/>
              </w:rPr>
              <w:fldChar w:fldCharType="end"/>
            </w:r>
          </w:hyperlink>
        </w:p>
        <w:p w14:paraId="15553138" w14:textId="225B1C62" w:rsidR="00CF305A" w:rsidRDefault="00CF305A">
          <w:pPr>
            <w:pStyle w:val="TOC1"/>
            <w:tabs>
              <w:tab w:val="right" w:leader="dot" w:pos="9016"/>
            </w:tabs>
            <w:rPr>
              <w:noProof/>
              <w:lang w:eastAsia="zh-CN"/>
            </w:rPr>
          </w:pPr>
          <w:hyperlink w:anchor="_Toc230113829" w:history="1">
            <w:r w:rsidRPr="006B400E">
              <w:rPr>
                <w:rStyle w:val="Hyperlink"/>
                <w:b/>
                <w:bCs/>
                <w:noProof/>
              </w:rPr>
              <w:t>Abbreviation</w:t>
            </w:r>
            <w:r>
              <w:rPr>
                <w:noProof/>
                <w:webHidden/>
              </w:rPr>
              <w:tab/>
            </w:r>
            <w:r>
              <w:rPr>
                <w:noProof/>
                <w:webHidden/>
              </w:rPr>
              <w:fldChar w:fldCharType="begin"/>
            </w:r>
            <w:r>
              <w:rPr>
                <w:noProof/>
                <w:webHidden/>
              </w:rPr>
              <w:instrText xml:space="preserve"> PAGEREF _Toc230113829 \h </w:instrText>
            </w:r>
            <w:r>
              <w:rPr>
                <w:noProof/>
                <w:webHidden/>
              </w:rPr>
            </w:r>
            <w:r>
              <w:rPr>
                <w:noProof/>
                <w:webHidden/>
              </w:rPr>
              <w:fldChar w:fldCharType="separate"/>
            </w:r>
            <w:r>
              <w:rPr>
                <w:noProof/>
                <w:webHidden/>
              </w:rPr>
              <w:t>9</w:t>
            </w:r>
            <w:r>
              <w:rPr>
                <w:noProof/>
                <w:webHidden/>
              </w:rPr>
              <w:fldChar w:fldCharType="end"/>
            </w:r>
          </w:hyperlink>
        </w:p>
        <w:p w14:paraId="004DEFD7" w14:textId="26B5E925" w:rsidR="00CF305A" w:rsidRDefault="00CF305A">
          <w:pPr>
            <w:pStyle w:val="TOC1"/>
            <w:tabs>
              <w:tab w:val="right" w:leader="dot" w:pos="9016"/>
            </w:tabs>
            <w:rPr>
              <w:noProof/>
              <w:lang w:eastAsia="zh-CN"/>
            </w:rPr>
          </w:pPr>
          <w:hyperlink w:anchor="_Toc230113830" w:history="1">
            <w:r w:rsidRPr="006B400E">
              <w:rPr>
                <w:rStyle w:val="Hyperlink"/>
                <w:rFonts w:ascii="Arial" w:hAnsi="Arial" w:cs="Arial"/>
                <w:b/>
                <w:bCs/>
                <w:noProof/>
              </w:rPr>
              <w:t>CHAPTER 1: INTRODUCTION AND BACKGROUND</w:t>
            </w:r>
            <w:r>
              <w:rPr>
                <w:noProof/>
                <w:webHidden/>
              </w:rPr>
              <w:tab/>
            </w:r>
            <w:r>
              <w:rPr>
                <w:noProof/>
                <w:webHidden/>
              </w:rPr>
              <w:fldChar w:fldCharType="begin"/>
            </w:r>
            <w:r>
              <w:rPr>
                <w:noProof/>
                <w:webHidden/>
              </w:rPr>
              <w:instrText xml:space="preserve"> PAGEREF _Toc230113830 \h </w:instrText>
            </w:r>
            <w:r>
              <w:rPr>
                <w:noProof/>
                <w:webHidden/>
              </w:rPr>
            </w:r>
            <w:r>
              <w:rPr>
                <w:noProof/>
                <w:webHidden/>
              </w:rPr>
              <w:fldChar w:fldCharType="separate"/>
            </w:r>
            <w:r>
              <w:rPr>
                <w:noProof/>
                <w:webHidden/>
              </w:rPr>
              <w:t>11</w:t>
            </w:r>
            <w:r>
              <w:rPr>
                <w:noProof/>
                <w:webHidden/>
              </w:rPr>
              <w:fldChar w:fldCharType="end"/>
            </w:r>
          </w:hyperlink>
        </w:p>
        <w:p w14:paraId="48F6AAF3" w14:textId="30395065" w:rsidR="00CF305A" w:rsidRDefault="00CF305A">
          <w:pPr>
            <w:pStyle w:val="TOC2"/>
            <w:tabs>
              <w:tab w:val="right" w:leader="dot" w:pos="9016"/>
            </w:tabs>
            <w:rPr>
              <w:noProof/>
              <w:lang w:eastAsia="zh-CN"/>
            </w:rPr>
          </w:pPr>
          <w:hyperlink w:anchor="_Toc230113831" w:history="1">
            <w:r w:rsidRPr="006B400E">
              <w:rPr>
                <w:rStyle w:val="Hyperlink"/>
                <w:rFonts w:ascii="Arial" w:hAnsi="Arial" w:cs="Arial"/>
                <w:b/>
                <w:bCs/>
                <w:noProof/>
              </w:rPr>
              <w:t>1.1 Introduction</w:t>
            </w:r>
            <w:r>
              <w:rPr>
                <w:noProof/>
                <w:webHidden/>
              </w:rPr>
              <w:tab/>
            </w:r>
            <w:r>
              <w:rPr>
                <w:noProof/>
                <w:webHidden/>
              </w:rPr>
              <w:fldChar w:fldCharType="begin"/>
            </w:r>
            <w:r>
              <w:rPr>
                <w:noProof/>
                <w:webHidden/>
              </w:rPr>
              <w:instrText xml:space="preserve"> PAGEREF _Toc230113831 \h </w:instrText>
            </w:r>
            <w:r>
              <w:rPr>
                <w:noProof/>
                <w:webHidden/>
              </w:rPr>
            </w:r>
            <w:r>
              <w:rPr>
                <w:noProof/>
                <w:webHidden/>
              </w:rPr>
              <w:fldChar w:fldCharType="separate"/>
            </w:r>
            <w:r>
              <w:rPr>
                <w:noProof/>
                <w:webHidden/>
              </w:rPr>
              <w:t>11</w:t>
            </w:r>
            <w:r>
              <w:rPr>
                <w:noProof/>
                <w:webHidden/>
              </w:rPr>
              <w:fldChar w:fldCharType="end"/>
            </w:r>
          </w:hyperlink>
        </w:p>
        <w:p w14:paraId="3A090DB0" w14:textId="78B52FB9" w:rsidR="00CF305A" w:rsidRDefault="00CF305A">
          <w:pPr>
            <w:pStyle w:val="TOC3"/>
            <w:tabs>
              <w:tab w:val="right" w:leader="dot" w:pos="9016"/>
            </w:tabs>
            <w:rPr>
              <w:noProof/>
              <w:lang w:eastAsia="zh-CN"/>
            </w:rPr>
          </w:pPr>
          <w:hyperlink w:anchor="_Toc230113832" w:history="1">
            <w:r w:rsidRPr="006B400E">
              <w:rPr>
                <w:rStyle w:val="Hyperlink"/>
                <w:rFonts w:ascii="Arial" w:hAnsi="Arial" w:cs="Arial"/>
                <w:b/>
                <w:bCs/>
                <w:noProof/>
              </w:rPr>
              <w:t>Type 2 Diabetes Mellitus (Pathophysiology)</w:t>
            </w:r>
            <w:r>
              <w:rPr>
                <w:noProof/>
                <w:webHidden/>
              </w:rPr>
              <w:tab/>
            </w:r>
            <w:r>
              <w:rPr>
                <w:noProof/>
                <w:webHidden/>
              </w:rPr>
              <w:fldChar w:fldCharType="begin"/>
            </w:r>
            <w:r>
              <w:rPr>
                <w:noProof/>
                <w:webHidden/>
              </w:rPr>
              <w:instrText xml:space="preserve"> PAGEREF _Toc230113832 \h </w:instrText>
            </w:r>
            <w:r>
              <w:rPr>
                <w:noProof/>
                <w:webHidden/>
              </w:rPr>
            </w:r>
            <w:r>
              <w:rPr>
                <w:noProof/>
                <w:webHidden/>
              </w:rPr>
              <w:fldChar w:fldCharType="separate"/>
            </w:r>
            <w:r>
              <w:rPr>
                <w:noProof/>
                <w:webHidden/>
              </w:rPr>
              <w:t>11</w:t>
            </w:r>
            <w:r>
              <w:rPr>
                <w:noProof/>
                <w:webHidden/>
              </w:rPr>
              <w:fldChar w:fldCharType="end"/>
            </w:r>
          </w:hyperlink>
        </w:p>
        <w:p w14:paraId="085EDFE6" w14:textId="1C98293F" w:rsidR="00CF305A" w:rsidRDefault="00CF305A">
          <w:pPr>
            <w:pStyle w:val="TOC2"/>
            <w:tabs>
              <w:tab w:val="right" w:leader="dot" w:pos="9016"/>
            </w:tabs>
            <w:rPr>
              <w:noProof/>
              <w:lang w:eastAsia="zh-CN"/>
            </w:rPr>
          </w:pPr>
          <w:hyperlink w:anchor="_Toc230113833" w:history="1">
            <w:r w:rsidRPr="006B400E">
              <w:rPr>
                <w:rStyle w:val="Hyperlink"/>
                <w:rFonts w:ascii="Arial" w:hAnsi="Arial" w:cs="Arial"/>
                <w:b/>
                <w:bCs/>
                <w:noProof/>
              </w:rPr>
              <w:t>1.2 Background and Current Context</w:t>
            </w:r>
            <w:r>
              <w:rPr>
                <w:noProof/>
                <w:webHidden/>
              </w:rPr>
              <w:tab/>
            </w:r>
            <w:r>
              <w:rPr>
                <w:noProof/>
                <w:webHidden/>
              </w:rPr>
              <w:fldChar w:fldCharType="begin"/>
            </w:r>
            <w:r>
              <w:rPr>
                <w:noProof/>
                <w:webHidden/>
              </w:rPr>
              <w:instrText xml:space="preserve"> PAGEREF _Toc230113833 \h </w:instrText>
            </w:r>
            <w:r>
              <w:rPr>
                <w:noProof/>
                <w:webHidden/>
              </w:rPr>
            </w:r>
            <w:r>
              <w:rPr>
                <w:noProof/>
                <w:webHidden/>
              </w:rPr>
              <w:fldChar w:fldCharType="separate"/>
            </w:r>
            <w:r>
              <w:rPr>
                <w:noProof/>
                <w:webHidden/>
              </w:rPr>
              <w:t>12</w:t>
            </w:r>
            <w:r>
              <w:rPr>
                <w:noProof/>
                <w:webHidden/>
              </w:rPr>
              <w:fldChar w:fldCharType="end"/>
            </w:r>
          </w:hyperlink>
        </w:p>
        <w:p w14:paraId="3AC02E8E" w14:textId="1CC22062" w:rsidR="00CF305A" w:rsidRDefault="00CF305A">
          <w:pPr>
            <w:pStyle w:val="TOC2"/>
            <w:tabs>
              <w:tab w:val="right" w:leader="dot" w:pos="9016"/>
            </w:tabs>
            <w:rPr>
              <w:noProof/>
              <w:lang w:eastAsia="zh-CN"/>
            </w:rPr>
          </w:pPr>
          <w:hyperlink w:anchor="_Toc230113834" w:history="1">
            <w:r w:rsidRPr="006B400E">
              <w:rPr>
                <w:rStyle w:val="Hyperlink"/>
                <w:rFonts w:ascii="Arial" w:hAnsi="Arial" w:cs="Arial"/>
                <w:b/>
                <w:bCs/>
                <w:noProof/>
              </w:rPr>
              <w:t>1.3 Rationale for Research</w:t>
            </w:r>
            <w:r>
              <w:rPr>
                <w:noProof/>
                <w:webHidden/>
              </w:rPr>
              <w:tab/>
            </w:r>
            <w:r>
              <w:rPr>
                <w:noProof/>
                <w:webHidden/>
              </w:rPr>
              <w:fldChar w:fldCharType="begin"/>
            </w:r>
            <w:r>
              <w:rPr>
                <w:noProof/>
                <w:webHidden/>
              </w:rPr>
              <w:instrText xml:space="preserve"> PAGEREF _Toc230113834 \h </w:instrText>
            </w:r>
            <w:r>
              <w:rPr>
                <w:noProof/>
                <w:webHidden/>
              </w:rPr>
            </w:r>
            <w:r>
              <w:rPr>
                <w:noProof/>
                <w:webHidden/>
              </w:rPr>
              <w:fldChar w:fldCharType="separate"/>
            </w:r>
            <w:r>
              <w:rPr>
                <w:noProof/>
                <w:webHidden/>
              </w:rPr>
              <w:t>13</w:t>
            </w:r>
            <w:r>
              <w:rPr>
                <w:noProof/>
                <w:webHidden/>
              </w:rPr>
              <w:fldChar w:fldCharType="end"/>
            </w:r>
          </w:hyperlink>
        </w:p>
        <w:p w14:paraId="79C6D9AB" w14:textId="4A66CBF2" w:rsidR="00CF305A" w:rsidRDefault="00CF305A">
          <w:pPr>
            <w:pStyle w:val="TOC2"/>
            <w:tabs>
              <w:tab w:val="right" w:leader="dot" w:pos="9016"/>
            </w:tabs>
            <w:rPr>
              <w:noProof/>
              <w:lang w:eastAsia="zh-CN"/>
            </w:rPr>
          </w:pPr>
          <w:hyperlink w:anchor="_Toc230113835" w:history="1">
            <w:r w:rsidRPr="006B400E">
              <w:rPr>
                <w:rStyle w:val="Hyperlink"/>
                <w:rFonts w:ascii="Arial" w:hAnsi="Arial" w:cs="Arial"/>
                <w:b/>
                <w:bCs/>
                <w:noProof/>
              </w:rPr>
              <w:t>1.4 Research Question</w:t>
            </w:r>
            <w:r>
              <w:rPr>
                <w:noProof/>
                <w:webHidden/>
              </w:rPr>
              <w:tab/>
            </w:r>
            <w:r>
              <w:rPr>
                <w:noProof/>
                <w:webHidden/>
              </w:rPr>
              <w:fldChar w:fldCharType="begin"/>
            </w:r>
            <w:r>
              <w:rPr>
                <w:noProof/>
                <w:webHidden/>
              </w:rPr>
              <w:instrText xml:space="preserve"> PAGEREF _Toc230113835 \h </w:instrText>
            </w:r>
            <w:r>
              <w:rPr>
                <w:noProof/>
                <w:webHidden/>
              </w:rPr>
            </w:r>
            <w:r>
              <w:rPr>
                <w:noProof/>
                <w:webHidden/>
              </w:rPr>
              <w:fldChar w:fldCharType="separate"/>
            </w:r>
            <w:r>
              <w:rPr>
                <w:noProof/>
                <w:webHidden/>
              </w:rPr>
              <w:t>13</w:t>
            </w:r>
            <w:r>
              <w:rPr>
                <w:noProof/>
                <w:webHidden/>
              </w:rPr>
              <w:fldChar w:fldCharType="end"/>
            </w:r>
          </w:hyperlink>
        </w:p>
        <w:p w14:paraId="5C997E63" w14:textId="0BB834B5" w:rsidR="00CF305A" w:rsidRDefault="00CF305A">
          <w:pPr>
            <w:pStyle w:val="TOC2"/>
            <w:tabs>
              <w:tab w:val="right" w:leader="dot" w:pos="9016"/>
            </w:tabs>
            <w:rPr>
              <w:noProof/>
              <w:lang w:eastAsia="zh-CN"/>
            </w:rPr>
          </w:pPr>
          <w:hyperlink w:anchor="_Toc230113836" w:history="1">
            <w:r w:rsidRPr="006B400E">
              <w:rPr>
                <w:rStyle w:val="Hyperlink"/>
                <w:rFonts w:ascii="Arial" w:hAnsi="Arial" w:cs="Arial"/>
                <w:b/>
                <w:bCs/>
                <w:noProof/>
              </w:rPr>
              <w:t>1.5 Research Aim</w:t>
            </w:r>
            <w:r>
              <w:rPr>
                <w:noProof/>
                <w:webHidden/>
              </w:rPr>
              <w:tab/>
            </w:r>
            <w:r>
              <w:rPr>
                <w:noProof/>
                <w:webHidden/>
              </w:rPr>
              <w:fldChar w:fldCharType="begin"/>
            </w:r>
            <w:r>
              <w:rPr>
                <w:noProof/>
                <w:webHidden/>
              </w:rPr>
              <w:instrText xml:space="preserve"> PAGEREF _Toc230113836 \h </w:instrText>
            </w:r>
            <w:r>
              <w:rPr>
                <w:noProof/>
                <w:webHidden/>
              </w:rPr>
            </w:r>
            <w:r>
              <w:rPr>
                <w:noProof/>
                <w:webHidden/>
              </w:rPr>
              <w:fldChar w:fldCharType="separate"/>
            </w:r>
            <w:r>
              <w:rPr>
                <w:noProof/>
                <w:webHidden/>
              </w:rPr>
              <w:t>13</w:t>
            </w:r>
            <w:r>
              <w:rPr>
                <w:noProof/>
                <w:webHidden/>
              </w:rPr>
              <w:fldChar w:fldCharType="end"/>
            </w:r>
          </w:hyperlink>
        </w:p>
        <w:p w14:paraId="0792932E" w14:textId="62A4646B" w:rsidR="00CF305A" w:rsidRDefault="00CF305A">
          <w:pPr>
            <w:pStyle w:val="TOC3"/>
            <w:tabs>
              <w:tab w:val="right" w:leader="dot" w:pos="9016"/>
            </w:tabs>
            <w:rPr>
              <w:noProof/>
              <w:lang w:eastAsia="zh-CN"/>
            </w:rPr>
          </w:pPr>
          <w:hyperlink w:anchor="_Toc230113837" w:history="1">
            <w:r w:rsidRPr="006B400E">
              <w:rPr>
                <w:rStyle w:val="Hyperlink"/>
                <w:b/>
                <w:bCs/>
                <w:noProof/>
              </w:rPr>
              <w:t>Figure 3</w:t>
            </w:r>
            <w:r>
              <w:rPr>
                <w:noProof/>
                <w:webHidden/>
              </w:rPr>
              <w:tab/>
            </w:r>
            <w:r>
              <w:rPr>
                <w:noProof/>
                <w:webHidden/>
              </w:rPr>
              <w:fldChar w:fldCharType="begin"/>
            </w:r>
            <w:r>
              <w:rPr>
                <w:noProof/>
                <w:webHidden/>
              </w:rPr>
              <w:instrText xml:space="preserve"> PAGEREF _Toc230113837 \h </w:instrText>
            </w:r>
            <w:r>
              <w:rPr>
                <w:noProof/>
                <w:webHidden/>
              </w:rPr>
            </w:r>
            <w:r>
              <w:rPr>
                <w:noProof/>
                <w:webHidden/>
              </w:rPr>
              <w:fldChar w:fldCharType="separate"/>
            </w:r>
            <w:r>
              <w:rPr>
                <w:noProof/>
                <w:webHidden/>
              </w:rPr>
              <w:t>14</w:t>
            </w:r>
            <w:r>
              <w:rPr>
                <w:noProof/>
                <w:webHidden/>
              </w:rPr>
              <w:fldChar w:fldCharType="end"/>
            </w:r>
          </w:hyperlink>
        </w:p>
        <w:p w14:paraId="1D24FED1" w14:textId="2EF2A96E" w:rsidR="00CF305A" w:rsidRDefault="00CF305A">
          <w:pPr>
            <w:pStyle w:val="TOC2"/>
            <w:tabs>
              <w:tab w:val="right" w:leader="dot" w:pos="9016"/>
            </w:tabs>
            <w:rPr>
              <w:noProof/>
              <w:lang w:eastAsia="zh-CN"/>
            </w:rPr>
          </w:pPr>
          <w:hyperlink w:anchor="_Toc230113838" w:history="1">
            <w:r w:rsidRPr="006B400E">
              <w:rPr>
                <w:rStyle w:val="Hyperlink"/>
                <w:rFonts w:ascii="Arial" w:hAnsi="Arial" w:cs="Arial"/>
                <w:b/>
                <w:bCs/>
                <w:noProof/>
              </w:rPr>
              <w:t>1.6 Research Objectives</w:t>
            </w:r>
            <w:r>
              <w:rPr>
                <w:noProof/>
                <w:webHidden/>
              </w:rPr>
              <w:tab/>
            </w:r>
            <w:r>
              <w:rPr>
                <w:noProof/>
                <w:webHidden/>
              </w:rPr>
              <w:fldChar w:fldCharType="begin"/>
            </w:r>
            <w:r>
              <w:rPr>
                <w:noProof/>
                <w:webHidden/>
              </w:rPr>
              <w:instrText xml:space="preserve"> PAGEREF _Toc230113838 \h </w:instrText>
            </w:r>
            <w:r>
              <w:rPr>
                <w:noProof/>
                <w:webHidden/>
              </w:rPr>
            </w:r>
            <w:r>
              <w:rPr>
                <w:noProof/>
                <w:webHidden/>
              </w:rPr>
              <w:fldChar w:fldCharType="separate"/>
            </w:r>
            <w:r>
              <w:rPr>
                <w:noProof/>
                <w:webHidden/>
              </w:rPr>
              <w:t>14</w:t>
            </w:r>
            <w:r>
              <w:rPr>
                <w:noProof/>
                <w:webHidden/>
              </w:rPr>
              <w:fldChar w:fldCharType="end"/>
            </w:r>
          </w:hyperlink>
        </w:p>
        <w:p w14:paraId="2F5046C2" w14:textId="6A8EF2B4" w:rsidR="00CF305A" w:rsidRDefault="00CF305A">
          <w:pPr>
            <w:pStyle w:val="TOC2"/>
            <w:tabs>
              <w:tab w:val="right" w:leader="dot" w:pos="9016"/>
            </w:tabs>
            <w:rPr>
              <w:noProof/>
              <w:lang w:eastAsia="zh-CN"/>
            </w:rPr>
          </w:pPr>
          <w:hyperlink w:anchor="_Toc230113839" w:history="1">
            <w:r w:rsidRPr="006B400E">
              <w:rPr>
                <w:rStyle w:val="Hyperlink"/>
                <w:rFonts w:ascii="Arial" w:hAnsi="Arial" w:cs="Arial"/>
                <w:b/>
                <w:bCs/>
                <w:noProof/>
              </w:rPr>
              <w:t>1.7 Chapter Summary</w:t>
            </w:r>
            <w:r>
              <w:rPr>
                <w:noProof/>
                <w:webHidden/>
              </w:rPr>
              <w:tab/>
            </w:r>
            <w:r>
              <w:rPr>
                <w:noProof/>
                <w:webHidden/>
              </w:rPr>
              <w:fldChar w:fldCharType="begin"/>
            </w:r>
            <w:r>
              <w:rPr>
                <w:noProof/>
                <w:webHidden/>
              </w:rPr>
              <w:instrText xml:space="preserve"> PAGEREF _Toc230113839 \h </w:instrText>
            </w:r>
            <w:r>
              <w:rPr>
                <w:noProof/>
                <w:webHidden/>
              </w:rPr>
            </w:r>
            <w:r>
              <w:rPr>
                <w:noProof/>
                <w:webHidden/>
              </w:rPr>
              <w:fldChar w:fldCharType="separate"/>
            </w:r>
            <w:r>
              <w:rPr>
                <w:noProof/>
                <w:webHidden/>
              </w:rPr>
              <w:t>14</w:t>
            </w:r>
            <w:r>
              <w:rPr>
                <w:noProof/>
                <w:webHidden/>
              </w:rPr>
              <w:fldChar w:fldCharType="end"/>
            </w:r>
          </w:hyperlink>
        </w:p>
        <w:p w14:paraId="35B7481C" w14:textId="239CE868" w:rsidR="00CF305A" w:rsidRDefault="00CF305A">
          <w:pPr>
            <w:pStyle w:val="TOC1"/>
            <w:tabs>
              <w:tab w:val="right" w:leader="dot" w:pos="9016"/>
            </w:tabs>
            <w:rPr>
              <w:noProof/>
              <w:lang w:eastAsia="zh-CN"/>
            </w:rPr>
          </w:pPr>
          <w:hyperlink w:anchor="_Toc230113840" w:history="1">
            <w:r w:rsidRPr="006B400E">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_Toc230113840 \h </w:instrText>
            </w:r>
            <w:r>
              <w:rPr>
                <w:noProof/>
                <w:webHidden/>
              </w:rPr>
            </w:r>
            <w:r>
              <w:rPr>
                <w:noProof/>
                <w:webHidden/>
              </w:rPr>
              <w:fldChar w:fldCharType="separate"/>
            </w:r>
            <w:r>
              <w:rPr>
                <w:noProof/>
                <w:webHidden/>
              </w:rPr>
              <w:t>15</w:t>
            </w:r>
            <w:r>
              <w:rPr>
                <w:noProof/>
                <w:webHidden/>
              </w:rPr>
              <w:fldChar w:fldCharType="end"/>
            </w:r>
          </w:hyperlink>
        </w:p>
        <w:p w14:paraId="53562686" w14:textId="120884F7" w:rsidR="00CF305A" w:rsidRDefault="00CF305A">
          <w:pPr>
            <w:pStyle w:val="TOC2"/>
            <w:tabs>
              <w:tab w:val="right" w:leader="dot" w:pos="9016"/>
            </w:tabs>
            <w:rPr>
              <w:noProof/>
              <w:lang w:eastAsia="zh-CN"/>
            </w:rPr>
          </w:pPr>
          <w:hyperlink w:anchor="_Toc230113841" w:history="1">
            <w:r w:rsidRPr="006B400E">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_Toc230113841 \h </w:instrText>
            </w:r>
            <w:r>
              <w:rPr>
                <w:noProof/>
                <w:webHidden/>
              </w:rPr>
            </w:r>
            <w:r>
              <w:rPr>
                <w:noProof/>
                <w:webHidden/>
              </w:rPr>
              <w:fldChar w:fldCharType="separate"/>
            </w:r>
            <w:r>
              <w:rPr>
                <w:noProof/>
                <w:webHidden/>
              </w:rPr>
              <w:t>15</w:t>
            </w:r>
            <w:r>
              <w:rPr>
                <w:noProof/>
                <w:webHidden/>
              </w:rPr>
              <w:fldChar w:fldCharType="end"/>
            </w:r>
          </w:hyperlink>
        </w:p>
        <w:p w14:paraId="2B10C00B" w14:textId="49FF129C" w:rsidR="00CF305A" w:rsidRDefault="00CF305A">
          <w:pPr>
            <w:pStyle w:val="TOC2"/>
            <w:tabs>
              <w:tab w:val="right" w:leader="dot" w:pos="9016"/>
            </w:tabs>
            <w:rPr>
              <w:noProof/>
              <w:lang w:eastAsia="zh-CN"/>
            </w:rPr>
          </w:pPr>
          <w:hyperlink w:anchor="_Toc230113842" w:history="1">
            <w:r w:rsidRPr="006B400E">
              <w:rPr>
                <w:rStyle w:val="Hyperlink"/>
                <w:rFonts w:ascii="Arial" w:hAnsi="Arial" w:cs="Arial"/>
                <w:b/>
                <w:bCs/>
                <w:noProof/>
              </w:rPr>
              <w:t>2.2 Literature Review: Facilitators and Barriers</w:t>
            </w:r>
            <w:r>
              <w:rPr>
                <w:noProof/>
                <w:webHidden/>
              </w:rPr>
              <w:tab/>
            </w:r>
            <w:r>
              <w:rPr>
                <w:noProof/>
                <w:webHidden/>
              </w:rPr>
              <w:fldChar w:fldCharType="begin"/>
            </w:r>
            <w:r>
              <w:rPr>
                <w:noProof/>
                <w:webHidden/>
              </w:rPr>
              <w:instrText xml:space="preserve"> PAGEREF _Toc230113842 \h </w:instrText>
            </w:r>
            <w:r>
              <w:rPr>
                <w:noProof/>
                <w:webHidden/>
              </w:rPr>
            </w:r>
            <w:r>
              <w:rPr>
                <w:noProof/>
                <w:webHidden/>
              </w:rPr>
              <w:fldChar w:fldCharType="separate"/>
            </w:r>
            <w:r>
              <w:rPr>
                <w:noProof/>
                <w:webHidden/>
              </w:rPr>
              <w:t>15</w:t>
            </w:r>
            <w:r>
              <w:rPr>
                <w:noProof/>
                <w:webHidden/>
              </w:rPr>
              <w:fldChar w:fldCharType="end"/>
            </w:r>
          </w:hyperlink>
        </w:p>
        <w:p w14:paraId="3CA425E9" w14:textId="2E94715A" w:rsidR="00CF305A" w:rsidRDefault="00CF305A">
          <w:pPr>
            <w:pStyle w:val="TOC3"/>
            <w:tabs>
              <w:tab w:val="right" w:leader="dot" w:pos="9016"/>
            </w:tabs>
            <w:rPr>
              <w:noProof/>
              <w:lang w:eastAsia="zh-CN"/>
            </w:rPr>
          </w:pPr>
          <w:hyperlink w:anchor="_Toc230113843" w:history="1">
            <w:r w:rsidRPr="006B400E">
              <w:rPr>
                <w:rStyle w:val="Hyperlink"/>
                <w:b/>
                <w:bCs/>
                <w:noProof/>
              </w:rPr>
              <w:t>2.2.1The Dual-Action Advantage and "Food Noise"</w:t>
            </w:r>
            <w:r>
              <w:rPr>
                <w:noProof/>
                <w:webHidden/>
              </w:rPr>
              <w:tab/>
            </w:r>
            <w:r>
              <w:rPr>
                <w:noProof/>
                <w:webHidden/>
              </w:rPr>
              <w:fldChar w:fldCharType="begin"/>
            </w:r>
            <w:r>
              <w:rPr>
                <w:noProof/>
                <w:webHidden/>
              </w:rPr>
              <w:instrText xml:space="preserve"> PAGEREF _Toc230113843 \h </w:instrText>
            </w:r>
            <w:r>
              <w:rPr>
                <w:noProof/>
                <w:webHidden/>
              </w:rPr>
            </w:r>
            <w:r>
              <w:rPr>
                <w:noProof/>
                <w:webHidden/>
              </w:rPr>
              <w:fldChar w:fldCharType="separate"/>
            </w:r>
            <w:r>
              <w:rPr>
                <w:noProof/>
                <w:webHidden/>
              </w:rPr>
              <w:t>15</w:t>
            </w:r>
            <w:r>
              <w:rPr>
                <w:noProof/>
                <w:webHidden/>
              </w:rPr>
              <w:fldChar w:fldCharType="end"/>
            </w:r>
          </w:hyperlink>
        </w:p>
        <w:p w14:paraId="004F332A" w14:textId="51CCFA58" w:rsidR="00CF305A" w:rsidRDefault="00CF305A">
          <w:pPr>
            <w:pStyle w:val="TOC3"/>
            <w:tabs>
              <w:tab w:val="right" w:leader="dot" w:pos="9016"/>
            </w:tabs>
            <w:rPr>
              <w:noProof/>
              <w:lang w:eastAsia="zh-CN"/>
            </w:rPr>
          </w:pPr>
          <w:hyperlink w:anchor="_Toc230113844" w:history="1">
            <w:r w:rsidRPr="006B400E">
              <w:rPr>
                <w:rStyle w:val="Hyperlink"/>
                <w:b/>
                <w:bCs/>
                <w:noProof/>
              </w:rPr>
              <w:t>2.2.2 Psychosocial and Community Perspectives</w:t>
            </w:r>
            <w:r>
              <w:rPr>
                <w:noProof/>
                <w:webHidden/>
              </w:rPr>
              <w:tab/>
            </w:r>
            <w:r>
              <w:rPr>
                <w:noProof/>
                <w:webHidden/>
              </w:rPr>
              <w:fldChar w:fldCharType="begin"/>
            </w:r>
            <w:r>
              <w:rPr>
                <w:noProof/>
                <w:webHidden/>
              </w:rPr>
              <w:instrText xml:space="preserve"> PAGEREF _Toc230113844 \h </w:instrText>
            </w:r>
            <w:r>
              <w:rPr>
                <w:noProof/>
                <w:webHidden/>
              </w:rPr>
            </w:r>
            <w:r>
              <w:rPr>
                <w:noProof/>
                <w:webHidden/>
              </w:rPr>
              <w:fldChar w:fldCharType="separate"/>
            </w:r>
            <w:r>
              <w:rPr>
                <w:noProof/>
                <w:webHidden/>
              </w:rPr>
              <w:t>16</w:t>
            </w:r>
            <w:r>
              <w:rPr>
                <w:noProof/>
                <w:webHidden/>
              </w:rPr>
              <w:fldChar w:fldCharType="end"/>
            </w:r>
          </w:hyperlink>
        </w:p>
        <w:p w14:paraId="796A8BBA" w14:textId="6448B394" w:rsidR="00CF305A" w:rsidRDefault="00CF305A">
          <w:pPr>
            <w:pStyle w:val="TOC2"/>
            <w:tabs>
              <w:tab w:val="right" w:leader="dot" w:pos="9016"/>
            </w:tabs>
            <w:rPr>
              <w:noProof/>
              <w:lang w:eastAsia="zh-CN"/>
            </w:rPr>
          </w:pPr>
          <w:hyperlink w:anchor="_Toc230113845" w:history="1">
            <w:r w:rsidRPr="006B400E">
              <w:rPr>
                <w:rStyle w:val="Hyperlink"/>
                <w:b/>
                <w:bCs/>
                <w:noProof/>
              </w:rPr>
              <w:t>2.2.3 Systemic and Biological Barriers</w:t>
            </w:r>
            <w:r>
              <w:rPr>
                <w:noProof/>
                <w:webHidden/>
              </w:rPr>
              <w:tab/>
            </w:r>
            <w:r>
              <w:rPr>
                <w:noProof/>
                <w:webHidden/>
              </w:rPr>
              <w:fldChar w:fldCharType="begin"/>
            </w:r>
            <w:r>
              <w:rPr>
                <w:noProof/>
                <w:webHidden/>
              </w:rPr>
              <w:instrText xml:space="preserve"> PAGEREF _Toc230113845 \h </w:instrText>
            </w:r>
            <w:r>
              <w:rPr>
                <w:noProof/>
                <w:webHidden/>
              </w:rPr>
            </w:r>
            <w:r>
              <w:rPr>
                <w:noProof/>
                <w:webHidden/>
              </w:rPr>
              <w:fldChar w:fldCharType="separate"/>
            </w:r>
            <w:r>
              <w:rPr>
                <w:noProof/>
                <w:webHidden/>
              </w:rPr>
              <w:t>16</w:t>
            </w:r>
            <w:r>
              <w:rPr>
                <w:noProof/>
                <w:webHidden/>
              </w:rPr>
              <w:fldChar w:fldCharType="end"/>
            </w:r>
          </w:hyperlink>
        </w:p>
        <w:p w14:paraId="077F44A1" w14:textId="224B0927" w:rsidR="00CF305A" w:rsidRDefault="00CF305A">
          <w:pPr>
            <w:pStyle w:val="TOC3"/>
            <w:tabs>
              <w:tab w:val="right" w:leader="dot" w:pos="9016"/>
            </w:tabs>
            <w:rPr>
              <w:noProof/>
              <w:lang w:eastAsia="zh-CN"/>
            </w:rPr>
          </w:pPr>
          <w:hyperlink w:anchor="_Toc230113846" w:history="1">
            <w:r w:rsidRPr="006B400E">
              <w:rPr>
                <w:rStyle w:val="Hyperlink"/>
                <w:b/>
                <w:bCs/>
                <w:noProof/>
                <w:lang w:eastAsia="zh-CN"/>
              </w:rPr>
              <w:t>2.2.3.1 The ‘Two-Tier’ Access Barrier</w:t>
            </w:r>
            <w:r>
              <w:rPr>
                <w:noProof/>
                <w:webHidden/>
              </w:rPr>
              <w:tab/>
            </w:r>
            <w:r>
              <w:rPr>
                <w:noProof/>
                <w:webHidden/>
              </w:rPr>
              <w:fldChar w:fldCharType="begin"/>
            </w:r>
            <w:r>
              <w:rPr>
                <w:noProof/>
                <w:webHidden/>
              </w:rPr>
              <w:instrText xml:space="preserve"> PAGEREF _Toc230113846 \h </w:instrText>
            </w:r>
            <w:r>
              <w:rPr>
                <w:noProof/>
                <w:webHidden/>
              </w:rPr>
            </w:r>
            <w:r>
              <w:rPr>
                <w:noProof/>
                <w:webHidden/>
              </w:rPr>
              <w:fldChar w:fldCharType="separate"/>
            </w:r>
            <w:r>
              <w:rPr>
                <w:noProof/>
                <w:webHidden/>
              </w:rPr>
              <w:t>17</w:t>
            </w:r>
            <w:r>
              <w:rPr>
                <w:noProof/>
                <w:webHidden/>
              </w:rPr>
              <w:fldChar w:fldCharType="end"/>
            </w:r>
          </w:hyperlink>
        </w:p>
        <w:p w14:paraId="38787F20" w14:textId="3D29C38F" w:rsidR="00CF305A" w:rsidRDefault="00CF305A">
          <w:pPr>
            <w:pStyle w:val="TOC3"/>
            <w:tabs>
              <w:tab w:val="right" w:leader="dot" w:pos="9016"/>
            </w:tabs>
            <w:rPr>
              <w:noProof/>
              <w:lang w:eastAsia="zh-CN"/>
            </w:rPr>
          </w:pPr>
          <w:hyperlink w:anchor="_Toc230113847" w:history="1">
            <w:r w:rsidRPr="006B400E">
              <w:rPr>
                <w:rStyle w:val="Hyperlink"/>
                <w:b/>
                <w:bCs/>
                <w:noProof/>
                <w:lang w:eastAsia="zh-CN"/>
              </w:rPr>
              <w:t>2.2.3.2 The Biological Barriers</w:t>
            </w:r>
            <w:r>
              <w:rPr>
                <w:noProof/>
                <w:webHidden/>
              </w:rPr>
              <w:tab/>
            </w:r>
            <w:r>
              <w:rPr>
                <w:noProof/>
                <w:webHidden/>
              </w:rPr>
              <w:fldChar w:fldCharType="begin"/>
            </w:r>
            <w:r>
              <w:rPr>
                <w:noProof/>
                <w:webHidden/>
              </w:rPr>
              <w:instrText xml:space="preserve"> PAGEREF _Toc230113847 \h </w:instrText>
            </w:r>
            <w:r>
              <w:rPr>
                <w:noProof/>
                <w:webHidden/>
              </w:rPr>
            </w:r>
            <w:r>
              <w:rPr>
                <w:noProof/>
                <w:webHidden/>
              </w:rPr>
              <w:fldChar w:fldCharType="separate"/>
            </w:r>
            <w:r>
              <w:rPr>
                <w:noProof/>
                <w:webHidden/>
              </w:rPr>
              <w:t>17</w:t>
            </w:r>
            <w:r>
              <w:rPr>
                <w:noProof/>
                <w:webHidden/>
              </w:rPr>
              <w:fldChar w:fldCharType="end"/>
            </w:r>
          </w:hyperlink>
        </w:p>
        <w:p w14:paraId="01B1AFAB" w14:textId="64F57C89" w:rsidR="00CF305A" w:rsidRDefault="00CF305A">
          <w:pPr>
            <w:pStyle w:val="TOC3"/>
            <w:tabs>
              <w:tab w:val="right" w:leader="dot" w:pos="9016"/>
            </w:tabs>
            <w:rPr>
              <w:noProof/>
              <w:lang w:eastAsia="zh-CN"/>
            </w:rPr>
          </w:pPr>
          <w:hyperlink w:anchor="_Toc230113848" w:history="1">
            <w:r w:rsidRPr="006B400E">
              <w:rPr>
                <w:rStyle w:val="Hyperlink"/>
                <w:b/>
                <w:bCs/>
                <w:noProof/>
                <w:lang w:eastAsia="zh-CN"/>
              </w:rPr>
              <w:t>2.2.4 Cultural and Language Hurdles</w:t>
            </w:r>
            <w:r>
              <w:rPr>
                <w:noProof/>
                <w:webHidden/>
              </w:rPr>
              <w:tab/>
            </w:r>
            <w:r>
              <w:rPr>
                <w:noProof/>
                <w:webHidden/>
              </w:rPr>
              <w:fldChar w:fldCharType="begin"/>
            </w:r>
            <w:r>
              <w:rPr>
                <w:noProof/>
                <w:webHidden/>
              </w:rPr>
              <w:instrText xml:space="preserve"> PAGEREF _Toc230113848 \h </w:instrText>
            </w:r>
            <w:r>
              <w:rPr>
                <w:noProof/>
                <w:webHidden/>
              </w:rPr>
            </w:r>
            <w:r>
              <w:rPr>
                <w:noProof/>
                <w:webHidden/>
              </w:rPr>
              <w:fldChar w:fldCharType="separate"/>
            </w:r>
            <w:r>
              <w:rPr>
                <w:noProof/>
                <w:webHidden/>
              </w:rPr>
              <w:t>18</w:t>
            </w:r>
            <w:r>
              <w:rPr>
                <w:noProof/>
                <w:webHidden/>
              </w:rPr>
              <w:fldChar w:fldCharType="end"/>
            </w:r>
          </w:hyperlink>
        </w:p>
        <w:p w14:paraId="18ACD9B6" w14:textId="732AE65B" w:rsidR="00CF305A" w:rsidRDefault="00CF305A">
          <w:pPr>
            <w:pStyle w:val="TOC3"/>
            <w:tabs>
              <w:tab w:val="right" w:leader="dot" w:pos="9016"/>
            </w:tabs>
            <w:rPr>
              <w:noProof/>
              <w:lang w:eastAsia="zh-CN"/>
            </w:rPr>
          </w:pPr>
          <w:hyperlink w:anchor="_Toc230113849" w:history="1">
            <w:r w:rsidRPr="006B400E">
              <w:rPr>
                <w:rStyle w:val="Hyperlink"/>
                <w:b/>
                <w:bCs/>
                <w:noProof/>
                <w:lang w:eastAsia="zh-CN"/>
              </w:rPr>
              <w:t>2.2.5 The GP Burden and Clinical Inertia</w:t>
            </w:r>
            <w:r>
              <w:rPr>
                <w:noProof/>
                <w:webHidden/>
              </w:rPr>
              <w:tab/>
            </w:r>
            <w:r>
              <w:rPr>
                <w:noProof/>
                <w:webHidden/>
              </w:rPr>
              <w:fldChar w:fldCharType="begin"/>
            </w:r>
            <w:r>
              <w:rPr>
                <w:noProof/>
                <w:webHidden/>
              </w:rPr>
              <w:instrText xml:space="preserve"> PAGEREF _Toc230113849 \h </w:instrText>
            </w:r>
            <w:r>
              <w:rPr>
                <w:noProof/>
                <w:webHidden/>
              </w:rPr>
            </w:r>
            <w:r>
              <w:rPr>
                <w:noProof/>
                <w:webHidden/>
              </w:rPr>
              <w:fldChar w:fldCharType="separate"/>
            </w:r>
            <w:r>
              <w:rPr>
                <w:noProof/>
                <w:webHidden/>
              </w:rPr>
              <w:t>18</w:t>
            </w:r>
            <w:r>
              <w:rPr>
                <w:noProof/>
                <w:webHidden/>
              </w:rPr>
              <w:fldChar w:fldCharType="end"/>
            </w:r>
          </w:hyperlink>
        </w:p>
        <w:p w14:paraId="3A28E380" w14:textId="1639D9B7" w:rsidR="00CF305A" w:rsidRDefault="00CF305A">
          <w:pPr>
            <w:pStyle w:val="TOC3"/>
            <w:tabs>
              <w:tab w:val="right" w:leader="dot" w:pos="9016"/>
            </w:tabs>
            <w:rPr>
              <w:noProof/>
              <w:lang w:eastAsia="zh-CN"/>
            </w:rPr>
          </w:pPr>
          <w:hyperlink w:anchor="_Toc230113850" w:history="1">
            <w:r w:rsidRPr="006B400E">
              <w:rPr>
                <w:rStyle w:val="Hyperlink"/>
                <w:b/>
                <w:bCs/>
                <w:noProof/>
              </w:rPr>
              <w:t>2.3 A Critical Evaluation of Gaps in existing research.</w:t>
            </w:r>
            <w:r>
              <w:rPr>
                <w:noProof/>
                <w:webHidden/>
              </w:rPr>
              <w:tab/>
            </w:r>
            <w:r>
              <w:rPr>
                <w:noProof/>
                <w:webHidden/>
              </w:rPr>
              <w:fldChar w:fldCharType="begin"/>
            </w:r>
            <w:r>
              <w:rPr>
                <w:noProof/>
                <w:webHidden/>
              </w:rPr>
              <w:instrText xml:space="preserve"> PAGEREF _Toc230113850 \h </w:instrText>
            </w:r>
            <w:r>
              <w:rPr>
                <w:noProof/>
                <w:webHidden/>
              </w:rPr>
            </w:r>
            <w:r>
              <w:rPr>
                <w:noProof/>
                <w:webHidden/>
              </w:rPr>
              <w:fldChar w:fldCharType="separate"/>
            </w:r>
            <w:r>
              <w:rPr>
                <w:noProof/>
                <w:webHidden/>
              </w:rPr>
              <w:t>18</w:t>
            </w:r>
            <w:r>
              <w:rPr>
                <w:noProof/>
                <w:webHidden/>
              </w:rPr>
              <w:fldChar w:fldCharType="end"/>
            </w:r>
          </w:hyperlink>
        </w:p>
        <w:p w14:paraId="4DAC81D0" w14:textId="00382790" w:rsidR="00CF305A" w:rsidRDefault="00CF305A">
          <w:pPr>
            <w:pStyle w:val="TOC1"/>
            <w:tabs>
              <w:tab w:val="right" w:leader="dot" w:pos="9016"/>
            </w:tabs>
            <w:rPr>
              <w:noProof/>
              <w:lang w:eastAsia="zh-CN"/>
            </w:rPr>
          </w:pPr>
          <w:hyperlink w:anchor="_Toc230113851" w:history="1">
            <w:r w:rsidRPr="006B400E">
              <w:rPr>
                <w:rStyle w:val="Hyperlink"/>
                <w:rFonts w:ascii="Arial" w:hAnsi="Arial" w:cs="Arial"/>
                <w:b/>
                <w:bCs/>
                <w:noProof/>
              </w:rPr>
              <w:t>Chapter 3</w:t>
            </w:r>
            <w:r>
              <w:rPr>
                <w:noProof/>
                <w:webHidden/>
              </w:rPr>
              <w:tab/>
            </w:r>
            <w:r>
              <w:rPr>
                <w:noProof/>
                <w:webHidden/>
              </w:rPr>
              <w:fldChar w:fldCharType="begin"/>
            </w:r>
            <w:r>
              <w:rPr>
                <w:noProof/>
                <w:webHidden/>
              </w:rPr>
              <w:instrText xml:space="preserve"> PAGEREF _Toc230113851 \h </w:instrText>
            </w:r>
            <w:r>
              <w:rPr>
                <w:noProof/>
                <w:webHidden/>
              </w:rPr>
            </w:r>
            <w:r>
              <w:rPr>
                <w:noProof/>
                <w:webHidden/>
              </w:rPr>
              <w:fldChar w:fldCharType="separate"/>
            </w:r>
            <w:r>
              <w:rPr>
                <w:noProof/>
                <w:webHidden/>
              </w:rPr>
              <w:t>21</w:t>
            </w:r>
            <w:r>
              <w:rPr>
                <w:noProof/>
                <w:webHidden/>
              </w:rPr>
              <w:fldChar w:fldCharType="end"/>
            </w:r>
          </w:hyperlink>
        </w:p>
        <w:p w14:paraId="6DFCDA02" w14:textId="47F35695" w:rsidR="00CF305A" w:rsidRDefault="00CF305A">
          <w:pPr>
            <w:pStyle w:val="TOC2"/>
            <w:tabs>
              <w:tab w:val="right" w:leader="dot" w:pos="9016"/>
            </w:tabs>
            <w:rPr>
              <w:noProof/>
              <w:lang w:eastAsia="zh-CN"/>
            </w:rPr>
          </w:pPr>
          <w:hyperlink w:anchor="_Toc230113852" w:history="1">
            <w:r w:rsidRPr="006B400E">
              <w:rPr>
                <w:rStyle w:val="Hyperlink"/>
                <w:rFonts w:ascii="Arial" w:hAnsi="Arial" w:cs="Arial"/>
                <w:b/>
                <w:bCs/>
                <w:noProof/>
              </w:rPr>
              <w:t>3.1 - Introduction</w:t>
            </w:r>
            <w:r>
              <w:rPr>
                <w:noProof/>
                <w:webHidden/>
              </w:rPr>
              <w:tab/>
            </w:r>
            <w:r>
              <w:rPr>
                <w:noProof/>
                <w:webHidden/>
              </w:rPr>
              <w:fldChar w:fldCharType="begin"/>
            </w:r>
            <w:r>
              <w:rPr>
                <w:noProof/>
                <w:webHidden/>
              </w:rPr>
              <w:instrText xml:space="preserve"> PAGEREF _Toc230113852 \h </w:instrText>
            </w:r>
            <w:r>
              <w:rPr>
                <w:noProof/>
                <w:webHidden/>
              </w:rPr>
            </w:r>
            <w:r>
              <w:rPr>
                <w:noProof/>
                <w:webHidden/>
              </w:rPr>
              <w:fldChar w:fldCharType="separate"/>
            </w:r>
            <w:r>
              <w:rPr>
                <w:noProof/>
                <w:webHidden/>
              </w:rPr>
              <w:t>21</w:t>
            </w:r>
            <w:r>
              <w:rPr>
                <w:noProof/>
                <w:webHidden/>
              </w:rPr>
              <w:fldChar w:fldCharType="end"/>
            </w:r>
          </w:hyperlink>
        </w:p>
        <w:p w14:paraId="18446994" w14:textId="7C420731" w:rsidR="00CF305A" w:rsidRDefault="00CF305A">
          <w:pPr>
            <w:pStyle w:val="TOC2"/>
            <w:tabs>
              <w:tab w:val="right" w:leader="dot" w:pos="9016"/>
            </w:tabs>
            <w:rPr>
              <w:noProof/>
              <w:lang w:eastAsia="zh-CN"/>
            </w:rPr>
          </w:pPr>
          <w:hyperlink w:anchor="_Toc230113853" w:history="1">
            <w:r w:rsidRPr="006B400E">
              <w:rPr>
                <w:rStyle w:val="Hyperlink"/>
                <w:rFonts w:ascii="Arial" w:hAnsi="Arial" w:cs="Arial"/>
                <w:b/>
                <w:bCs/>
                <w:noProof/>
              </w:rPr>
              <w:t>3.2 Systematic Literature Review (SLR) overview of primary and secondary research.</w:t>
            </w:r>
            <w:r>
              <w:rPr>
                <w:noProof/>
                <w:webHidden/>
              </w:rPr>
              <w:tab/>
            </w:r>
            <w:r>
              <w:rPr>
                <w:noProof/>
                <w:webHidden/>
              </w:rPr>
              <w:fldChar w:fldCharType="begin"/>
            </w:r>
            <w:r>
              <w:rPr>
                <w:noProof/>
                <w:webHidden/>
              </w:rPr>
              <w:instrText xml:space="preserve"> PAGEREF _Toc230113853 \h </w:instrText>
            </w:r>
            <w:r>
              <w:rPr>
                <w:noProof/>
                <w:webHidden/>
              </w:rPr>
            </w:r>
            <w:r>
              <w:rPr>
                <w:noProof/>
                <w:webHidden/>
              </w:rPr>
              <w:fldChar w:fldCharType="separate"/>
            </w:r>
            <w:r>
              <w:rPr>
                <w:noProof/>
                <w:webHidden/>
              </w:rPr>
              <w:t>21</w:t>
            </w:r>
            <w:r>
              <w:rPr>
                <w:noProof/>
                <w:webHidden/>
              </w:rPr>
              <w:fldChar w:fldCharType="end"/>
            </w:r>
          </w:hyperlink>
        </w:p>
        <w:p w14:paraId="13930725" w14:textId="7F8063BA" w:rsidR="00CF305A" w:rsidRDefault="00CF305A">
          <w:pPr>
            <w:pStyle w:val="TOC3"/>
            <w:tabs>
              <w:tab w:val="right" w:leader="dot" w:pos="9016"/>
            </w:tabs>
            <w:rPr>
              <w:noProof/>
              <w:lang w:eastAsia="zh-CN"/>
            </w:rPr>
          </w:pPr>
          <w:hyperlink w:anchor="_Toc230113854" w:history="1">
            <w:r w:rsidRPr="006B400E">
              <w:rPr>
                <w:rStyle w:val="Hyperlink"/>
                <w:rFonts w:ascii="Arial" w:hAnsi="Arial" w:cs="Arial"/>
                <w:b/>
                <w:bCs/>
                <w:noProof/>
                <w:lang w:eastAsia="zh-CN"/>
              </w:rPr>
              <w:t>3.2.1 Analysis of Primary and Secondary Research</w:t>
            </w:r>
            <w:r>
              <w:rPr>
                <w:noProof/>
                <w:webHidden/>
              </w:rPr>
              <w:tab/>
            </w:r>
            <w:r>
              <w:rPr>
                <w:noProof/>
                <w:webHidden/>
              </w:rPr>
              <w:fldChar w:fldCharType="begin"/>
            </w:r>
            <w:r>
              <w:rPr>
                <w:noProof/>
                <w:webHidden/>
              </w:rPr>
              <w:instrText xml:space="preserve"> PAGEREF _Toc230113854 \h </w:instrText>
            </w:r>
            <w:r>
              <w:rPr>
                <w:noProof/>
                <w:webHidden/>
              </w:rPr>
            </w:r>
            <w:r>
              <w:rPr>
                <w:noProof/>
                <w:webHidden/>
              </w:rPr>
              <w:fldChar w:fldCharType="separate"/>
            </w:r>
            <w:r>
              <w:rPr>
                <w:noProof/>
                <w:webHidden/>
              </w:rPr>
              <w:t>21</w:t>
            </w:r>
            <w:r>
              <w:rPr>
                <w:noProof/>
                <w:webHidden/>
              </w:rPr>
              <w:fldChar w:fldCharType="end"/>
            </w:r>
          </w:hyperlink>
        </w:p>
        <w:p w14:paraId="0A85C8A6" w14:textId="4A616E81" w:rsidR="00CF305A" w:rsidRDefault="00CF305A">
          <w:pPr>
            <w:pStyle w:val="TOC3"/>
            <w:tabs>
              <w:tab w:val="right" w:leader="dot" w:pos="9016"/>
            </w:tabs>
            <w:rPr>
              <w:noProof/>
              <w:lang w:eastAsia="zh-CN"/>
            </w:rPr>
          </w:pPr>
          <w:hyperlink w:anchor="_Toc230113855" w:history="1">
            <w:r w:rsidRPr="006B400E">
              <w:rPr>
                <w:rStyle w:val="Hyperlink"/>
                <w:rFonts w:ascii="Arial" w:hAnsi="Arial" w:cs="Arial"/>
                <w:b/>
                <w:bCs/>
                <w:noProof/>
                <w:lang w:eastAsia="zh-CN"/>
              </w:rPr>
              <w:t>3.2.2 Rationale for Choosing a Systematic Literature Review (SLR)</w:t>
            </w:r>
            <w:r>
              <w:rPr>
                <w:noProof/>
                <w:webHidden/>
              </w:rPr>
              <w:tab/>
            </w:r>
            <w:r>
              <w:rPr>
                <w:noProof/>
                <w:webHidden/>
              </w:rPr>
              <w:fldChar w:fldCharType="begin"/>
            </w:r>
            <w:r>
              <w:rPr>
                <w:noProof/>
                <w:webHidden/>
              </w:rPr>
              <w:instrText xml:space="preserve"> PAGEREF _Toc230113855 \h </w:instrText>
            </w:r>
            <w:r>
              <w:rPr>
                <w:noProof/>
                <w:webHidden/>
              </w:rPr>
            </w:r>
            <w:r>
              <w:rPr>
                <w:noProof/>
                <w:webHidden/>
              </w:rPr>
              <w:fldChar w:fldCharType="separate"/>
            </w:r>
            <w:r>
              <w:rPr>
                <w:noProof/>
                <w:webHidden/>
              </w:rPr>
              <w:t>22</w:t>
            </w:r>
            <w:r>
              <w:rPr>
                <w:noProof/>
                <w:webHidden/>
              </w:rPr>
              <w:fldChar w:fldCharType="end"/>
            </w:r>
          </w:hyperlink>
        </w:p>
        <w:p w14:paraId="496F303E" w14:textId="22FA63B8" w:rsidR="00CF305A" w:rsidRDefault="00CF305A">
          <w:pPr>
            <w:pStyle w:val="TOC2"/>
            <w:tabs>
              <w:tab w:val="right" w:leader="dot" w:pos="9016"/>
            </w:tabs>
            <w:rPr>
              <w:noProof/>
              <w:lang w:eastAsia="zh-CN"/>
            </w:rPr>
          </w:pPr>
          <w:hyperlink w:anchor="_Toc230113856" w:history="1">
            <w:r w:rsidRPr="006B400E">
              <w:rPr>
                <w:rStyle w:val="Hyperlink"/>
                <w:rFonts w:ascii="Arial" w:hAnsi="Arial" w:cs="Arial"/>
                <w:b/>
                <w:bCs/>
                <w:noProof/>
              </w:rPr>
              <w:t>3.3 Search Strategy</w:t>
            </w:r>
            <w:r>
              <w:rPr>
                <w:noProof/>
                <w:webHidden/>
              </w:rPr>
              <w:tab/>
            </w:r>
            <w:r>
              <w:rPr>
                <w:noProof/>
                <w:webHidden/>
              </w:rPr>
              <w:fldChar w:fldCharType="begin"/>
            </w:r>
            <w:r>
              <w:rPr>
                <w:noProof/>
                <w:webHidden/>
              </w:rPr>
              <w:instrText xml:space="preserve"> PAGEREF _Toc230113856 \h </w:instrText>
            </w:r>
            <w:r>
              <w:rPr>
                <w:noProof/>
                <w:webHidden/>
              </w:rPr>
            </w:r>
            <w:r>
              <w:rPr>
                <w:noProof/>
                <w:webHidden/>
              </w:rPr>
              <w:fldChar w:fldCharType="separate"/>
            </w:r>
            <w:r>
              <w:rPr>
                <w:noProof/>
                <w:webHidden/>
              </w:rPr>
              <w:t>23</w:t>
            </w:r>
            <w:r>
              <w:rPr>
                <w:noProof/>
                <w:webHidden/>
              </w:rPr>
              <w:fldChar w:fldCharType="end"/>
            </w:r>
          </w:hyperlink>
        </w:p>
        <w:p w14:paraId="499A8D3E" w14:textId="26B84BD1" w:rsidR="00CF305A" w:rsidRDefault="00CF305A">
          <w:pPr>
            <w:pStyle w:val="TOC2"/>
            <w:tabs>
              <w:tab w:val="right" w:leader="dot" w:pos="9016"/>
            </w:tabs>
            <w:rPr>
              <w:noProof/>
              <w:lang w:eastAsia="zh-CN"/>
            </w:rPr>
          </w:pPr>
          <w:hyperlink w:anchor="_Toc230113857" w:history="1">
            <w:r w:rsidRPr="006B400E">
              <w:rPr>
                <w:rStyle w:val="Hyperlink"/>
                <w:rFonts w:ascii="Arial" w:hAnsi="Arial" w:cs="Arial"/>
                <w:b/>
                <w:bCs/>
                <w:noProof/>
              </w:rPr>
              <w:t>3.4 Search Terms</w:t>
            </w:r>
            <w:r>
              <w:rPr>
                <w:noProof/>
                <w:webHidden/>
              </w:rPr>
              <w:tab/>
            </w:r>
            <w:r>
              <w:rPr>
                <w:noProof/>
                <w:webHidden/>
              </w:rPr>
              <w:fldChar w:fldCharType="begin"/>
            </w:r>
            <w:r>
              <w:rPr>
                <w:noProof/>
                <w:webHidden/>
              </w:rPr>
              <w:instrText xml:space="preserve"> PAGEREF _Toc230113857 \h </w:instrText>
            </w:r>
            <w:r>
              <w:rPr>
                <w:noProof/>
                <w:webHidden/>
              </w:rPr>
            </w:r>
            <w:r>
              <w:rPr>
                <w:noProof/>
                <w:webHidden/>
              </w:rPr>
              <w:fldChar w:fldCharType="separate"/>
            </w:r>
            <w:r>
              <w:rPr>
                <w:noProof/>
                <w:webHidden/>
              </w:rPr>
              <w:t>23</w:t>
            </w:r>
            <w:r>
              <w:rPr>
                <w:noProof/>
                <w:webHidden/>
              </w:rPr>
              <w:fldChar w:fldCharType="end"/>
            </w:r>
          </w:hyperlink>
        </w:p>
        <w:p w14:paraId="492971BE" w14:textId="734DB703" w:rsidR="00CF305A" w:rsidRDefault="00CF305A">
          <w:pPr>
            <w:pStyle w:val="TOC3"/>
            <w:tabs>
              <w:tab w:val="right" w:leader="dot" w:pos="9016"/>
            </w:tabs>
            <w:rPr>
              <w:noProof/>
              <w:lang w:eastAsia="zh-CN"/>
            </w:rPr>
          </w:pPr>
          <w:hyperlink w:anchor="_Toc230113858" w:history="1">
            <w:r w:rsidRPr="006B400E">
              <w:rPr>
                <w:rStyle w:val="Hyperlink"/>
                <w:rFonts w:ascii="Arial" w:hAnsi="Arial" w:cs="Arial"/>
                <w:b/>
                <w:bCs/>
                <w:noProof/>
              </w:rPr>
              <w:t>Table 1: PEO Framework and Search Strategy</w:t>
            </w:r>
            <w:r>
              <w:rPr>
                <w:noProof/>
                <w:webHidden/>
              </w:rPr>
              <w:tab/>
            </w:r>
            <w:r>
              <w:rPr>
                <w:noProof/>
                <w:webHidden/>
              </w:rPr>
              <w:fldChar w:fldCharType="begin"/>
            </w:r>
            <w:r>
              <w:rPr>
                <w:noProof/>
                <w:webHidden/>
              </w:rPr>
              <w:instrText xml:space="preserve"> PAGEREF _Toc230113858 \h </w:instrText>
            </w:r>
            <w:r>
              <w:rPr>
                <w:noProof/>
                <w:webHidden/>
              </w:rPr>
            </w:r>
            <w:r>
              <w:rPr>
                <w:noProof/>
                <w:webHidden/>
              </w:rPr>
              <w:fldChar w:fldCharType="separate"/>
            </w:r>
            <w:r>
              <w:rPr>
                <w:noProof/>
                <w:webHidden/>
              </w:rPr>
              <w:t>24</w:t>
            </w:r>
            <w:r>
              <w:rPr>
                <w:noProof/>
                <w:webHidden/>
              </w:rPr>
              <w:fldChar w:fldCharType="end"/>
            </w:r>
          </w:hyperlink>
        </w:p>
        <w:p w14:paraId="55FD6748" w14:textId="5BDF6B03" w:rsidR="00CF305A" w:rsidRDefault="00CF305A">
          <w:pPr>
            <w:pStyle w:val="TOC2"/>
            <w:tabs>
              <w:tab w:val="right" w:leader="dot" w:pos="9016"/>
            </w:tabs>
            <w:rPr>
              <w:noProof/>
              <w:lang w:eastAsia="zh-CN"/>
            </w:rPr>
          </w:pPr>
          <w:hyperlink w:anchor="_Toc230113859" w:history="1">
            <w:r w:rsidRPr="006B400E">
              <w:rPr>
                <w:rStyle w:val="Hyperlink"/>
                <w:rFonts w:ascii="Arial" w:hAnsi="Arial" w:cs="Arial"/>
                <w:b/>
                <w:bCs/>
                <w:noProof/>
              </w:rPr>
              <w:t>3.5 Key Words</w:t>
            </w:r>
            <w:r>
              <w:rPr>
                <w:noProof/>
                <w:webHidden/>
              </w:rPr>
              <w:tab/>
            </w:r>
            <w:r>
              <w:rPr>
                <w:noProof/>
                <w:webHidden/>
              </w:rPr>
              <w:fldChar w:fldCharType="begin"/>
            </w:r>
            <w:r>
              <w:rPr>
                <w:noProof/>
                <w:webHidden/>
              </w:rPr>
              <w:instrText xml:space="preserve"> PAGEREF _Toc230113859 \h </w:instrText>
            </w:r>
            <w:r>
              <w:rPr>
                <w:noProof/>
                <w:webHidden/>
              </w:rPr>
            </w:r>
            <w:r>
              <w:rPr>
                <w:noProof/>
                <w:webHidden/>
              </w:rPr>
              <w:fldChar w:fldCharType="separate"/>
            </w:r>
            <w:r>
              <w:rPr>
                <w:noProof/>
                <w:webHidden/>
              </w:rPr>
              <w:t>24</w:t>
            </w:r>
            <w:r>
              <w:rPr>
                <w:noProof/>
                <w:webHidden/>
              </w:rPr>
              <w:fldChar w:fldCharType="end"/>
            </w:r>
          </w:hyperlink>
        </w:p>
        <w:p w14:paraId="75700627" w14:textId="5609C957" w:rsidR="00CF305A" w:rsidRDefault="00CF305A">
          <w:pPr>
            <w:pStyle w:val="TOC2"/>
            <w:tabs>
              <w:tab w:val="right" w:leader="dot" w:pos="9016"/>
            </w:tabs>
            <w:rPr>
              <w:noProof/>
              <w:lang w:eastAsia="zh-CN"/>
            </w:rPr>
          </w:pPr>
          <w:hyperlink w:anchor="_Toc230113860" w:history="1">
            <w:r w:rsidRPr="006B400E">
              <w:rPr>
                <w:rStyle w:val="Hyperlink"/>
                <w:rFonts w:ascii="Arial" w:hAnsi="Arial" w:cs="Arial"/>
                <w:b/>
                <w:bCs/>
                <w:noProof/>
              </w:rPr>
              <w:t>3.6 Databases</w:t>
            </w:r>
            <w:r>
              <w:rPr>
                <w:noProof/>
                <w:webHidden/>
              </w:rPr>
              <w:tab/>
            </w:r>
            <w:r>
              <w:rPr>
                <w:noProof/>
                <w:webHidden/>
              </w:rPr>
              <w:fldChar w:fldCharType="begin"/>
            </w:r>
            <w:r>
              <w:rPr>
                <w:noProof/>
                <w:webHidden/>
              </w:rPr>
              <w:instrText xml:space="preserve"> PAGEREF _Toc230113860 \h </w:instrText>
            </w:r>
            <w:r>
              <w:rPr>
                <w:noProof/>
                <w:webHidden/>
              </w:rPr>
            </w:r>
            <w:r>
              <w:rPr>
                <w:noProof/>
                <w:webHidden/>
              </w:rPr>
              <w:fldChar w:fldCharType="separate"/>
            </w:r>
            <w:r>
              <w:rPr>
                <w:noProof/>
                <w:webHidden/>
              </w:rPr>
              <w:t>24</w:t>
            </w:r>
            <w:r>
              <w:rPr>
                <w:noProof/>
                <w:webHidden/>
              </w:rPr>
              <w:fldChar w:fldCharType="end"/>
            </w:r>
          </w:hyperlink>
        </w:p>
        <w:p w14:paraId="65A8ED91" w14:textId="0CEBA551" w:rsidR="00CF305A" w:rsidRDefault="00CF305A">
          <w:pPr>
            <w:pStyle w:val="TOC2"/>
            <w:tabs>
              <w:tab w:val="right" w:leader="dot" w:pos="9016"/>
            </w:tabs>
            <w:rPr>
              <w:noProof/>
              <w:lang w:eastAsia="zh-CN"/>
            </w:rPr>
          </w:pPr>
          <w:hyperlink w:anchor="_Toc230113861" w:history="1">
            <w:r w:rsidRPr="006B400E">
              <w:rPr>
                <w:rStyle w:val="Hyperlink"/>
                <w:rFonts w:ascii="Arial" w:hAnsi="Arial" w:cs="Arial"/>
                <w:b/>
                <w:bCs/>
                <w:noProof/>
              </w:rPr>
              <w:t>3.7 Inclusion/Exclusion Criteria</w:t>
            </w:r>
            <w:r>
              <w:rPr>
                <w:noProof/>
                <w:webHidden/>
              </w:rPr>
              <w:tab/>
            </w:r>
            <w:r>
              <w:rPr>
                <w:noProof/>
                <w:webHidden/>
              </w:rPr>
              <w:fldChar w:fldCharType="begin"/>
            </w:r>
            <w:r>
              <w:rPr>
                <w:noProof/>
                <w:webHidden/>
              </w:rPr>
              <w:instrText xml:space="preserve"> PAGEREF _Toc230113861 \h </w:instrText>
            </w:r>
            <w:r>
              <w:rPr>
                <w:noProof/>
                <w:webHidden/>
              </w:rPr>
            </w:r>
            <w:r>
              <w:rPr>
                <w:noProof/>
                <w:webHidden/>
              </w:rPr>
              <w:fldChar w:fldCharType="separate"/>
            </w:r>
            <w:r>
              <w:rPr>
                <w:noProof/>
                <w:webHidden/>
              </w:rPr>
              <w:t>25</w:t>
            </w:r>
            <w:r>
              <w:rPr>
                <w:noProof/>
                <w:webHidden/>
              </w:rPr>
              <w:fldChar w:fldCharType="end"/>
            </w:r>
          </w:hyperlink>
        </w:p>
        <w:p w14:paraId="1CAEC6FE" w14:textId="5D7B0752" w:rsidR="00CF305A" w:rsidRDefault="00CF305A">
          <w:pPr>
            <w:pStyle w:val="TOC3"/>
            <w:tabs>
              <w:tab w:val="right" w:leader="dot" w:pos="9016"/>
            </w:tabs>
            <w:rPr>
              <w:noProof/>
              <w:lang w:eastAsia="zh-CN"/>
            </w:rPr>
          </w:pPr>
          <w:hyperlink w:anchor="_Toc230113862" w:history="1">
            <w:r w:rsidRPr="006B400E">
              <w:rPr>
                <w:rStyle w:val="Hyperlink"/>
                <w:b/>
                <w:bCs/>
                <w:noProof/>
              </w:rPr>
              <w:t>Figure 5</w:t>
            </w:r>
            <w:r>
              <w:rPr>
                <w:noProof/>
                <w:webHidden/>
              </w:rPr>
              <w:tab/>
            </w:r>
            <w:r>
              <w:rPr>
                <w:noProof/>
                <w:webHidden/>
              </w:rPr>
              <w:fldChar w:fldCharType="begin"/>
            </w:r>
            <w:r>
              <w:rPr>
                <w:noProof/>
                <w:webHidden/>
              </w:rPr>
              <w:instrText xml:space="preserve"> PAGEREF _Toc230113862 \h </w:instrText>
            </w:r>
            <w:r>
              <w:rPr>
                <w:noProof/>
                <w:webHidden/>
              </w:rPr>
            </w:r>
            <w:r>
              <w:rPr>
                <w:noProof/>
                <w:webHidden/>
              </w:rPr>
              <w:fldChar w:fldCharType="separate"/>
            </w:r>
            <w:r>
              <w:rPr>
                <w:noProof/>
                <w:webHidden/>
              </w:rPr>
              <w:t>26</w:t>
            </w:r>
            <w:r>
              <w:rPr>
                <w:noProof/>
                <w:webHidden/>
              </w:rPr>
              <w:fldChar w:fldCharType="end"/>
            </w:r>
          </w:hyperlink>
        </w:p>
        <w:p w14:paraId="7814C6A7" w14:textId="21224954" w:rsidR="00CF305A" w:rsidRDefault="00CF305A">
          <w:pPr>
            <w:pStyle w:val="TOC3"/>
            <w:tabs>
              <w:tab w:val="right" w:leader="dot" w:pos="9016"/>
            </w:tabs>
            <w:rPr>
              <w:noProof/>
              <w:lang w:eastAsia="zh-CN"/>
            </w:rPr>
          </w:pPr>
          <w:hyperlink w:anchor="_Toc230113863" w:history="1">
            <w:r w:rsidRPr="006B400E">
              <w:rPr>
                <w:rStyle w:val="Hyperlink"/>
                <w:rFonts w:ascii="Arial" w:hAnsi="Arial" w:cs="Arial"/>
                <w:b/>
                <w:bCs/>
                <w:noProof/>
              </w:rPr>
              <w:t>3.7.1 Inclusion Criteria</w:t>
            </w:r>
            <w:r>
              <w:rPr>
                <w:noProof/>
                <w:webHidden/>
              </w:rPr>
              <w:tab/>
            </w:r>
            <w:r>
              <w:rPr>
                <w:noProof/>
                <w:webHidden/>
              </w:rPr>
              <w:fldChar w:fldCharType="begin"/>
            </w:r>
            <w:r>
              <w:rPr>
                <w:noProof/>
                <w:webHidden/>
              </w:rPr>
              <w:instrText xml:space="preserve"> PAGEREF _Toc230113863 \h </w:instrText>
            </w:r>
            <w:r>
              <w:rPr>
                <w:noProof/>
                <w:webHidden/>
              </w:rPr>
            </w:r>
            <w:r>
              <w:rPr>
                <w:noProof/>
                <w:webHidden/>
              </w:rPr>
              <w:fldChar w:fldCharType="separate"/>
            </w:r>
            <w:r>
              <w:rPr>
                <w:noProof/>
                <w:webHidden/>
              </w:rPr>
              <w:t>26</w:t>
            </w:r>
            <w:r>
              <w:rPr>
                <w:noProof/>
                <w:webHidden/>
              </w:rPr>
              <w:fldChar w:fldCharType="end"/>
            </w:r>
          </w:hyperlink>
        </w:p>
        <w:p w14:paraId="5015E057" w14:textId="7EC69AEB" w:rsidR="00CF305A" w:rsidRDefault="00CF305A">
          <w:pPr>
            <w:pStyle w:val="TOC3"/>
            <w:tabs>
              <w:tab w:val="right" w:leader="dot" w:pos="9016"/>
            </w:tabs>
            <w:rPr>
              <w:noProof/>
              <w:lang w:eastAsia="zh-CN"/>
            </w:rPr>
          </w:pPr>
          <w:hyperlink w:anchor="_Toc230113864" w:history="1">
            <w:r w:rsidRPr="006B400E">
              <w:rPr>
                <w:rStyle w:val="Hyperlink"/>
                <w:rFonts w:ascii="Arial" w:hAnsi="Arial" w:cs="Arial"/>
                <w:b/>
                <w:bCs/>
                <w:noProof/>
              </w:rPr>
              <w:t>3.7.2 Exclusion Criteria</w:t>
            </w:r>
            <w:r>
              <w:rPr>
                <w:noProof/>
                <w:webHidden/>
              </w:rPr>
              <w:tab/>
            </w:r>
            <w:r>
              <w:rPr>
                <w:noProof/>
                <w:webHidden/>
              </w:rPr>
              <w:fldChar w:fldCharType="begin"/>
            </w:r>
            <w:r>
              <w:rPr>
                <w:noProof/>
                <w:webHidden/>
              </w:rPr>
              <w:instrText xml:space="preserve"> PAGEREF _Toc230113864 \h </w:instrText>
            </w:r>
            <w:r>
              <w:rPr>
                <w:noProof/>
                <w:webHidden/>
              </w:rPr>
            </w:r>
            <w:r>
              <w:rPr>
                <w:noProof/>
                <w:webHidden/>
              </w:rPr>
              <w:fldChar w:fldCharType="separate"/>
            </w:r>
            <w:r>
              <w:rPr>
                <w:noProof/>
                <w:webHidden/>
              </w:rPr>
              <w:t>26</w:t>
            </w:r>
            <w:r>
              <w:rPr>
                <w:noProof/>
                <w:webHidden/>
              </w:rPr>
              <w:fldChar w:fldCharType="end"/>
            </w:r>
          </w:hyperlink>
        </w:p>
        <w:p w14:paraId="724C4431" w14:textId="3055820C" w:rsidR="00CF305A" w:rsidRDefault="00CF305A">
          <w:pPr>
            <w:pStyle w:val="TOC2"/>
            <w:tabs>
              <w:tab w:val="right" w:leader="dot" w:pos="9016"/>
            </w:tabs>
            <w:rPr>
              <w:noProof/>
              <w:lang w:eastAsia="zh-CN"/>
            </w:rPr>
          </w:pPr>
          <w:hyperlink w:anchor="_Toc230113865" w:history="1">
            <w:r w:rsidRPr="006B400E">
              <w:rPr>
                <w:rStyle w:val="Hyperlink"/>
                <w:rFonts w:ascii="Arial" w:hAnsi="Arial" w:cs="Arial"/>
                <w:b/>
                <w:bCs/>
                <w:noProof/>
              </w:rPr>
              <w:t>3.8 Search Results</w:t>
            </w:r>
            <w:r>
              <w:rPr>
                <w:noProof/>
                <w:webHidden/>
              </w:rPr>
              <w:tab/>
            </w:r>
            <w:r>
              <w:rPr>
                <w:noProof/>
                <w:webHidden/>
              </w:rPr>
              <w:fldChar w:fldCharType="begin"/>
            </w:r>
            <w:r>
              <w:rPr>
                <w:noProof/>
                <w:webHidden/>
              </w:rPr>
              <w:instrText xml:space="preserve"> PAGEREF _Toc230113865 \h </w:instrText>
            </w:r>
            <w:r>
              <w:rPr>
                <w:noProof/>
                <w:webHidden/>
              </w:rPr>
            </w:r>
            <w:r>
              <w:rPr>
                <w:noProof/>
                <w:webHidden/>
              </w:rPr>
              <w:fldChar w:fldCharType="separate"/>
            </w:r>
            <w:r>
              <w:rPr>
                <w:noProof/>
                <w:webHidden/>
              </w:rPr>
              <w:t>26</w:t>
            </w:r>
            <w:r>
              <w:rPr>
                <w:noProof/>
                <w:webHidden/>
              </w:rPr>
              <w:fldChar w:fldCharType="end"/>
            </w:r>
          </w:hyperlink>
        </w:p>
        <w:p w14:paraId="72E0FCCA" w14:textId="2EC5EF16" w:rsidR="00CF305A" w:rsidRDefault="00CF305A">
          <w:pPr>
            <w:pStyle w:val="TOC2"/>
            <w:tabs>
              <w:tab w:val="right" w:leader="dot" w:pos="9016"/>
            </w:tabs>
            <w:rPr>
              <w:noProof/>
              <w:lang w:eastAsia="zh-CN"/>
            </w:rPr>
          </w:pPr>
          <w:hyperlink w:anchor="_Toc230113866" w:history="1">
            <w:r w:rsidRPr="006B400E">
              <w:rPr>
                <w:rStyle w:val="Hyperlink"/>
                <w:b/>
                <w:bCs/>
                <w:noProof/>
              </w:rPr>
              <w:t>PRISMA Flow Diagram: Tirzepatide Lived Experiences (UK)</w:t>
            </w:r>
            <w:r>
              <w:rPr>
                <w:noProof/>
                <w:webHidden/>
              </w:rPr>
              <w:tab/>
            </w:r>
            <w:r>
              <w:rPr>
                <w:noProof/>
                <w:webHidden/>
              </w:rPr>
              <w:fldChar w:fldCharType="begin"/>
            </w:r>
            <w:r>
              <w:rPr>
                <w:noProof/>
                <w:webHidden/>
              </w:rPr>
              <w:instrText xml:space="preserve"> PAGEREF _Toc230113866 \h </w:instrText>
            </w:r>
            <w:r>
              <w:rPr>
                <w:noProof/>
                <w:webHidden/>
              </w:rPr>
            </w:r>
            <w:r>
              <w:rPr>
                <w:noProof/>
                <w:webHidden/>
              </w:rPr>
              <w:fldChar w:fldCharType="separate"/>
            </w:r>
            <w:r>
              <w:rPr>
                <w:noProof/>
                <w:webHidden/>
              </w:rPr>
              <w:t>26</w:t>
            </w:r>
            <w:r>
              <w:rPr>
                <w:noProof/>
                <w:webHidden/>
              </w:rPr>
              <w:fldChar w:fldCharType="end"/>
            </w:r>
          </w:hyperlink>
        </w:p>
        <w:p w14:paraId="3C4ECE4A" w14:textId="01D9AFC1" w:rsidR="00CF305A" w:rsidRDefault="00CF305A">
          <w:pPr>
            <w:pStyle w:val="TOC3"/>
            <w:tabs>
              <w:tab w:val="right" w:leader="dot" w:pos="9016"/>
            </w:tabs>
            <w:rPr>
              <w:noProof/>
              <w:lang w:eastAsia="zh-CN"/>
            </w:rPr>
          </w:pPr>
          <w:hyperlink w:anchor="_Toc230113867" w:history="1">
            <w:r w:rsidRPr="006B400E">
              <w:rPr>
                <w:rStyle w:val="Hyperlink"/>
                <w:rFonts w:ascii="Arial" w:hAnsi="Arial" w:cs="Arial"/>
                <w:b/>
                <w:bCs/>
                <w:noProof/>
              </w:rPr>
              <w:t>1. Identification</w:t>
            </w:r>
            <w:r>
              <w:rPr>
                <w:noProof/>
                <w:webHidden/>
              </w:rPr>
              <w:tab/>
            </w:r>
            <w:r>
              <w:rPr>
                <w:noProof/>
                <w:webHidden/>
              </w:rPr>
              <w:fldChar w:fldCharType="begin"/>
            </w:r>
            <w:r>
              <w:rPr>
                <w:noProof/>
                <w:webHidden/>
              </w:rPr>
              <w:instrText xml:space="preserve"> PAGEREF _Toc230113867 \h </w:instrText>
            </w:r>
            <w:r>
              <w:rPr>
                <w:noProof/>
                <w:webHidden/>
              </w:rPr>
            </w:r>
            <w:r>
              <w:rPr>
                <w:noProof/>
                <w:webHidden/>
              </w:rPr>
              <w:fldChar w:fldCharType="separate"/>
            </w:r>
            <w:r>
              <w:rPr>
                <w:noProof/>
                <w:webHidden/>
              </w:rPr>
              <w:t>26</w:t>
            </w:r>
            <w:r>
              <w:rPr>
                <w:noProof/>
                <w:webHidden/>
              </w:rPr>
              <w:fldChar w:fldCharType="end"/>
            </w:r>
          </w:hyperlink>
        </w:p>
        <w:p w14:paraId="364CBEEE" w14:textId="5F9837F2" w:rsidR="00CF305A" w:rsidRDefault="00CF305A">
          <w:pPr>
            <w:pStyle w:val="TOC3"/>
            <w:tabs>
              <w:tab w:val="right" w:leader="dot" w:pos="9016"/>
            </w:tabs>
            <w:rPr>
              <w:noProof/>
              <w:lang w:eastAsia="zh-CN"/>
            </w:rPr>
          </w:pPr>
          <w:hyperlink w:anchor="_Toc230113868" w:history="1">
            <w:r w:rsidRPr="006B400E">
              <w:rPr>
                <w:rStyle w:val="Hyperlink"/>
                <w:rFonts w:ascii="Arial" w:hAnsi="Arial" w:cs="Arial"/>
                <w:b/>
                <w:bCs/>
                <w:noProof/>
              </w:rPr>
              <w:t>2. Screening</w:t>
            </w:r>
            <w:r>
              <w:rPr>
                <w:noProof/>
                <w:webHidden/>
              </w:rPr>
              <w:tab/>
            </w:r>
            <w:r>
              <w:rPr>
                <w:noProof/>
                <w:webHidden/>
              </w:rPr>
              <w:fldChar w:fldCharType="begin"/>
            </w:r>
            <w:r>
              <w:rPr>
                <w:noProof/>
                <w:webHidden/>
              </w:rPr>
              <w:instrText xml:space="preserve"> PAGEREF _Toc230113868 \h </w:instrText>
            </w:r>
            <w:r>
              <w:rPr>
                <w:noProof/>
                <w:webHidden/>
              </w:rPr>
            </w:r>
            <w:r>
              <w:rPr>
                <w:noProof/>
                <w:webHidden/>
              </w:rPr>
              <w:fldChar w:fldCharType="separate"/>
            </w:r>
            <w:r>
              <w:rPr>
                <w:noProof/>
                <w:webHidden/>
              </w:rPr>
              <w:t>27</w:t>
            </w:r>
            <w:r>
              <w:rPr>
                <w:noProof/>
                <w:webHidden/>
              </w:rPr>
              <w:fldChar w:fldCharType="end"/>
            </w:r>
          </w:hyperlink>
        </w:p>
        <w:p w14:paraId="39458654" w14:textId="40813DDC" w:rsidR="00CF305A" w:rsidRDefault="00CF305A">
          <w:pPr>
            <w:pStyle w:val="TOC3"/>
            <w:tabs>
              <w:tab w:val="right" w:leader="dot" w:pos="9016"/>
            </w:tabs>
            <w:rPr>
              <w:noProof/>
              <w:lang w:eastAsia="zh-CN"/>
            </w:rPr>
          </w:pPr>
          <w:hyperlink w:anchor="_Toc230113869" w:history="1">
            <w:r w:rsidRPr="006B400E">
              <w:rPr>
                <w:rStyle w:val="Hyperlink"/>
                <w:rFonts w:ascii="Arial" w:hAnsi="Arial" w:cs="Arial"/>
                <w:b/>
                <w:bCs/>
                <w:noProof/>
              </w:rPr>
              <w:t>3. Eligibility</w:t>
            </w:r>
            <w:r>
              <w:rPr>
                <w:noProof/>
                <w:webHidden/>
              </w:rPr>
              <w:tab/>
            </w:r>
            <w:r>
              <w:rPr>
                <w:noProof/>
                <w:webHidden/>
              </w:rPr>
              <w:fldChar w:fldCharType="begin"/>
            </w:r>
            <w:r>
              <w:rPr>
                <w:noProof/>
                <w:webHidden/>
              </w:rPr>
              <w:instrText xml:space="preserve"> PAGEREF _Toc230113869 \h </w:instrText>
            </w:r>
            <w:r>
              <w:rPr>
                <w:noProof/>
                <w:webHidden/>
              </w:rPr>
            </w:r>
            <w:r>
              <w:rPr>
                <w:noProof/>
                <w:webHidden/>
              </w:rPr>
              <w:fldChar w:fldCharType="separate"/>
            </w:r>
            <w:r>
              <w:rPr>
                <w:noProof/>
                <w:webHidden/>
              </w:rPr>
              <w:t>27</w:t>
            </w:r>
            <w:r>
              <w:rPr>
                <w:noProof/>
                <w:webHidden/>
              </w:rPr>
              <w:fldChar w:fldCharType="end"/>
            </w:r>
          </w:hyperlink>
        </w:p>
        <w:p w14:paraId="3B3F2480" w14:textId="5B0354C0" w:rsidR="00CF305A" w:rsidRDefault="00CF305A">
          <w:pPr>
            <w:pStyle w:val="TOC3"/>
            <w:tabs>
              <w:tab w:val="right" w:leader="dot" w:pos="9016"/>
            </w:tabs>
            <w:rPr>
              <w:noProof/>
              <w:lang w:eastAsia="zh-CN"/>
            </w:rPr>
          </w:pPr>
          <w:hyperlink w:anchor="_Toc230113870" w:history="1">
            <w:r w:rsidRPr="006B400E">
              <w:rPr>
                <w:rStyle w:val="Hyperlink"/>
                <w:rFonts w:ascii="Arial" w:hAnsi="Arial" w:cs="Arial"/>
                <w:b/>
                <w:bCs/>
                <w:noProof/>
              </w:rPr>
              <w:t>4. Included</w:t>
            </w:r>
            <w:r>
              <w:rPr>
                <w:noProof/>
                <w:webHidden/>
              </w:rPr>
              <w:tab/>
            </w:r>
            <w:r>
              <w:rPr>
                <w:noProof/>
                <w:webHidden/>
              </w:rPr>
              <w:fldChar w:fldCharType="begin"/>
            </w:r>
            <w:r>
              <w:rPr>
                <w:noProof/>
                <w:webHidden/>
              </w:rPr>
              <w:instrText xml:space="preserve"> PAGEREF _Toc230113870 \h </w:instrText>
            </w:r>
            <w:r>
              <w:rPr>
                <w:noProof/>
                <w:webHidden/>
              </w:rPr>
            </w:r>
            <w:r>
              <w:rPr>
                <w:noProof/>
                <w:webHidden/>
              </w:rPr>
              <w:fldChar w:fldCharType="separate"/>
            </w:r>
            <w:r>
              <w:rPr>
                <w:noProof/>
                <w:webHidden/>
              </w:rPr>
              <w:t>27</w:t>
            </w:r>
            <w:r>
              <w:rPr>
                <w:noProof/>
                <w:webHidden/>
              </w:rPr>
              <w:fldChar w:fldCharType="end"/>
            </w:r>
          </w:hyperlink>
        </w:p>
        <w:p w14:paraId="00681021" w14:textId="409C4593" w:rsidR="00CF305A" w:rsidRDefault="00CF305A">
          <w:pPr>
            <w:pStyle w:val="TOC3"/>
            <w:tabs>
              <w:tab w:val="right" w:leader="dot" w:pos="9016"/>
            </w:tabs>
            <w:rPr>
              <w:noProof/>
              <w:lang w:eastAsia="zh-CN"/>
            </w:rPr>
          </w:pPr>
          <w:hyperlink w:anchor="_Toc230113871" w:history="1">
            <w:r w:rsidRPr="006B400E">
              <w:rPr>
                <w:rStyle w:val="Hyperlink"/>
                <w:b/>
                <w:bCs/>
                <w:noProof/>
              </w:rPr>
              <w:t>Figure 6</w:t>
            </w:r>
            <w:r>
              <w:rPr>
                <w:noProof/>
                <w:webHidden/>
              </w:rPr>
              <w:tab/>
            </w:r>
            <w:r>
              <w:rPr>
                <w:noProof/>
                <w:webHidden/>
              </w:rPr>
              <w:fldChar w:fldCharType="begin"/>
            </w:r>
            <w:r>
              <w:rPr>
                <w:noProof/>
                <w:webHidden/>
              </w:rPr>
              <w:instrText xml:space="preserve"> PAGEREF _Toc230113871 \h </w:instrText>
            </w:r>
            <w:r>
              <w:rPr>
                <w:noProof/>
                <w:webHidden/>
              </w:rPr>
            </w:r>
            <w:r>
              <w:rPr>
                <w:noProof/>
                <w:webHidden/>
              </w:rPr>
              <w:fldChar w:fldCharType="separate"/>
            </w:r>
            <w:r>
              <w:rPr>
                <w:noProof/>
                <w:webHidden/>
              </w:rPr>
              <w:t>28</w:t>
            </w:r>
            <w:r>
              <w:rPr>
                <w:noProof/>
                <w:webHidden/>
              </w:rPr>
              <w:fldChar w:fldCharType="end"/>
            </w:r>
          </w:hyperlink>
        </w:p>
        <w:p w14:paraId="333F7C5C" w14:textId="3982FDEB" w:rsidR="00CF305A" w:rsidRDefault="00CF305A">
          <w:pPr>
            <w:pStyle w:val="TOC2"/>
            <w:tabs>
              <w:tab w:val="right" w:leader="dot" w:pos="9016"/>
            </w:tabs>
            <w:rPr>
              <w:noProof/>
              <w:lang w:eastAsia="zh-CN"/>
            </w:rPr>
          </w:pPr>
          <w:hyperlink w:anchor="_Toc230113872" w:history="1">
            <w:r w:rsidRPr="006B400E">
              <w:rPr>
                <w:rStyle w:val="Hyperlink"/>
                <w:rFonts w:ascii="Arial" w:hAnsi="Arial" w:cs="Arial"/>
                <w:b/>
                <w:bCs/>
                <w:noProof/>
              </w:rPr>
              <w:t>3.9 Ethical Considerations</w:t>
            </w:r>
            <w:r>
              <w:rPr>
                <w:noProof/>
                <w:webHidden/>
              </w:rPr>
              <w:tab/>
            </w:r>
            <w:r>
              <w:rPr>
                <w:noProof/>
                <w:webHidden/>
              </w:rPr>
              <w:fldChar w:fldCharType="begin"/>
            </w:r>
            <w:r>
              <w:rPr>
                <w:noProof/>
                <w:webHidden/>
              </w:rPr>
              <w:instrText xml:space="preserve"> PAGEREF _Toc230113872 \h </w:instrText>
            </w:r>
            <w:r>
              <w:rPr>
                <w:noProof/>
                <w:webHidden/>
              </w:rPr>
            </w:r>
            <w:r>
              <w:rPr>
                <w:noProof/>
                <w:webHidden/>
              </w:rPr>
              <w:fldChar w:fldCharType="separate"/>
            </w:r>
            <w:r>
              <w:rPr>
                <w:noProof/>
                <w:webHidden/>
              </w:rPr>
              <w:t>28</w:t>
            </w:r>
            <w:r>
              <w:rPr>
                <w:noProof/>
                <w:webHidden/>
              </w:rPr>
              <w:fldChar w:fldCharType="end"/>
            </w:r>
          </w:hyperlink>
        </w:p>
        <w:p w14:paraId="25929C02" w14:textId="3E5973CA" w:rsidR="00CF305A" w:rsidRDefault="00CF305A">
          <w:pPr>
            <w:pStyle w:val="TOC2"/>
            <w:tabs>
              <w:tab w:val="right" w:leader="dot" w:pos="9016"/>
            </w:tabs>
            <w:rPr>
              <w:noProof/>
              <w:lang w:eastAsia="zh-CN"/>
            </w:rPr>
          </w:pPr>
          <w:hyperlink w:anchor="_Toc230113873" w:history="1">
            <w:r w:rsidRPr="006B400E">
              <w:rPr>
                <w:rStyle w:val="Hyperlink"/>
                <w:rFonts w:ascii="Arial" w:hAnsi="Arial" w:cs="Arial"/>
                <w:b/>
                <w:bCs/>
                <w:noProof/>
              </w:rPr>
              <w:t>3.10 Chapter Summary</w:t>
            </w:r>
            <w:r>
              <w:rPr>
                <w:noProof/>
                <w:webHidden/>
              </w:rPr>
              <w:tab/>
            </w:r>
            <w:r>
              <w:rPr>
                <w:noProof/>
                <w:webHidden/>
              </w:rPr>
              <w:fldChar w:fldCharType="begin"/>
            </w:r>
            <w:r>
              <w:rPr>
                <w:noProof/>
                <w:webHidden/>
              </w:rPr>
              <w:instrText xml:space="preserve"> PAGEREF _Toc230113873 \h </w:instrText>
            </w:r>
            <w:r>
              <w:rPr>
                <w:noProof/>
                <w:webHidden/>
              </w:rPr>
            </w:r>
            <w:r>
              <w:rPr>
                <w:noProof/>
                <w:webHidden/>
              </w:rPr>
              <w:fldChar w:fldCharType="separate"/>
            </w:r>
            <w:r>
              <w:rPr>
                <w:noProof/>
                <w:webHidden/>
              </w:rPr>
              <w:t>29</w:t>
            </w:r>
            <w:r>
              <w:rPr>
                <w:noProof/>
                <w:webHidden/>
              </w:rPr>
              <w:fldChar w:fldCharType="end"/>
            </w:r>
          </w:hyperlink>
        </w:p>
        <w:p w14:paraId="0477BEA3" w14:textId="2A177A6B" w:rsidR="00CF305A" w:rsidRDefault="00CF305A">
          <w:pPr>
            <w:pStyle w:val="TOC1"/>
            <w:tabs>
              <w:tab w:val="right" w:leader="dot" w:pos="9016"/>
            </w:tabs>
            <w:rPr>
              <w:noProof/>
              <w:lang w:eastAsia="zh-CN"/>
            </w:rPr>
          </w:pPr>
          <w:hyperlink w:anchor="_Toc230113874" w:history="1">
            <w:r w:rsidRPr="006B400E">
              <w:rPr>
                <w:rStyle w:val="Hyperlink"/>
                <w:rFonts w:ascii="Arial" w:hAnsi="Arial" w:cs="Arial"/>
                <w:b/>
                <w:bCs/>
                <w:noProof/>
              </w:rPr>
              <w:t>Chapter 4 data extraction and evaluation</w:t>
            </w:r>
            <w:r>
              <w:rPr>
                <w:noProof/>
                <w:webHidden/>
              </w:rPr>
              <w:tab/>
            </w:r>
            <w:r>
              <w:rPr>
                <w:noProof/>
                <w:webHidden/>
              </w:rPr>
              <w:fldChar w:fldCharType="begin"/>
            </w:r>
            <w:r>
              <w:rPr>
                <w:noProof/>
                <w:webHidden/>
              </w:rPr>
              <w:instrText xml:space="preserve"> PAGEREF _Toc230113874 \h </w:instrText>
            </w:r>
            <w:r>
              <w:rPr>
                <w:noProof/>
                <w:webHidden/>
              </w:rPr>
            </w:r>
            <w:r>
              <w:rPr>
                <w:noProof/>
                <w:webHidden/>
              </w:rPr>
              <w:fldChar w:fldCharType="separate"/>
            </w:r>
            <w:r>
              <w:rPr>
                <w:noProof/>
                <w:webHidden/>
              </w:rPr>
              <w:t>29</w:t>
            </w:r>
            <w:r>
              <w:rPr>
                <w:noProof/>
                <w:webHidden/>
              </w:rPr>
              <w:fldChar w:fldCharType="end"/>
            </w:r>
          </w:hyperlink>
        </w:p>
        <w:p w14:paraId="00D938C1" w14:textId="21B96993" w:rsidR="00CF305A" w:rsidRDefault="00CF305A">
          <w:pPr>
            <w:pStyle w:val="TOC2"/>
            <w:tabs>
              <w:tab w:val="right" w:leader="dot" w:pos="9016"/>
            </w:tabs>
            <w:rPr>
              <w:noProof/>
              <w:lang w:eastAsia="zh-CN"/>
            </w:rPr>
          </w:pPr>
          <w:hyperlink w:anchor="_Toc230113875" w:history="1">
            <w:r w:rsidRPr="006B400E">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_Toc230113875 \h </w:instrText>
            </w:r>
            <w:r>
              <w:rPr>
                <w:noProof/>
                <w:webHidden/>
              </w:rPr>
            </w:r>
            <w:r>
              <w:rPr>
                <w:noProof/>
                <w:webHidden/>
              </w:rPr>
              <w:fldChar w:fldCharType="separate"/>
            </w:r>
            <w:r>
              <w:rPr>
                <w:noProof/>
                <w:webHidden/>
              </w:rPr>
              <w:t>29</w:t>
            </w:r>
            <w:r>
              <w:rPr>
                <w:noProof/>
                <w:webHidden/>
              </w:rPr>
              <w:fldChar w:fldCharType="end"/>
            </w:r>
          </w:hyperlink>
        </w:p>
        <w:p w14:paraId="2862E6CF" w14:textId="52978B60" w:rsidR="00CF305A" w:rsidRDefault="00CF305A">
          <w:pPr>
            <w:pStyle w:val="TOC2"/>
            <w:tabs>
              <w:tab w:val="right" w:leader="dot" w:pos="9016"/>
            </w:tabs>
            <w:rPr>
              <w:noProof/>
              <w:lang w:eastAsia="zh-CN"/>
            </w:rPr>
          </w:pPr>
          <w:hyperlink w:anchor="_Toc230113876" w:history="1">
            <w:r w:rsidRPr="006B400E">
              <w:rPr>
                <w:rStyle w:val="Hyperlink"/>
                <w:rFonts w:ascii="Arial" w:hAnsi="Arial" w:cs="Arial"/>
                <w:b/>
                <w:bCs/>
                <w:noProof/>
              </w:rPr>
              <w:t>4.2 Data Extraction</w:t>
            </w:r>
            <w:r>
              <w:rPr>
                <w:noProof/>
                <w:webHidden/>
              </w:rPr>
              <w:tab/>
            </w:r>
            <w:r>
              <w:rPr>
                <w:noProof/>
                <w:webHidden/>
              </w:rPr>
              <w:fldChar w:fldCharType="begin"/>
            </w:r>
            <w:r>
              <w:rPr>
                <w:noProof/>
                <w:webHidden/>
              </w:rPr>
              <w:instrText xml:space="preserve"> PAGEREF _Toc230113876 \h </w:instrText>
            </w:r>
            <w:r>
              <w:rPr>
                <w:noProof/>
                <w:webHidden/>
              </w:rPr>
            </w:r>
            <w:r>
              <w:rPr>
                <w:noProof/>
                <w:webHidden/>
              </w:rPr>
              <w:fldChar w:fldCharType="separate"/>
            </w:r>
            <w:r>
              <w:rPr>
                <w:noProof/>
                <w:webHidden/>
              </w:rPr>
              <w:t>29</w:t>
            </w:r>
            <w:r>
              <w:rPr>
                <w:noProof/>
                <w:webHidden/>
              </w:rPr>
              <w:fldChar w:fldCharType="end"/>
            </w:r>
          </w:hyperlink>
        </w:p>
        <w:p w14:paraId="753D4A7F" w14:textId="6F4DE49D" w:rsidR="00CF305A" w:rsidRDefault="00CF305A">
          <w:pPr>
            <w:pStyle w:val="TOC3"/>
            <w:tabs>
              <w:tab w:val="right" w:leader="dot" w:pos="9016"/>
            </w:tabs>
            <w:rPr>
              <w:noProof/>
              <w:lang w:eastAsia="zh-CN"/>
            </w:rPr>
          </w:pPr>
          <w:hyperlink w:anchor="_Toc230113877" w:history="1">
            <w:r w:rsidRPr="006B400E">
              <w:rPr>
                <w:rStyle w:val="Hyperlink"/>
                <w:b/>
                <w:bCs/>
                <w:noProof/>
              </w:rPr>
              <w:t>4.2.1 Extraction Parameters</w:t>
            </w:r>
            <w:r>
              <w:rPr>
                <w:noProof/>
                <w:webHidden/>
              </w:rPr>
              <w:tab/>
            </w:r>
            <w:r>
              <w:rPr>
                <w:noProof/>
                <w:webHidden/>
              </w:rPr>
              <w:fldChar w:fldCharType="begin"/>
            </w:r>
            <w:r>
              <w:rPr>
                <w:noProof/>
                <w:webHidden/>
              </w:rPr>
              <w:instrText xml:space="preserve"> PAGEREF _Toc230113877 \h </w:instrText>
            </w:r>
            <w:r>
              <w:rPr>
                <w:noProof/>
                <w:webHidden/>
              </w:rPr>
            </w:r>
            <w:r>
              <w:rPr>
                <w:noProof/>
                <w:webHidden/>
              </w:rPr>
              <w:fldChar w:fldCharType="separate"/>
            </w:r>
            <w:r>
              <w:rPr>
                <w:noProof/>
                <w:webHidden/>
              </w:rPr>
              <w:t>30</w:t>
            </w:r>
            <w:r>
              <w:rPr>
                <w:noProof/>
                <w:webHidden/>
              </w:rPr>
              <w:fldChar w:fldCharType="end"/>
            </w:r>
          </w:hyperlink>
        </w:p>
        <w:p w14:paraId="4B5FD16D" w14:textId="644B8BA1" w:rsidR="00CF305A" w:rsidRDefault="00CF305A">
          <w:pPr>
            <w:pStyle w:val="TOC2"/>
            <w:tabs>
              <w:tab w:val="right" w:leader="dot" w:pos="9016"/>
            </w:tabs>
            <w:rPr>
              <w:noProof/>
              <w:lang w:eastAsia="zh-CN"/>
            </w:rPr>
          </w:pPr>
          <w:hyperlink w:anchor="_Toc230113878" w:history="1">
            <w:r w:rsidRPr="006B400E">
              <w:rPr>
                <w:rStyle w:val="Hyperlink"/>
                <w:rFonts w:ascii="Arial" w:hAnsi="Arial" w:cs="Arial"/>
                <w:b/>
                <w:bCs/>
                <w:noProof/>
              </w:rPr>
              <w:t>4.3 Brief Introduction to Critical Appraisal and Paper Quality Assessment</w:t>
            </w:r>
            <w:r>
              <w:rPr>
                <w:noProof/>
                <w:webHidden/>
              </w:rPr>
              <w:tab/>
            </w:r>
            <w:r>
              <w:rPr>
                <w:noProof/>
                <w:webHidden/>
              </w:rPr>
              <w:fldChar w:fldCharType="begin"/>
            </w:r>
            <w:r>
              <w:rPr>
                <w:noProof/>
                <w:webHidden/>
              </w:rPr>
              <w:instrText xml:space="preserve"> PAGEREF _Toc230113878 \h </w:instrText>
            </w:r>
            <w:r>
              <w:rPr>
                <w:noProof/>
                <w:webHidden/>
              </w:rPr>
            </w:r>
            <w:r>
              <w:rPr>
                <w:noProof/>
                <w:webHidden/>
              </w:rPr>
              <w:fldChar w:fldCharType="separate"/>
            </w:r>
            <w:r>
              <w:rPr>
                <w:noProof/>
                <w:webHidden/>
              </w:rPr>
              <w:t>30</w:t>
            </w:r>
            <w:r>
              <w:rPr>
                <w:noProof/>
                <w:webHidden/>
              </w:rPr>
              <w:fldChar w:fldCharType="end"/>
            </w:r>
          </w:hyperlink>
        </w:p>
        <w:p w14:paraId="35F21864" w14:textId="32EBCB24" w:rsidR="00CF305A" w:rsidRDefault="00CF305A">
          <w:pPr>
            <w:pStyle w:val="TOC3"/>
            <w:tabs>
              <w:tab w:val="right" w:leader="dot" w:pos="9016"/>
            </w:tabs>
            <w:rPr>
              <w:noProof/>
              <w:lang w:eastAsia="zh-CN"/>
            </w:rPr>
          </w:pPr>
          <w:hyperlink w:anchor="_Toc230113879" w:history="1">
            <w:r w:rsidRPr="006B400E">
              <w:rPr>
                <w:rStyle w:val="Hyperlink"/>
                <w:b/>
                <w:bCs/>
                <w:noProof/>
                <w:lang w:eastAsia="zh-CN"/>
              </w:rPr>
              <w:t>4.3.1 Defining Quality in Qualitative Research</w:t>
            </w:r>
            <w:r>
              <w:rPr>
                <w:noProof/>
                <w:webHidden/>
              </w:rPr>
              <w:tab/>
            </w:r>
            <w:r>
              <w:rPr>
                <w:noProof/>
                <w:webHidden/>
              </w:rPr>
              <w:fldChar w:fldCharType="begin"/>
            </w:r>
            <w:r>
              <w:rPr>
                <w:noProof/>
                <w:webHidden/>
              </w:rPr>
              <w:instrText xml:space="preserve"> PAGEREF _Toc230113879 \h </w:instrText>
            </w:r>
            <w:r>
              <w:rPr>
                <w:noProof/>
                <w:webHidden/>
              </w:rPr>
            </w:r>
            <w:r>
              <w:rPr>
                <w:noProof/>
                <w:webHidden/>
              </w:rPr>
              <w:fldChar w:fldCharType="separate"/>
            </w:r>
            <w:r>
              <w:rPr>
                <w:noProof/>
                <w:webHidden/>
              </w:rPr>
              <w:t>30</w:t>
            </w:r>
            <w:r>
              <w:rPr>
                <w:noProof/>
                <w:webHidden/>
              </w:rPr>
              <w:fldChar w:fldCharType="end"/>
            </w:r>
          </w:hyperlink>
        </w:p>
        <w:p w14:paraId="239E8D58" w14:textId="27AA78B7" w:rsidR="00CF305A" w:rsidRDefault="00CF305A">
          <w:pPr>
            <w:pStyle w:val="TOC2"/>
            <w:tabs>
              <w:tab w:val="right" w:leader="dot" w:pos="9016"/>
            </w:tabs>
            <w:rPr>
              <w:noProof/>
              <w:lang w:eastAsia="zh-CN"/>
            </w:rPr>
          </w:pPr>
          <w:hyperlink w:anchor="_Toc230113880" w:history="1">
            <w:r w:rsidRPr="006B400E">
              <w:rPr>
                <w:rStyle w:val="Hyperlink"/>
                <w:rFonts w:ascii="Arial" w:hAnsi="Arial" w:cs="Arial"/>
                <w:b/>
                <w:bCs/>
                <w:noProof/>
              </w:rPr>
              <w:t>4.4 Critical Appraisal Tools</w:t>
            </w:r>
            <w:r>
              <w:rPr>
                <w:noProof/>
                <w:webHidden/>
              </w:rPr>
              <w:tab/>
            </w:r>
            <w:r>
              <w:rPr>
                <w:noProof/>
                <w:webHidden/>
              </w:rPr>
              <w:fldChar w:fldCharType="begin"/>
            </w:r>
            <w:r>
              <w:rPr>
                <w:noProof/>
                <w:webHidden/>
              </w:rPr>
              <w:instrText xml:space="preserve"> PAGEREF _Toc230113880 \h </w:instrText>
            </w:r>
            <w:r>
              <w:rPr>
                <w:noProof/>
                <w:webHidden/>
              </w:rPr>
            </w:r>
            <w:r>
              <w:rPr>
                <w:noProof/>
                <w:webHidden/>
              </w:rPr>
              <w:fldChar w:fldCharType="separate"/>
            </w:r>
            <w:r>
              <w:rPr>
                <w:noProof/>
                <w:webHidden/>
              </w:rPr>
              <w:t>31</w:t>
            </w:r>
            <w:r>
              <w:rPr>
                <w:noProof/>
                <w:webHidden/>
              </w:rPr>
              <w:fldChar w:fldCharType="end"/>
            </w:r>
          </w:hyperlink>
        </w:p>
        <w:p w14:paraId="14A13AB8" w14:textId="756D1C8F" w:rsidR="00CF305A" w:rsidRDefault="00CF305A">
          <w:pPr>
            <w:pStyle w:val="TOC3"/>
            <w:tabs>
              <w:tab w:val="right" w:leader="dot" w:pos="9016"/>
            </w:tabs>
            <w:rPr>
              <w:noProof/>
              <w:lang w:eastAsia="zh-CN"/>
            </w:rPr>
          </w:pPr>
          <w:hyperlink w:anchor="_Toc230113881" w:history="1">
            <w:r w:rsidRPr="006B400E">
              <w:rPr>
                <w:rStyle w:val="Hyperlink"/>
                <w:b/>
                <w:bCs/>
                <w:noProof/>
              </w:rPr>
              <w:t>4.4.1 Justification and Comparison</w:t>
            </w:r>
            <w:r>
              <w:rPr>
                <w:noProof/>
                <w:webHidden/>
              </w:rPr>
              <w:tab/>
            </w:r>
            <w:r>
              <w:rPr>
                <w:noProof/>
                <w:webHidden/>
              </w:rPr>
              <w:fldChar w:fldCharType="begin"/>
            </w:r>
            <w:r>
              <w:rPr>
                <w:noProof/>
                <w:webHidden/>
              </w:rPr>
              <w:instrText xml:space="preserve"> PAGEREF _Toc230113881 \h </w:instrText>
            </w:r>
            <w:r>
              <w:rPr>
                <w:noProof/>
                <w:webHidden/>
              </w:rPr>
            </w:r>
            <w:r>
              <w:rPr>
                <w:noProof/>
                <w:webHidden/>
              </w:rPr>
              <w:fldChar w:fldCharType="separate"/>
            </w:r>
            <w:r>
              <w:rPr>
                <w:noProof/>
                <w:webHidden/>
              </w:rPr>
              <w:t>31</w:t>
            </w:r>
            <w:r>
              <w:rPr>
                <w:noProof/>
                <w:webHidden/>
              </w:rPr>
              <w:fldChar w:fldCharType="end"/>
            </w:r>
          </w:hyperlink>
        </w:p>
        <w:p w14:paraId="08565ED8" w14:textId="37B5768A" w:rsidR="00CF305A" w:rsidRDefault="00CF305A">
          <w:pPr>
            <w:pStyle w:val="TOC2"/>
            <w:tabs>
              <w:tab w:val="right" w:leader="dot" w:pos="9016"/>
            </w:tabs>
            <w:rPr>
              <w:noProof/>
              <w:lang w:eastAsia="zh-CN"/>
            </w:rPr>
          </w:pPr>
          <w:hyperlink w:anchor="_Toc230113882" w:history="1">
            <w:r w:rsidRPr="006B400E">
              <w:rPr>
                <w:rStyle w:val="Hyperlink"/>
                <w:rFonts w:ascii="Arial" w:hAnsi="Arial" w:cs="Arial"/>
                <w:b/>
                <w:bCs/>
                <w:noProof/>
              </w:rPr>
              <w:t>4.5 Evaluation of Qualitative Studies using the CASP Tool</w:t>
            </w:r>
            <w:r>
              <w:rPr>
                <w:noProof/>
                <w:webHidden/>
              </w:rPr>
              <w:tab/>
            </w:r>
            <w:r>
              <w:rPr>
                <w:noProof/>
                <w:webHidden/>
              </w:rPr>
              <w:fldChar w:fldCharType="begin"/>
            </w:r>
            <w:r>
              <w:rPr>
                <w:noProof/>
                <w:webHidden/>
              </w:rPr>
              <w:instrText xml:space="preserve"> PAGEREF _Toc230113882 \h </w:instrText>
            </w:r>
            <w:r>
              <w:rPr>
                <w:noProof/>
                <w:webHidden/>
              </w:rPr>
            </w:r>
            <w:r>
              <w:rPr>
                <w:noProof/>
                <w:webHidden/>
              </w:rPr>
              <w:fldChar w:fldCharType="separate"/>
            </w:r>
            <w:r>
              <w:rPr>
                <w:noProof/>
                <w:webHidden/>
              </w:rPr>
              <w:t>32</w:t>
            </w:r>
            <w:r>
              <w:rPr>
                <w:noProof/>
                <w:webHidden/>
              </w:rPr>
              <w:fldChar w:fldCharType="end"/>
            </w:r>
          </w:hyperlink>
        </w:p>
        <w:p w14:paraId="74812835" w14:textId="2DA06E8C" w:rsidR="00CF305A" w:rsidRDefault="00CF305A">
          <w:pPr>
            <w:pStyle w:val="TOC3"/>
            <w:tabs>
              <w:tab w:val="right" w:leader="dot" w:pos="9016"/>
            </w:tabs>
            <w:rPr>
              <w:noProof/>
              <w:lang w:eastAsia="zh-CN"/>
            </w:rPr>
          </w:pPr>
          <w:hyperlink w:anchor="_Toc230113883" w:history="1">
            <w:r w:rsidRPr="006B400E">
              <w:rPr>
                <w:rStyle w:val="Hyperlink"/>
                <w:b/>
                <w:bCs/>
                <w:noProof/>
              </w:rPr>
              <w:t>Justification and Comparison</w:t>
            </w:r>
            <w:r>
              <w:rPr>
                <w:noProof/>
                <w:webHidden/>
              </w:rPr>
              <w:tab/>
            </w:r>
            <w:r>
              <w:rPr>
                <w:noProof/>
                <w:webHidden/>
              </w:rPr>
              <w:fldChar w:fldCharType="begin"/>
            </w:r>
            <w:r>
              <w:rPr>
                <w:noProof/>
                <w:webHidden/>
              </w:rPr>
              <w:instrText xml:space="preserve"> PAGEREF _Toc230113883 \h </w:instrText>
            </w:r>
            <w:r>
              <w:rPr>
                <w:noProof/>
                <w:webHidden/>
              </w:rPr>
            </w:r>
            <w:r>
              <w:rPr>
                <w:noProof/>
                <w:webHidden/>
              </w:rPr>
              <w:fldChar w:fldCharType="separate"/>
            </w:r>
            <w:r>
              <w:rPr>
                <w:noProof/>
                <w:webHidden/>
              </w:rPr>
              <w:t>32</w:t>
            </w:r>
            <w:r>
              <w:rPr>
                <w:noProof/>
                <w:webHidden/>
              </w:rPr>
              <w:fldChar w:fldCharType="end"/>
            </w:r>
          </w:hyperlink>
        </w:p>
        <w:p w14:paraId="19F06BBF" w14:textId="50B7567A" w:rsidR="00CF305A" w:rsidRDefault="00CF305A">
          <w:pPr>
            <w:pStyle w:val="TOC3"/>
            <w:tabs>
              <w:tab w:val="right" w:leader="dot" w:pos="9016"/>
            </w:tabs>
            <w:rPr>
              <w:noProof/>
              <w:lang w:eastAsia="zh-CN"/>
            </w:rPr>
          </w:pPr>
          <w:hyperlink w:anchor="_Toc230113884" w:history="1">
            <w:r w:rsidRPr="006B400E">
              <w:rPr>
                <w:rStyle w:val="Hyperlink"/>
                <w:b/>
                <w:bCs/>
                <w:noProof/>
              </w:rPr>
              <w:t>4.5.1 Evaluative Overview of Included Studies</w:t>
            </w:r>
            <w:r>
              <w:rPr>
                <w:noProof/>
                <w:webHidden/>
              </w:rPr>
              <w:tab/>
            </w:r>
            <w:r>
              <w:rPr>
                <w:noProof/>
                <w:webHidden/>
              </w:rPr>
              <w:fldChar w:fldCharType="begin"/>
            </w:r>
            <w:r>
              <w:rPr>
                <w:noProof/>
                <w:webHidden/>
              </w:rPr>
              <w:instrText xml:space="preserve"> PAGEREF _Toc230113884 \h </w:instrText>
            </w:r>
            <w:r>
              <w:rPr>
                <w:noProof/>
                <w:webHidden/>
              </w:rPr>
            </w:r>
            <w:r>
              <w:rPr>
                <w:noProof/>
                <w:webHidden/>
              </w:rPr>
              <w:fldChar w:fldCharType="separate"/>
            </w:r>
            <w:r>
              <w:rPr>
                <w:noProof/>
                <w:webHidden/>
              </w:rPr>
              <w:t>32</w:t>
            </w:r>
            <w:r>
              <w:rPr>
                <w:noProof/>
                <w:webHidden/>
              </w:rPr>
              <w:fldChar w:fldCharType="end"/>
            </w:r>
          </w:hyperlink>
        </w:p>
        <w:p w14:paraId="376246D8" w14:textId="7968D05B" w:rsidR="00CF305A" w:rsidRDefault="00CF305A">
          <w:pPr>
            <w:pStyle w:val="TOC3"/>
            <w:tabs>
              <w:tab w:val="right" w:leader="dot" w:pos="9016"/>
            </w:tabs>
            <w:rPr>
              <w:noProof/>
              <w:lang w:eastAsia="zh-CN"/>
            </w:rPr>
          </w:pPr>
          <w:hyperlink w:anchor="_Toc230113885" w:history="1">
            <w:r w:rsidRPr="006B400E">
              <w:rPr>
                <w:rStyle w:val="Hyperlink"/>
                <w:rFonts w:ascii="Arial" w:hAnsi="Arial" w:cs="Arial"/>
                <w:b/>
                <w:bCs/>
                <w:noProof/>
              </w:rPr>
              <w:t>Table 2: Appraisal of the 10 Selected Studies</w:t>
            </w:r>
            <w:r>
              <w:rPr>
                <w:noProof/>
                <w:webHidden/>
              </w:rPr>
              <w:tab/>
            </w:r>
            <w:r>
              <w:rPr>
                <w:noProof/>
                <w:webHidden/>
              </w:rPr>
              <w:fldChar w:fldCharType="begin"/>
            </w:r>
            <w:r>
              <w:rPr>
                <w:noProof/>
                <w:webHidden/>
              </w:rPr>
              <w:instrText xml:space="preserve"> PAGEREF _Toc230113885 \h </w:instrText>
            </w:r>
            <w:r>
              <w:rPr>
                <w:noProof/>
                <w:webHidden/>
              </w:rPr>
            </w:r>
            <w:r>
              <w:rPr>
                <w:noProof/>
                <w:webHidden/>
              </w:rPr>
              <w:fldChar w:fldCharType="separate"/>
            </w:r>
            <w:r>
              <w:rPr>
                <w:noProof/>
                <w:webHidden/>
              </w:rPr>
              <w:t>33</w:t>
            </w:r>
            <w:r>
              <w:rPr>
                <w:noProof/>
                <w:webHidden/>
              </w:rPr>
              <w:fldChar w:fldCharType="end"/>
            </w:r>
          </w:hyperlink>
        </w:p>
        <w:p w14:paraId="504498BF" w14:textId="4BDA2E35" w:rsidR="00CF305A" w:rsidRDefault="00CF305A">
          <w:pPr>
            <w:pStyle w:val="TOC3"/>
            <w:tabs>
              <w:tab w:val="right" w:leader="dot" w:pos="9016"/>
            </w:tabs>
            <w:rPr>
              <w:noProof/>
              <w:lang w:eastAsia="zh-CN"/>
            </w:rPr>
          </w:pPr>
          <w:hyperlink w:anchor="_Toc230113886" w:history="1">
            <w:r w:rsidRPr="006B400E">
              <w:rPr>
                <w:rStyle w:val="Hyperlink"/>
                <w:b/>
                <w:bCs/>
                <w:noProof/>
              </w:rPr>
              <w:t>Table 3: Characteristics of Included Studies (n=10)</w:t>
            </w:r>
            <w:r>
              <w:rPr>
                <w:noProof/>
                <w:webHidden/>
              </w:rPr>
              <w:tab/>
            </w:r>
            <w:r>
              <w:rPr>
                <w:noProof/>
                <w:webHidden/>
              </w:rPr>
              <w:fldChar w:fldCharType="begin"/>
            </w:r>
            <w:r>
              <w:rPr>
                <w:noProof/>
                <w:webHidden/>
              </w:rPr>
              <w:instrText xml:space="preserve"> PAGEREF _Toc230113886 \h </w:instrText>
            </w:r>
            <w:r>
              <w:rPr>
                <w:noProof/>
                <w:webHidden/>
              </w:rPr>
            </w:r>
            <w:r>
              <w:rPr>
                <w:noProof/>
                <w:webHidden/>
              </w:rPr>
              <w:fldChar w:fldCharType="separate"/>
            </w:r>
            <w:r>
              <w:rPr>
                <w:noProof/>
                <w:webHidden/>
              </w:rPr>
              <w:t>34</w:t>
            </w:r>
            <w:r>
              <w:rPr>
                <w:noProof/>
                <w:webHidden/>
              </w:rPr>
              <w:fldChar w:fldCharType="end"/>
            </w:r>
          </w:hyperlink>
        </w:p>
        <w:p w14:paraId="72A4ADC7" w14:textId="7E5D0C5C" w:rsidR="00CF305A" w:rsidRDefault="00CF305A">
          <w:pPr>
            <w:pStyle w:val="TOC3"/>
            <w:tabs>
              <w:tab w:val="right" w:leader="dot" w:pos="9016"/>
            </w:tabs>
            <w:rPr>
              <w:noProof/>
              <w:lang w:eastAsia="zh-CN"/>
            </w:rPr>
          </w:pPr>
          <w:hyperlink w:anchor="_Toc230113887" w:history="1">
            <w:r w:rsidRPr="006B400E">
              <w:rPr>
                <w:rStyle w:val="Hyperlink"/>
                <w:b/>
                <w:bCs/>
                <w:noProof/>
              </w:rPr>
              <w:t>Table 4: CASP TABLE</w:t>
            </w:r>
            <w:r>
              <w:rPr>
                <w:noProof/>
                <w:webHidden/>
              </w:rPr>
              <w:tab/>
            </w:r>
            <w:r>
              <w:rPr>
                <w:noProof/>
                <w:webHidden/>
              </w:rPr>
              <w:fldChar w:fldCharType="begin"/>
            </w:r>
            <w:r>
              <w:rPr>
                <w:noProof/>
                <w:webHidden/>
              </w:rPr>
              <w:instrText xml:space="preserve"> PAGEREF _Toc230113887 \h </w:instrText>
            </w:r>
            <w:r>
              <w:rPr>
                <w:noProof/>
                <w:webHidden/>
              </w:rPr>
            </w:r>
            <w:r>
              <w:rPr>
                <w:noProof/>
                <w:webHidden/>
              </w:rPr>
              <w:fldChar w:fldCharType="separate"/>
            </w:r>
            <w:r>
              <w:rPr>
                <w:noProof/>
                <w:webHidden/>
              </w:rPr>
              <w:t>36</w:t>
            </w:r>
            <w:r>
              <w:rPr>
                <w:noProof/>
                <w:webHidden/>
              </w:rPr>
              <w:fldChar w:fldCharType="end"/>
            </w:r>
          </w:hyperlink>
        </w:p>
        <w:p w14:paraId="32AB95B1" w14:textId="47F6FB99" w:rsidR="00CF305A" w:rsidRDefault="00CF305A">
          <w:pPr>
            <w:pStyle w:val="TOC2"/>
            <w:tabs>
              <w:tab w:val="right" w:leader="dot" w:pos="9016"/>
            </w:tabs>
            <w:rPr>
              <w:noProof/>
              <w:lang w:eastAsia="zh-CN"/>
            </w:rPr>
          </w:pPr>
          <w:hyperlink w:anchor="_Toc230113888" w:history="1">
            <w:r w:rsidRPr="006B400E">
              <w:rPr>
                <w:rStyle w:val="Hyperlink"/>
                <w:rFonts w:ascii="Arial" w:hAnsi="Arial" w:cs="Arial"/>
                <w:b/>
                <w:bCs/>
                <w:noProof/>
              </w:rPr>
              <w:t>4.6 Chapter Summary</w:t>
            </w:r>
            <w:r>
              <w:rPr>
                <w:noProof/>
                <w:webHidden/>
              </w:rPr>
              <w:tab/>
            </w:r>
            <w:r>
              <w:rPr>
                <w:noProof/>
                <w:webHidden/>
              </w:rPr>
              <w:fldChar w:fldCharType="begin"/>
            </w:r>
            <w:r>
              <w:rPr>
                <w:noProof/>
                <w:webHidden/>
              </w:rPr>
              <w:instrText xml:space="preserve"> PAGEREF _Toc230113888 \h </w:instrText>
            </w:r>
            <w:r>
              <w:rPr>
                <w:noProof/>
                <w:webHidden/>
              </w:rPr>
            </w:r>
            <w:r>
              <w:rPr>
                <w:noProof/>
                <w:webHidden/>
              </w:rPr>
              <w:fldChar w:fldCharType="separate"/>
            </w:r>
            <w:r>
              <w:rPr>
                <w:noProof/>
                <w:webHidden/>
              </w:rPr>
              <w:t>39</w:t>
            </w:r>
            <w:r>
              <w:rPr>
                <w:noProof/>
                <w:webHidden/>
              </w:rPr>
              <w:fldChar w:fldCharType="end"/>
            </w:r>
          </w:hyperlink>
        </w:p>
        <w:p w14:paraId="7B9A7E70" w14:textId="62C98B73" w:rsidR="00CF305A" w:rsidRDefault="00CF305A">
          <w:pPr>
            <w:pStyle w:val="TOC1"/>
            <w:tabs>
              <w:tab w:val="right" w:leader="dot" w:pos="9016"/>
            </w:tabs>
            <w:rPr>
              <w:noProof/>
              <w:lang w:eastAsia="zh-CN"/>
            </w:rPr>
          </w:pPr>
          <w:hyperlink w:anchor="_Toc230113889" w:history="1">
            <w:r w:rsidRPr="006B400E">
              <w:rPr>
                <w:rStyle w:val="Hyperlink"/>
                <w:rFonts w:ascii="Arial" w:hAnsi="Arial" w:cs="Arial"/>
                <w:b/>
                <w:bCs/>
                <w:noProof/>
              </w:rPr>
              <w:t>Chapter 5</w:t>
            </w:r>
            <w:r>
              <w:rPr>
                <w:noProof/>
                <w:webHidden/>
              </w:rPr>
              <w:tab/>
            </w:r>
            <w:r>
              <w:rPr>
                <w:noProof/>
                <w:webHidden/>
              </w:rPr>
              <w:fldChar w:fldCharType="begin"/>
            </w:r>
            <w:r>
              <w:rPr>
                <w:noProof/>
                <w:webHidden/>
              </w:rPr>
              <w:instrText xml:space="preserve"> PAGEREF _Toc230113889 \h </w:instrText>
            </w:r>
            <w:r>
              <w:rPr>
                <w:noProof/>
                <w:webHidden/>
              </w:rPr>
            </w:r>
            <w:r>
              <w:rPr>
                <w:noProof/>
                <w:webHidden/>
              </w:rPr>
              <w:fldChar w:fldCharType="separate"/>
            </w:r>
            <w:r>
              <w:rPr>
                <w:noProof/>
                <w:webHidden/>
              </w:rPr>
              <w:t>40</w:t>
            </w:r>
            <w:r>
              <w:rPr>
                <w:noProof/>
                <w:webHidden/>
              </w:rPr>
              <w:fldChar w:fldCharType="end"/>
            </w:r>
          </w:hyperlink>
        </w:p>
        <w:p w14:paraId="70F19867" w14:textId="7F66080A" w:rsidR="00CF305A" w:rsidRDefault="00CF305A">
          <w:pPr>
            <w:pStyle w:val="TOC2"/>
            <w:tabs>
              <w:tab w:val="right" w:leader="dot" w:pos="9016"/>
            </w:tabs>
            <w:rPr>
              <w:noProof/>
              <w:lang w:eastAsia="zh-CN"/>
            </w:rPr>
          </w:pPr>
          <w:hyperlink w:anchor="_Toc230113890" w:history="1">
            <w:r w:rsidRPr="006B400E">
              <w:rPr>
                <w:rStyle w:val="Hyperlink"/>
                <w:rFonts w:ascii="Arial" w:hAnsi="Arial" w:cs="Arial"/>
                <w:b/>
                <w:bCs/>
                <w:noProof/>
              </w:rPr>
              <w:t>5.1 Introduction</w:t>
            </w:r>
            <w:r>
              <w:rPr>
                <w:noProof/>
                <w:webHidden/>
              </w:rPr>
              <w:tab/>
            </w:r>
            <w:r>
              <w:rPr>
                <w:noProof/>
                <w:webHidden/>
              </w:rPr>
              <w:fldChar w:fldCharType="begin"/>
            </w:r>
            <w:r>
              <w:rPr>
                <w:noProof/>
                <w:webHidden/>
              </w:rPr>
              <w:instrText xml:space="preserve"> PAGEREF _Toc230113890 \h </w:instrText>
            </w:r>
            <w:r>
              <w:rPr>
                <w:noProof/>
                <w:webHidden/>
              </w:rPr>
            </w:r>
            <w:r>
              <w:rPr>
                <w:noProof/>
                <w:webHidden/>
              </w:rPr>
              <w:fldChar w:fldCharType="separate"/>
            </w:r>
            <w:r>
              <w:rPr>
                <w:noProof/>
                <w:webHidden/>
              </w:rPr>
              <w:t>40</w:t>
            </w:r>
            <w:r>
              <w:rPr>
                <w:noProof/>
                <w:webHidden/>
              </w:rPr>
              <w:fldChar w:fldCharType="end"/>
            </w:r>
          </w:hyperlink>
        </w:p>
        <w:p w14:paraId="7F70A239" w14:textId="66A60D36" w:rsidR="00CF305A" w:rsidRDefault="00CF305A">
          <w:pPr>
            <w:pStyle w:val="TOC2"/>
            <w:tabs>
              <w:tab w:val="right" w:leader="dot" w:pos="9016"/>
            </w:tabs>
            <w:rPr>
              <w:noProof/>
              <w:lang w:eastAsia="zh-CN"/>
            </w:rPr>
          </w:pPr>
          <w:hyperlink w:anchor="_Toc230113891" w:history="1">
            <w:r w:rsidRPr="006B400E">
              <w:rPr>
                <w:rStyle w:val="Hyperlink"/>
                <w:rFonts w:ascii="Arial" w:hAnsi="Arial" w:cs="Arial"/>
                <w:b/>
                <w:bCs/>
                <w:noProof/>
              </w:rPr>
              <w:t>5.2 Thematic Analysis</w:t>
            </w:r>
            <w:r>
              <w:rPr>
                <w:noProof/>
                <w:webHidden/>
              </w:rPr>
              <w:tab/>
            </w:r>
            <w:r>
              <w:rPr>
                <w:noProof/>
                <w:webHidden/>
              </w:rPr>
              <w:fldChar w:fldCharType="begin"/>
            </w:r>
            <w:r>
              <w:rPr>
                <w:noProof/>
                <w:webHidden/>
              </w:rPr>
              <w:instrText xml:space="preserve"> PAGEREF _Toc230113891 \h </w:instrText>
            </w:r>
            <w:r>
              <w:rPr>
                <w:noProof/>
                <w:webHidden/>
              </w:rPr>
            </w:r>
            <w:r>
              <w:rPr>
                <w:noProof/>
                <w:webHidden/>
              </w:rPr>
              <w:fldChar w:fldCharType="separate"/>
            </w:r>
            <w:r>
              <w:rPr>
                <w:noProof/>
                <w:webHidden/>
              </w:rPr>
              <w:t>40</w:t>
            </w:r>
            <w:r>
              <w:rPr>
                <w:noProof/>
                <w:webHidden/>
              </w:rPr>
              <w:fldChar w:fldCharType="end"/>
            </w:r>
          </w:hyperlink>
        </w:p>
        <w:p w14:paraId="1F0C59D3" w14:textId="75220681" w:rsidR="00CF305A" w:rsidRDefault="00CF305A">
          <w:pPr>
            <w:pStyle w:val="TOC2"/>
            <w:tabs>
              <w:tab w:val="right" w:leader="dot" w:pos="9016"/>
            </w:tabs>
            <w:rPr>
              <w:noProof/>
              <w:lang w:eastAsia="zh-CN"/>
            </w:rPr>
          </w:pPr>
          <w:hyperlink w:anchor="_Toc230113892" w:history="1">
            <w:r w:rsidRPr="006B400E">
              <w:rPr>
                <w:rStyle w:val="Hyperlink"/>
                <w:rFonts w:ascii="Arial" w:hAnsi="Arial" w:cs="Arial"/>
                <w:b/>
                <w:bCs/>
                <w:noProof/>
              </w:rPr>
              <w:t>5.3 Data Analysis Tool</w:t>
            </w:r>
            <w:r>
              <w:rPr>
                <w:noProof/>
                <w:webHidden/>
              </w:rPr>
              <w:tab/>
            </w:r>
            <w:r>
              <w:rPr>
                <w:noProof/>
                <w:webHidden/>
              </w:rPr>
              <w:fldChar w:fldCharType="begin"/>
            </w:r>
            <w:r>
              <w:rPr>
                <w:noProof/>
                <w:webHidden/>
              </w:rPr>
              <w:instrText xml:space="preserve"> PAGEREF _Toc230113892 \h </w:instrText>
            </w:r>
            <w:r>
              <w:rPr>
                <w:noProof/>
                <w:webHidden/>
              </w:rPr>
            </w:r>
            <w:r>
              <w:rPr>
                <w:noProof/>
                <w:webHidden/>
              </w:rPr>
              <w:fldChar w:fldCharType="separate"/>
            </w:r>
            <w:r>
              <w:rPr>
                <w:noProof/>
                <w:webHidden/>
              </w:rPr>
              <w:t>41</w:t>
            </w:r>
            <w:r>
              <w:rPr>
                <w:noProof/>
                <w:webHidden/>
              </w:rPr>
              <w:fldChar w:fldCharType="end"/>
            </w:r>
          </w:hyperlink>
        </w:p>
        <w:p w14:paraId="37DEA388" w14:textId="4F29FC08" w:rsidR="00CF305A" w:rsidRDefault="00CF305A">
          <w:pPr>
            <w:pStyle w:val="TOC2"/>
            <w:tabs>
              <w:tab w:val="right" w:leader="dot" w:pos="9016"/>
            </w:tabs>
            <w:rPr>
              <w:noProof/>
              <w:lang w:eastAsia="zh-CN"/>
            </w:rPr>
          </w:pPr>
          <w:hyperlink w:anchor="_Toc230113893" w:history="1">
            <w:r w:rsidRPr="006B400E">
              <w:rPr>
                <w:rStyle w:val="Hyperlink"/>
                <w:rFonts w:ascii="Arial" w:hAnsi="Arial" w:cs="Arial"/>
                <w:b/>
                <w:bCs/>
                <w:noProof/>
              </w:rPr>
              <w:t>5.4 Characteristics of the Identified Studies</w:t>
            </w:r>
            <w:r>
              <w:rPr>
                <w:noProof/>
                <w:webHidden/>
              </w:rPr>
              <w:tab/>
            </w:r>
            <w:r>
              <w:rPr>
                <w:noProof/>
                <w:webHidden/>
              </w:rPr>
              <w:fldChar w:fldCharType="begin"/>
            </w:r>
            <w:r>
              <w:rPr>
                <w:noProof/>
                <w:webHidden/>
              </w:rPr>
              <w:instrText xml:space="preserve"> PAGEREF _Toc230113893 \h </w:instrText>
            </w:r>
            <w:r>
              <w:rPr>
                <w:noProof/>
                <w:webHidden/>
              </w:rPr>
            </w:r>
            <w:r>
              <w:rPr>
                <w:noProof/>
                <w:webHidden/>
              </w:rPr>
              <w:fldChar w:fldCharType="separate"/>
            </w:r>
            <w:r>
              <w:rPr>
                <w:noProof/>
                <w:webHidden/>
              </w:rPr>
              <w:t>41</w:t>
            </w:r>
            <w:r>
              <w:rPr>
                <w:noProof/>
                <w:webHidden/>
              </w:rPr>
              <w:fldChar w:fldCharType="end"/>
            </w:r>
          </w:hyperlink>
        </w:p>
        <w:p w14:paraId="733474DD" w14:textId="3325257F" w:rsidR="00CF305A" w:rsidRDefault="00CF305A">
          <w:pPr>
            <w:pStyle w:val="TOC3"/>
            <w:tabs>
              <w:tab w:val="right" w:leader="dot" w:pos="9016"/>
            </w:tabs>
            <w:rPr>
              <w:noProof/>
              <w:lang w:eastAsia="zh-CN"/>
            </w:rPr>
          </w:pPr>
          <w:hyperlink w:anchor="_Toc230113894" w:history="1">
            <w:r w:rsidRPr="006B400E">
              <w:rPr>
                <w:rStyle w:val="Hyperlink"/>
                <w:b/>
                <w:bCs/>
                <w:noProof/>
              </w:rPr>
              <w:t>5.5 table 5: Emerging Themes from Included Studies</w:t>
            </w:r>
            <w:r>
              <w:rPr>
                <w:noProof/>
                <w:webHidden/>
              </w:rPr>
              <w:tab/>
            </w:r>
            <w:r>
              <w:rPr>
                <w:noProof/>
                <w:webHidden/>
              </w:rPr>
              <w:fldChar w:fldCharType="begin"/>
            </w:r>
            <w:r>
              <w:rPr>
                <w:noProof/>
                <w:webHidden/>
              </w:rPr>
              <w:instrText xml:space="preserve"> PAGEREF _Toc230113894 \h </w:instrText>
            </w:r>
            <w:r>
              <w:rPr>
                <w:noProof/>
                <w:webHidden/>
              </w:rPr>
            </w:r>
            <w:r>
              <w:rPr>
                <w:noProof/>
                <w:webHidden/>
              </w:rPr>
              <w:fldChar w:fldCharType="separate"/>
            </w:r>
            <w:r>
              <w:rPr>
                <w:noProof/>
                <w:webHidden/>
              </w:rPr>
              <w:t>41</w:t>
            </w:r>
            <w:r>
              <w:rPr>
                <w:noProof/>
                <w:webHidden/>
              </w:rPr>
              <w:fldChar w:fldCharType="end"/>
            </w:r>
          </w:hyperlink>
        </w:p>
        <w:p w14:paraId="3E744808" w14:textId="5D7A9717" w:rsidR="00CF305A" w:rsidRDefault="00CF305A">
          <w:pPr>
            <w:pStyle w:val="TOC2"/>
            <w:tabs>
              <w:tab w:val="right" w:leader="dot" w:pos="9016"/>
            </w:tabs>
            <w:rPr>
              <w:noProof/>
              <w:lang w:eastAsia="zh-CN"/>
            </w:rPr>
          </w:pPr>
          <w:hyperlink w:anchor="_Toc230113895" w:history="1">
            <w:r w:rsidRPr="006B400E">
              <w:rPr>
                <w:rStyle w:val="Hyperlink"/>
                <w:rFonts w:ascii="Arial" w:hAnsi="Arial" w:cs="Arial"/>
                <w:b/>
                <w:bCs/>
                <w:noProof/>
              </w:rPr>
              <w:t>Theme 1: The Biological-Psychological Interface</w:t>
            </w:r>
            <w:r>
              <w:rPr>
                <w:noProof/>
                <w:webHidden/>
              </w:rPr>
              <w:tab/>
            </w:r>
            <w:r>
              <w:rPr>
                <w:noProof/>
                <w:webHidden/>
              </w:rPr>
              <w:fldChar w:fldCharType="begin"/>
            </w:r>
            <w:r>
              <w:rPr>
                <w:noProof/>
                <w:webHidden/>
              </w:rPr>
              <w:instrText xml:space="preserve"> PAGEREF _Toc230113895 \h </w:instrText>
            </w:r>
            <w:r>
              <w:rPr>
                <w:noProof/>
                <w:webHidden/>
              </w:rPr>
            </w:r>
            <w:r>
              <w:rPr>
                <w:noProof/>
                <w:webHidden/>
              </w:rPr>
              <w:fldChar w:fldCharType="separate"/>
            </w:r>
            <w:r>
              <w:rPr>
                <w:noProof/>
                <w:webHidden/>
              </w:rPr>
              <w:t>42</w:t>
            </w:r>
            <w:r>
              <w:rPr>
                <w:noProof/>
                <w:webHidden/>
              </w:rPr>
              <w:fldChar w:fldCharType="end"/>
            </w:r>
          </w:hyperlink>
        </w:p>
        <w:p w14:paraId="0DFC3D97" w14:textId="6D3F8119" w:rsidR="00CF305A" w:rsidRDefault="00CF305A">
          <w:pPr>
            <w:pStyle w:val="TOC3"/>
            <w:tabs>
              <w:tab w:val="left" w:pos="1200"/>
              <w:tab w:val="right" w:leader="dot" w:pos="9016"/>
            </w:tabs>
            <w:rPr>
              <w:noProof/>
              <w:lang w:eastAsia="zh-CN"/>
            </w:rPr>
          </w:pPr>
          <w:hyperlink w:anchor="_Toc230113896" w:history="1">
            <w:r w:rsidRPr="006B400E">
              <w:rPr>
                <w:rStyle w:val="Hyperlink"/>
                <w:b/>
                <w:noProof/>
              </w:rPr>
              <w:t>1.1</w:t>
            </w:r>
            <w:r>
              <w:rPr>
                <w:noProof/>
                <w:lang w:eastAsia="zh-CN"/>
              </w:rPr>
              <w:tab/>
            </w:r>
            <w:r w:rsidRPr="006B400E">
              <w:rPr>
                <w:rStyle w:val="Hyperlink"/>
                <w:rFonts w:ascii="Arial" w:hAnsi="Arial" w:cs="Arial"/>
                <w:b/>
                <w:bCs/>
                <w:noProof/>
              </w:rPr>
              <w:t>Liberation from ‘Food Noise’:</w:t>
            </w:r>
            <w:r>
              <w:rPr>
                <w:noProof/>
                <w:webHidden/>
              </w:rPr>
              <w:tab/>
            </w:r>
            <w:r>
              <w:rPr>
                <w:noProof/>
                <w:webHidden/>
              </w:rPr>
              <w:fldChar w:fldCharType="begin"/>
            </w:r>
            <w:r>
              <w:rPr>
                <w:noProof/>
                <w:webHidden/>
              </w:rPr>
              <w:instrText xml:space="preserve"> PAGEREF _Toc230113896 \h </w:instrText>
            </w:r>
            <w:r>
              <w:rPr>
                <w:noProof/>
                <w:webHidden/>
              </w:rPr>
            </w:r>
            <w:r>
              <w:rPr>
                <w:noProof/>
                <w:webHidden/>
              </w:rPr>
              <w:fldChar w:fldCharType="separate"/>
            </w:r>
            <w:r>
              <w:rPr>
                <w:noProof/>
                <w:webHidden/>
              </w:rPr>
              <w:t>42</w:t>
            </w:r>
            <w:r>
              <w:rPr>
                <w:noProof/>
                <w:webHidden/>
              </w:rPr>
              <w:fldChar w:fldCharType="end"/>
            </w:r>
          </w:hyperlink>
        </w:p>
        <w:p w14:paraId="20D385CD" w14:textId="526467ED" w:rsidR="00CF305A" w:rsidRDefault="00CF305A">
          <w:pPr>
            <w:pStyle w:val="TOC3"/>
            <w:tabs>
              <w:tab w:val="right" w:leader="dot" w:pos="9016"/>
            </w:tabs>
            <w:rPr>
              <w:noProof/>
              <w:lang w:eastAsia="zh-CN"/>
            </w:rPr>
          </w:pPr>
          <w:hyperlink w:anchor="_Toc230113897" w:history="1">
            <w:r w:rsidRPr="006B400E">
              <w:rPr>
                <w:rStyle w:val="Hyperlink"/>
                <w:rFonts w:ascii="Arial" w:hAnsi="Arial" w:cs="Arial"/>
                <w:b/>
                <w:bCs/>
                <w:noProof/>
              </w:rPr>
              <w:t>1.2 Motivation through Visible Results:</w:t>
            </w:r>
            <w:r>
              <w:rPr>
                <w:noProof/>
                <w:webHidden/>
              </w:rPr>
              <w:tab/>
            </w:r>
            <w:r>
              <w:rPr>
                <w:noProof/>
                <w:webHidden/>
              </w:rPr>
              <w:fldChar w:fldCharType="begin"/>
            </w:r>
            <w:r>
              <w:rPr>
                <w:noProof/>
                <w:webHidden/>
              </w:rPr>
              <w:instrText xml:space="preserve"> PAGEREF _Toc230113897 \h </w:instrText>
            </w:r>
            <w:r>
              <w:rPr>
                <w:noProof/>
                <w:webHidden/>
              </w:rPr>
            </w:r>
            <w:r>
              <w:rPr>
                <w:noProof/>
                <w:webHidden/>
              </w:rPr>
              <w:fldChar w:fldCharType="separate"/>
            </w:r>
            <w:r>
              <w:rPr>
                <w:noProof/>
                <w:webHidden/>
              </w:rPr>
              <w:t>43</w:t>
            </w:r>
            <w:r>
              <w:rPr>
                <w:noProof/>
                <w:webHidden/>
              </w:rPr>
              <w:fldChar w:fldCharType="end"/>
            </w:r>
          </w:hyperlink>
        </w:p>
        <w:p w14:paraId="6DC0C8EF" w14:textId="5589F8AD" w:rsidR="00CF305A" w:rsidRDefault="00CF305A">
          <w:pPr>
            <w:pStyle w:val="TOC3"/>
            <w:tabs>
              <w:tab w:val="right" w:leader="dot" w:pos="9016"/>
            </w:tabs>
            <w:rPr>
              <w:noProof/>
              <w:lang w:eastAsia="zh-CN"/>
            </w:rPr>
          </w:pPr>
          <w:hyperlink w:anchor="_Toc230113898" w:history="1">
            <w:r w:rsidRPr="006B400E">
              <w:rPr>
                <w:rStyle w:val="Hyperlink"/>
                <w:b/>
                <w:bCs/>
                <w:noProof/>
              </w:rPr>
              <w:t>1.3 Methodological Nuance:</w:t>
            </w:r>
            <w:r>
              <w:rPr>
                <w:noProof/>
                <w:webHidden/>
              </w:rPr>
              <w:tab/>
            </w:r>
            <w:r>
              <w:rPr>
                <w:noProof/>
                <w:webHidden/>
              </w:rPr>
              <w:fldChar w:fldCharType="begin"/>
            </w:r>
            <w:r>
              <w:rPr>
                <w:noProof/>
                <w:webHidden/>
              </w:rPr>
              <w:instrText xml:space="preserve"> PAGEREF _Toc230113898 \h </w:instrText>
            </w:r>
            <w:r>
              <w:rPr>
                <w:noProof/>
                <w:webHidden/>
              </w:rPr>
            </w:r>
            <w:r>
              <w:rPr>
                <w:noProof/>
                <w:webHidden/>
              </w:rPr>
              <w:fldChar w:fldCharType="separate"/>
            </w:r>
            <w:r>
              <w:rPr>
                <w:noProof/>
                <w:webHidden/>
              </w:rPr>
              <w:t>44</w:t>
            </w:r>
            <w:r>
              <w:rPr>
                <w:noProof/>
                <w:webHidden/>
              </w:rPr>
              <w:fldChar w:fldCharType="end"/>
            </w:r>
          </w:hyperlink>
        </w:p>
        <w:p w14:paraId="17E97343" w14:textId="467D1E13" w:rsidR="00CF305A" w:rsidRDefault="00CF305A">
          <w:pPr>
            <w:pStyle w:val="TOC2"/>
            <w:tabs>
              <w:tab w:val="right" w:leader="dot" w:pos="9016"/>
            </w:tabs>
            <w:rPr>
              <w:noProof/>
              <w:lang w:eastAsia="zh-CN"/>
            </w:rPr>
          </w:pPr>
          <w:hyperlink w:anchor="_Toc230113899" w:history="1">
            <w:r w:rsidRPr="006B400E">
              <w:rPr>
                <w:rStyle w:val="Hyperlink"/>
                <w:rFonts w:ascii="Arial" w:hAnsi="Arial" w:cs="Arial"/>
                <w:b/>
                <w:bCs/>
                <w:noProof/>
              </w:rPr>
              <w:t>Theme 2: Navigating the UK Healthcare System</w:t>
            </w:r>
            <w:r>
              <w:rPr>
                <w:noProof/>
                <w:webHidden/>
              </w:rPr>
              <w:tab/>
            </w:r>
            <w:r>
              <w:rPr>
                <w:noProof/>
                <w:webHidden/>
              </w:rPr>
              <w:fldChar w:fldCharType="begin"/>
            </w:r>
            <w:r>
              <w:rPr>
                <w:noProof/>
                <w:webHidden/>
              </w:rPr>
              <w:instrText xml:space="preserve"> PAGEREF _Toc230113899 \h </w:instrText>
            </w:r>
            <w:r>
              <w:rPr>
                <w:noProof/>
                <w:webHidden/>
              </w:rPr>
            </w:r>
            <w:r>
              <w:rPr>
                <w:noProof/>
                <w:webHidden/>
              </w:rPr>
              <w:fldChar w:fldCharType="separate"/>
            </w:r>
            <w:r>
              <w:rPr>
                <w:noProof/>
                <w:webHidden/>
              </w:rPr>
              <w:t>45</w:t>
            </w:r>
            <w:r>
              <w:rPr>
                <w:noProof/>
                <w:webHidden/>
              </w:rPr>
              <w:fldChar w:fldCharType="end"/>
            </w:r>
          </w:hyperlink>
        </w:p>
        <w:p w14:paraId="71F77D52" w14:textId="5FBC6AE6" w:rsidR="00CF305A" w:rsidRDefault="00CF305A">
          <w:pPr>
            <w:pStyle w:val="TOC3"/>
            <w:tabs>
              <w:tab w:val="right" w:leader="dot" w:pos="9016"/>
            </w:tabs>
            <w:rPr>
              <w:noProof/>
              <w:lang w:eastAsia="zh-CN"/>
            </w:rPr>
          </w:pPr>
          <w:hyperlink w:anchor="_Toc230113900" w:history="1">
            <w:r w:rsidRPr="006B400E">
              <w:rPr>
                <w:rStyle w:val="Hyperlink"/>
                <w:rFonts w:ascii="Arial" w:hAnsi="Arial" w:cs="Arial"/>
                <w:b/>
                <w:bCs/>
                <w:noProof/>
              </w:rPr>
              <w:t>2.1 The ‘Two-Tier’ Access Divide:</w:t>
            </w:r>
            <w:r>
              <w:rPr>
                <w:noProof/>
                <w:webHidden/>
              </w:rPr>
              <w:tab/>
            </w:r>
            <w:r>
              <w:rPr>
                <w:noProof/>
                <w:webHidden/>
              </w:rPr>
              <w:fldChar w:fldCharType="begin"/>
            </w:r>
            <w:r>
              <w:rPr>
                <w:noProof/>
                <w:webHidden/>
              </w:rPr>
              <w:instrText xml:space="preserve"> PAGEREF _Toc230113900 \h </w:instrText>
            </w:r>
            <w:r>
              <w:rPr>
                <w:noProof/>
                <w:webHidden/>
              </w:rPr>
            </w:r>
            <w:r>
              <w:rPr>
                <w:noProof/>
                <w:webHidden/>
              </w:rPr>
              <w:fldChar w:fldCharType="separate"/>
            </w:r>
            <w:r>
              <w:rPr>
                <w:noProof/>
                <w:webHidden/>
              </w:rPr>
              <w:t>45</w:t>
            </w:r>
            <w:r>
              <w:rPr>
                <w:noProof/>
                <w:webHidden/>
              </w:rPr>
              <w:fldChar w:fldCharType="end"/>
            </w:r>
          </w:hyperlink>
        </w:p>
        <w:p w14:paraId="3E8FA488" w14:textId="5DCB4C9E" w:rsidR="00CF305A" w:rsidRDefault="00CF305A">
          <w:pPr>
            <w:pStyle w:val="TOC3"/>
            <w:tabs>
              <w:tab w:val="right" w:leader="dot" w:pos="9016"/>
            </w:tabs>
            <w:rPr>
              <w:noProof/>
              <w:lang w:eastAsia="zh-CN"/>
            </w:rPr>
          </w:pPr>
          <w:hyperlink w:anchor="_Toc230113901" w:history="1">
            <w:r w:rsidRPr="006B400E">
              <w:rPr>
                <w:rStyle w:val="Hyperlink"/>
                <w:rFonts w:ascii="Arial" w:eastAsiaTheme="majorEastAsia" w:hAnsi="Arial" w:cs="Arial"/>
                <w:b/>
                <w:bCs/>
                <w:noProof/>
              </w:rPr>
              <w:t>2.2 Supply Chain Anxiety:</w:t>
            </w:r>
            <w:r>
              <w:rPr>
                <w:noProof/>
                <w:webHidden/>
              </w:rPr>
              <w:tab/>
            </w:r>
            <w:r>
              <w:rPr>
                <w:noProof/>
                <w:webHidden/>
              </w:rPr>
              <w:fldChar w:fldCharType="begin"/>
            </w:r>
            <w:r>
              <w:rPr>
                <w:noProof/>
                <w:webHidden/>
              </w:rPr>
              <w:instrText xml:space="preserve"> PAGEREF _Toc230113901 \h </w:instrText>
            </w:r>
            <w:r>
              <w:rPr>
                <w:noProof/>
                <w:webHidden/>
              </w:rPr>
            </w:r>
            <w:r>
              <w:rPr>
                <w:noProof/>
                <w:webHidden/>
              </w:rPr>
              <w:fldChar w:fldCharType="separate"/>
            </w:r>
            <w:r>
              <w:rPr>
                <w:noProof/>
                <w:webHidden/>
              </w:rPr>
              <w:t>46</w:t>
            </w:r>
            <w:r>
              <w:rPr>
                <w:noProof/>
                <w:webHidden/>
              </w:rPr>
              <w:fldChar w:fldCharType="end"/>
            </w:r>
          </w:hyperlink>
        </w:p>
        <w:p w14:paraId="27A7C50F" w14:textId="5763FBB0" w:rsidR="00CF305A" w:rsidRDefault="00CF305A">
          <w:pPr>
            <w:pStyle w:val="TOC3"/>
            <w:tabs>
              <w:tab w:val="right" w:leader="dot" w:pos="9016"/>
            </w:tabs>
            <w:rPr>
              <w:noProof/>
              <w:lang w:eastAsia="zh-CN"/>
            </w:rPr>
          </w:pPr>
          <w:hyperlink w:anchor="_Toc230113902" w:history="1">
            <w:r w:rsidRPr="006B400E">
              <w:rPr>
                <w:rStyle w:val="Hyperlink"/>
                <w:b/>
                <w:bCs/>
                <w:noProof/>
              </w:rPr>
              <w:t>2.3 Theme 2 Synthesis:</w:t>
            </w:r>
            <w:r>
              <w:rPr>
                <w:noProof/>
                <w:webHidden/>
              </w:rPr>
              <w:tab/>
            </w:r>
            <w:r>
              <w:rPr>
                <w:noProof/>
                <w:webHidden/>
              </w:rPr>
              <w:fldChar w:fldCharType="begin"/>
            </w:r>
            <w:r>
              <w:rPr>
                <w:noProof/>
                <w:webHidden/>
              </w:rPr>
              <w:instrText xml:space="preserve"> PAGEREF _Toc230113902 \h </w:instrText>
            </w:r>
            <w:r>
              <w:rPr>
                <w:noProof/>
                <w:webHidden/>
              </w:rPr>
            </w:r>
            <w:r>
              <w:rPr>
                <w:noProof/>
                <w:webHidden/>
              </w:rPr>
              <w:fldChar w:fldCharType="separate"/>
            </w:r>
            <w:r>
              <w:rPr>
                <w:noProof/>
                <w:webHidden/>
              </w:rPr>
              <w:t>47</w:t>
            </w:r>
            <w:r>
              <w:rPr>
                <w:noProof/>
                <w:webHidden/>
              </w:rPr>
              <w:fldChar w:fldCharType="end"/>
            </w:r>
          </w:hyperlink>
        </w:p>
        <w:p w14:paraId="6A3F8725" w14:textId="7EA6A0D7" w:rsidR="00CF305A" w:rsidRDefault="00CF305A">
          <w:pPr>
            <w:pStyle w:val="TOC3"/>
            <w:tabs>
              <w:tab w:val="right" w:leader="dot" w:pos="9016"/>
            </w:tabs>
            <w:rPr>
              <w:noProof/>
              <w:lang w:eastAsia="zh-CN"/>
            </w:rPr>
          </w:pPr>
          <w:hyperlink w:anchor="_Toc230113903" w:history="1">
            <w:r w:rsidRPr="006B400E">
              <w:rPr>
                <w:rStyle w:val="Hyperlink"/>
                <w:b/>
                <w:bCs/>
                <w:noProof/>
                <w:lang w:eastAsia="zh-CN"/>
              </w:rPr>
              <w:t>Figure 7</w:t>
            </w:r>
            <w:r>
              <w:rPr>
                <w:noProof/>
                <w:webHidden/>
              </w:rPr>
              <w:tab/>
            </w:r>
            <w:r>
              <w:rPr>
                <w:noProof/>
                <w:webHidden/>
              </w:rPr>
              <w:fldChar w:fldCharType="begin"/>
            </w:r>
            <w:r>
              <w:rPr>
                <w:noProof/>
                <w:webHidden/>
              </w:rPr>
              <w:instrText xml:space="preserve"> PAGEREF _Toc230113903 \h </w:instrText>
            </w:r>
            <w:r>
              <w:rPr>
                <w:noProof/>
                <w:webHidden/>
              </w:rPr>
            </w:r>
            <w:r>
              <w:rPr>
                <w:noProof/>
                <w:webHidden/>
              </w:rPr>
              <w:fldChar w:fldCharType="separate"/>
            </w:r>
            <w:r>
              <w:rPr>
                <w:noProof/>
                <w:webHidden/>
              </w:rPr>
              <w:t>48</w:t>
            </w:r>
            <w:r>
              <w:rPr>
                <w:noProof/>
                <w:webHidden/>
              </w:rPr>
              <w:fldChar w:fldCharType="end"/>
            </w:r>
          </w:hyperlink>
        </w:p>
        <w:p w14:paraId="22308736" w14:textId="0459B101" w:rsidR="00CF305A" w:rsidRDefault="00CF305A">
          <w:pPr>
            <w:pStyle w:val="TOC2"/>
            <w:tabs>
              <w:tab w:val="right" w:leader="dot" w:pos="9016"/>
            </w:tabs>
            <w:rPr>
              <w:noProof/>
              <w:lang w:eastAsia="zh-CN"/>
            </w:rPr>
          </w:pPr>
          <w:hyperlink w:anchor="_Toc230113904" w:history="1">
            <w:r w:rsidRPr="006B400E">
              <w:rPr>
                <w:rStyle w:val="Hyperlink"/>
                <w:rFonts w:ascii="Arial" w:hAnsi="Arial" w:cs="Arial"/>
                <w:b/>
                <w:bCs/>
                <w:noProof/>
              </w:rPr>
              <w:t>Theme 3: Socio-Cultural &amp; Environmental Logistics</w:t>
            </w:r>
            <w:r>
              <w:rPr>
                <w:noProof/>
                <w:webHidden/>
              </w:rPr>
              <w:tab/>
            </w:r>
            <w:r>
              <w:rPr>
                <w:noProof/>
                <w:webHidden/>
              </w:rPr>
              <w:fldChar w:fldCharType="begin"/>
            </w:r>
            <w:r>
              <w:rPr>
                <w:noProof/>
                <w:webHidden/>
              </w:rPr>
              <w:instrText xml:space="preserve"> PAGEREF _Toc230113904 \h </w:instrText>
            </w:r>
            <w:r>
              <w:rPr>
                <w:noProof/>
                <w:webHidden/>
              </w:rPr>
            </w:r>
            <w:r>
              <w:rPr>
                <w:noProof/>
                <w:webHidden/>
              </w:rPr>
              <w:fldChar w:fldCharType="separate"/>
            </w:r>
            <w:r>
              <w:rPr>
                <w:noProof/>
                <w:webHidden/>
              </w:rPr>
              <w:t>49</w:t>
            </w:r>
            <w:r>
              <w:rPr>
                <w:noProof/>
                <w:webHidden/>
              </w:rPr>
              <w:fldChar w:fldCharType="end"/>
            </w:r>
          </w:hyperlink>
        </w:p>
        <w:p w14:paraId="3ABFE441" w14:textId="07B0FD15" w:rsidR="00CF305A" w:rsidRDefault="00CF305A">
          <w:pPr>
            <w:pStyle w:val="TOC3"/>
            <w:tabs>
              <w:tab w:val="right" w:leader="dot" w:pos="9016"/>
            </w:tabs>
            <w:rPr>
              <w:noProof/>
              <w:lang w:eastAsia="zh-CN"/>
            </w:rPr>
          </w:pPr>
          <w:hyperlink w:anchor="_Toc230113905" w:history="1">
            <w:r w:rsidRPr="006B400E">
              <w:rPr>
                <w:rStyle w:val="Hyperlink"/>
                <w:rFonts w:ascii="Arial" w:hAnsi="Arial" w:cs="Arial"/>
                <w:b/>
                <w:bCs/>
                <w:noProof/>
              </w:rPr>
              <w:t>3.1 Cultural Stigma &amp; Acceptance:</w:t>
            </w:r>
            <w:r>
              <w:rPr>
                <w:noProof/>
                <w:webHidden/>
              </w:rPr>
              <w:tab/>
            </w:r>
            <w:r>
              <w:rPr>
                <w:noProof/>
                <w:webHidden/>
              </w:rPr>
              <w:fldChar w:fldCharType="begin"/>
            </w:r>
            <w:r>
              <w:rPr>
                <w:noProof/>
                <w:webHidden/>
              </w:rPr>
              <w:instrText xml:space="preserve"> PAGEREF _Toc230113905 \h </w:instrText>
            </w:r>
            <w:r>
              <w:rPr>
                <w:noProof/>
                <w:webHidden/>
              </w:rPr>
            </w:r>
            <w:r>
              <w:rPr>
                <w:noProof/>
                <w:webHidden/>
              </w:rPr>
              <w:fldChar w:fldCharType="separate"/>
            </w:r>
            <w:r>
              <w:rPr>
                <w:noProof/>
                <w:webHidden/>
              </w:rPr>
              <w:t>49</w:t>
            </w:r>
            <w:r>
              <w:rPr>
                <w:noProof/>
                <w:webHidden/>
              </w:rPr>
              <w:fldChar w:fldCharType="end"/>
            </w:r>
          </w:hyperlink>
        </w:p>
        <w:p w14:paraId="6EA46FF2" w14:textId="440CFD5B" w:rsidR="00CF305A" w:rsidRDefault="00CF305A">
          <w:pPr>
            <w:pStyle w:val="TOC3"/>
            <w:tabs>
              <w:tab w:val="right" w:leader="dot" w:pos="9016"/>
            </w:tabs>
            <w:rPr>
              <w:noProof/>
              <w:lang w:eastAsia="zh-CN"/>
            </w:rPr>
          </w:pPr>
          <w:hyperlink w:anchor="_Toc230113906" w:history="1">
            <w:r w:rsidRPr="006B400E">
              <w:rPr>
                <w:rStyle w:val="Hyperlink"/>
                <w:b/>
                <w:bCs/>
                <w:noProof/>
                <w:lang w:eastAsia="zh-CN"/>
              </w:rPr>
              <w:t>3.1.1 Socio-Cultural Mediators:</w:t>
            </w:r>
            <w:r>
              <w:rPr>
                <w:noProof/>
                <w:webHidden/>
              </w:rPr>
              <w:tab/>
            </w:r>
            <w:r>
              <w:rPr>
                <w:noProof/>
                <w:webHidden/>
              </w:rPr>
              <w:fldChar w:fldCharType="begin"/>
            </w:r>
            <w:r>
              <w:rPr>
                <w:noProof/>
                <w:webHidden/>
              </w:rPr>
              <w:instrText xml:space="preserve"> PAGEREF _Toc230113906 \h </w:instrText>
            </w:r>
            <w:r>
              <w:rPr>
                <w:noProof/>
                <w:webHidden/>
              </w:rPr>
            </w:r>
            <w:r>
              <w:rPr>
                <w:noProof/>
                <w:webHidden/>
              </w:rPr>
              <w:fldChar w:fldCharType="separate"/>
            </w:r>
            <w:r>
              <w:rPr>
                <w:noProof/>
                <w:webHidden/>
              </w:rPr>
              <w:t>49</w:t>
            </w:r>
            <w:r>
              <w:rPr>
                <w:noProof/>
                <w:webHidden/>
              </w:rPr>
              <w:fldChar w:fldCharType="end"/>
            </w:r>
          </w:hyperlink>
        </w:p>
        <w:p w14:paraId="35678B0E" w14:textId="2BDB6716" w:rsidR="00CF305A" w:rsidRDefault="00CF305A">
          <w:pPr>
            <w:pStyle w:val="TOC3"/>
            <w:tabs>
              <w:tab w:val="right" w:leader="dot" w:pos="9016"/>
            </w:tabs>
            <w:rPr>
              <w:noProof/>
              <w:lang w:eastAsia="zh-CN"/>
            </w:rPr>
          </w:pPr>
          <w:hyperlink w:anchor="_Toc230113907" w:history="1">
            <w:r w:rsidRPr="006B400E">
              <w:rPr>
                <w:rStyle w:val="Hyperlink"/>
                <w:rFonts w:ascii="Arial" w:hAnsi="Arial" w:cs="Arial"/>
                <w:b/>
                <w:bCs/>
                <w:noProof/>
              </w:rPr>
              <w:t>3.2 Practicalities of Injectable Therapy:</w:t>
            </w:r>
            <w:r>
              <w:rPr>
                <w:noProof/>
                <w:webHidden/>
              </w:rPr>
              <w:tab/>
            </w:r>
            <w:r>
              <w:rPr>
                <w:noProof/>
                <w:webHidden/>
              </w:rPr>
              <w:fldChar w:fldCharType="begin"/>
            </w:r>
            <w:r>
              <w:rPr>
                <w:noProof/>
                <w:webHidden/>
              </w:rPr>
              <w:instrText xml:space="preserve"> PAGEREF _Toc230113907 \h </w:instrText>
            </w:r>
            <w:r>
              <w:rPr>
                <w:noProof/>
                <w:webHidden/>
              </w:rPr>
            </w:r>
            <w:r>
              <w:rPr>
                <w:noProof/>
                <w:webHidden/>
              </w:rPr>
              <w:fldChar w:fldCharType="separate"/>
            </w:r>
            <w:r>
              <w:rPr>
                <w:noProof/>
                <w:webHidden/>
              </w:rPr>
              <w:t>50</w:t>
            </w:r>
            <w:r>
              <w:rPr>
                <w:noProof/>
                <w:webHidden/>
              </w:rPr>
              <w:fldChar w:fldCharType="end"/>
            </w:r>
          </w:hyperlink>
        </w:p>
        <w:p w14:paraId="604E608A" w14:textId="195B471B" w:rsidR="00CF305A" w:rsidRDefault="00CF305A">
          <w:pPr>
            <w:pStyle w:val="TOC3"/>
            <w:tabs>
              <w:tab w:val="right" w:leader="dot" w:pos="9016"/>
            </w:tabs>
            <w:rPr>
              <w:noProof/>
              <w:lang w:eastAsia="zh-CN"/>
            </w:rPr>
          </w:pPr>
          <w:hyperlink w:anchor="_Toc230113908" w:history="1">
            <w:r w:rsidRPr="006B400E">
              <w:rPr>
                <w:rStyle w:val="Hyperlink"/>
                <w:b/>
                <w:bCs/>
                <w:noProof/>
                <w:lang w:eastAsia="zh-CN"/>
              </w:rPr>
              <w:t>3.2.1 Environmental Constraints:</w:t>
            </w:r>
            <w:r>
              <w:rPr>
                <w:noProof/>
                <w:webHidden/>
              </w:rPr>
              <w:tab/>
            </w:r>
            <w:r>
              <w:rPr>
                <w:noProof/>
                <w:webHidden/>
              </w:rPr>
              <w:fldChar w:fldCharType="begin"/>
            </w:r>
            <w:r>
              <w:rPr>
                <w:noProof/>
                <w:webHidden/>
              </w:rPr>
              <w:instrText xml:space="preserve"> PAGEREF _Toc230113908 \h </w:instrText>
            </w:r>
            <w:r>
              <w:rPr>
                <w:noProof/>
                <w:webHidden/>
              </w:rPr>
            </w:r>
            <w:r>
              <w:rPr>
                <w:noProof/>
                <w:webHidden/>
              </w:rPr>
              <w:fldChar w:fldCharType="separate"/>
            </w:r>
            <w:r>
              <w:rPr>
                <w:noProof/>
                <w:webHidden/>
              </w:rPr>
              <w:t>51</w:t>
            </w:r>
            <w:r>
              <w:rPr>
                <w:noProof/>
                <w:webHidden/>
              </w:rPr>
              <w:fldChar w:fldCharType="end"/>
            </w:r>
          </w:hyperlink>
        </w:p>
        <w:p w14:paraId="39DA80C6" w14:textId="31E1E117" w:rsidR="00CF305A" w:rsidRDefault="00CF305A">
          <w:pPr>
            <w:pStyle w:val="TOC3"/>
            <w:tabs>
              <w:tab w:val="right" w:leader="dot" w:pos="9016"/>
            </w:tabs>
            <w:rPr>
              <w:noProof/>
              <w:lang w:eastAsia="zh-CN"/>
            </w:rPr>
          </w:pPr>
          <w:hyperlink w:anchor="_Toc230113909" w:history="1">
            <w:r w:rsidRPr="006B400E">
              <w:rPr>
                <w:rStyle w:val="Hyperlink"/>
                <w:rFonts w:ascii="Arial" w:hAnsi="Arial" w:cs="Arial"/>
                <w:b/>
                <w:bCs/>
                <w:noProof/>
                <w:bdr w:val="none" w:sz="0" w:space="0" w:color="auto" w:frame="1"/>
                <w:lang w:eastAsia="zh-CN"/>
              </w:rPr>
              <w:t>Table 6: Synthesised Matrix: Facilitators vs. Barriers (Table for Chapter 5)</w:t>
            </w:r>
            <w:r>
              <w:rPr>
                <w:noProof/>
                <w:webHidden/>
              </w:rPr>
              <w:tab/>
            </w:r>
            <w:r>
              <w:rPr>
                <w:noProof/>
                <w:webHidden/>
              </w:rPr>
              <w:fldChar w:fldCharType="begin"/>
            </w:r>
            <w:r>
              <w:rPr>
                <w:noProof/>
                <w:webHidden/>
              </w:rPr>
              <w:instrText xml:space="preserve"> PAGEREF _Toc230113909 \h </w:instrText>
            </w:r>
            <w:r>
              <w:rPr>
                <w:noProof/>
                <w:webHidden/>
              </w:rPr>
            </w:r>
            <w:r>
              <w:rPr>
                <w:noProof/>
                <w:webHidden/>
              </w:rPr>
              <w:fldChar w:fldCharType="separate"/>
            </w:r>
            <w:r>
              <w:rPr>
                <w:noProof/>
                <w:webHidden/>
              </w:rPr>
              <w:t>51</w:t>
            </w:r>
            <w:r>
              <w:rPr>
                <w:noProof/>
                <w:webHidden/>
              </w:rPr>
              <w:fldChar w:fldCharType="end"/>
            </w:r>
          </w:hyperlink>
        </w:p>
        <w:p w14:paraId="0E8B0253" w14:textId="245A7BE5" w:rsidR="00CF305A" w:rsidRDefault="00CF305A">
          <w:pPr>
            <w:pStyle w:val="TOC2"/>
            <w:tabs>
              <w:tab w:val="right" w:leader="dot" w:pos="9016"/>
            </w:tabs>
            <w:rPr>
              <w:noProof/>
              <w:lang w:eastAsia="zh-CN"/>
            </w:rPr>
          </w:pPr>
          <w:hyperlink w:anchor="_Toc230113910" w:history="1">
            <w:r w:rsidRPr="006B400E">
              <w:rPr>
                <w:rStyle w:val="Hyperlink"/>
                <w:rFonts w:ascii="Arial" w:hAnsi="Arial" w:cs="Arial"/>
                <w:b/>
                <w:bCs/>
                <w:noProof/>
              </w:rPr>
              <w:t>5.6 Summary</w:t>
            </w:r>
            <w:r>
              <w:rPr>
                <w:noProof/>
                <w:webHidden/>
              </w:rPr>
              <w:tab/>
            </w:r>
            <w:r>
              <w:rPr>
                <w:noProof/>
                <w:webHidden/>
              </w:rPr>
              <w:fldChar w:fldCharType="begin"/>
            </w:r>
            <w:r>
              <w:rPr>
                <w:noProof/>
                <w:webHidden/>
              </w:rPr>
              <w:instrText xml:space="preserve"> PAGEREF _Toc230113910 \h </w:instrText>
            </w:r>
            <w:r>
              <w:rPr>
                <w:noProof/>
                <w:webHidden/>
              </w:rPr>
            </w:r>
            <w:r>
              <w:rPr>
                <w:noProof/>
                <w:webHidden/>
              </w:rPr>
              <w:fldChar w:fldCharType="separate"/>
            </w:r>
            <w:r>
              <w:rPr>
                <w:noProof/>
                <w:webHidden/>
              </w:rPr>
              <w:t>52</w:t>
            </w:r>
            <w:r>
              <w:rPr>
                <w:noProof/>
                <w:webHidden/>
              </w:rPr>
              <w:fldChar w:fldCharType="end"/>
            </w:r>
          </w:hyperlink>
        </w:p>
        <w:p w14:paraId="05E4EE31" w14:textId="1524DC58" w:rsidR="00CF305A" w:rsidRDefault="00CF305A">
          <w:pPr>
            <w:pStyle w:val="TOC3"/>
            <w:tabs>
              <w:tab w:val="right" w:leader="dot" w:pos="9016"/>
            </w:tabs>
            <w:rPr>
              <w:noProof/>
              <w:lang w:eastAsia="zh-CN"/>
            </w:rPr>
          </w:pPr>
          <w:hyperlink w:anchor="_Toc230113911" w:history="1">
            <w:r w:rsidRPr="006B400E">
              <w:rPr>
                <w:rStyle w:val="Hyperlink"/>
                <w:b/>
                <w:bCs/>
                <w:noProof/>
              </w:rPr>
              <w:t>5.7 Critical Reflection: What is Missing?</w:t>
            </w:r>
            <w:r>
              <w:rPr>
                <w:noProof/>
                <w:webHidden/>
              </w:rPr>
              <w:tab/>
            </w:r>
            <w:r>
              <w:rPr>
                <w:noProof/>
                <w:webHidden/>
              </w:rPr>
              <w:fldChar w:fldCharType="begin"/>
            </w:r>
            <w:r>
              <w:rPr>
                <w:noProof/>
                <w:webHidden/>
              </w:rPr>
              <w:instrText xml:space="preserve"> PAGEREF _Toc230113911 \h </w:instrText>
            </w:r>
            <w:r>
              <w:rPr>
                <w:noProof/>
                <w:webHidden/>
              </w:rPr>
            </w:r>
            <w:r>
              <w:rPr>
                <w:noProof/>
                <w:webHidden/>
              </w:rPr>
              <w:fldChar w:fldCharType="separate"/>
            </w:r>
            <w:r>
              <w:rPr>
                <w:noProof/>
                <w:webHidden/>
              </w:rPr>
              <w:t>52</w:t>
            </w:r>
            <w:r>
              <w:rPr>
                <w:noProof/>
                <w:webHidden/>
              </w:rPr>
              <w:fldChar w:fldCharType="end"/>
            </w:r>
          </w:hyperlink>
        </w:p>
        <w:p w14:paraId="3A927E94" w14:textId="419F428C" w:rsidR="00CF305A" w:rsidRDefault="00CF305A">
          <w:pPr>
            <w:pStyle w:val="TOC3"/>
            <w:tabs>
              <w:tab w:val="right" w:leader="dot" w:pos="9016"/>
            </w:tabs>
            <w:rPr>
              <w:noProof/>
              <w:lang w:eastAsia="zh-CN"/>
            </w:rPr>
          </w:pPr>
          <w:hyperlink w:anchor="_Toc230113912" w:history="1">
            <w:r w:rsidRPr="006B400E">
              <w:rPr>
                <w:rStyle w:val="Hyperlink"/>
                <w:b/>
                <w:bCs/>
                <w:noProof/>
                <w:lang w:eastAsia="zh-CN"/>
              </w:rPr>
              <w:t>5.8 Critical Reflection:</w:t>
            </w:r>
            <w:r>
              <w:rPr>
                <w:noProof/>
                <w:webHidden/>
              </w:rPr>
              <w:tab/>
            </w:r>
            <w:r>
              <w:rPr>
                <w:noProof/>
                <w:webHidden/>
              </w:rPr>
              <w:fldChar w:fldCharType="begin"/>
            </w:r>
            <w:r>
              <w:rPr>
                <w:noProof/>
                <w:webHidden/>
              </w:rPr>
              <w:instrText xml:space="preserve"> PAGEREF _Toc230113912 \h </w:instrText>
            </w:r>
            <w:r>
              <w:rPr>
                <w:noProof/>
                <w:webHidden/>
              </w:rPr>
            </w:r>
            <w:r>
              <w:rPr>
                <w:noProof/>
                <w:webHidden/>
              </w:rPr>
              <w:fldChar w:fldCharType="separate"/>
            </w:r>
            <w:r>
              <w:rPr>
                <w:noProof/>
                <w:webHidden/>
              </w:rPr>
              <w:t>52</w:t>
            </w:r>
            <w:r>
              <w:rPr>
                <w:noProof/>
                <w:webHidden/>
              </w:rPr>
              <w:fldChar w:fldCharType="end"/>
            </w:r>
          </w:hyperlink>
        </w:p>
        <w:p w14:paraId="210ED71F" w14:textId="56325DBB" w:rsidR="00CF305A" w:rsidRDefault="00CF305A">
          <w:pPr>
            <w:pStyle w:val="TOC3"/>
            <w:tabs>
              <w:tab w:val="right" w:leader="dot" w:pos="9016"/>
            </w:tabs>
            <w:rPr>
              <w:noProof/>
              <w:lang w:eastAsia="zh-CN"/>
            </w:rPr>
          </w:pPr>
          <w:hyperlink w:anchor="_Toc230113913" w:history="1">
            <w:r w:rsidRPr="006B400E">
              <w:rPr>
                <w:rStyle w:val="Hyperlink"/>
                <w:b/>
                <w:bCs/>
                <w:noProof/>
                <w:lang w:eastAsia="zh-CN"/>
              </w:rPr>
              <w:t>5.9 Summary</w:t>
            </w:r>
            <w:r>
              <w:rPr>
                <w:noProof/>
                <w:webHidden/>
              </w:rPr>
              <w:tab/>
            </w:r>
            <w:r>
              <w:rPr>
                <w:noProof/>
                <w:webHidden/>
              </w:rPr>
              <w:fldChar w:fldCharType="begin"/>
            </w:r>
            <w:r>
              <w:rPr>
                <w:noProof/>
                <w:webHidden/>
              </w:rPr>
              <w:instrText xml:space="preserve"> PAGEREF _Toc230113913 \h </w:instrText>
            </w:r>
            <w:r>
              <w:rPr>
                <w:noProof/>
                <w:webHidden/>
              </w:rPr>
            </w:r>
            <w:r>
              <w:rPr>
                <w:noProof/>
                <w:webHidden/>
              </w:rPr>
              <w:fldChar w:fldCharType="separate"/>
            </w:r>
            <w:r>
              <w:rPr>
                <w:noProof/>
                <w:webHidden/>
              </w:rPr>
              <w:t>53</w:t>
            </w:r>
            <w:r>
              <w:rPr>
                <w:noProof/>
                <w:webHidden/>
              </w:rPr>
              <w:fldChar w:fldCharType="end"/>
            </w:r>
          </w:hyperlink>
        </w:p>
        <w:p w14:paraId="515F948E" w14:textId="48E44A84" w:rsidR="00CF305A" w:rsidRDefault="00CF305A">
          <w:pPr>
            <w:pStyle w:val="TOC1"/>
            <w:tabs>
              <w:tab w:val="right" w:leader="dot" w:pos="9016"/>
            </w:tabs>
            <w:rPr>
              <w:noProof/>
              <w:lang w:eastAsia="zh-CN"/>
            </w:rPr>
          </w:pPr>
          <w:hyperlink w:anchor="_Toc230113914" w:history="1">
            <w:r w:rsidRPr="006B400E">
              <w:rPr>
                <w:rStyle w:val="Hyperlink"/>
                <w:rFonts w:ascii="Arial" w:hAnsi="Arial" w:cs="Arial"/>
                <w:b/>
                <w:bCs/>
                <w:noProof/>
              </w:rPr>
              <w:t>Chapter 6</w:t>
            </w:r>
            <w:r>
              <w:rPr>
                <w:noProof/>
                <w:webHidden/>
              </w:rPr>
              <w:tab/>
            </w:r>
            <w:r>
              <w:rPr>
                <w:noProof/>
                <w:webHidden/>
              </w:rPr>
              <w:fldChar w:fldCharType="begin"/>
            </w:r>
            <w:r>
              <w:rPr>
                <w:noProof/>
                <w:webHidden/>
              </w:rPr>
              <w:instrText xml:space="preserve"> PAGEREF _Toc230113914 \h </w:instrText>
            </w:r>
            <w:r>
              <w:rPr>
                <w:noProof/>
                <w:webHidden/>
              </w:rPr>
            </w:r>
            <w:r>
              <w:rPr>
                <w:noProof/>
                <w:webHidden/>
              </w:rPr>
              <w:fldChar w:fldCharType="separate"/>
            </w:r>
            <w:r>
              <w:rPr>
                <w:noProof/>
                <w:webHidden/>
              </w:rPr>
              <w:t>53</w:t>
            </w:r>
            <w:r>
              <w:rPr>
                <w:noProof/>
                <w:webHidden/>
              </w:rPr>
              <w:fldChar w:fldCharType="end"/>
            </w:r>
          </w:hyperlink>
        </w:p>
        <w:p w14:paraId="5AD2F2B0" w14:textId="4A334FC3" w:rsidR="00CF305A" w:rsidRDefault="00CF305A">
          <w:pPr>
            <w:pStyle w:val="TOC2"/>
            <w:tabs>
              <w:tab w:val="right" w:leader="dot" w:pos="9016"/>
            </w:tabs>
            <w:rPr>
              <w:noProof/>
              <w:lang w:eastAsia="zh-CN"/>
            </w:rPr>
          </w:pPr>
          <w:hyperlink w:anchor="_Toc230113915" w:history="1">
            <w:r w:rsidRPr="006B400E">
              <w:rPr>
                <w:rStyle w:val="Hyperlink"/>
                <w:rFonts w:ascii="Arial" w:hAnsi="Arial" w:cs="Arial"/>
                <w:b/>
                <w:bCs/>
                <w:noProof/>
              </w:rPr>
              <w:t>6.1 Introduction</w:t>
            </w:r>
            <w:r>
              <w:rPr>
                <w:noProof/>
                <w:webHidden/>
              </w:rPr>
              <w:tab/>
            </w:r>
            <w:r>
              <w:rPr>
                <w:noProof/>
                <w:webHidden/>
              </w:rPr>
              <w:fldChar w:fldCharType="begin"/>
            </w:r>
            <w:r>
              <w:rPr>
                <w:noProof/>
                <w:webHidden/>
              </w:rPr>
              <w:instrText xml:space="preserve"> PAGEREF _Toc230113915 \h </w:instrText>
            </w:r>
            <w:r>
              <w:rPr>
                <w:noProof/>
                <w:webHidden/>
              </w:rPr>
            </w:r>
            <w:r>
              <w:rPr>
                <w:noProof/>
                <w:webHidden/>
              </w:rPr>
              <w:fldChar w:fldCharType="separate"/>
            </w:r>
            <w:r>
              <w:rPr>
                <w:noProof/>
                <w:webHidden/>
              </w:rPr>
              <w:t>53</w:t>
            </w:r>
            <w:r>
              <w:rPr>
                <w:noProof/>
                <w:webHidden/>
              </w:rPr>
              <w:fldChar w:fldCharType="end"/>
            </w:r>
          </w:hyperlink>
        </w:p>
        <w:p w14:paraId="69B52160" w14:textId="4D6F6D9B" w:rsidR="00CF305A" w:rsidRDefault="00CF305A">
          <w:pPr>
            <w:pStyle w:val="TOC2"/>
            <w:tabs>
              <w:tab w:val="right" w:leader="dot" w:pos="9016"/>
            </w:tabs>
            <w:rPr>
              <w:noProof/>
              <w:lang w:eastAsia="zh-CN"/>
            </w:rPr>
          </w:pPr>
          <w:hyperlink w:anchor="_Toc230113916" w:history="1">
            <w:r w:rsidRPr="006B400E">
              <w:rPr>
                <w:rStyle w:val="Hyperlink"/>
                <w:rFonts w:ascii="Arial" w:hAnsi="Arial" w:cs="Arial"/>
                <w:b/>
                <w:bCs/>
                <w:noProof/>
              </w:rPr>
              <w:t>6.2 Discussion of Key Findings</w:t>
            </w:r>
            <w:r>
              <w:rPr>
                <w:noProof/>
                <w:webHidden/>
              </w:rPr>
              <w:tab/>
            </w:r>
            <w:r>
              <w:rPr>
                <w:noProof/>
                <w:webHidden/>
              </w:rPr>
              <w:fldChar w:fldCharType="begin"/>
            </w:r>
            <w:r>
              <w:rPr>
                <w:noProof/>
                <w:webHidden/>
              </w:rPr>
              <w:instrText xml:space="preserve"> PAGEREF _Toc230113916 \h </w:instrText>
            </w:r>
            <w:r>
              <w:rPr>
                <w:noProof/>
                <w:webHidden/>
              </w:rPr>
            </w:r>
            <w:r>
              <w:rPr>
                <w:noProof/>
                <w:webHidden/>
              </w:rPr>
              <w:fldChar w:fldCharType="separate"/>
            </w:r>
            <w:r>
              <w:rPr>
                <w:noProof/>
                <w:webHidden/>
              </w:rPr>
              <w:t>54</w:t>
            </w:r>
            <w:r>
              <w:rPr>
                <w:noProof/>
                <w:webHidden/>
              </w:rPr>
              <w:fldChar w:fldCharType="end"/>
            </w:r>
          </w:hyperlink>
        </w:p>
        <w:p w14:paraId="64CE5F1A" w14:textId="35C214FA" w:rsidR="00CF305A" w:rsidRDefault="00CF305A">
          <w:pPr>
            <w:pStyle w:val="TOC3"/>
            <w:tabs>
              <w:tab w:val="right" w:leader="dot" w:pos="9016"/>
            </w:tabs>
            <w:rPr>
              <w:noProof/>
              <w:lang w:eastAsia="zh-CN"/>
            </w:rPr>
          </w:pPr>
          <w:hyperlink w:anchor="_Toc230113917" w:history="1">
            <w:r w:rsidRPr="006B400E">
              <w:rPr>
                <w:rStyle w:val="Hyperlink"/>
                <w:rFonts w:ascii="Arial" w:hAnsi="Arial" w:cs="Arial"/>
                <w:b/>
                <w:bCs/>
                <w:noProof/>
              </w:rPr>
              <w:t>Theme1 The Psychological Revolution: Silencing the 'Food Noise'</w:t>
            </w:r>
            <w:r>
              <w:rPr>
                <w:noProof/>
                <w:webHidden/>
              </w:rPr>
              <w:tab/>
            </w:r>
            <w:r>
              <w:rPr>
                <w:noProof/>
                <w:webHidden/>
              </w:rPr>
              <w:fldChar w:fldCharType="begin"/>
            </w:r>
            <w:r>
              <w:rPr>
                <w:noProof/>
                <w:webHidden/>
              </w:rPr>
              <w:instrText xml:space="preserve"> PAGEREF _Toc230113917 \h </w:instrText>
            </w:r>
            <w:r>
              <w:rPr>
                <w:noProof/>
                <w:webHidden/>
              </w:rPr>
            </w:r>
            <w:r>
              <w:rPr>
                <w:noProof/>
                <w:webHidden/>
              </w:rPr>
              <w:fldChar w:fldCharType="separate"/>
            </w:r>
            <w:r>
              <w:rPr>
                <w:noProof/>
                <w:webHidden/>
              </w:rPr>
              <w:t>54</w:t>
            </w:r>
            <w:r>
              <w:rPr>
                <w:noProof/>
                <w:webHidden/>
              </w:rPr>
              <w:fldChar w:fldCharType="end"/>
            </w:r>
          </w:hyperlink>
        </w:p>
        <w:p w14:paraId="5C23529E" w14:textId="5D0E791A" w:rsidR="00CF305A" w:rsidRDefault="00CF305A">
          <w:pPr>
            <w:pStyle w:val="TOC3"/>
            <w:tabs>
              <w:tab w:val="right" w:leader="dot" w:pos="9016"/>
            </w:tabs>
            <w:rPr>
              <w:noProof/>
              <w:lang w:eastAsia="zh-CN"/>
            </w:rPr>
          </w:pPr>
          <w:hyperlink w:anchor="_Toc230113918" w:history="1">
            <w:r w:rsidRPr="006B400E">
              <w:rPr>
                <w:rStyle w:val="Hyperlink"/>
                <w:b/>
                <w:bCs/>
                <w:noProof/>
              </w:rPr>
              <w:t>The Biological-Psychological Interface and Metabolic Agency.</w:t>
            </w:r>
            <w:r>
              <w:rPr>
                <w:noProof/>
                <w:webHidden/>
              </w:rPr>
              <w:tab/>
            </w:r>
            <w:r>
              <w:rPr>
                <w:noProof/>
                <w:webHidden/>
              </w:rPr>
              <w:fldChar w:fldCharType="begin"/>
            </w:r>
            <w:r>
              <w:rPr>
                <w:noProof/>
                <w:webHidden/>
              </w:rPr>
              <w:instrText xml:space="preserve"> PAGEREF _Toc230113918 \h </w:instrText>
            </w:r>
            <w:r>
              <w:rPr>
                <w:noProof/>
                <w:webHidden/>
              </w:rPr>
            </w:r>
            <w:r>
              <w:rPr>
                <w:noProof/>
                <w:webHidden/>
              </w:rPr>
              <w:fldChar w:fldCharType="separate"/>
            </w:r>
            <w:r>
              <w:rPr>
                <w:noProof/>
                <w:webHidden/>
              </w:rPr>
              <w:t>54</w:t>
            </w:r>
            <w:r>
              <w:rPr>
                <w:noProof/>
                <w:webHidden/>
              </w:rPr>
              <w:fldChar w:fldCharType="end"/>
            </w:r>
          </w:hyperlink>
        </w:p>
        <w:p w14:paraId="52255FFF" w14:textId="7505117F" w:rsidR="00CF305A" w:rsidRDefault="00CF305A">
          <w:pPr>
            <w:pStyle w:val="TOC3"/>
            <w:tabs>
              <w:tab w:val="right" w:leader="dot" w:pos="9016"/>
            </w:tabs>
            <w:rPr>
              <w:noProof/>
              <w:lang w:eastAsia="zh-CN"/>
            </w:rPr>
          </w:pPr>
          <w:hyperlink w:anchor="_Toc230113919" w:history="1">
            <w:r w:rsidRPr="006B400E">
              <w:rPr>
                <w:rStyle w:val="Hyperlink"/>
                <w:rFonts w:ascii="Arial" w:hAnsi="Arial" w:cs="Arial"/>
                <w:b/>
                <w:bCs/>
                <w:noProof/>
              </w:rPr>
              <w:t>Theoretical Integration: The Health Belief Model (HBM)</w:t>
            </w:r>
            <w:r>
              <w:rPr>
                <w:noProof/>
                <w:webHidden/>
              </w:rPr>
              <w:tab/>
            </w:r>
            <w:r>
              <w:rPr>
                <w:noProof/>
                <w:webHidden/>
              </w:rPr>
              <w:fldChar w:fldCharType="begin"/>
            </w:r>
            <w:r>
              <w:rPr>
                <w:noProof/>
                <w:webHidden/>
              </w:rPr>
              <w:instrText xml:space="preserve"> PAGEREF _Toc230113919 \h </w:instrText>
            </w:r>
            <w:r>
              <w:rPr>
                <w:noProof/>
                <w:webHidden/>
              </w:rPr>
            </w:r>
            <w:r>
              <w:rPr>
                <w:noProof/>
                <w:webHidden/>
              </w:rPr>
              <w:fldChar w:fldCharType="separate"/>
            </w:r>
            <w:r>
              <w:rPr>
                <w:noProof/>
                <w:webHidden/>
              </w:rPr>
              <w:t>55</w:t>
            </w:r>
            <w:r>
              <w:rPr>
                <w:noProof/>
                <w:webHidden/>
              </w:rPr>
              <w:fldChar w:fldCharType="end"/>
            </w:r>
          </w:hyperlink>
        </w:p>
        <w:p w14:paraId="7EE0A95A" w14:textId="034EE98C" w:rsidR="00CF305A" w:rsidRDefault="00CF305A">
          <w:pPr>
            <w:pStyle w:val="TOC3"/>
            <w:tabs>
              <w:tab w:val="right" w:leader="dot" w:pos="9016"/>
            </w:tabs>
            <w:rPr>
              <w:noProof/>
              <w:lang w:eastAsia="zh-CN"/>
            </w:rPr>
          </w:pPr>
          <w:hyperlink w:anchor="_Toc230113920" w:history="1">
            <w:r w:rsidRPr="006B400E">
              <w:rPr>
                <w:rStyle w:val="Hyperlink"/>
                <w:rFonts w:ascii="Arial" w:hAnsi="Arial" w:cs="Arial"/>
                <w:b/>
                <w:bCs/>
                <w:noProof/>
              </w:rPr>
              <w:t>Theme 2 The Systemic Barrier: The 'Two-Tier' NHS Experience</w:t>
            </w:r>
            <w:r>
              <w:rPr>
                <w:noProof/>
                <w:webHidden/>
              </w:rPr>
              <w:tab/>
            </w:r>
            <w:r>
              <w:rPr>
                <w:noProof/>
                <w:webHidden/>
              </w:rPr>
              <w:fldChar w:fldCharType="begin"/>
            </w:r>
            <w:r>
              <w:rPr>
                <w:noProof/>
                <w:webHidden/>
              </w:rPr>
              <w:instrText xml:space="preserve"> PAGEREF _Toc230113920 \h </w:instrText>
            </w:r>
            <w:r>
              <w:rPr>
                <w:noProof/>
                <w:webHidden/>
              </w:rPr>
            </w:r>
            <w:r>
              <w:rPr>
                <w:noProof/>
                <w:webHidden/>
              </w:rPr>
              <w:fldChar w:fldCharType="separate"/>
            </w:r>
            <w:r>
              <w:rPr>
                <w:noProof/>
                <w:webHidden/>
              </w:rPr>
              <w:t>55</w:t>
            </w:r>
            <w:r>
              <w:rPr>
                <w:noProof/>
                <w:webHidden/>
              </w:rPr>
              <w:fldChar w:fldCharType="end"/>
            </w:r>
          </w:hyperlink>
        </w:p>
        <w:p w14:paraId="0BCDDB3C" w14:textId="28DEB383" w:rsidR="00CF305A" w:rsidRDefault="00CF305A">
          <w:pPr>
            <w:pStyle w:val="TOC3"/>
            <w:tabs>
              <w:tab w:val="right" w:leader="dot" w:pos="9016"/>
            </w:tabs>
            <w:rPr>
              <w:noProof/>
              <w:lang w:eastAsia="zh-CN"/>
            </w:rPr>
          </w:pPr>
          <w:hyperlink w:anchor="_Toc230113921" w:history="1">
            <w:r w:rsidRPr="006B400E">
              <w:rPr>
                <w:rStyle w:val="Hyperlink"/>
                <w:rFonts w:ascii="Arial" w:hAnsi="Arial" w:cs="Arial"/>
                <w:b/>
                <w:bCs/>
                <w:noProof/>
              </w:rPr>
              <w:t>The Systemic Barrier: The 'Two-Tier' NHS Experience</w:t>
            </w:r>
            <w:r>
              <w:rPr>
                <w:noProof/>
                <w:webHidden/>
              </w:rPr>
              <w:tab/>
            </w:r>
            <w:r>
              <w:rPr>
                <w:noProof/>
                <w:webHidden/>
              </w:rPr>
              <w:fldChar w:fldCharType="begin"/>
            </w:r>
            <w:r>
              <w:rPr>
                <w:noProof/>
                <w:webHidden/>
              </w:rPr>
              <w:instrText xml:space="preserve"> PAGEREF _Toc230113921 \h </w:instrText>
            </w:r>
            <w:r>
              <w:rPr>
                <w:noProof/>
                <w:webHidden/>
              </w:rPr>
            </w:r>
            <w:r>
              <w:rPr>
                <w:noProof/>
                <w:webHidden/>
              </w:rPr>
              <w:fldChar w:fldCharType="separate"/>
            </w:r>
            <w:r>
              <w:rPr>
                <w:noProof/>
                <w:webHidden/>
              </w:rPr>
              <w:t>56</w:t>
            </w:r>
            <w:r>
              <w:rPr>
                <w:noProof/>
                <w:webHidden/>
              </w:rPr>
              <w:fldChar w:fldCharType="end"/>
            </w:r>
          </w:hyperlink>
        </w:p>
        <w:p w14:paraId="736031E2" w14:textId="53E885C8" w:rsidR="00CF305A" w:rsidRDefault="00CF305A">
          <w:pPr>
            <w:pStyle w:val="TOC3"/>
            <w:tabs>
              <w:tab w:val="right" w:leader="dot" w:pos="9016"/>
            </w:tabs>
            <w:rPr>
              <w:noProof/>
              <w:lang w:eastAsia="zh-CN"/>
            </w:rPr>
          </w:pPr>
          <w:hyperlink w:anchor="_Toc230113922" w:history="1">
            <w:r w:rsidRPr="006B400E">
              <w:rPr>
                <w:rStyle w:val="Hyperlink"/>
                <w:rFonts w:ascii="Arial" w:hAnsi="Arial" w:cs="Arial"/>
                <w:b/>
                <w:bCs/>
                <w:noProof/>
              </w:rPr>
              <w:t>Political Economy of Health</w:t>
            </w:r>
            <w:r>
              <w:rPr>
                <w:noProof/>
                <w:webHidden/>
              </w:rPr>
              <w:tab/>
            </w:r>
            <w:r>
              <w:rPr>
                <w:noProof/>
                <w:webHidden/>
              </w:rPr>
              <w:fldChar w:fldCharType="begin"/>
            </w:r>
            <w:r>
              <w:rPr>
                <w:noProof/>
                <w:webHidden/>
              </w:rPr>
              <w:instrText xml:space="preserve"> PAGEREF _Toc230113922 \h </w:instrText>
            </w:r>
            <w:r>
              <w:rPr>
                <w:noProof/>
                <w:webHidden/>
              </w:rPr>
            </w:r>
            <w:r>
              <w:rPr>
                <w:noProof/>
                <w:webHidden/>
              </w:rPr>
              <w:fldChar w:fldCharType="separate"/>
            </w:r>
            <w:r>
              <w:rPr>
                <w:noProof/>
                <w:webHidden/>
              </w:rPr>
              <w:t>56</w:t>
            </w:r>
            <w:r>
              <w:rPr>
                <w:noProof/>
                <w:webHidden/>
              </w:rPr>
              <w:fldChar w:fldCharType="end"/>
            </w:r>
          </w:hyperlink>
        </w:p>
        <w:p w14:paraId="4C66A7EF" w14:textId="1CE4C8F8" w:rsidR="00CF305A" w:rsidRDefault="00CF305A">
          <w:pPr>
            <w:pStyle w:val="TOC3"/>
            <w:tabs>
              <w:tab w:val="right" w:leader="dot" w:pos="9016"/>
            </w:tabs>
            <w:rPr>
              <w:noProof/>
              <w:lang w:eastAsia="zh-CN"/>
            </w:rPr>
          </w:pPr>
          <w:hyperlink w:anchor="_Toc230113923" w:history="1">
            <w:r w:rsidRPr="006B400E">
              <w:rPr>
                <w:rStyle w:val="Hyperlink"/>
                <w:rFonts w:ascii="Arial" w:hAnsi="Arial" w:cs="Arial"/>
                <w:b/>
                <w:bCs/>
                <w:noProof/>
              </w:rPr>
              <w:t>Theme 3 Socio-Cultural Logistics and the Injectable Stigma</w:t>
            </w:r>
            <w:r>
              <w:rPr>
                <w:noProof/>
                <w:webHidden/>
              </w:rPr>
              <w:tab/>
            </w:r>
            <w:r>
              <w:rPr>
                <w:noProof/>
                <w:webHidden/>
              </w:rPr>
              <w:fldChar w:fldCharType="begin"/>
            </w:r>
            <w:r>
              <w:rPr>
                <w:noProof/>
                <w:webHidden/>
              </w:rPr>
              <w:instrText xml:space="preserve"> PAGEREF _Toc230113923 \h </w:instrText>
            </w:r>
            <w:r>
              <w:rPr>
                <w:noProof/>
                <w:webHidden/>
              </w:rPr>
            </w:r>
            <w:r>
              <w:rPr>
                <w:noProof/>
                <w:webHidden/>
              </w:rPr>
              <w:fldChar w:fldCharType="separate"/>
            </w:r>
            <w:r>
              <w:rPr>
                <w:noProof/>
                <w:webHidden/>
              </w:rPr>
              <w:t>56</w:t>
            </w:r>
            <w:r>
              <w:rPr>
                <w:noProof/>
                <w:webHidden/>
              </w:rPr>
              <w:fldChar w:fldCharType="end"/>
            </w:r>
          </w:hyperlink>
        </w:p>
        <w:p w14:paraId="194546FB" w14:textId="346ACBC9" w:rsidR="00CF305A" w:rsidRDefault="00CF305A">
          <w:pPr>
            <w:pStyle w:val="TOC3"/>
            <w:tabs>
              <w:tab w:val="right" w:leader="dot" w:pos="9016"/>
            </w:tabs>
            <w:rPr>
              <w:noProof/>
              <w:lang w:eastAsia="zh-CN"/>
            </w:rPr>
          </w:pPr>
          <w:hyperlink w:anchor="_Toc230113924" w:history="1">
            <w:r w:rsidRPr="006B400E">
              <w:rPr>
                <w:rStyle w:val="Hyperlink"/>
                <w:rFonts w:ascii="Arial" w:hAnsi="Arial" w:cs="Arial"/>
                <w:b/>
                <w:bCs/>
                <w:noProof/>
              </w:rPr>
              <w:t>Social Identity Theory and the 'Cheating' Narrative</w:t>
            </w:r>
            <w:r>
              <w:rPr>
                <w:noProof/>
                <w:webHidden/>
              </w:rPr>
              <w:tab/>
            </w:r>
            <w:r>
              <w:rPr>
                <w:noProof/>
                <w:webHidden/>
              </w:rPr>
              <w:fldChar w:fldCharType="begin"/>
            </w:r>
            <w:r>
              <w:rPr>
                <w:noProof/>
                <w:webHidden/>
              </w:rPr>
              <w:instrText xml:space="preserve"> PAGEREF _Toc230113924 \h </w:instrText>
            </w:r>
            <w:r>
              <w:rPr>
                <w:noProof/>
                <w:webHidden/>
              </w:rPr>
            </w:r>
            <w:r>
              <w:rPr>
                <w:noProof/>
                <w:webHidden/>
              </w:rPr>
              <w:fldChar w:fldCharType="separate"/>
            </w:r>
            <w:r>
              <w:rPr>
                <w:noProof/>
                <w:webHidden/>
              </w:rPr>
              <w:t>57</w:t>
            </w:r>
            <w:r>
              <w:rPr>
                <w:noProof/>
                <w:webHidden/>
              </w:rPr>
              <w:fldChar w:fldCharType="end"/>
            </w:r>
          </w:hyperlink>
        </w:p>
        <w:p w14:paraId="11C0C5C8" w14:textId="4FFBDCF6" w:rsidR="00CF305A" w:rsidRDefault="00CF305A">
          <w:pPr>
            <w:pStyle w:val="TOC3"/>
            <w:tabs>
              <w:tab w:val="right" w:leader="dot" w:pos="9016"/>
            </w:tabs>
            <w:rPr>
              <w:noProof/>
              <w:lang w:eastAsia="zh-CN"/>
            </w:rPr>
          </w:pPr>
          <w:hyperlink w:anchor="_Toc230113925" w:history="1">
            <w:r w:rsidRPr="006B400E">
              <w:rPr>
                <w:rStyle w:val="Hyperlink"/>
                <w:rFonts w:ascii="Arial" w:hAnsi="Arial" w:cs="Arial"/>
                <w:b/>
                <w:bCs/>
                <w:noProof/>
              </w:rPr>
              <w:t>Cultural Nuance: South Asian Perspectives</w:t>
            </w:r>
            <w:r>
              <w:rPr>
                <w:noProof/>
                <w:webHidden/>
              </w:rPr>
              <w:tab/>
            </w:r>
            <w:r>
              <w:rPr>
                <w:noProof/>
                <w:webHidden/>
              </w:rPr>
              <w:fldChar w:fldCharType="begin"/>
            </w:r>
            <w:r>
              <w:rPr>
                <w:noProof/>
                <w:webHidden/>
              </w:rPr>
              <w:instrText xml:space="preserve"> PAGEREF _Toc230113925 \h </w:instrText>
            </w:r>
            <w:r>
              <w:rPr>
                <w:noProof/>
                <w:webHidden/>
              </w:rPr>
            </w:r>
            <w:r>
              <w:rPr>
                <w:noProof/>
                <w:webHidden/>
              </w:rPr>
              <w:fldChar w:fldCharType="separate"/>
            </w:r>
            <w:r>
              <w:rPr>
                <w:noProof/>
                <w:webHidden/>
              </w:rPr>
              <w:t>57</w:t>
            </w:r>
            <w:r>
              <w:rPr>
                <w:noProof/>
                <w:webHidden/>
              </w:rPr>
              <w:fldChar w:fldCharType="end"/>
            </w:r>
          </w:hyperlink>
        </w:p>
        <w:p w14:paraId="2B703EC8" w14:textId="43373C7F" w:rsidR="00CF305A" w:rsidRDefault="00CF305A">
          <w:pPr>
            <w:pStyle w:val="TOC3"/>
            <w:tabs>
              <w:tab w:val="right" w:leader="dot" w:pos="9016"/>
            </w:tabs>
            <w:rPr>
              <w:noProof/>
              <w:lang w:eastAsia="zh-CN"/>
            </w:rPr>
          </w:pPr>
          <w:hyperlink w:anchor="_Toc230113926" w:history="1">
            <w:r w:rsidRPr="006B400E">
              <w:rPr>
                <w:rStyle w:val="Hyperlink"/>
                <w:rFonts w:ascii="Arial" w:hAnsi="Arial" w:cs="Arial"/>
                <w:b/>
                <w:bCs/>
                <w:noProof/>
              </w:rPr>
              <w:t>Critique of Research Approach</w:t>
            </w:r>
            <w:r>
              <w:rPr>
                <w:noProof/>
                <w:webHidden/>
              </w:rPr>
              <w:tab/>
            </w:r>
            <w:r>
              <w:rPr>
                <w:noProof/>
                <w:webHidden/>
              </w:rPr>
              <w:fldChar w:fldCharType="begin"/>
            </w:r>
            <w:r>
              <w:rPr>
                <w:noProof/>
                <w:webHidden/>
              </w:rPr>
              <w:instrText xml:space="preserve"> PAGEREF _Toc230113926 \h </w:instrText>
            </w:r>
            <w:r>
              <w:rPr>
                <w:noProof/>
                <w:webHidden/>
              </w:rPr>
            </w:r>
            <w:r>
              <w:rPr>
                <w:noProof/>
                <w:webHidden/>
              </w:rPr>
              <w:fldChar w:fldCharType="separate"/>
            </w:r>
            <w:r>
              <w:rPr>
                <w:noProof/>
                <w:webHidden/>
              </w:rPr>
              <w:t>57</w:t>
            </w:r>
            <w:r>
              <w:rPr>
                <w:noProof/>
                <w:webHidden/>
              </w:rPr>
              <w:fldChar w:fldCharType="end"/>
            </w:r>
          </w:hyperlink>
        </w:p>
        <w:p w14:paraId="0C25502F" w14:textId="046C6F43" w:rsidR="00CF305A" w:rsidRDefault="00CF305A">
          <w:pPr>
            <w:pStyle w:val="TOC3"/>
            <w:tabs>
              <w:tab w:val="right" w:leader="dot" w:pos="9016"/>
            </w:tabs>
            <w:rPr>
              <w:noProof/>
              <w:lang w:eastAsia="zh-CN"/>
            </w:rPr>
          </w:pPr>
          <w:hyperlink w:anchor="_Toc230113927" w:history="1">
            <w:r w:rsidRPr="006B400E">
              <w:rPr>
                <w:rStyle w:val="Hyperlink"/>
                <w:rFonts w:ascii="Arial" w:hAnsi="Arial" w:cs="Arial"/>
                <w:b/>
                <w:bCs/>
                <w:noProof/>
              </w:rPr>
              <w:t>Critical Appraisal of the Evidence Base</w:t>
            </w:r>
            <w:r>
              <w:rPr>
                <w:noProof/>
                <w:webHidden/>
              </w:rPr>
              <w:tab/>
            </w:r>
            <w:r>
              <w:rPr>
                <w:noProof/>
                <w:webHidden/>
              </w:rPr>
              <w:fldChar w:fldCharType="begin"/>
            </w:r>
            <w:r>
              <w:rPr>
                <w:noProof/>
                <w:webHidden/>
              </w:rPr>
              <w:instrText xml:space="preserve"> PAGEREF _Toc230113927 \h </w:instrText>
            </w:r>
            <w:r>
              <w:rPr>
                <w:noProof/>
                <w:webHidden/>
              </w:rPr>
            </w:r>
            <w:r>
              <w:rPr>
                <w:noProof/>
                <w:webHidden/>
              </w:rPr>
              <w:fldChar w:fldCharType="separate"/>
            </w:r>
            <w:r>
              <w:rPr>
                <w:noProof/>
                <w:webHidden/>
              </w:rPr>
              <w:t>58</w:t>
            </w:r>
            <w:r>
              <w:rPr>
                <w:noProof/>
                <w:webHidden/>
              </w:rPr>
              <w:fldChar w:fldCharType="end"/>
            </w:r>
          </w:hyperlink>
        </w:p>
        <w:p w14:paraId="0E81C02B" w14:textId="29AA1E13" w:rsidR="00CF305A" w:rsidRDefault="00CF305A">
          <w:pPr>
            <w:pStyle w:val="TOC2"/>
            <w:tabs>
              <w:tab w:val="right" w:leader="dot" w:pos="9016"/>
            </w:tabs>
            <w:rPr>
              <w:noProof/>
              <w:lang w:eastAsia="zh-CN"/>
            </w:rPr>
          </w:pPr>
          <w:hyperlink w:anchor="_Toc230113928" w:history="1">
            <w:r w:rsidRPr="006B400E">
              <w:rPr>
                <w:rStyle w:val="Hyperlink"/>
                <w:rFonts w:ascii="Arial" w:hAnsi="Arial" w:cs="Arial"/>
                <w:b/>
                <w:bCs/>
                <w:noProof/>
              </w:rPr>
              <w:t>6.3 Strengths and Limitations</w:t>
            </w:r>
            <w:r>
              <w:rPr>
                <w:noProof/>
                <w:webHidden/>
              </w:rPr>
              <w:tab/>
            </w:r>
            <w:r>
              <w:rPr>
                <w:noProof/>
                <w:webHidden/>
              </w:rPr>
              <w:fldChar w:fldCharType="begin"/>
            </w:r>
            <w:r>
              <w:rPr>
                <w:noProof/>
                <w:webHidden/>
              </w:rPr>
              <w:instrText xml:space="preserve"> PAGEREF _Toc230113928 \h </w:instrText>
            </w:r>
            <w:r>
              <w:rPr>
                <w:noProof/>
                <w:webHidden/>
              </w:rPr>
            </w:r>
            <w:r>
              <w:rPr>
                <w:noProof/>
                <w:webHidden/>
              </w:rPr>
              <w:fldChar w:fldCharType="separate"/>
            </w:r>
            <w:r>
              <w:rPr>
                <w:noProof/>
                <w:webHidden/>
              </w:rPr>
              <w:t>58</w:t>
            </w:r>
            <w:r>
              <w:rPr>
                <w:noProof/>
                <w:webHidden/>
              </w:rPr>
              <w:fldChar w:fldCharType="end"/>
            </w:r>
          </w:hyperlink>
        </w:p>
        <w:p w14:paraId="22B5E1BA" w14:textId="73377741" w:rsidR="00CF305A" w:rsidRDefault="00CF305A">
          <w:pPr>
            <w:pStyle w:val="TOC2"/>
            <w:tabs>
              <w:tab w:val="right" w:leader="dot" w:pos="9016"/>
            </w:tabs>
            <w:rPr>
              <w:noProof/>
              <w:lang w:eastAsia="zh-CN"/>
            </w:rPr>
          </w:pPr>
          <w:hyperlink w:anchor="_Toc230113929" w:history="1">
            <w:r w:rsidRPr="006B400E">
              <w:rPr>
                <w:rStyle w:val="Hyperlink"/>
                <w:rFonts w:ascii="Arial" w:hAnsi="Arial" w:cs="Arial"/>
                <w:b/>
                <w:bCs/>
                <w:noProof/>
              </w:rPr>
              <w:t>6.4 Chapter Summary</w:t>
            </w:r>
            <w:r>
              <w:rPr>
                <w:noProof/>
                <w:webHidden/>
              </w:rPr>
              <w:tab/>
            </w:r>
            <w:r>
              <w:rPr>
                <w:noProof/>
                <w:webHidden/>
              </w:rPr>
              <w:fldChar w:fldCharType="begin"/>
            </w:r>
            <w:r>
              <w:rPr>
                <w:noProof/>
                <w:webHidden/>
              </w:rPr>
              <w:instrText xml:space="preserve"> PAGEREF _Toc230113929 \h </w:instrText>
            </w:r>
            <w:r>
              <w:rPr>
                <w:noProof/>
                <w:webHidden/>
              </w:rPr>
            </w:r>
            <w:r>
              <w:rPr>
                <w:noProof/>
                <w:webHidden/>
              </w:rPr>
              <w:fldChar w:fldCharType="separate"/>
            </w:r>
            <w:r>
              <w:rPr>
                <w:noProof/>
                <w:webHidden/>
              </w:rPr>
              <w:t>59</w:t>
            </w:r>
            <w:r>
              <w:rPr>
                <w:noProof/>
                <w:webHidden/>
              </w:rPr>
              <w:fldChar w:fldCharType="end"/>
            </w:r>
          </w:hyperlink>
        </w:p>
        <w:p w14:paraId="36A16793" w14:textId="054BB705" w:rsidR="00CF305A" w:rsidRDefault="00CF305A">
          <w:pPr>
            <w:pStyle w:val="TOC1"/>
            <w:tabs>
              <w:tab w:val="right" w:leader="dot" w:pos="9016"/>
            </w:tabs>
            <w:rPr>
              <w:noProof/>
              <w:lang w:eastAsia="zh-CN"/>
            </w:rPr>
          </w:pPr>
          <w:hyperlink w:anchor="_Toc230113930" w:history="1">
            <w:r w:rsidRPr="006B400E">
              <w:rPr>
                <w:rStyle w:val="Hyperlink"/>
                <w:rFonts w:ascii="Arial" w:hAnsi="Arial" w:cs="Arial"/>
                <w:b/>
                <w:bCs/>
                <w:noProof/>
              </w:rPr>
              <w:t>CHAPTER 7: RECOMMENDATIONS AND CONCLUSION</w:t>
            </w:r>
            <w:r>
              <w:rPr>
                <w:noProof/>
                <w:webHidden/>
              </w:rPr>
              <w:tab/>
            </w:r>
            <w:r>
              <w:rPr>
                <w:noProof/>
                <w:webHidden/>
              </w:rPr>
              <w:fldChar w:fldCharType="begin"/>
            </w:r>
            <w:r>
              <w:rPr>
                <w:noProof/>
                <w:webHidden/>
              </w:rPr>
              <w:instrText xml:space="preserve"> PAGEREF _Toc230113930 \h </w:instrText>
            </w:r>
            <w:r>
              <w:rPr>
                <w:noProof/>
                <w:webHidden/>
              </w:rPr>
            </w:r>
            <w:r>
              <w:rPr>
                <w:noProof/>
                <w:webHidden/>
              </w:rPr>
              <w:fldChar w:fldCharType="separate"/>
            </w:r>
            <w:r>
              <w:rPr>
                <w:noProof/>
                <w:webHidden/>
              </w:rPr>
              <w:t>60</w:t>
            </w:r>
            <w:r>
              <w:rPr>
                <w:noProof/>
                <w:webHidden/>
              </w:rPr>
              <w:fldChar w:fldCharType="end"/>
            </w:r>
          </w:hyperlink>
        </w:p>
        <w:p w14:paraId="690F456C" w14:textId="075810E0" w:rsidR="00CF305A" w:rsidRDefault="00CF305A">
          <w:pPr>
            <w:pStyle w:val="TOC2"/>
            <w:tabs>
              <w:tab w:val="right" w:leader="dot" w:pos="9016"/>
            </w:tabs>
            <w:rPr>
              <w:noProof/>
              <w:lang w:eastAsia="zh-CN"/>
            </w:rPr>
          </w:pPr>
          <w:hyperlink w:anchor="_Toc230113931" w:history="1">
            <w:r w:rsidRPr="006B400E">
              <w:rPr>
                <w:rStyle w:val="Hyperlink"/>
                <w:rFonts w:ascii="Arial" w:hAnsi="Arial" w:cs="Arial"/>
                <w:b/>
                <w:bCs/>
                <w:noProof/>
              </w:rPr>
              <w:t>7.1 Introduction</w:t>
            </w:r>
            <w:r>
              <w:rPr>
                <w:noProof/>
                <w:webHidden/>
              </w:rPr>
              <w:tab/>
            </w:r>
            <w:r>
              <w:rPr>
                <w:noProof/>
                <w:webHidden/>
              </w:rPr>
              <w:fldChar w:fldCharType="begin"/>
            </w:r>
            <w:r>
              <w:rPr>
                <w:noProof/>
                <w:webHidden/>
              </w:rPr>
              <w:instrText xml:space="preserve"> PAGEREF _Toc230113931 \h </w:instrText>
            </w:r>
            <w:r>
              <w:rPr>
                <w:noProof/>
                <w:webHidden/>
              </w:rPr>
            </w:r>
            <w:r>
              <w:rPr>
                <w:noProof/>
                <w:webHidden/>
              </w:rPr>
              <w:fldChar w:fldCharType="separate"/>
            </w:r>
            <w:r>
              <w:rPr>
                <w:noProof/>
                <w:webHidden/>
              </w:rPr>
              <w:t>60</w:t>
            </w:r>
            <w:r>
              <w:rPr>
                <w:noProof/>
                <w:webHidden/>
              </w:rPr>
              <w:fldChar w:fldCharType="end"/>
            </w:r>
          </w:hyperlink>
        </w:p>
        <w:p w14:paraId="09E723F8" w14:textId="12FA0A7F" w:rsidR="00CF305A" w:rsidRDefault="00CF305A">
          <w:pPr>
            <w:pStyle w:val="TOC2"/>
            <w:tabs>
              <w:tab w:val="right" w:leader="dot" w:pos="9016"/>
            </w:tabs>
            <w:rPr>
              <w:noProof/>
              <w:lang w:eastAsia="zh-CN"/>
            </w:rPr>
          </w:pPr>
          <w:hyperlink w:anchor="_Toc230113932" w:history="1">
            <w:r w:rsidRPr="006B400E">
              <w:rPr>
                <w:rStyle w:val="Hyperlink"/>
                <w:b/>
                <w:bCs/>
                <w:noProof/>
                <w:lang w:eastAsia="zh-CN"/>
              </w:rPr>
              <w:t>7.2 Implications of Findings: The Biopsychosocial Shift.</w:t>
            </w:r>
            <w:r>
              <w:rPr>
                <w:noProof/>
                <w:webHidden/>
              </w:rPr>
              <w:tab/>
            </w:r>
            <w:r>
              <w:rPr>
                <w:noProof/>
                <w:webHidden/>
              </w:rPr>
              <w:fldChar w:fldCharType="begin"/>
            </w:r>
            <w:r>
              <w:rPr>
                <w:noProof/>
                <w:webHidden/>
              </w:rPr>
              <w:instrText xml:space="preserve"> PAGEREF _Toc230113932 \h </w:instrText>
            </w:r>
            <w:r>
              <w:rPr>
                <w:noProof/>
                <w:webHidden/>
              </w:rPr>
            </w:r>
            <w:r>
              <w:rPr>
                <w:noProof/>
                <w:webHidden/>
              </w:rPr>
              <w:fldChar w:fldCharType="separate"/>
            </w:r>
            <w:r>
              <w:rPr>
                <w:noProof/>
                <w:webHidden/>
              </w:rPr>
              <w:t>60</w:t>
            </w:r>
            <w:r>
              <w:rPr>
                <w:noProof/>
                <w:webHidden/>
              </w:rPr>
              <w:fldChar w:fldCharType="end"/>
            </w:r>
          </w:hyperlink>
        </w:p>
        <w:p w14:paraId="035B8B82" w14:textId="237426F0" w:rsidR="00CF305A" w:rsidRDefault="00CF305A">
          <w:pPr>
            <w:pStyle w:val="TOC3"/>
            <w:tabs>
              <w:tab w:val="right" w:leader="dot" w:pos="9016"/>
            </w:tabs>
            <w:rPr>
              <w:noProof/>
              <w:lang w:eastAsia="zh-CN"/>
            </w:rPr>
          </w:pPr>
          <w:hyperlink w:anchor="_Toc230113933" w:history="1">
            <w:r w:rsidRPr="006B400E">
              <w:rPr>
                <w:rStyle w:val="Hyperlink"/>
                <w:b/>
                <w:bCs/>
                <w:noProof/>
                <w:lang w:eastAsia="zh-CN"/>
              </w:rPr>
              <w:t>7.2.1 From Biomedical to Biopsychosocial Models</w:t>
            </w:r>
            <w:r>
              <w:rPr>
                <w:noProof/>
                <w:webHidden/>
              </w:rPr>
              <w:tab/>
            </w:r>
            <w:r>
              <w:rPr>
                <w:noProof/>
                <w:webHidden/>
              </w:rPr>
              <w:fldChar w:fldCharType="begin"/>
            </w:r>
            <w:r>
              <w:rPr>
                <w:noProof/>
                <w:webHidden/>
              </w:rPr>
              <w:instrText xml:space="preserve"> PAGEREF _Toc230113933 \h </w:instrText>
            </w:r>
            <w:r>
              <w:rPr>
                <w:noProof/>
                <w:webHidden/>
              </w:rPr>
            </w:r>
            <w:r>
              <w:rPr>
                <w:noProof/>
                <w:webHidden/>
              </w:rPr>
              <w:fldChar w:fldCharType="separate"/>
            </w:r>
            <w:r>
              <w:rPr>
                <w:noProof/>
                <w:webHidden/>
              </w:rPr>
              <w:t>60</w:t>
            </w:r>
            <w:r>
              <w:rPr>
                <w:noProof/>
                <w:webHidden/>
              </w:rPr>
              <w:fldChar w:fldCharType="end"/>
            </w:r>
          </w:hyperlink>
        </w:p>
        <w:p w14:paraId="6A03A65B" w14:textId="29A291A4" w:rsidR="00CF305A" w:rsidRDefault="00CF305A">
          <w:pPr>
            <w:pStyle w:val="TOC3"/>
            <w:tabs>
              <w:tab w:val="right" w:leader="dot" w:pos="9016"/>
            </w:tabs>
            <w:rPr>
              <w:noProof/>
              <w:lang w:eastAsia="zh-CN"/>
            </w:rPr>
          </w:pPr>
          <w:hyperlink w:anchor="_Toc230113934" w:history="1">
            <w:r w:rsidRPr="006B400E">
              <w:rPr>
                <w:rStyle w:val="Hyperlink"/>
                <w:b/>
                <w:bCs/>
                <w:noProof/>
                <w:lang w:eastAsia="zh-CN"/>
              </w:rPr>
              <w:t>7.2.2 The Risk of Therapeutic Inequality</w:t>
            </w:r>
            <w:r>
              <w:rPr>
                <w:noProof/>
                <w:webHidden/>
              </w:rPr>
              <w:tab/>
            </w:r>
            <w:r>
              <w:rPr>
                <w:noProof/>
                <w:webHidden/>
              </w:rPr>
              <w:fldChar w:fldCharType="begin"/>
            </w:r>
            <w:r>
              <w:rPr>
                <w:noProof/>
                <w:webHidden/>
              </w:rPr>
              <w:instrText xml:space="preserve"> PAGEREF _Toc230113934 \h </w:instrText>
            </w:r>
            <w:r>
              <w:rPr>
                <w:noProof/>
                <w:webHidden/>
              </w:rPr>
            </w:r>
            <w:r>
              <w:rPr>
                <w:noProof/>
                <w:webHidden/>
              </w:rPr>
              <w:fldChar w:fldCharType="separate"/>
            </w:r>
            <w:r>
              <w:rPr>
                <w:noProof/>
                <w:webHidden/>
              </w:rPr>
              <w:t>61</w:t>
            </w:r>
            <w:r>
              <w:rPr>
                <w:noProof/>
                <w:webHidden/>
              </w:rPr>
              <w:fldChar w:fldCharType="end"/>
            </w:r>
          </w:hyperlink>
        </w:p>
        <w:p w14:paraId="2911F0BD" w14:textId="687504FC" w:rsidR="00CF305A" w:rsidRDefault="00CF305A">
          <w:pPr>
            <w:pStyle w:val="TOC2"/>
            <w:tabs>
              <w:tab w:val="right" w:leader="dot" w:pos="9016"/>
            </w:tabs>
            <w:rPr>
              <w:noProof/>
              <w:lang w:eastAsia="zh-CN"/>
            </w:rPr>
          </w:pPr>
          <w:hyperlink w:anchor="_Toc230113935" w:history="1">
            <w:r w:rsidRPr="006B400E">
              <w:rPr>
                <w:rStyle w:val="Hyperlink"/>
                <w:b/>
                <w:bCs/>
                <w:noProof/>
                <w:lang w:eastAsia="zh-CN"/>
              </w:rPr>
              <w:t>7.3 Recommendations for Clinical Practice</w:t>
            </w:r>
            <w:r>
              <w:rPr>
                <w:noProof/>
                <w:webHidden/>
              </w:rPr>
              <w:tab/>
            </w:r>
            <w:r>
              <w:rPr>
                <w:noProof/>
                <w:webHidden/>
              </w:rPr>
              <w:fldChar w:fldCharType="begin"/>
            </w:r>
            <w:r>
              <w:rPr>
                <w:noProof/>
                <w:webHidden/>
              </w:rPr>
              <w:instrText xml:space="preserve"> PAGEREF _Toc230113935 \h </w:instrText>
            </w:r>
            <w:r>
              <w:rPr>
                <w:noProof/>
                <w:webHidden/>
              </w:rPr>
            </w:r>
            <w:r>
              <w:rPr>
                <w:noProof/>
                <w:webHidden/>
              </w:rPr>
              <w:fldChar w:fldCharType="separate"/>
            </w:r>
            <w:r>
              <w:rPr>
                <w:noProof/>
                <w:webHidden/>
              </w:rPr>
              <w:t>61</w:t>
            </w:r>
            <w:r>
              <w:rPr>
                <w:noProof/>
                <w:webHidden/>
              </w:rPr>
              <w:fldChar w:fldCharType="end"/>
            </w:r>
          </w:hyperlink>
        </w:p>
        <w:p w14:paraId="304D49EB" w14:textId="654D215D" w:rsidR="00CF305A" w:rsidRDefault="00CF305A">
          <w:pPr>
            <w:pStyle w:val="TOC2"/>
            <w:tabs>
              <w:tab w:val="right" w:leader="dot" w:pos="9016"/>
            </w:tabs>
            <w:rPr>
              <w:noProof/>
              <w:lang w:eastAsia="zh-CN"/>
            </w:rPr>
          </w:pPr>
          <w:hyperlink w:anchor="_Toc230113936" w:history="1">
            <w:r w:rsidRPr="006B400E">
              <w:rPr>
                <w:rStyle w:val="Hyperlink"/>
                <w:b/>
                <w:bCs/>
                <w:noProof/>
                <w:lang w:eastAsia="zh-CN"/>
              </w:rPr>
              <w:t>7.4 Recommendations for Future Research</w:t>
            </w:r>
            <w:r>
              <w:rPr>
                <w:noProof/>
                <w:webHidden/>
              </w:rPr>
              <w:tab/>
            </w:r>
            <w:r>
              <w:rPr>
                <w:noProof/>
                <w:webHidden/>
              </w:rPr>
              <w:fldChar w:fldCharType="begin"/>
            </w:r>
            <w:r>
              <w:rPr>
                <w:noProof/>
                <w:webHidden/>
              </w:rPr>
              <w:instrText xml:space="preserve"> PAGEREF _Toc230113936 \h </w:instrText>
            </w:r>
            <w:r>
              <w:rPr>
                <w:noProof/>
                <w:webHidden/>
              </w:rPr>
            </w:r>
            <w:r>
              <w:rPr>
                <w:noProof/>
                <w:webHidden/>
              </w:rPr>
              <w:fldChar w:fldCharType="separate"/>
            </w:r>
            <w:r>
              <w:rPr>
                <w:noProof/>
                <w:webHidden/>
              </w:rPr>
              <w:t>62</w:t>
            </w:r>
            <w:r>
              <w:rPr>
                <w:noProof/>
                <w:webHidden/>
              </w:rPr>
              <w:fldChar w:fldCharType="end"/>
            </w:r>
          </w:hyperlink>
        </w:p>
        <w:p w14:paraId="20198C3F" w14:textId="0D4A789F" w:rsidR="00CF305A" w:rsidRDefault="00CF305A">
          <w:pPr>
            <w:pStyle w:val="TOC2"/>
            <w:tabs>
              <w:tab w:val="right" w:leader="dot" w:pos="9016"/>
            </w:tabs>
            <w:rPr>
              <w:noProof/>
              <w:lang w:eastAsia="zh-CN"/>
            </w:rPr>
          </w:pPr>
          <w:hyperlink w:anchor="_Toc230113937" w:history="1">
            <w:r w:rsidRPr="006B400E">
              <w:rPr>
                <w:rStyle w:val="Hyperlink"/>
                <w:b/>
                <w:bCs/>
                <w:noProof/>
                <w:lang w:eastAsia="zh-CN"/>
              </w:rPr>
              <w:t>7.5 Conclusion: Bridging the Implementation Gap</w:t>
            </w:r>
            <w:r>
              <w:rPr>
                <w:noProof/>
                <w:webHidden/>
              </w:rPr>
              <w:tab/>
            </w:r>
            <w:r>
              <w:rPr>
                <w:noProof/>
                <w:webHidden/>
              </w:rPr>
              <w:fldChar w:fldCharType="begin"/>
            </w:r>
            <w:r>
              <w:rPr>
                <w:noProof/>
                <w:webHidden/>
              </w:rPr>
              <w:instrText xml:space="preserve"> PAGEREF _Toc230113937 \h </w:instrText>
            </w:r>
            <w:r>
              <w:rPr>
                <w:noProof/>
                <w:webHidden/>
              </w:rPr>
            </w:r>
            <w:r>
              <w:rPr>
                <w:noProof/>
                <w:webHidden/>
              </w:rPr>
              <w:fldChar w:fldCharType="separate"/>
            </w:r>
            <w:r>
              <w:rPr>
                <w:noProof/>
                <w:webHidden/>
              </w:rPr>
              <w:t>62</w:t>
            </w:r>
            <w:r>
              <w:rPr>
                <w:noProof/>
                <w:webHidden/>
              </w:rPr>
              <w:fldChar w:fldCharType="end"/>
            </w:r>
          </w:hyperlink>
        </w:p>
        <w:p w14:paraId="0F26187E" w14:textId="549502EB" w:rsidR="00CF305A" w:rsidRDefault="00CF305A">
          <w:pPr>
            <w:pStyle w:val="TOC1"/>
            <w:tabs>
              <w:tab w:val="right" w:leader="dot" w:pos="9016"/>
            </w:tabs>
            <w:rPr>
              <w:noProof/>
              <w:lang w:eastAsia="zh-CN"/>
            </w:rPr>
          </w:pPr>
          <w:hyperlink w:anchor="_Toc230113938" w:history="1">
            <w:r w:rsidRPr="006B400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_Toc230113938 \h </w:instrText>
            </w:r>
            <w:r>
              <w:rPr>
                <w:noProof/>
                <w:webHidden/>
              </w:rPr>
            </w:r>
            <w:r>
              <w:rPr>
                <w:noProof/>
                <w:webHidden/>
              </w:rPr>
              <w:fldChar w:fldCharType="separate"/>
            </w:r>
            <w:r>
              <w:rPr>
                <w:noProof/>
                <w:webHidden/>
              </w:rPr>
              <w:t>64</w:t>
            </w:r>
            <w:r>
              <w:rPr>
                <w:noProof/>
                <w:webHidden/>
              </w:rPr>
              <w:fldChar w:fldCharType="end"/>
            </w:r>
          </w:hyperlink>
        </w:p>
        <w:p w14:paraId="438657D0" w14:textId="09A60FFB" w:rsidR="00CF305A" w:rsidRDefault="00CF305A">
          <w:pPr>
            <w:pStyle w:val="TOC1"/>
            <w:tabs>
              <w:tab w:val="right" w:leader="dot" w:pos="9016"/>
            </w:tabs>
            <w:rPr>
              <w:noProof/>
              <w:lang w:eastAsia="zh-CN"/>
            </w:rPr>
          </w:pPr>
          <w:hyperlink w:anchor="_Toc230113939" w:history="1">
            <w:r w:rsidRPr="006B400E">
              <w:rPr>
                <w:rStyle w:val="Hyperlink"/>
                <w:b/>
                <w:bCs/>
                <w:noProof/>
              </w:rPr>
              <w:t>APPENDIX</w:t>
            </w:r>
            <w:r>
              <w:rPr>
                <w:noProof/>
                <w:webHidden/>
              </w:rPr>
              <w:tab/>
            </w:r>
            <w:r>
              <w:rPr>
                <w:noProof/>
                <w:webHidden/>
              </w:rPr>
              <w:fldChar w:fldCharType="begin"/>
            </w:r>
            <w:r>
              <w:rPr>
                <w:noProof/>
                <w:webHidden/>
              </w:rPr>
              <w:instrText xml:space="preserve"> PAGEREF _Toc230113939 \h </w:instrText>
            </w:r>
            <w:r>
              <w:rPr>
                <w:noProof/>
                <w:webHidden/>
              </w:rPr>
            </w:r>
            <w:r>
              <w:rPr>
                <w:noProof/>
                <w:webHidden/>
              </w:rPr>
              <w:fldChar w:fldCharType="separate"/>
            </w:r>
            <w:r>
              <w:rPr>
                <w:noProof/>
                <w:webHidden/>
              </w:rPr>
              <w:t>69</w:t>
            </w:r>
            <w:r>
              <w:rPr>
                <w:noProof/>
                <w:webHidden/>
              </w:rPr>
              <w:fldChar w:fldCharType="end"/>
            </w:r>
          </w:hyperlink>
        </w:p>
        <w:p w14:paraId="13E3AFB1" w14:textId="50970984" w:rsidR="00CF305A" w:rsidRDefault="00CF305A">
          <w:pPr>
            <w:pStyle w:val="TOC1"/>
            <w:tabs>
              <w:tab w:val="right" w:leader="dot" w:pos="9016"/>
            </w:tabs>
            <w:rPr>
              <w:noProof/>
              <w:lang w:eastAsia="zh-CN"/>
            </w:rPr>
          </w:pPr>
          <w:hyperlink w:anchor="_Toc230113940" w:history="1">
            <w:r w:rsidRPr="006B400E">
              <w:rPr>
                <w:rStyle w:val="Hyperlink"/>
                <w:b/>
                <w:bCs/>
                <w:noProof/>
              </w:rPr>
              <w:t>Articles</w:t>
            </w:r>
            <w:r>
              <w:rPr>
                <w:noProof/>
                <w:webHidden/>
              </w:rPr>
              <w:tab/>
            </w:r>
            <w:r>
              <w:rPr>
                <w:noProof/>
                <w:webHidden/>
              </w:rPr>
              <w:fldChar w:fldCharType="begin"/>
            </w:r>
            <w:r>
              <w:rPr>
                <w:noProof/>
                <w:webHidden/>
              </w:rPr>
              <w:instrText xml:space="preserve"> PAGEREF _Toc230113940 \h </w:instrText>
            </w:r>
            <w:r>
              <w:rPr>
                <w:noProof/>
                <w:webHidden/>
              </w:rPr>
            </w:r>
            <w:r>
              <w:rPr>
                <w:noProof/>
                <w:webHidden/>
              </w:rPr>
              <w:fldChar w:fldCharType="separate"/>
            </w:r>
            <w:r>
              <w:rPr>
                <w:noProof/>
                <w:webHidden/>
              </w:rPr>
              <w:t>69</w:t>
            </w:r>
            <w:r>
              <w:rPr>
                <w:noProof/>
                <w:webHidden/>
              </w:rPr>
              <w:fldChar w:fldCharType="end"/>
            </w:r>
          </w:hyperlink>
        </w:p>
        <w:p w14:paraId="20D7C6B6" w14:textId="4E1280D0" w:rsidR="00CF305A" w:rsidRDefault="00CF305A">
          <w:pPr>
            <w:pStyle w:val="TOC1"/>
            <w:tabs>
              <w:tab w:val="right" w:leader="dot" w:pos="9016"/>
            </w:tabs>
            <w:rPr>
              <w:noProof/>
              <w:lang w:eastAsia="zh-CN"/>
            </w:rPr>
          </w:pPr>
          <w:hyperlink w:anchor="_Toc230113941" w:history="1">
            <w:r w:rsidRPr="006B400E">
              <w:rPr>
                <w:rStyle w:val="Hyperlink"/>
                <w:b/>
                <w:bCs/>
                <w:noProof/>
              </w:rPr>
              <w:t>CASP TABLE</w:t>
            </w:r>
            <w:r>
              <w:rPr>
                <w:noProof/>
                <w:webHidden/>
              </w:rPr>
              <w:tab/>
            </w:r>
            <w:r>
              <w:rPr>
                <w:noProof/>
                <w:webHidden/>
              </w:rPr>
              <w:fldChar w:fldCharType="begin"/>
            </w:r>
            <w:r>
              <w:rPr>
                <w:noProof/>
                <w:webHidden/>
              </w:rPr>
              <w:instrText xml:space="preserve"> PAGEREF _Toc230113941 \h </w:instrText>
            </w:r>
            <w:r>
              <w:rPr>
                <w:noProof/>
                <w:webHidden/>
              </w:rPr>
            </w:r>
            <w:r>
              <w:rPr>
                <w:noProof/>
                <w:webHidden/>
              </w:rPr>
              <w:fldChar w:fldCharType="separate"/>
            </w:r>
            <w:r>
              <w:rPr>
                <w:noProof/>
                <w:webHidden/>
              </w:rPr>
              <w:t>70</w:t>
            </w:r>
            <w:r>
              <w:rPr>
                <w:noProof/>
                <w:webHidden/>
              </w:rPr>
              <w:fldChar w:fldCharType="end"/>
            </w:r>
          </w:hyperlink>
        </w:p>
        <w:p w14:paraId="105D3420" w14:textId="10EEEA72" w:rsidR="00293047" w:rsidRPr="00107D0A" w:rsidRDefault="00293047" w:rsidP="00FC1D17">
          <w:pPr>
            <w:spacing w:line="360" w:lineRule="auto"/>
            <w:rPr>
              <w:rFonts w:ascii="Arial" w:hAnsi="Arial" w:cs="Arial"/>
            </w:rPr>
          </w:pPr>
          <w:r w:rsidRPr="00107D0A">
            <w:rPr>
              <w:rFonts w:ascii="Arial" w:hAnsi="Arial" w:cs="Arial"/>
              <w:b/>
              <w:bCs/>
              <w:noProof/>
            </w:rPr>
            <w:fldChar w:fldCharType="end"/>
          </w:r>
        </w:p>
      </w:sdtContent>
    </w:sdt>
    <w:p w14:paraId="328005E9" w14:textId="77777777" w:rsidR="001A04E1" w:rsidRDefault="001A04E1" w:rsidP="00FC1D17">
      <w:pPr>
        <w:spacing w:line="360" w:lineRule="auto"/>
        <w:rPr>
          <w:rFonts w:ascii="Arial" w:hAnsi="Arial" w:cs="Arial"/>
        </w:rPr>
      </w:pPr>
    </w:p>
    <w:p w14:paraId="50ACF071" w14:textId="67ABF731" w:rsidR="002B25AF" w:rsidRPr="00484924" w:rsidRDefault="00F15A3F" w:rsidP="00484924">
      <w:pPr>
        <w:pStyle w:val="Heading1"/>
        <w:rPr>
          <w:b/>
          <w:bCs/>
        </w:rPr>
      </w:pPr>
      <w:bookmarkStart w:id="7" w:name="_Toc230113829"/>
      <w:r w:rsidRPr="00484924">
        <w:rPr>
          <w:b/>
          <w:bCs/>
        </w:rPr>
        <w:lastRenderedPageBreak/>
        <w:t>Abbre</w:t>
      </w:r>
      <w:r w:rsidR="000D53D5" w:rsidRPr="00484924">
        <w:rPr>
          <w:b/>
          <w:bCs/>
        </w:rPr>
        <w:t>viation</w:t>
      </w:r>
      <w:bookmarkEnd w:id="7"/>
    </w:p>
    <w:tbl>
      <w:tblPr>
        <w:tblW w:w="0" w:type="auto"/>
        <w:tblCellSpacing w:w="15" w:type="dxa"/>
        <w:tblCellMar>
          <w:left w:w="0" w:type="dxa"/>
          <w:right w:w="0" w:type="dxa"/>
        </w:tblCellMar>
        <w:tblLook w:val="04A0" w:firstRow="1" w:lastRow="0" w:firstColumn="1" w:lastColumn="0" w:noHBand="0" w:noVBand="1"/>
      </w:tblPr>
      <w:tblGrid>
        <w:gridCol w:w="1722"/>
        <w:gridCol w:w="7288"/>
      </w:tblGrid>
      <w:tr w:rsidR="009A7CC1" w:rsidRPr="009A7CC1" w14:paraId="22681891"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345FF81"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Abbreviation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F67F67F"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Meaning</w:t>
            </w:r>
          </w:p>
        </w:tc>
      </w:tr>
      <w:tr w:rsidR="009A7CC1" w:rsidRPr="009A7CC1" w14:paraId="207300D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E832F85"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BMI</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9C2C7A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Body Mass Index</w:t>
            </w:r>
          </w:p>
        </w:tc>
      </w:tr>
      <w:tr w:rsidR="009A7CC1" w:rsidRPr="009A7CC1" w14:paraId="4C3B966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6F39BB4"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CASP</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AA94EA9"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Critical Appraisal Skills Programme</w:t>
            </w:r>
          </w:p>
        </w:tc>
      </w:tr>
      <w:tr w:rsidR="009A7CC1" w:rsidRPr="009A7CC1" w14:paraId="06E8499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5064570"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CAT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CA2A6D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Critical Appraisal Tool</w:t>
            </w:r>
          </w:p>
        </w:tc>
      </w:tr>
      <w:tr w:rsidR="009A7CC1" w:rsidRPr="009A7CC1" w14:paraId="41DC6D7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85B456D"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CINAHL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08322D8"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Cumulative Index to Nursing and Allied Health Literature</w:t>
            </w:r>
          </w:p>
        </w:tc>
      </w:tr>
      <w:tr w:rsidR="009A7CC1" w:rsidRPr="009A7CC1" w14:paraId="67F4779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05F7200"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GIP</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8A54929"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Glucose-dependent Insulinotropic Polypeptide</w:t>
            </w:r>
          </w:p>
        </w:tc>
      </w:tr>
      <w:tr w:rsidR="009A7CC1" w:rsidRPr="009A7CC1" w14:paraId="3287ED6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89CE9E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GLP-1</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6C6C533"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Glucagon-like Peptide-1</w:t>
            </w:r>
          </w:p>
        </w:tc>
      </w:tr>
      <w:tr w:rsidR="009A7CC1" w:rsidRPr="009A7CC1" w14:paraId="5B470C9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3AC3568"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HbA1c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089A336"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Haemoglobin A1c (Glycated Haemoglobin)</w:t>
            </w:r>
          </w:p>
        </w:tc>
      </w:tr>
      <w:tr w:rsidR="009A7CC1" w:rsidRPr="009A7CC1" w14:paraId="3FB6E27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FBA9249"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ICB</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38AD269"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Integrated Care Board</w:t>
            </w:r>
          </w:p>
        </w:tc>
      </w:tr>
      <w:tr w:rsidR="009A7CC1" w:rsidRPr="009A7CC1" w14:paraId="4D46D23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61A73F3"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JBI</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FDF1C21"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Joanna Briggs Institute</w:t>
            </w:r>
          </w:p>
        </w:tc>
      </w:tr>
      <w:tr w:rsidR="009A7CC1" w:rsidRPr="009A7CC1" w14:paraId="06446CF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0FB529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NHS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49D0137"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National Health Service</w:t>
            </w:r>
          </w:p>
        </w:tc>
      </w:tr>
      <w:tr w:rsidR="009A7CC1" w:rsidRPr="009A7CC1" w14:paraId="3790AE6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A149B8B"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NICE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39FE13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National Institute for Health and Care Excellence</w:t>
            </w:r>
          </w:p>
        </w:tc>
      </w:tr>
      <w:tr w:rsidR="009A7CC1" w:rsidRPr="009A7CC1" w14:paraId="7504408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47FD666"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PCN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750E23D"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Primary Care Network</w:t>
            </w:r>
          </w:p>
        </w:tc>
      </w:tr>
      <w:tr w:rsidR="009A7CC1" w:rsidRPr="009A7CC1" w14:paraId="124A112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F2CA3B5"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PEO</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E912BCD"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Population, Exposure, Outcome (Qualitative Framework)</w:t>
            </w:r>
          </w:p>
        </w:tc>
      </w:tr>
      <w:tr w:rsidR="009A7CC1" w:rsidRPr="009A7CC1" w14:paraId="06344B2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E817337"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PICO</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72DE198"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Population, Intervention, Comparison, Outcome (Quantitative Framework)</w:t>
            </w:r>
          </w:p>
        </w:tc>
      </w:tr>
      <w:tr w:rsidR="009A7CC1" w:rsidRPr="009A7CC1" w14:paraId="59ECD6C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F34D7B7"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lastRenderedPageBreak/>
              <w:t>PRISMA</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9443D34"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Preferred Reporting Items for Systematic Reviews and Meta-Analyses</w:t>
            </w:r>
          </w:p>
        </w:tc>
      </w:tr>
      <w:tr w:rsidR="009A7CC1" w:rsidRPr="009A7CC1" w14:paraId="7CBA40E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DF920F4"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PROM</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9723079"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Patient-Reported Outcome Measure</w:t>
            </w:r>
          </w:p>
        </w:tc>
      </w:tr>
      <w:tr w:rsidR="009A7CC1" w:rsidRPr="009A7CC1" w14:paraId="74AF425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05A0CC2"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RCT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9A832BC"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Randomised Controlled Trial</w:t>
            </w:r>
          </w:p>
        </w:tc>
      </w:tr>
      <w:tr w:rsidR="009A7CC1" w:rsidRPr="009A7CC1" w14:paraId="6D80856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29100F7"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SLR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FDEB2DD"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Systematic Literature Review</w:t>
            </w:r>
          </w:p>
        </w:tc>
      </w:tr>
      <w:tr w:rsidR="009A7CC1" w:rsidRPr="009A7CC1" w14:paraId="680424D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68B9FD4"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b/>
                <w:bCs/>
                <w:color w:val="1F1F1F"/>
                <w:kern w:val="0"/>
                <w:bdr w:val="none" w:sz="0" w:space="0" w:color="auto" w:frame="1"/>
                <w:lang w:eastAsia="zh-CN"/>
                <w14:ligatures w14:val="none"/>
              </w:rPr>
              <w:t>T2DM / T2D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57F8452" w14:textId="77777777" w:rsidR="009A7CC1" w:rsidRPr="009A7CC1" w:rsidRDefault="009A7CC1" w:rsidP="009A7CC1">
            <w:pPr>
              <w:spacing w:after="0" w:line="240" w:lineRule="auto"/>
              <w:rPr>
                <w:rFonts w:ascii="Arial" w:eastAsia="Times New Roman" w:hAnsi="Arial" w:cs="Arial"/>
                <w:color w:val="1F1F1F"/>
                <w:kern w:val="0"/>
                <w:lang w:eastAsia="zh-CN"/>
                <w14:ligatures w14:val="none"/>
              </w:rPr>
            </w:pPr>
            <w:r w:rsidRPr="009A7CC1">
              <w:rPr>
                <w:rFonts w:ascii="Arial" w:eastAsia="Times New Roman" w:hAnsi="Arial" w:cs="Arial"/>
                <w:color w:val="1F1F1F"/>
                <w:kern w:val="0"/>
                <w:bdr w:val="none" w:sz="0" w:space="0" w:color="auto" w:frame="1"/>
                <w:lang w:eastAsia="zh-CN"/>
                <w14:ligatures w14:val="none"/>
              </w:rPr>
              <w:t>Type 2 Diabetes Mellitus</w:t>
            </w:r>
          </w:p>
        </w:tc>
      </w:tr>
    </w:tbl>
    <w:p w14:paraId="4E8BF47C" w14:textId="77777777" w:rsidR="00F36586" w:rsidRDefault="00F36586" w:rsidP="00FC1D17">
      <w:pPr>
        <w:spacing w:line="360" w:lineRule="auto"/>
        <w:rPr>
          <w:rFonts w:ascii="Arial" w:hAnsi="Arial" w:cs="Arial"/>
        </w:rPr>
      </w:pPr>
    </w:p>
    <w:p w14:paraId="30AA04E1" w14:textId="77777777" w:rsidR="00A10245" w:rsidRDefault="00A10245" w:rsidP="00FC1D17">
      <w:pPr>
        <w:spacing w:line="360" w:lineRule="auto"/>
        <w:rPr>
          <w:rFonts w:ascii="Arial" w:hAnsi="Arial" w:cs="Arial"/>
        </w:rPr>
      </w:pPr>
    </w:p>
    <w:p w14:paraId="381BC968" w14:textId="77777777" w:rsidR="00F36586" w:rsidRDefault="00F36586" w:rsidP="00FC1D17">
      <w:pPr>
        <w:spacing w:line="360" w:lineRule="auto"/>
        <w:rPr>
          <w:rFonts w:ascii="Arial" w:hAnsi="Arial" w:cs="Arial"/>
        </w:rPr>
      </w:pPr>
    </w:p>
    <w:p w14:paraId="0E1B36D3" w14:textId="77777777" w:rsidR="0055197C" w:rsidRDefault="0055197C" w:rsidP="00FC1D17">
      <w:pPr>
        <w:spacing w:line="360" w:lineRule="auto"/>
        <w:rPr>
          <w:rFonts w:ascii="Arial" w:hAnsi="Arial" w:cs="Arial"/>
        </w:rPr>
      </w:pPr>
    </w:p>
    <w:p w14:paraId="05A97019" w14:textId="77777777" w:rsidR="0055197C" w:rsidRDefault="0055197C" w:rsidP="00FC1D17">
      <w:pPr>
        <w:spacing w:line="360" w:lineRule="auto"/>
        <w:rPr>
          <w:rFonts w:ascii="Arial" w:hAnsi="Arial" w:cs="Arial"/>
        </w:rPr>
      </w:pPr>
    </w:p>
    <w:p w14:paraId="7FC6D277" w14:textId="77777777" w:rsidR="0055197C" w:rsidRDefault="0055197C" w:rsidP="00FC1D17">
      <w:pPr>
        <w:spacing w:line="360" w:lineRule="auto"/>
        <w:rPr>
          <w:rFonts w:ascii="Arial" w:hAnsi="Arial" w:cs="Arial"/>
        </w:rPr>
      </w:pPr>
    </w:p>
    <w:p w14:paraId="4FCFF0A0" w14:textId="77777777" w:rsidR="0055197C" w:rsidRDefault="0055197C" w:rsidP="00FC1D17">
      <w:pPr>
        <w:spacing w:line="360" w:lineRule="auto"/>
        <w:rPr>
          <w:rFonts w:ascii="Arial" w:hAnsi="Arial" w:cs="Arial"/>
        </w:rPr>
      </w:pPr>
    </w:p>
    <w:p w14:paraId="2FBC49AB" w14:textId="77777777" w:rsidR="0055197C" w:rsidRDefault="0055197C" w:rsidP="00FC1D17">
      <w:pPr>
        <w:spacing w:line="360" w:lineRule="auto"/>
        <w:rPr>
          <w:rFonts w:ascii="Arial" w:hAnsi="Arial" w:cs="Arial"/>
        </w:rPr>
      </w:pPr>
    </w:p>
    <w:p w14:paraId="10D1F8F9" w14:textId="77777777" w:rsidR="0055197C" w:rsidRDefault="0055197C" w:rsidP="00FC1D17">
      <w:pPr>
        <w:spacing w:line="360" w:lineRule="auto"/>
        <w:rPr>
          <w:rFonts w:ascii="Arial" w:hAnsi="Arial" w:cs="Arial"/>
        </w:rPr>
      </w:pPr>
    </w:p>
    <w:p w14:paraId="0693EDFE" w14:textId="77777777" w:rsidR="0055197C" w:rsidRDefault="0055197C" w:rsidP="00FC1D17">
      <w:pPr>
        <w:spacing w:line="360" w:lineRule="auto"/>
        <w:rPr>
          <w:rFonts w:ascii="Arial" w:hAnsi="Arial" w:cs="Arial"/>
        </w:rPr>
      </w:pPr>
    </w:p>
    <w:p w14:paraId="109A0686" w14:textId="77777777" w:rsidR="0055197C" w:rsidRPr="00107D0A" w:rsidRDefault="0055197C" w:rsidP="00FC1D17">
      <w:pPr>
        <w:spacing w:line="360" w:lineRule="auto"/>
        <w:rPr>
          <w:rFonts w:ascii="Arial" w:hAnsi="Arial" w:cs="Arial"/>
        </w:rPr>
      </w:pPr>
    </w:p>
    <w:p w14:paraId="0A5FC788" w14:textId="52E6CD0C" w:rsidR="3B042003" w:rsidRPr="00107D0A" w:rsidRDefault="3B042003" w:rsidP="00FC1D17">
      <w:pPr>
        <w:pStyle w:val="Heading1"/>
        <w:spacing w:line="360" w:lineRule="auto"/>
        <w:rPr>
          <w:rFonts w:ascii="Arial" w:hAnsi="Arial" w:cs="Arial"/>
          <w:b/>
          <w:bCs/>
        </w:rPr>
      </w:pPr>
      <w:bookmarkStart w:id="8" w:name="_Toc230113830"/>
      <w:r w:rsidRPr="00107D0A">
        <w:rPr>
          <w:rFonts w:ascii="Arial" w:hAnsi="Arial" w:cs="Arial"/>
          <w:b/>
          <w:bCs/>
        </w:rPr>
        <w:lastRenderedPageBreak/>
        <w:t>CHAPTER 1: INTRODUCTION AND BACKGROUND</w:t>
      </w:r>
      <w:bookmarkEnd w:id="8"/>
    </w:p>
    <w:p w14:paraId="44A0AFD2" w14:textId="1E9F846C" w:rsidR="3B042003" w:rsidRPr="00107D0A" w:rsidRDefault="3B042003" w:rsidP="00FC1D17">
      <w:pPr>
        <w:pStyle w:val="Heading2"/>
        <w:spacing w:line="360" w:lineRule="auto"/>
        <w:rPr>
          <w:rFonts w:ascii="Arial" w:hAnsi="Arial" w:cs="Arial"/>
          <w:b/>
          <w:bCs/>
        </w:rPr>
      </w:pPr>
      <w:bookmarkStart w:id="9" w:name="_Toc230113831"/>
      <w:r w:rsidRPr="00107D0A">
        <w:rPr>
          <w:rFonts w:ascii="Arial" w:hAnsi="Arial" w:cs="Arial"/>
          <w:b/>
          <w:bCs/>
        </w:rPr>
        <w:t>1.1 Introduction</w:t>
      </w:r>
      <w:bookmarkEnd w:id="9"/>
      <w:r w:rsidRPr="00107D0A">
        <w:rPr>
          <w:rFonts w:ascii="Arial" w:hAnsi="Arial" w:cs="Arial"/>
          <w:b/>
          <w:bCs/>
        </w:rPr>
        <w:t xml:space="preserve"> </w:t>
      </w:r>
    </w:p>
    <w:p w14:paraId="06E3B59F" w14:textId="77777777" w:rsidR="00115A50" w:rsidRPr="00107D0A" w:rsidRDefault="00115A50" w:rsidP="00FC1D17">
      <w:pPr>
        <w:spacing w:after="240" w:line="360" w:lineRule="auto"/>
        <w:rPr>
          <w:rFonts w:ascii="Arial" w:eastAsia="Arial" w:hAnsi="Arial" w:cs="Arial"/>
        </w:rPr>
      </w:pPr>
    </w:p>
    <w:p w14:paraId="669B4557" w14:textId="100C8DE7" w:rsidR="40BFD239" w:rsidRPr="00107D0A" w:rsidRDefault="40BFD239" w:rsidP="00FC1D17">
      <w:pPr>
        <w:pStyle w:val="Heading3"/>
        <w:spacing w:line="360" w:lineRule="auto"/>
        <w:rPr>
          <w:rFonts w:ascii="Arial" w:hAnsi="Arial" w:cs="Arial"/>
          <w:b/>
          <w:bCs/>
        </w:rPr>
      </w:pPr>
      <w:bookmarkStart w:id="10" w:name="_Toc230113832"/>
      <w:r w:rsidRPr="00107D0A">
        <w:rPr>
          <w:rFonts w:ascii="Arial" w:hAnsi="Arial" w:cs="Arial"/>
          <w:b/>
          <w:bCs/>
        </w:rPr>
        <w:t>Type 2 Diabetes Mellitus (Pathophysiology)</w:t>
      </w:r>
      <w:bookmarkEnd w:id="10"/>
    </w:p>
    <w:p w14:paraId="07B4BBC6" w14:textId="30C7BF98" w:rsidR="40BFD239" w:rsidRPr="00CD1D34" w:rsidRDefault="40BFD239" w:rsidP="00BD56AD">
      <w:pPr>
        <w:spacing w:before="240" w:after="240" w:line="360" w:lineRule="auto"/>
        <w:jc w:val="both"/>
        <w:rPr>
          <w:rFonts w:ascii="Arial" w:eastAsia="Arial" w:hAnsi="Arial" w:cs="Arial"/>
          <w:sz w:val="22"/>
          <w:szCs w:val="22"/>
        </w:rPr>
      </w:pPr>
      <w:r w:rsidRPr="00CD1D34">
        <w:rPr>
          <w:rFonts w:ascii="Arial" w:eastAsia="Arial" w:hAnsi="Arial" w:cs="Arial"/>
          <w:sz w:val="22"/>
          <w:szCs w:val="22"/>
        </w:rPr>
        <w:t>This diagram illustrates the core components of T2DM: insulin resistance in the muscles and liver, and the progressive failure of the pancreatic beta cells to produce sufficient insulin.</w:t>
      </w:r>
    </w:p>
    <w:p w14:paraId="0BF692FA" w14:textId="6B2585B5" w:rsidR="59B1C66E" w:rsidRPr="00CD1D34" w:rsidRDefault="008D7463" w:rsidP="00FC1D17">
      <w:pPr>
        <w:spacing w:after="0" w:line="360" w:lineRule="auto"/>
        <w:rPr>
          <w:rFonts w:ascii="Arial" w:eastAsia="Arial" w:hAnsi="Arial" w:cs="Arial"/>
          <w:sz w:val="22"/>
          <w:szCs w:val="22"/>
        </w:rPr>
      </w:pPr>
      <w:r w:rsidRPr="00CD1D34">
        <w:rPr>
          <w:rFonts w:ascii="Arial" w:eastAsia="Arial" w:hAnsi="Arial" w:cs="Arial"/>
          <w:noProof/>
          <w:sz w:val="22"/>
          <w:szCs w:val="22"/>
        </w:rPr>
        <w:drawing>
          <wp:inline distT="0" distB="0" distL="0" distR="0" wp14:anchorId="1CCBE4A8" wp14:editId="699F1D7A">
            <wp:extent cx="5728335" cy="2994102"/>
            <wp:effectExtent l="0" t="0" r="5715" b="0"/>
            <wp:docPr id="878820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76689" cy="3019376"/>
                    </a:xfrm>
                    <a:prstGeom prst="rect">
                      <a:avLst/>
                    </a:prstGeom>
                    <a:noFill/>
                  </pic:spPr>
                </pic:pic>
              </a:graphicData>
            </a:graphic>
          </wp:inline>
        </w:drawing>
      </w:r>
    </w:p>
    <w:p w14:paraId="18A0291F" w14:textId="41A05641" w:rsidR="00783490" w:rsidRPr="00CD1D34" w:rsidRDefault="00A6519B" w:rsidP="00FC1D17">
      <w:pPr>
        <w:spacing w:after="0" w:line="360" w:lineRule="auto"/>
        <w:rPr>
          <w:rFonts w:ascii="Arial" w:eastAsia="Arial" w:hAnsi="Arial" w:cs="Arial"/>
          <w:sz w:val="22"/>
          <w:szCs w:val="22"/>
        </w:rPr>
      </w:pPr>
      <w:r w:rsidRPr="00CD1D34">
        <w:rPr>
          <w:rFonts w:ascii="Arial" w:eastAsia="Arial" w:hAnsi="Arial" w:cs="Arial"/>
          <w:sz w:val="22"/>
          <w:szCs w:val="22"/>
        </w:rPr>
        <w:t>Shutterstock</w:t>
      </w:r>
      <w:r w:rsidR="00484924">
        <w:rPr>
          <w:rFonts w:ascii="Arial" w:eastAsia="Arial" w:hAnsi="Arial" w:cs="Arial"/>
          <w:sz w:val="22"/>
          <w:szCs w:val="22"/>
        </w:rPr>
        <w:t xml:space="preserve"> </w:t>
      </w:r>
      <w:r w:rsidR="00484924" w:rsidRPr="00B37750">
        <w:rPr>
          <w:rStyle w:val="Heading3Char"/>
          <w:b/>
          <w:bCs/>
        </w:rPr>
        <w:t>Figur</w:t>
      </w:r>
      <w:r w:rsidR="00D769BA" w:rsidRPr="00B37750">
        <w:rPr>
          <w:rStyle w:val="Heading3Char"/>
          <w:b/>
          <w:bCs/>
        </w:rPr>
        <w:t>e 1</w:t>
      </w:r>
    </w:p>
    <w:p w14:paraId="3F800618" w14:textId="77777777" w:rsidR="005A06A4" w:rsidRPr="00CD1D34" w:rsidRDefault="005A06A4" w:rsidP="00FC1D17">
      <w:pPr>
        <w:spacing w:after="0" w:line="360" w:lineRule="auto"/>
        <w:rPr>
          <w:rFonts w:ascii="Arial" w:eastAsia="Arial" w:hAnsi="Arial" w:cs="Arial"/>
          <w:sz w:val="22"/>
          <w:szCs w:val="22"/>
        </w:rPr>
      </w:pPr>
    </w:p>
    <w:p w14:paraId="4E628C2D" w14:textId="755CAEDF" w:rsidR="00D567CE" w:rsidRPr="00D567CE" w:rsidRDefault="00D567CE" w:rsidP="00BD56AD">
      <w:pPr>
        <w:spacing w:after="0" w:line="360" w:lineRule="auto"/>
        <w:jc w:val="both"/>
        <w:rPr>
          <w:rFonts w:ascii="Arial" w:eastAsia="Arial" w:hAnsi="Arial" w:cs="Arial"/>
          <w:sz w:val="22"/>
          <w:szCs w:val="22"/>
        </w:rPr>
      </w:pPr>
      <w:r w:rsidRPr="00D567CE">
        <w:rPr>
          <w:rFonts w:ascii="Arial" w:eastAsia="Arial" w:hAnsi="Arial" w:cs="Arial"/>
          <w:sz w:val="22"/>
          <w:szCs w:val="22"/>
        </w:rPr>
        <w:t xml:space="preserve">Type 2 Diabetes Mellitus (T2DM) represents a profound public health paradox in the United Kingdom. While pharmacological innovations have reached unprecedented levels of efficacy, the systemic capacity to deliver these interventions equitably is increasingly strained. The introduction of </w:t>
      </w:r>
      <w:r w:rsidRPr="00B37750">
        <w:rPr>
          <w:rFonts w:ascii="Arial" w:eastAsia="Arial" w:hAnsi="Arial" w:cs="Arial"/>
          <w:sz w:val="22"/>
          <w:szCs w:val="22"/>
        </w:rPr>
        <w:t>Tirzepatide,</w:t>
      </w:r>
      <w:r w:rsidRPr="00D567CE">
        <w:rPr>
          <w:rFonts w:ascii="Arial" w:eastAsia="Arial" w:hAnsi="Arial" w:cs="Arial"/>
          <w:sz w:val="22"/>
          <w:szCs w:val="22"/>
        </w:rPr>
        <w:t xml:space="preserve"> a dual glucose-dependent insulinotropic polypeptide (GIP) and glucagon-like peptide-1 (GLP-1) receptor agonist, is frequently framed as a fundamental alteration of the therapeutic landscape (NICE, 2023). However, this dissertation argues that such clinical advancements do not exist in a vacuum; rather, they intersect with entrenched socioeconomic disparities, overstretched primary care infrastructures, and the increasing commercialisation of chronic disease management.</w:t>
      </w:r>
    </w:p>
    <w:p w14:paraId="30915D82" w14:textId="77777777" w:rsidR="00D567CE" w:rsidRPr="00CD1D34" w:rsidRDefault="00D567CE" w:rsidP="00FC1D17">
      <w:pPr>
        <w:spacing w:after="0" w:line="360" w:lineRule="auto"/>
        <w:rPr>
          <w:rFonts w:ascii="Arial" w:eastAsia="Arial" w:hAnsi="Arial" w:cs="Arial"/>
          <w:sz w:val="22"/>
          <w:szCs w:val="22"/>
        </w:rPr>
      </w:pPr>
    </w:p>
    <w:p w14:paraId="4C427B84" w14:textId="1A83BE50" w:rsidR="009A750F" w:rsidRPr="005F3DA0" w:rsidRDefault="009A750F" w:rsidP="00A10245">
      <w:pPr>
        <w:spacing w:after="240" w:line="360" w:lineRule="auto"/>
        <w:rPr>
          <w:rFonts w:ascii="Arial" w:eastAsia="Arial" w:hAnsi="Arial" w:cs="Arial"/>
          <w:color w:val="C00000"/>
          <w:sz w:val="22"/>
          <w:szCs w:val="22"/>
        </w:rPr>
      </w:pPr>
      <w:r w:rsidRPr="00CD1D34">
        <w:rPr>
          <w:rFonts w:ascii="Arial" w:eastAsia="Arial" w:hAnsi="Arial" w:cs="Arial"/>
          <w:noProof/>
          <w:color w:val="C00000"/>
          <w:sz w:val="22"/>
          <w:szCs w:val="22"/>
        </w:rPr>
        <w:drawing>
          <wp:inline distT="0" distB="0" distL="0" distR="0" wp14:anchorId="7050D8FB" wp14:editId="2B4E9093">
            <wp:extent cx="2794000" cy="1657350"/>
            <wp:effectExtent l="0" t="0" r="6350" b="0"/>
            <wp:docPr id="13044642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94000" cy="1657350"/>
                    </a:xfrm>
                    <a:prstGeom prst="rect">
                      <a:avLst/>
                    </a:prstGeom>
                    <a:noFill/>
                  </pic:spPr>
                </pic:pic>
              </a:graphicData>
            </a:graphic>
          </wp:inline>
        </w:drawing>
      </w:r>
      <w:r w:rsidR="00FA407E">
        <w:rPr>
          <w:rFonts w:ascii="Arial" w:eastAsia="Arial" w:hAnsi="Arial" w:cs="Arial"/>
          <w:noProof/>
          <w:color w:val="C00000"/>
          <w:sz w:val="22"/>
          <w:szCs w:val="22"/>
        </w:rPr>
        <w:drawing>
          <wp:inline distT="0" distB="0" distL="0" distR="0" wp14:anchorId="4D4B6055" wp14:editId="442B9729">
            <wp:extent cx="2901950" cy="1323975"/>
            <wp:effectExtent l="0" t="0" r="0" b="9525"/>
            <wp:docPr id="2142834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01950" cy="1323975"/>
                    </a:xfrm>
                    <a:prstGeom prst="rect">
                      <a:avLst/>
                    </a:prstGeom>
                    <a:noFill/>
                  </pic:spPr>
                </pic:pic>
              </a:graphicData>
            </a:graphic>
          </wp:inline>
        </w:drawing>
      </w:r>
    </w:p>
    <w:p w14:paraId="38AFD818" w14:textId="58EE003F" w:rsidR="009C0454" w:rsidRPr="00B37750" w:rsidRDefault="005753CF" w:rsidP="00A10245">
      <w:pPr>
        <w:spacing w:after="240" w:line="360" w:lineRule="auto"/>
        <w:rPr>
          <w:rStyle w:val="Heading3Char"/>
          <w:b/>
          <w:bCs/>
        </w:rPr>
      </w:pPr>
      <w:hyperlink r:id="rId16" w:history="1">
        <w:r w:rsidRPr="001605C9">
          <w:rPr>
            <w:rStyle w:val="Hyperlink"/>
            <w:rFonts w:ascii="Arial" w:eastAsia="Arial" w:hAnsi="Arial" w:cs="Arial"/>
            <w:sz w:val="22"/>
            <w:szCs w:val="22"/>
          </w:rPr>
          <w:t>https://slimness.com.ua/</w:t>
        </w:r>
      </w:hyperlink>
      <w:r>
        <w:rPr>
          <w:rFonts w:ascii="Arial" w:eastAsia="Arial" w:hAnsi="Arial" w:cs="Arial"/>
          <w:color w:val="C00000"/>
          <w:sz w:val="22"/>
          <w:szCs w:val="22"/>
        </w:rPr>
        <w:t xml:space="preserve"> </w:t>
      </w:r>
      <w:r w:rsidRPr="00B37750">
        <w:rPr>
          <w:rStyle w:val="Heading3Char"/>
          <w:b/>
          <w:bCs/>
        </w:rPr>
        <w:t>Figure 2</w:t>
      </w:r>
    </w:p>
    <w:p w14:paraId="16AF425C" w14:textId="1B65CD91" w:rsidR="00A10245" w:rsidRPr="00CD1D34" w:rsidRDefault="009C0454" w:rsidP="00BD56AD">
      <w:pPr>
        <w:spacing w:after="240" w:line="360" w:lineRule="auto"/>
        <w:jc w:val="both"/>
        <w:rPr>
          <w:rFonts w:ascii="Arial" w:eastAsia="Arial" w:hAnsi="Arial" w:cs="Arial"/>
          <w:sz w:val="22"/>
          <w:szCs w:val="22"/>
        </w:rPr>
      </w:pPr>
      <w:r w:rsidRPr="009C0454">
        <w:rPr>
          <w:rFonts w:ascii="Arial" w:eastAsia="Arial" w:hAnsi="Arial" w:cs="Arial"/>
          <w:sz w:val="22"/>
          <w:szCs w:val="22"/>
        </w:rPr>
        <w:t>While Tirzepatide offers superior glycaemic control, its rollout raises urgent questions regarding long-term sustainability and the potential for a "two-tier" health system. This research does not merely explore the use of the drug; it critically investigates the facilitators and barriers that determine who succeeds on this therapy and who is marginalized by the rigid eligibility frameworks of the National Health Service (NHS). By problematising the transition from controlled clinical trials to real-world practice, this study seeks to uncover the friction between pharmacological potential and public health reality.</w:t>
      </w:r>
    </w:p>
    <w:p w14:paraId="58A24349" w14:textId="0589E8A9" w:rsidR="3B042003" w:rsidRPr="00107D0A" w:rsidRDefault="3B042003" w:rsidP="00FC1D17">
      <w:pPr>
        <w:pStyle w:val="Heading2"/>
        <w:spacing w:line="360" w:lineRule="auto"/>
        <w:rPr>
          <w:rFonts w:ascii="Arial" w:hAnsi="Arial" w:cs="Arial"/>
          <w:b/>
          <w:bCs/>
        </w:rPr>
      </w:pPr>
      <w:bookmarkStart w:id="11" w:name="_Toc230113833"/>
      <w:r w:rsidRPr="00107D0A">
        <w:rPr>
          <w:rFonts w:ascii="Arial" w:hAnsi="Arial" w:cs="Arial"/>
          <w:b/>
          <w:bCs/>
        </w:rPr>
        <w:t>1.2 Background and Current Context</w:t>
      </w:r>
      <w:bookmarkEnd w:id="11"/>
    </w:p>
    <w:p w14:paraId="4A4852A1" w14:textId="453AEED0" w:rsidR="00DC51E6" w:rsidRPr="00DC51E6" w:rsidRDefault="00DC51E6" w:rsidP="0088424F">
      <w:pPr>
        <w:spacing w:line="360" w:lineRule="auto"/>
        <w:jc w:val="both"/>
        <w:rPr>
          <w:rFonts w:ascii="Arial" w:eastAsia="DengXian" w:hAnsi="Arial" w:cs="Arial"/>
          <w:sz w:val="22"/>
          <w:szCs w:val="22"/>
          <w:lang w:eastAsia="zh-CN"/>
        </w:rPr>
      </w:pPr>
      <w:r w:rsidRPr="00DC51E6">
        <w:rPr>
          <w:rFonts w:ascii="Arial" w:eastAsia="DengXian" w:hAnsi="Arial" w:cs="Arial"/>
          <w:sz w:val="22"/>
          <w:szCs w:val="22"/>
          <w:lang w:eastAsia="zh-CN"/>
        </w:rPr>
        <w:t>The contemporary T2DM context in the UK is increasingly defined by a metabolic divide. As of 2026, approximately 5.8 million people live with T2DM, yet access to gold-standard dual-agonists like Tirzepatide is mediated by a phased 12-year rollout plan and the varying budgetary constraints of local Integrated Care Boards (ICBs) (NHS England, 2025). This creates a critical tension</w:t>
      </w:r>
      <w:r w:rsidR="000F59BE" w:rsidRPr="00007A15">
        <w:rPr>
          <w:rFonts w:ascii="Arial" w:eastAsia="DengXian" w:hAnsi="Arial" w:cs="Arial"/>
          <w:sz w:val="22"/>
          <w:szCs w:val="22"/>
          <w:lang w:eastAsia="zh-CN"/>
        </w:rPr>
        <w:t>,</w:t>
      </w:r>
      <w:r w:rsidRPr="00DC51E6">
        <w:rPr>
          <w:rFonts w:ascii="Arial" w:eastAsia="DengXian" w:hAnsi="Arial" w:cs="Arial"/>
          <w:sz w:val="22"/>
          <w:szCs w:val="22"/>
          <w:lang w:eastAsia="zh-CN"/>
        </w:rPr>
        <w:t xml:space="preserve"> while the medication is clinically superior to predecessors such as Metformin, its implementation is restricted by fiscal gatekeeping.</w:t>
      </w:r>
    </w:p>
    <w:p w14:paraId="5396D017" w14:textId="6CBAEFB3" w:rsidR="00DC51E6" w:rsidRPr="00DC51E6" w:rsidRDefault="00DC51E6" w:rsidP="0088424F">
      <w:pPr>
        <w:spacing w:line="360" w:lineRule="auto"/>
        <w:jc w:val="both"/>
        <w:rPr>
          <w:rFonts w:ascii="Arial" w:eastAsia="DengXian" w:hAnsi="Arial" w:cs="Arial"/>
          <w:sz w:val="22"/>
          <w:szCs w:val="22"/>
          <w:lang w:eastAsia="zh-CN"/>
        </w:rPr>
      </w:pPr>
      <w:r w:rsidRPr="00DC51E6">
        <w:rPr>
          <w:rFonts w:ascii="Arial" w:eastAsia="DengXian" w:hAnsi="Arial" w:cs="Arial"/>
          <w:sz w:val="22"/>
          <w:szCs w:val="22"/>
          <w:lang w:eastAsia="zh-CN"/>
        </w:rPr>
        <w:t>Furthermore, the success of Tirzepatide is often measured through the narrow, biomedical lens of weight loss and HbA1c reduction, frequently ignoring the biopsychosocial complexities of long-term adherence. The framing of Tirzepatide as a skinny jab in the popular press (BMJ Public Health, 2025) has led to a commodification of T2DM treatment, where clinical necessity is often conflated with cosmetic demand. This dissertation positions this weight-centric focus as a potential barrier to holistic care, arguing that without addressing systemic inequities and the presence of pharmacy deserts in deprived regions (White, 2025), Tirzepatide may inadvertently widen the health gap it was intended to close.</w:t>
      </w:r>
    </w:p>
    <w:p w14:paraId="04C3BD98" w14:textId="77777777" w:rsidR="00DC51E6" w:rsidRPr="003F55BE" w:rsidRDefault="00DC51E6" w:rsidP="0088424F">
      <w:pPr>
        <w:spacing w:after="240" w:line="360" w:lineRule="auto"/>
        <w:jc w:val="both"/>
        <w:rPr>
          <w:rFonts w:ascii="Arial" w:eastAsia="Arial" w:hAnsi="Arial" w:cs="Arial"/>
          <w:color w:val="C00000"/>
          <w:sz w:val="22"/>
          <w:szCs w:val="22"/>
        </w:rPr>
      </w:pPr>
    </w:p>
    <w:p w14:paraId="011CDD8F" w14:textId="276CB2AC" w:rsidR="00FB448E" w:rsidRPr="00107D0A" w:rsidRDefault="3B042003" w:rsidP="00FC1D17">
      <w:pPr>
        <w:pStyle w:val="Heading2"/>
        <w:spacing w:line="360" w:lineRule="auto"/>
        <w:rPr>
          <w:rFonts w:ascii="Arial" w:hAnsi="Arial" w:cs="Arial"/>
          <w:b/>
          <w:bCs/>
        </w:rPr>
      </w:pPr>
      <w:bookmarkStart w:id="12" w:name="_Toc230113834"/>
      <w:r w:rsidRPr="00107D0A">
        <w:rPr>
          <w:rFonts w:ascii="Arial" w:hAnsi="Arial" w:cs="Arial"/>
          <w:b/>
          <w:bCs/>
        </w:rPr>
        <w:lastRenderedPageBreak/>
        <w:t>1.3 Rationale for Research</w:t>
      </w:r>
      <w:bookmarkEnd w:id="12"/>
    </w:p>
    <w:p w14:paraId="5114D900" w14:textId="07FDE1F6" w:rsidR="00B614CB" w:rsidRPr="00B614CB" w:rsidRDefault="00B614CB" w:rsidP="003B2A59">
      <w:pPr>
        <w:spacing w:line="360" w:lineRule="auto"/>
        <w:jc w:val="both"/>
        <w:rPr>
          <w:rFonts w:ascii="Arial" w:eastAsia="DengXian" w:hAnsi="Arial" w:cs="Arial"/>
          <w:sz w:val="22"/>
          <w:szCs w:val="22"/>
          <w:lang w:eastAsia="zh-CN"/>
        </w:rPr>
      </w:pPr>
      <w:r w:rsidRPr="00B614CB">
        <w:rPr>
          <w:rFonts w:ascii="Arial" w:eastAsia="DengXian" w:hAnsi="Arial" w:cs="Arial"/>
          <w:sz w:val="22"/>
          <w:szCs w:val="22"/>
          <w:lang w:eastAsia="zh-CN"/>
        </w:rPr>
        <w:t>The rationale for this study is rooted in the implementation gap</w:t>
      </w:r>
      <w:r w:rsidR="000F59BE" w:rsidRPr="006D0968">
        <w:rPr>
          <w:rFonts w:ascii="Arial" w:eastAsia="DengXian" w:hAnsi="Arial" w:cs="Arial"/>
          <w:sz w:val="22"/>
          <w:szCs w:val="22"/>
          <w:lang w:eastAsia="zh-CN"/>
        </w:rPr>
        <w:t xml:space="preserve"> </w:t>
      </w:r>
      <w:r w:rsidRPr="00B614CB">
        <w:rPr>
          <w:rFonts w:ascii="Arial" w:eastAsia="DengXian" w:hAnsi="Arial" w:cs="Arial"/>
          <w:sz w:val="22"/>
          <w:szCs w:val="22"/>
          <w:lang w:eastAsia="zh-CN"/>
        </w:rPr>
        <w:t>the discrepancy between the high efficacy of Tirzepatide in controlled clinical trials (such as the SURPASS programmes) and the variable adherence rates observed in the disorderly reality of the NHS frontline. While the pharmacological benefits are established, there is a lack of qualitative data regarding the psychosocial facilitators, such as the reduction of food noise (Brown and Thompson, 2024), and the logistical barriers, such as the sharps bin dilemma and titration hurdles (University of Surrey, 2026).</w:t>
      </w:r>
    </w:p>
    <w:p w14:paraId="6ED395EF" w14:textId="45F18D1A" w:rsidR="00B614CB" w:rsidRPr="006D0968" w:rsidRDefault="00B614CB" w:rsidP="003B2A59">
      <w:pPr>
        <w:spacing w:line="360" w:lineRule="auto"/>
        <w:jc w:val="both"/>
        <w:rPr>
          <w:rFonts w:ascii="Arial" w:eastAsia="DengXian" w:hAnsi="Arial" w:cs="Arial"/>
          <w:sz w:val="22"/>
          <w:szCs w:val="22"/>
          <w:lang w:eastAsia="zh-CN"/>
        </w:rPr>
      </w:pPr>
      <w:r w:rsidRPr="00B614CB">
        <w:rPr>
          <w:rFonts w:ascii="Arial" w:eastAsia="DengXian" w:hAnsi="Arial" w:cs="Arial"/>
          <w:sz w:val="22"/>
          <w:szCs w:val="22"/>
          <w:lang w:eastAsia="zh-CN"/>
        </w:rPr>
        <w:t>This dissertation argues that the success of Tirzepatide is not a biological certainty, but a systemic contingency. It posits that biological facilitators are insufficient if not supported by culturally competent care and a stable supply chain. The purpose of this research is to challenge the assumption that high-efficacy drugs automatically lead to high-quality public health outcomes. By defining the boundaries of this work within the UK adult population, the study critiques current Stop/Go clinical criteria, arguing that these rigid metrics may fail to capture the nuanced barriers faced by lower</w:t>
      </w:r>
      <w:r w:rsidR="001071D2" w:rsidRPr="006D0968">
        <w:rPr>
          <w:rFonts w:ascii="Arial" w:eastAsia="DengXian" w:hAnsi="Arial" w:cs="Arial"/>
          <w:sz w:val="22"/>
          <w:szCs w:val="22"/>
          <w:lang w:eastAsia="zh-CN"/>
        </w:rPr>
        <w:t xml:space="preserve"> </w:t>
      </w:r>
      <w:r w:rsidRPr="00B614CB">
        <w:rPr>
          <w:rFonts w:ascii="Arial" w:eastAsia="DengXian" w:hAnsi="Arial" w:cs="Arial"/>
          <w:sz w:val="22"/>
          <w:szCs w:val="22"/>
          <w:lang w:eastAsia="zh-CN"/>
        </w:rPr>
        <w:t xml:space="preserve">income and ethnic minority cohorts. This research is essential to provide </w:t>
      </w:r>
      <w:r w:rsidR="001071D2" w:rsidRPr="006D0968">
        <w:rPr>
          <w:rFonts w:ascii="Arial" w:eastAsia="DengXian" w:hAnsi="Arial" w:cs="Arial"/>
          <w:sz w:val="22"/>
          <w:szCs w:val="22"/>
          <w:lang w:eastAsia="zh-CN"/>
        </w:rPr>
        <w:t>evidence-based</w:t>
      </w:r>
      <w:r w:rsidRPr="00B614CB">
        <w:rPr>
          <w:rFonts w:ascii="Arial" w:eastAsia="DengXian" w:hAnsi="Arial" w:cs="Arial"/>
          <w:sz w:val="22"/>
          <w:szCs w:val="22"/>
          <w:lang w:eastAsia="zh-CN"/>
        </w:rPr>
        <w:t xml:space="preserve"> insights into patient support needs, ensuring that the £10.7 billion annual national spend on diabetes is utilised effectively.</w:t>
      </w:r>
    </w:p>
    <w:p w14:paraId="3E44BC7E" w14:textId="2620A4C2" w:rsidR="3B042003" w:rsidRPr="00107D0A" w:rsidRDefault="3B042003" w:rsidP="00FC1D17">
      <w:pPr>
        <w:pStyle w:val="Heading2"/>
        <w:spacing w:line="360" w:lineRule="auto"/>
        <w:rPr>
          <w:rFonts w:ascii="Arial" w:hAnsi="Arial" w:cs="Arial"/>
          <w:b/>
          <w:bCs/>
        </w:rPr>
      </w:pPr>
      <w:bookmarkStart w:id="13" w:name="_Toc230113835"/>
      <w:r w:rsidRPr="00107D0A">
        <w:rPr>
          <w:rFonts w:ascii="Arial" w:hAnsi="Arial" w:cs="Arial"/>
          <w:b/>
          <w:bCs/>
        </w:rPr>
        <w:t>1.4 Research Question</w:t>
      </w:r>
      <w:bookmarkEnd w:id="13"/>
    </w:p>
    <w:p w14:paraId="5605618B" w14:textId="68E15CDD" w:rsidR="00FF4175" w:rsidRPr="001071D2" w:rsidRDefault="3B042003" w:rsidP="003B2A59">
      <w:pPr>
        <w:spacing w:after="240" w:line="360" w:lineRule="auto"/>
        <w:jc w:val="both"/>
        <w:rPr>
          <w:rFonts w:ascii="Arial" w:eastAsia="Arial" w:hAnsi="Arial" w:cs="Arial"/>
          <w:sz w:val="22"/>
          <w:szCs w:val="22"/>
        </w:rPr>
      </w:pPr>
      <w:r w:rsidRPr="001071D2">
        <w:rPr>
          <w:rFonts w:ascii="Arial" w:eastAsia="Arial" w:hAnsi="Arial" w:cs="Arial"/>
          <w:sz w:val="22"/>
          <w:szCs w:val="22"/>
        </w:rPr>
        <w:t>What are the primary facilitators and barriers experienced by adults in the UK when using Tirzepatide for the management of Type 2 Diabetes, and how do these factors influence treatment adherence and health outcomes within the NHS framework?</w:t>
      </w:r>
    </w:p>
    <w:p w14:paraId="235B28C1" w14:textId="2B199E04" w:rsidR="3B042003" w:rsidRPr="00107D0A" w:rsidRDefault="3B042003" w:rsidP="00FC1D17">
      <w:pPr>
        <w:pStyle w:val="Heading2"/>
        <w:spacing w:line="360" w:lineRule="auto"/>
        <w:rPr>
          <w:rFonts w:ascii="Arial" w:hAnsi="Arial" w:cs="Arial"/>
          <w:b/>
          <w:bCs/>
        </w:rPr>
      </w:pPr>
      <w:bookmarkStart w:id="14" w:name="_Toc230113836"/>
      <w:r w:rsidRPr="00107D0A">
        <w:rPr>
          <w:rFonts w:ascii="Arial" w:hAnsi="Arial" w:cs="Arial"/>
          <w:b/>
          <w:bCs/>
        </w:rPr>
        <w:t>1.5 Research Aim</w:t>
      </w:r>
      <w:bookmarkEnd w:id="14"/>
    </w:p>
    <w:p w14:paraId="7C918B38" w14:textId="41CB583F" w:rsidR="00680A90" w:rsidRPr="006D0968" w:rsidRDefault="009E621C" w:rsidP="003B2A59">
      <w:pPr>
        <w:spacing w:line="360" w:lineRule="auto"/>
        <w:jc w:val="both"/>
        <w:rPr>
          <w:rFonts w:ascii="Arial" w:eastAsia="DengXian" w:hAnsi="Arial" w:cs="Arial"/>
          <w:sz w:val="22"/>
          <w:szCs w:val="22"/>
          <w:lang w:eastAsia="zh-CN"/>
        </w:rPr>
      </w:pPr>
      <w:r w:rsidRPr="009E621C">
        <w:rPr>
          <w:rFonts w:ascii="Arial" w:eastAsia="DengXian" w:hAnsi="Arial" w:cs="Arial"/>
          <w:sz w:val="22"/>
          <w:szCs w:val="22"/>
          <w:lang w:eastAsia="zh-CN"/>
        </w:rPr>
        <w:t>To critically evaluate the lived experiences of UK adults using Tirzepatide, arguing that the interplay between biological facilitators and systemic barriers determines the medication's true public health value within the NHS.</w:t>
      </w:r>
    </w:p>
    <w:p w14:paraId="0E673942" w14:textId="5534B6A5" w:rsidR="00680A90" w:rsidRPr="00107D0A" w:rsidRDefault="005C3E74" w:rsidP="00FC1D17">
      <w:pPr>
        <w:spacing w:after="240" w:line="360" w:lineRule="auto"/>
        <w:rPr>
          <w:rFonts w:ascii="Arial" w:eastAsia="Arial" w:hAnsi="Arial" w:cs="Arial"/>
        </w:rPr>
      </w:pPr>
      <w:r>
        <w:rPr>
          <w:rFonts w:ascii="Arial" w:eastAsia="Arial" w:hAnsi="Arial" w:cs="Arial"/>
          <w:noProof/>
        </w:rPr>
        <w:lastRenderedPageBreak/>
        <w:drawing>
          <wp:inline distT="0" distB="0" distL="0" distR="0" wp14:anchorId="13AAB5B3" wp14:editId="04162F58">
            <wp:extent cx="5335812" cy="2463780"/>
            <wp:effectExtent l="0" t="0" r="0" b="0"/>
            <wp:docPr id="1597919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63620" cy="2476620"/>
                    </a:xfrm>
                    <a:prstGeom prst="rect">
                      <a:avLst/>
                    </a:prstGeom>
                    <a:noFill/>
                  </pic:spPr>
                </pic:pic>
              </a:graphicData>
            </a:graphic>
          </wp:inline>
        </w:drawing>
      </w:r>
    </w:p>
    <w:p w14:paraId="1DC3D13E" w14:textId="3B9C608C" w:rsidR="006572AB" w:rsidRPr="00182043" w:rsidRDefault="006572AB" w:rsidP="00182043">
      <w:pPr>
        <w:pStyle w:val="Heading3"/>
        <w:rPr>
          <w:b/>
          <w:bCs/>
        </w:rPr>
      </w:pPr>
      <w:bookmarkStart w:id="15" w:name="_Toc230113837"/>
      <w:r w:rsidRPr="00182043">
        <w:rPr>
          <w:b/>
          <w:bCs/>
        </w:rPr>
        <w:t>Figure 3</w:t>
      </w:r>
      <w:bookmarkEnd w:id="15"/>
    </w:p>
    <w:p w14:paraId="5113072E" w14:textId="5578FE62" w:rsidR="3B042003" w:rsidRPr="00107D0A" w:rsidRDefault="3B042003" w:rsidP="00FC1D17">
      <w:pPr>
        <w:pStyle w:val="Heading2"/>
        <w:spacing w:line="360" w:lineRule="auto"/>
        <w:rPr>
          <w:rFonts w:ascii="Arial" w:hAnsi="Arial" w:cs="Arial"/>
          <w:b/>
          <w:bCs/>
        </w:rPr>
      </w:pPr>
      <w:bookmarkStart w:id="16" w:name="_Toc230113838"/>
      <w:r w:rsidRPr="00107D0A">
        <w:rPr>
          <w:rFonts w:ascii="Arial" w:hAnsi="Arial" w:cs="Arial"/>
          <w:b/>
          <w:bCs/>
        </w:rPr>
        <w:t>1.6 Research Objectives</w:t>
      </w:r>
      <w:bookmarkEnd w:id="16"/>
    </w:p>
    <w:p w14:paraId="4AF67D54" w14:textId="6871A293" w:rsidR="002508DB" w:rsidRPr="00415E02" w:rsidRDefault="002508DB" w:rsidP="00007CA4">
      <w:pPr>
        <w:numPr>
          <w:ilvl w:val="0"/>
          <w:numId w:val="23"/>
        </w:numPr>
        <w:spacing w:line="360" w:lineRule="auto"/>
        <w:jc w:val="both"/>
        <w:rPr>
          <w:rFonts w:ascii="Arial" w:hAnsi="Arial" w:cs="Arial"/>
          <w:sz w:val="22"/>
          <w:szCs w:val="22"/>
        </w:rPr>
      </w:pPr>
      <w:r w:rsidRPr="00415E02">
        <w:rPr>
          <w:rFonts w:ascii="Arial" w:hAnsi="Arial" w:cs="Arial"/>
          <w:sz w:val="22"/>
          <w:szCs w:val="22"/>
        </w:rPr>
        <w:t>To identify the clinical and psychosocial facilitators (e.g., food noise suppression and glycaemic efficacy) that support the initiation and maintenance of Tirzepatide therapy.</w:t>
      </w:r>
    </w:p>
    <w:p w14:paraId="6D32E81D" w14:textId="77777777" w:rsidR="002508DB" w:rsidRPr="00415E02" w:rsidRDefault="002508DB" w:rsidP="00007CA4">
      <w:pPr>
        <w:numPr>
          <w:ilvl w:val="0"/>
          <w:numId w:val="23"/>
        </w:numPr>
        <w:spacing w:line="360" w:lineRule="auto"/>
        <w:jc w:val="both"/>
        <w:rPr>
          <w:rFonts w:ascii="Arial" w:hAnsi="Arial" w:cs="Arial"/>
          <w:sz w:val="22"/>
          <w:szCs w:val="22"/>
        </w:rPr>
      </w:pPr>
      <w:r w:rsidRPr="00415E02">
        <w:rPr>
          <w:rFonts w:ascii="Arial" w:hAnsi="Arial" w:cs="Arial"/>
          <w:sz w:val="22"/>
          <w:szCs w:val="22"/>
        </w:rPr>
        <w:t>To evaluate the systemic and biological barriers (e.g., GI distress, supply instability, and restrictive eligibility) that lead to treatment discontinuation or sub-optimal outcomes.</w:t>
      </w:r>
    </w:p>
    <w:p w14:paraId="54FF9041" w14:textId="77777777" w:rsidR="002508DB" w:rsidRPr="00415E02" w:rsidRDefault="002508DB" w:rsidP="00007CA4">
      <w:pPr>
        <w:numPr>
          <w:ilvl w:val="0"/>
          <w:numId w:val="23"/>
        </w:numPr>
        <w:spacing w:line="360" w:lineRule="auto"/>
        <w:jc w:val="both"/>
        <w:rPr>
          <w:rFonts w:ascii="Arial" w:hAnsi="Arial" w:cs="Arial"/>
          <w:sz w:val="22"/>
          <w:szCs w:val="22"/>
        </w:rPr>
      </w:pPr>
      <w:r w:rsidRPr="00415E02">
        <w:rPr>
          <w:rFonts w:ascii="Arial" w:hAnsi="Arial" w:cs="Arial"/>
          <w:sz w:val="22"/>
          <w:szCs w:val="22"/>
        </w:rPr>
        <w:t>To examine how the "two-tier" access model influences patient perceptions of health equity and adherence.</w:t>
      </w:r>
    </w:p>
    <w:p w14:paraId="6B4DE0DB" w14:textId="69C8D65F" w:rsidR="002508DB" w:rsidRPr="00415E02" w:rsidRDefault="002508DB" w:rsidP="00007CA4">
      <w:pPr>
        <w:numPr>
          <w:ilvl w:val="0"/>
          <w:numId w:val="23"/>
        </w:numPr>
        <w:spacing w:line="360" w:lineRule="auto"/>
        <w:jc w:val="both"/>
        <w:rPr>
          <w:rFonts w:ascii="Arial" w:hAnsi="Arial" w:cs="Arial"/>
          <w:sz w:val="22"/>
          <w:szCs w:val="22"/>
        </w:rPr>
      </w:pPr>
      <w:r w:rsidRPr="00415E02">
        <w:rPr>
          <w:rFonts w:ascii="Arial" w:hAnsi="Arial" w:cs="Arial"/>
          <w:sz w:val="22"/>
          <w:szCs w:val="22"/>
        </w:rPr>
        <w:t>To provide rigorous recommendations for NHS primary care providers to improve wraparound support during the critical titration phase.</w:t>
      </w:r>
    </w:p>
    <w:p w14:paraId="40D90A07" w14:textId="54D4774E" w:rsidR="59B1C66E" w:rsidRPr="00107D0A" w:rsidRDefault="59B1C66E" w:rsidP="00FC1D17">
      <w:pPr>
        <w:spacing w:after="0" w:line="360" w:lineRule="auto"/>
        <w:rPr>
          <w:rFonts w:ascii="Arial" w:eastAsia="Arial" w:hAnsi="Arial" w:cs="Arial"/>
        </w:rPr>
      </w:pPr>
    </w:p>
    <w:p w14:paraId="68AA9C68" w14:textId="51F3CC86" w:rsidR="3B042003" w:rsidRPr="00107D0A" w:rsidRDefault="3B042003" w:rsidP="00FC1D17">
      <w:pPr>
        <w:pStyle w:val="Heading2"/>
        <w:spacing w:line="360" w:lineRule="auto"/>
        <w:rPr>
          <w:rFonts w:ascii="Arial" w:hAnsi="Arial" w:cs="Arial"/>
          <w:b/>
          <w:bCs/>
        </w:rPr>
      </w:pPr>
      <w:bookmarkStart w:id="17" w:name="_Toc230113839"/>
      <w:r w:rsidRPr="00107D0A">
        <w:rPr>
          <w:rFonts w:ascii="Arial" w:hAnsi="Arial" w:cs="Arial"/>
          <w:b/>
          <w:bCs/>
        </w:rPr>
        <w:t>1.7 Chapter Summary</w:t>
      </w:r>
      <w:bookmarkEnd w:id="17"/>
    </w:p>
    <w:p w14:paraId="1524FBFB" w14:textId="77AE1029" w:rsidR="007D7371" w:rsidRPr="006D0968" w:rsidRDefault="00380043" w:rsidP="00007CA4">
      <w:pPr>
        <w:spacing w:after="240" w:line="360" w:lineRule="auto"/>
        <w:jc w:val="both"/>
        <w:rPr>
          <w:rFonts w:ascii="Arial" w:eastAsia="Arial" w:hAnsi="Arial" w:cs="Arial"/>
          <w:sz w:val="22"/>
          <w:szCs w:val="22"/>
        </w:rPr>
      </w:pPr>
      <w:r w:rsidRPr="00380043">
        <w:rPr>
          <w:rFonts w:ascii="Arial" w:eastAsia="Arial" w:hAnsi="Arial" w:cs="Arial"/>
          <w:sz w:val="22"/>
          <w:szCs w:val="22"/>
        </w:rPr>
        <w:t>This chapter has established the clinical significance of Tirzepatide while problematising its role in the evolving UK public health landscape. By outlining the tension between pharmacological innovation and systemic delivery, the rationale for exploring patient-centred barriers and facilitators was justified. The following chapter, Chapter 2: Literature Review, provides a critical synthesis of existing evidence, moving beyond trial data to examine the socio-economic and cultural factors that shape dual-agonist adherence in a global and domestic context.</w:t>
      </w:r>
    </w:p>
    <w:p w14:paraId="64B7F971" w14:textId="37588A9B" w:rsidR="59B1C66E" w:rsidRPr="00107D0A" w:rsidRDefault="4BA667C7" w:rsidP="00FC1D17">
      <w:pPr>
        <w:pStyle w:val="Heading1"/>
        <w:spacing w:line="360" w:lineRule="auto"/>
        <w:rPr>
          <w:rFonts w:ascii="Arial" w:hAnsi="Arial" w:cs="Arial"/>
          <w:b/>
          <w:bCs/>
        </w:rPr>
      </w:pPr>
      <w:bookmarkStart w:id="18" w:name="_Toc230113840"/>
      <w:r w:rsidRPr="00107D0A">
        <w:rPr>
          <w:rFonts w:ascii="Arial" w:hAnsi="Arial" w:cs="Arial"/>
          <w:b/>
          <w:bCs/>
        </w:rPr>
        <w:lastRenderedPageBreak/>
        <w:t>CHAPTER 2: LITERATURE REVIEW</w:t>
      </w:r>
      <w:bookmarkEnd w:id="18"/>
    </w:p>
    <w:p w14:paraId="026324EB" w14:textId="26E40130" w:rsidR="4BA667C7" w:rsidRPr="00107D0A" w:rsidRDefault="4BA667C7" w:rsidP="00FC1D17">
      <w:pPr>
        <w:pStyle w:val="Heading2"/>
        <w:spacing w:line="360" w:lineRule="auto"/>
        <w:rPr>
          <w:rFonts w:ascii="Arial" w:hAnsi="Arial" w:cs="Arial"/>
          <w:b/>
          <w:bCs/>
        </w:rPr>
      </w:pPr>
      <w:bookmarkStart w:id="19" w:name="_Toc230113841"/>
      <w:r w:rsidRPr="00107D0A">
        <w:rPr>
          <w:rFonts w:ascii="Arial" w:hAnsi="Arial" w:cs="Arial"/>
          <w:b/>
          <w:bCs/>
        </w:rPr>
        <w:t>2.1 Introduction</w:t>
      </w:r>
      <w:bookmarkEnd w:id="19"/>
      <w:r w:rsidRPr="00107D0A">
        <w:rPr>
          <w:rFonts w:ascii="Arial" w:hAnsi="Arial" w:cs="Arial"/>
          <w:b/>
          <w:bCs/>
        </w:rPr>
        <w:t xml:space="preserve"> </w:t>
      </w:r>
    </w:p>
    <w:p w14:paraId="1584B650" w14:textId="42AEAB19" w:rsidR="00E22DF1" w:rsidRPr="00D66BEA" w:rsidRDefault="007731EC" w:rsidP="00007CA4">
      <w:pPr>
        <w:spacing w:line="360" w:lineRule="auto"/>
        <w:jc w:val="both"/>
        <w:rPr>
          <w:rFonts w:ascii="Arial" w:hAnsi="Arial" w:cs="Arial"/>
          <w:sz w:val="22"/>
          <w:szCs w:val="22"/>
        </w:rPr>
      </w:pPr>
      <w:r w:rsidRPr="00415E02">
        <w:rPr>
          <w:rFonts w:ascii="Arial" w:hAnsi="Arial" w:cs="Arial"/>
          <w:sz w:val="22"/>
          <w:szCs w:val="22"/>
        </w:rPr>
        <w:t>This chapter provides a critical survey of the existing academic literature and clinical guidance regarding the use of Tirzepatide for Type 2 Diabetes Mellitus (T2DM) within the United Kingdom. By synthesising data from recent cross-sectional surveys, qualitative interview studies, and National Health Service (NHS) commissioning frameworks, this review outlines the complex landscape of dual GIP/GLP-1 therapy. The discussion is structured around three core themes: the physiological and psychological facilitators of treatment, the clinical and systemic barriers to adherence, and the emerging socioeconomic disparities within the "two-tier" British healthcare system. Finally, the chapter identifies research gaps</w:t>
      </w:r>
      <w:r w:rsidR="00E519BA" w:rsidRPr="00D66BEA">
        <w:rPr>
          <w:rFonts w:ascii="Arial" w:hAnsi="Arial" w:cs="Arial"/>
          <w:sz w:val="22"/>
          <w:szCs w:val="22"/>
        </w:rPr>
        <w:t xml:space="preserve"> </w:t>
      </w:r>
      <w:r w:rsidRPr="00415E02">
        <w:rPr>
          <w:rFonts w:ascii="Arial" w:hAnsi="Arial" w:cs="Arial"/>
          <w:sz w:val="22"/>
          <w:szCs w:val="22"/>
        </w:rPr>
        <w:t>specifically regarding long-term sustainability and cultural nuances</w:t>
      </w:r>
      <w:r w:rsidR="00E519BA" w:rsidRPr="00D66BEA">
        <w:rPr>
          <w:rFonts w:ascii="Arial" w:hAnsi="Arial" w:cs="Arial"/>
          <w:sz w:val="22"/>
          <w:szCs w:val="22"/>
        </w:rPr>
        <w:t xml:space="preserve"> </w:t>
      </w:r>
      <w:r w:rsidRPr="00415E02">
        <w:rPr>
          <w:rFonts w:ascii="Arial" w:hAnsi="Arial" w:cs="Arial"/>
          <w:sz w:val="22"/>
          <w:szCs w:val="22"/>
        </w:rPr>
        <w:t>that necessitate the current study.</w:t>
      </w:r>
    </w:p>
    <w:p w14:paraId="4A925143" w14:textId="77777777" w:rsidR="00467A1D" w:rsidRPr="00467A1D" w:rsidRDefault="00467A1D" w:rsidP="00467A1D">
      <w:pPr>
        <w:spacing w:line="360" w:lineRule="auto"/>
        <w:rPr>
          <w:rFonts w:ascii="Arial" w:hAnsi="Arial" w:cs="Arial"/>
          <w:color w:val="156082" w:themeColor="accent1"/>
        </w:rPr>
      </w:pPr>
    </w:p>
    <w:p w14:paraId="40A71884" w14:textId="3B5454E6" w:rsidR="4BA667C7" w:rsidRPr="00107D0A" w:rsidRDefault="4BA667C7" w:rsidP="00FC1D17">
      <w:pPr>
        <w:pStyle w:val="Heading2"/>
        <w:spacing w:line="360" w:lineRule="auto"/>
        <w:rPr>
          <w:rFonts w:ascii="Arial" w:hAnsi="Arial" w:cs="Arial"/>
          <w:b/>
          <w:bCs/>
        </w:rPr>
      </w:pPr>
      <w:bookmarkStart w:id="20" w:name="_Toc230113842"/>
      <w:r w:rsidRPr="00107D0A">
        <w:rPr>
          <w:rFonts w:ascii="Arial" w:hAnsi="Arial" w:cs="Arial"/>
          <w:b/>
          <w:bCs/>
        </w:rPr>
        <w:t>2.2 Literature Review: Facilitators and Barriers</w:t>
      </w:r>
      <w:bookmarkEnd w:id="20"/>
    </w:p>
    <w:p w14:paraId="1200E43F" w14:textId="72319A05" w:rsidR="00065239" w:rsidRPr="00C415CB" w:rsidRDefault="00B3011E" w:rsidP="00C415CB">
      <w:pPr>
        <w:pStyle w:val="Heading3"/>
        <w:rPr>
          <w:b/>
          <w:bCs/>
        </w:rPr>
      </w:pPr>
      <w:bookmarkStart w:id="21" w:name="_Toc230113843"/>
      <w:r w:rsidRPr="00C415CB">
        <w:rPr>
          <w:b/>
          <w:bCs/>
        </w:rPr>
        <w:t>2.2.1</w:t>
      </w:r>
      <w:r w:rsidR="4BA667C7" w:rsidRPr="00C415CB">
        <w:rPr>
          <w:b/>
          <w:bCs/>
        </w:rPr>
        <w:t>The Dual-Action Advantage and "Food Noise"</w:t>
      </w:r>
      <w:bookmarkEnd w:id="21"/>
    </w:p>
    <w:p w14:paraId="06607E74" w14:textId="0F0D72FC" w:rsidR="00065239" w:rsidRPr="00DA1F34" w:rsidRDefault="00065239" w:rsidP="00007CA4">
      <w:pPr>
        <w:spacing w:line="360" w:lineRule="auto"/>
        <w:jc w:val="both"/>
        <w:rPr>
          <w:rFonts w:ascii="Arial" w:eastAsia="DengXian" w:hAnsi="Arial" w:cs="Arial"/>
          <w:sz w:val="22"/>
          <w:szCs w:val="22"/>
          <w:lang w:eastAsia="zh-CN"/>
        </w:rPr>
      </w:pPr>
      <w:r w:rsidRPr="00DA1F34">
        <w:rPr>
          <w:rFonts w:ascii="Arial" w:eastAsia="DengXian" w:hAnsi="Arial" w:cs="Arial"/>
          <w:sz w:val="22"/>
          <w:szCs w:val="22"/>
          <w:lang w:eastAsia="zh-CN"/>
        </w:rPr>
        <w:t>What is 'Food Noise'?</w:t>
      </w:r>
    </w:p>
    <w:p w14:paraId="4F56DE05" w14:textId="00CED046" w:rsidR="00065239" w:rsidRPr="00DA1F34" w:rsidRDefault="00065239" w:rsidP="00007CA4">
      <w:pPr>
        <w:spacing w:line="360" w:lineRule="auto"/>
        <w:jc w:val="both"/>
        <w:rPr>
          <w:rFonts w:ascii="Arial" w:eastAsia="DengXian" w:hAnsi="Arial" w:cs="Arial"/>
          <w:sz w:val="22"/>
          <w:szCs w:val="22"/>
          <w:lang w:eastAsia="zh-CN"/>
        </w:rPr>
      </w:pPr>
      <w:r w:rsidRPr="00DA1F34">
        <w:rPr>
          <w:rFonts w:ascii="Arial" w:eastAsia="DengXian" w:hAnsi="Arial" w:cs="Arial"/>
          <w:sz w:val="22"/>
          <w:szCs w:val="22"/>
          <w:lang w:eastAsia="zh-CN"/>
        </w:rPr>
        <w:t>In the context of metabolic medicine, 'food noise' refers to the constant, intrusive, and often distressing thoughts about food, cravings, and the next meal that many patients with T2DM and obesity experience. Pharmacologically, Tirzepatide addresses this by modulating the reward centres in the brain (the hypothalamus and hindbrain).</w:t>
      </w:r>
    </w:p>
    <w:p w14:paraId="796C5C65" w14:textId="788B0147" w:rsidR="00065239" w:rsidRPr="00DA1F34" w:rsidRDefault="00065239" w:rsidP="00007CA4">
      <w:pPr>
        <w:spacing w:line="360" w:lineRule="auto"/>
        <w:jc w:val="both"/>
        <w:rPr>
          <w:rFonts w:ascii="Arial" w:eastAsia="DengXian" w:hAnsi="Arial" w:cs="Arial"/>
          <w:sz w:val="22"/>
          <w:szCs w:val="22"/>
          <w:lang w:eastAsia="zh-CN"/>
        </w:rPr>
      </w:pPr>
      <w:r w:rsidRPr="00DA1F34">
        <w:rPr>
          <w:rFonts w:ascii="Arial" w:eastAsia="DengXian" w:hAnsi="Arial" w:cs="Arial"/>
          <w:sz w:val="22"/>
          <w:szCs w:val="22"/>
          <w:lang w:eastAsia="zh-CN"/>
        </w:rPr>
        <w:t>Historically, the struggle with obesity in T2DM was viewed through the lens of willpower. However, current research defines 'food noise' as a biological pathology involving the over-activation of dopaminergic pathways. Brown and Thompson (2024) argue that the suppression of this 'noise' via dual GIP/GLP-1 agonism provides patients with the cognitive bandwidth to adhere to dietary advice. For many UK patients, the cessation of these intrusive thoughts is the single most significant facilitator for long-term weight maintenance and glycaemic control.</w:t>
      </w:r>
    </w:p>
    <w:p w14:paraId="451ACDDC" w14:textId="1DD624E6" w:rsidR="00245A41" w:rsidRPr="00245A41" w:rsidRDefault="00245A41" w:rsidP="00007CA4">
      <w:pPr>
        <w:spacing w:line="360" w:lineRule="auto"/>
        <w:jc w:val="both"/>
        <w:rPr>
          <w:rFonts w:ascii="Arial" w:eastAsia="DengXian" w:hAnsi="Arial" w:cs="Arial"/>
          <w:sz w:val="22"/>
          <w:szCs w:val="22"/>
          <w:lang w:eastAsia="zh-CN"/>
        </w:rPr>
      </w:pPr>
      <w:r w:rsidRPr="00245A41">
        <w:rPr>
          <w:rFonts w:ascii="Arial" w:eastAsia="DengXian" w:hAnsi="Arial" w:cs="Arial"/>
          <w:sz w:val="22"/>
          <w:szCs w:val="22"/>
          <w:lang w:eastAsia="zh-CN"/>
        </w:rPr>
        <w:t>The pharmacological foundation for Tirzepatide in the UK was established by the National Institute for Health and Care Excellence (NICE) in 2023 via Technology Appraisal TA924. This guidance validated Tirzepatide’s clinical superiority over GLP-1 mono-agonists, such as semaglutide, by highlighting its unique twincretin ability to activate both the glucagon-like peptide-1 (GLP-1) and glucose-dependent insulinotropic polypeptide (GIP) receptors.</w:t>
      </w:r>
    </w:p>
    <w:p w14:paraId="5937489A" w14:textId="77777777" w:rsidR="00A70CB9" w:rsidRDefault="00245A41" w:rsidP="00007CA4">
      <w:pPr>
        <w:spacing w:line="360" w:lineRule="auto"/>
        <w:jc w:val="both"/>
        <w:rPr>
          <w:rFonts w:ascii="Arial" w:eastAsia="DengXian" w:hAnsi="Arial" w:cs="Arial"/>
          <w:sz w:val="22"/>
          <w:szCs w:val="22"/>
          <w:lang w:eastAsia="zh-CN"/>
        </w:rPr>
      </w:pPr>
      <w:r w:rsidRPr="00245A41">
        <w:rPr>
          <w:rFonts w:ascii="Arial" w:eastAsia="DengXian" w:hAnsi="Arial" w:cs="Arial"/>
          <w:sz w:val="22"/>
          <w:szCs w:val="22"/>
          <w:lang w:eastAsia="zh-CN"/>
        </w:rPr>
        <w:lastRenderedPageBreak/>
        <w:t>A focal point of recent qualitative inquiry is the phenomenon of food noise</w:t>
      </w:r>
      <w:r w:rsidR="00D94610" w:rsidRPr="00DA1F34">
        <w:rPr>
          <w:rFonts w:ascii="Arial" w:eastAsia="DengXian" w:hAnsi="Arial" w:cs="Arial"/>
          <w:b/>
          <w:bCs/>
          <w:sz w:val="22"/>
          <w:szCs w:val="22"/>
          <w:lang w:eastAsia="zh-CN"/>
        </w:rPr>
        <w:t xml:space="preserve"> </w:t>
      </w:r>
      <w:r w:rsidRPr="00245A41">
        <w:rPr>
          <w:rFonts w:ascii="Arial" w:eastAsia="DengXian" w:hAnsi="Arial" w:cs="Arial"/>
          <w:sz w:val="22"/>
          <w:szCs w:val="22"/>
          <w:lang w:eastAsia="zh-CN"/>
        </w:rPr>
        <w:t xml:space="preserve">defined as the constant, intrusive, and distressing thoughts about food and cravings that characterize the lived experience of T2DM (Brown and Thompson, 2024). Historically, the struggle with obesity in T2DM was framed through a deficit of willpower; however, contemporary research redefines 'food noise' as a biological pathology involving the over-activation of dopaminergic reward pathways. Brown and Thompson (2024) argue that the suppression of this noise via dual-agonism provides patients with the cognitive bandwidth necessary to adhere to dietary advice. </w:t>
      </w:r>
    </w:p>
    <w:p w14:paraId="74A50869" w14:textId="34F5EAA3" w:rsidR="0044549D" w:rsidRPr="000D0C4B" w:rsidRDefault="00245A41" w:rsidP="00007CA4">
      <w:pPr>
        <w:spacing w:line="360" w:lineRule="auto"/>
        <w:jc w:val="both"/>
        <w:rPr>
          <w:rFonts w:ascii="Arial" w:eastAsia="DengXian" w:hAnsi="Arial" w:cs="Arial"/>
          <w:sz w:val="22"/>
          <w:szCs w:val="22"/>
          <w:lang w:eastAsia="zh-CN"/>
        </w:rPr>
      </w:pPr>
      <w:r w:rsidRPr="00245A41">
        <w:rPr>
          <w:rFonts w:ascii="Arial" w:eastAsia="DengXian" w:hAnsi="Arial" w:cs="Arial"/>
          <w:sz w:val="22"/>
          <w:szCs w:val="22"/>
          <w:lang w:eastAsia="zh-CN"/>
        </w:rPr>
        <w:t>This shift is identified as a liberating experience, allowing patients to engage with dietary interventions as a manageable lifestyle adjustment rather than a perpetual psychological struggle. This is supported by the SURPASS qualitative sub-analysis (Davies et al., 2024), which found that UK patients reported significant improvements in quality of life and treatment satisfaction compared to traditional injectable therapies.</w:t>
      </w:r>
      <w:r w:rsidR="0025593F" w:rsidRPr="00DA1F34">
        <w:rPr>
          <w:rFonts w:ascii="Arial" w:eastAsia="DengXian" w:hAnsi="Arial" w:cs="Arial"/>
          <w:sz w:val="22"/>
          <w:szCs w:val="22"/>
          <w:lang w:eastAsia="zh-CN"/>
        </w:rPr>
        <w:t xml:space="preserve"> The synthesis of these studies suggests that Tirzepatide facilitates a psychological off switch for hunger, which acts as the foundational enabler for all subsequent lifestyle modifications.</w:t>
      </w:r>
    </w:p>
    <w:p w14:paraId="12F6FBCF" w14:textId="48F1E3D9" w:rsidR="00DE08CF" w:rsidRPr="008D67D7" w:rsidRDefault="002165E3" w:rsidP="008D67D7">
      <w:pPr>
        <w:pStyle w:val="Heading3"/>
        <w:rPr>
          <w:b/>
          <w:bCs/>
        </w:rPr>
      </w:pPr>
      <w:bookmarkStart w:id="22" w:name="_Toc230113844"/>
      <w:r>
        <w:rPr>
          <w:b/>
          <w:bCs/>
        </w:rPr>
        <w:t>2.2</w:t>
      </w:r>
      <w:r w:rsidR="0072272E">
        <w:rPr>
          <w:b/>
          <w:bCs/>
        </w:rPr>
        <w:t xml:space="preserve">.2 </w:t>
      </w:r>
      <w:r w:rsidR="4BA667C7" w:rsidRPr="008D67D7">
        <w:rPr>
          <w:b/>
          <w:bCs/>
        </w:rPr>
        <w:t>Psychosocial and Community Perspectives</w:t>
      </w:r>
      <w:bookmarkEnd w:id="22"/>
    </w:p>
    <w:p w14:paraId="7CE7850C" w14:textId="155C6B44" w:rsidR="0091088A" w:rsidRPr="00E55387" w:rsidRDefault="0091088A" w:rsidP="0064733E">
      <w:pPr>
        <w:spacing w:line="360" w:lineRule="auto"/>
        <w:jc w:val="both"/>
        <w:rPr>
          <w:rFonts w:ascii="Arial" w:eastAsia="DengXian" w:hAnsi="Arial" w:cs="Arial"/>
          <w:sz w:val="22"/>
          <w:szCs w:val="22"/>
          <w:lang w:eastAsia="zh-CN"/>
        </w:rPr>
      </w:pPr>
      <w:r w:rsidRPr="00E55387">
        <w:rPr>
          <w:rFonts w:ascii="Arial" w:eastAsia="DengXian" w:hAnsi="Arial" w:cs="Arial"/>
          <w:sz w:val="22"/>
          <w:szCs w:val="22"/>
          <w:lang w:eastAsia="zh-CN"/>
        </w:rPr>
        <w:t>This refers to how a medication is perceived and integrated within the social identity of the patient and their wider community. It involves the emotional response to treatment (psychosocial) and the shared beliefs of the public (community).</w:t>
      </w:r>
    </w:p>
    <w:p w14:paraId="2DB30BDB" w14:textId="61252565" w:rsidR="0072272E" w:rsidRPr="0072272E" w:rsidRDefault="0072272E" w:rsidP="0064733E">
      <w:pPr>
        <w:spacing w:line="360" w:lineRule="auto"/>
        <w:jc w:val="both"/>
        <w:rPr>
          <w:rFonts w:ascii="Arial" w:eastAsia="DengXian" w:hAnsi="Arial" w:cs="Arial"/>
          <w:sz w:val="22"/>
          <w:szCs w:val="22"/>
          <w:lang w:eastAsia="zh-CN"/>
        </w:rPr>
      </w:pPr>
      <w:r w:rsidRPr="0072272E">
        <w:rPr>
          <w:rFonts w:ascii="Arial" w:eastAsia="DengXian" w:hAnsi="Arial" w:cs="Arial"/>
          <w:sz w:val="22"/>
          <w:szCs w:val="22"/>
          <w:lang w:eastAsia="zh-CN"/>
        </w:rPr>
        <w:t>The transition from daily oral medications to a once-weekly injectable regimen represents a fundamental shift in the burden of treatment</w:t>
      </w:r>
      <w:r w:rsidRPr="0072272E">
        <w:rPr>
          <w:rFonts w:ascii="Arial" w:eastAsia="DengXian" w:hAnsi="Arial" w:cs="Arial"/>
          <w:b/>
          <w:bCs/>
          <w:sz w:val="22"/>
          <w:szCs w:val="22"/>
          <w:lang w:eastAsia="zh-CN"/>
        </w:rPr>
        <w:t>.</w:t>
      </w:r>
      <w:r w:rsidRPr="0072272E">
        <w:rPr>
          <w:rFonts w:ascii="Arial" w:eastAsia="DengXian" w:hAnsi="Arial" w:cs="Arial"/>
          <w:sz w:val="22"/>
          <w:szCs w:val="22"/>
          <w:lang w:eastAsia="zh-CN"/>
        </w:rPr>
        <w:t xml:space="preserve"> Evidence from the University of Surrey (2026) indicates that this weekly cadence is a primary facilitator for both patients and healthcare professionals, significantly reducing the cognitive load of chronic disease management.</w:t>
      </w:r>
    </w:p>
    <w:p w14:paraId="48DA8EC0" w14:textId="6B697EDC" w:rsidR="0072272E" w:rsidRPr="0072272E" w:rsidRDefault="0072272E" w:rsidP="0064733E">
      <w:pPr>
        <w:spacing w:line="360" w:lineRule="auto"/>
        <w:jc w:val="both"/>
        <w:rPr>
          <w:rFonts w:ascii="Arial" w:eastAsia="DengXian" w:hAnsi="Arial" w:cs="Arial"/>
          <w:sz w:val="22"/>
          <w:szCs w:val="22"/>
          <w:lang w:eastAsia="zh-CN"/>
        </w:rPr>
      </w:pPr>
      <w:r w:rsidRPr="0072272E">
        <w:rPr>
          <w:rFonts w:ascii="Arial" w:eastAsia="DengXian" w:hAnsi="Arial" w:cs="Arial"/>
          <w:sz w:val="22"/>
          <w:szCs w:val="22"/>
          <w:lang w:eastAsia="zh-CN"/>
        </w:rPr>
        <w:t>However, community perspectives remain nuanced. While Green et al. (2025) suggest that visible results</w:t>
      </w:r>
      <w:r w:rsidR="00E55387" w:rsidRPr="00E55387">
        <w:rPr>
          <w:rFonts w:ascii="Arial" w:eastAsia="DengXian" w:hAnsi="Arial" w:cs="Arial"/>
          <w:sz w:val="22"/>
          <w:szCs w:val="22"/>
          <w:lang w:eastAsia="zh-CN"/>
        </w:rPr>
        <w:t xml:space="preserve"> </w:t>
      </w:r>
      <w:r w:rsidRPr="0072272E">
        <w:rPr>
          <w:rFonts w:ascii="Arial" w:eastAsia="DengXian" w:hAnsi="Arial" w:cs="Arial"/>
          <w:sz w:val="22"/>
          <w:szCs w:val="22"/>
          <w:lang w:eastAsia="zh-CN"/>
        </w:rPr>
        <w:t>tangible drops in weight and HbA1c—create a powerful virtuous cycle of motivation, BMJ Public Health (2025) highlights a burgeoning intersection of excitement and anxiety. Many UK adults expressed concern regarding long-term dependency, questioning whether their new self was entirely contingent upon a pharmaceutical intervention. This suggests that while biological efficacy facilitates adherence, it simultaneously creates new psychosocial anxieties regarding medicalisation and identity.</w:t>
      </w:r>
    </w:p>
    <w:p w14:paraId="2E8CE3F7" w14:textId="77777777" w:rsidR="00DE08CF" w:rsidRPr="00107D0A" w:rsidRDefault="00DE08CF" w:rsidP="00FC1D17">
      <w:pPr>
        <w:spacing w:line="360" w:lineRule="auto"/>
        <w:rPr>
          <w:rFonts w:ascii="Arial" w:eastAsia="DengXian" w:hAnsi="Arial" w:cs="Arial"/>
          <w:lang w:eastAsia="zh-CN"/>
        </w:rPr>
      </w:pPr>
    </w:p>
    <w:p w14:paraId="56D9EF35" w14:textId="36A76782" w:rsidR="4BA667C7" w:rsidRPr="00B922B0" w:rsidRDefault="007E41D9" w:rsidP="00743493">
      <w:pPr>
        <w:pStyle w:val="Heading2"/>
        <w:rPr>
          <w:b/>
          <w:bCs/>
        </w:rPr>
      </w:pPr>
      <w:bookmarkStart w:id="23" w:name="_Toc230113845"/>
      <w:r>
        <w:rPr>
          <w:b/>
          <w:bCs/>
        </w:rPr>
        <w:t xml:space="preserve">2.2.3 </w:t>
      </w:r>
      <w:r w:rsidR="4BA667C7" w:rsidRPr="00B922B0">
        <w:rPr>
          <w:b/>
          <w:bCs/>
        </w:rPr>
        <w:t>Systemic and Biological Barriers</w:t>
      </w:r>
      <w:bookmarkEnd w:id="23"/>
    </w:p>
    <w:p w14:paraId="667A5BE6" w14:textId="6DBDF608" w:rsidR="4BA667C7" w:rsidRPr="003A7E58" w:rsidRDefault="4BA667C7" w:rsidP="008F48C8">
      <w:pPr>
        <w:spacing w:after="120" w:line="360" w:lineRule="auto"/>
        <w:jc w:val="both"/>
        <w:rPr>
          <w:rFonts w:ascii="Arial" w:eastAsia="Arial" w:hAnsi="Arial" w:cs="Arial"/>
          <w:sz w:val="22"/>
          <w:szCs w:val="22"/>
        </w:rPr>
      </w:pPr>
      <w:r w:rsidRPr="003A7E58">
        <w:rPr>
          <w:rFonts w:ascii="Arial" w:eastAsia="Arial" w:hAnsi="Arial" w:cs="Arial"/>
          <w:sz w:val="22"/>
          <w:szCs w:val="22"/>
        </w:rPr>
        <w:t>Despite high efficacy, several barriers impede successful management:</w:t>
      </w:r>
    </w:p>
    <w:p w14:paraId="42F6DD1A" w14:textId="4DB26BB2" w:rsidR="00C0519E" w:rsidRPr="00743493" w:rsidRDefault="00F07AE5" w:rsidP="00743493">
      <w:pPr>
        <w:pStyle w:val="Heading3"/>
        <w:rPr>
          <w:b/>
          <w:bCs/>
          <w:lang w:eastAsia="zh-CN"/>
        </w:rPr>
      </w:pPr>
      <w:bookmarkStart w:id="24" w:name="_Toc230113846"/>
      <w:r>
        <w:rPr>
          <w:b/>
          <w:bCs/>
          <w:lang w:eastAsia="zh-CN"/>
        </w:rPr>
        <w:lastRenderedPageBreak/>
        <w:t>2.2.3</w:t>
      </w:r>
      <w:r w:rsidR="00926065">
        <w:rPr>
          <w:b/>
          <w:bCs/>
          <w:lang w:eastAsia="zh-CN"/>
        </w:rPr>
        <w:t xml:space="preserve">.1 </w:t>
      </w:r>
      <w:r w:rsidR="00C0519E" w:rsidRPr="00743493">
        <w:rPr>
          <w:b/>
          <w:bCs/>
          <w:lang w:eastAsia="zh-CN"/>
        </w:rPr>
        <w:t>The ‘Two-Tier’ Access Barrier</w:t>
      </w:r>
      <w:bookmarkEnd w:id="24"/>
    </w:p>
    <w:p w14:paraId="138D0E0F" w14:textId="3B4EB73C" w:rsidR="00C0519E" w:rsidRPr="003A7E58" w:rsidRDefault="00641B7C" w:rsidP="008F48C8">
      <w:pPr>
        <w:spacing w:before="240" w:after="240" w:line="360" w:lineRule="auto"/>
        <w:jc w:val="both"/>
        <w:rPr>
          <w:rFonts w:ascii="Arial" w:eastAsia="DengXian" w:hAnsi="Arial" w:cs="Arial"/>
          <w:color w:val="0E2841"/>
          <w:sz w:val="22"/>
          <w:szCs w:val="22"/>
          <w:lang w:eastAsia="zh-CN"/>
          <w14:textFill>
            <w14:solidFill>
              <w14:srgbClr w14:val="0E2841">
                <w14:lumMod w14:val="75000"/>
                <w14:lumOff w14:val="25000"/>
              </w14:srgbClr>
            </w14:solidFill>
          </w14:textFill>
        </w:rPr>
      </w:pPr>
      <w:r w:rsidRPr="003A7E58">
        <w:rPr>
          <w:rFonts w:ascii="Arial" w:eastAsia="DengXian" w:hAnsi="Arial" w:cs="Arial"/>
          <w:sz w:val="22"/>
          <w:szCs w:val="22"/>
          <w:lang w:eastAsia="zh-CN"/>
        </w:rPr>
        <w:t xml:space="preserve">This refers to the growing divide between patients who receive the drug for free via the NHS and those who pay for it </w:t>
      </w:r>
      <w:r w:rsidR="003B0180" w:rsidRPr="003A7E58">
        <w:rPr>
          <w:rFonts w:ascii="Arial" w:eastAsia="DengXian" w:hAnsi="Arial" w:cs="Arial"/>
          <w:sz w:val="22"/>
          <w:szCs w:val="22"/>
          <w:lang w:eastAsia="zh-CN"/>
        </w:rPr>
        <w:t>privately. As</w:t>
      </w:r>
      <w:r w:rsidR="00C0519E" w:rsidRPr="003A7E58">
        <w:rPr>
          <w:rFonts w:ascii="Arial" w:eastAsia="DengXian" w:hAnsi="Arial" w:cs="Arial"/>
          <w:sz w:val="22"/>
          <w:szCs w:val="22"/>
          <w:lang w:eastAsia="zh-CN"/>
        </w:rPr>
        <w:t xml:space="preserve"> Tirzepatide moved into the mid-2020s, a distinct socioeconomic barrier emerged within the British context. White (2025) identifies a qualitative divide between patients accessing Tirzepatide via the NHS and those self-funding through private providers. Private patients often cite frictionless access as a facilitator but lack the multidisciplinary wraparound support (dietitians, DSNs, and psychologists) found in the NHS. Conversely, NHS patients face the significant barrier of the phased rollout and strict eligibility criteria outlined in the NHS England (2025) interim guidance. This systemic friction creates a postcode lottery where a patient's geographical location and financial status determine their access to the gold-standard therapy, effectively creating a barrier of inequality.</w:t>
      </w:r>
    </w:p>
    <w:p w14:paraId="51AD6BFC" w14:textId="73914259" w:rsidR="004F1416" w:rsidRPr="00107D0A" w:rsidRDefault="002A2595" w:rsidP="00FC1D17">
      <w:pPr>
        <w:spacing w:line="360" w:lineRule="auto"/>
        <w:rPr>
          <w:rFonts w:ascii="Arial" w:eastAsia="DengXian" w:hAnsi="Arial" w:cs="Arial"/>
          <w:color w:val="0E2841"/>
          <w:lang w:eastAsia="zh-CN"/>
          <w14:textFill>
            <w14:solidFill>
              <w14:srgbClr w14:val="0E2841">
                <w14:lumMod w14:val="75000"/>
                <w14:lumOff w14:val="25000"/>
              </w14:srgbClr>
            </w14:solidFill>
          </w14:textFill>
        </w:rPr>
      </w:pPr>
      <w:r w:rsidRPr="00107D0A">
        <w:rPr>
          <w:rFonts w:ascii="Arial" w:eastAsia="DengXian" w:hAnsi="Arial" w:cs="Arial"/>
          <w:noProof/>
          <w:color w:val="0E2841"/>
          <w:lang w:eastAsia="zh-CN"/>
          <w14:textFill>
            <w14:solidFill>
              <w14:srgbClr w14:val="0E2841">
                <w14:lumMod w14:val="75000"/>
                <w14:lumOff w14:val="25000"/>
              </w14:srgbClr>
            </w14:solidFill>
          </w14:textFill>
        </w:rPr>
        <w:drawing>
          <wp:inline distT="0" distB="0" distL="0" distR="0" wp14:anchorId="3ED393B1" wp14:editId="2CA5F8C5">
            <wp:extent cx="6374693" cy="3295185"/>
            <wp:effectExtent l="0" t="0" r="7620" b="635"/>
            <wp:docPr id="12617825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415363" cy="3316208"/>
                    </a:xfrm>
                    <a:prstGeom prst="rect">
                      <a:avLst/>
                    </a:prstGeom>
                    <a:noFill/>
                  </pic:spPr>
                </pic:pic>
              </a:graphicData>
            </a:graphic>
          </wp:inline>
        </w:drawing>
      </w:r>
    </w:p>
    <w:p w14:paraId="09327164" w14:textId="71EC8B70" w:rsidR="00A6298E" w:rsidRPr="00107D0A" w:rsidRDefault="00641B7C" w:rsidP="00FC1D17">
      <w:pPr>
        <w:spacing w:line="360" w:lineRule="auto"/>
        <w:rPr>
          <w:rFonts w:ascii="Arial" w:eastAsia="DengXian" w:hAnsi="Arial" w:cs="Arial"/>
          <w:b/>
          <w:bCs/>
          <w:color w:val="0E2841"/>
          <w:lang w:eastAsia="zh-CN"/>
          <w14:textFill>
            <w14:solidFill>
              <w14:srgbClr w14:val="0E2841">
                <w14:lumMod w14:val="75000"/>
                <w14:lumOff w14:val="25000"/>
              </w14:srgbClr>
            </w14:solidFill>
          </w14:textFill>
        </w:rPr>
      </w:pPr>
      <w:hyperlink r:id="rId19" w:history="1">
        <w:r w:rsidRPr="00107D0A">
          <w:rPr>
            <w:rStyle w:val="Hyperlink"/>
            <w:rFonts w:ascii="Arial" w:eastAsia="DengXian" w:hAnsi="Arial" w:cs="Arial"/>
            <w:b/>
            <w:bCs/>
            <w:lang w:eastAsia="zh-CN"/>
            <w14:textFill>
              <w14:solidFill>
                <w14:srgbClr w14:val="467886">
                  <w14:lumMod w14:val="75000"/>
                  <w14:lumOff w14:val="25000"/>
                </w14:srgbClr>
              </w14:solidFill>
            </w14:textFill>
          </w:rPr>
          <w:t>https://www.oncall.news/p/a-two-tier-nhs</w:t>
        </w:r>
      </w:hyperlink>
      <w:r w:rsidR="006572AB">
        <w:t xml:space="preserve"> </w:t>
      </w:r>
      <w:r w:rsidR="006572AB" w:rsidRPr="00E305AE">
        <w:rPr>
          <w:rStyle w:val="Heading3Char"/>
          <w:b/>
          <w:bCs/>
        </w:rPr>
        <w:t xml:space="preserve">figure </w:t>
      </w:r>
      <w:r w:rsidR="00E305AE">
        <w:rPr>
          <w:rStyle w:val="Heading3Char"/>
          <w:b/>
          <w:bCs/>
        </w:rPr>
        <w:t>4</w:t>
      </w:r>
    </w:p>
    <w:p w14:paraId="3C261BC5" w14:textId="77777777" w:rsidR="002847C4" w:rsidRDefault="002847C4" w:rsidP="002847C4">
      <w:pPr>
        <w:spacing w:line="360" w:lineRule="auto"/>
        <w:rPr>
          <w:rFonts w:ascii="Arial" w:eastAsia="DengXian" w:hAnsi="Arial" w:cs="Arial"/>
          <w:b/>
          <w:bCs/>
          <w:color w:val="153D63" w:themeColor="text2" w:themeTint="E6"/>
          <w:lang w:eastAsia="zh-CN"/>
        </w:rPr>
      </w:pPr>
    </w:p>
    <w:p w14:paraId="4C44C14A" w14:textId="0D28257D" w:rsidR="002847C4" w:rsidRPr="00B922B0" w:rsidRDefault="00926065" w:rsidP="00B922B0">
      <w:pPr>
        <w:pStyle w:val="Heading3"/>
        <w:rPr>
          <w:b/>
          <w:bCs/>
          <w:lang w:eastAsia="zh-CN"/>
        </w:rPr>
      </w:pPr>
      <w:bookmarkStart w:id="25" w:name="_Toc230113847"/>
      <w:r>
        <w:rPr>
          <w:b/>
          <w:bCs/>
          <w:lang w:eastAsia="zh-CN"/>
        </w:rPr>
        <w:t xml:space="preserve">2.2.3.2 </w:t>
      </w:r>
      <w:r w:rsidR="002847C4" w:rsidRPr="00B922B0">
        <w:rPr>
          <w:b/>
          <w:bCs/>
          <w:lang w:eastAsia="zh-CN"/>
        </w:rPr>
        <w:t>The Biological Barriers</w:t>
      </w:r>
      <w:bookmarkEnd w:id="25"/>
    </w:p>
    <w:p w14:paraId="04B811EC" w14:textId="77777777" w:rsidR="002847C4" w:rsidRPr="003A7E58" w:rsidRDefault="002847C4" w:rsidP="000C2494">
      <w:pPr>
        <w:spacing w:line="360" w:lineRule="auto"/>
        <w:jc w:val="both"/>
        <w:rPr>
          <w:rFonts w:ascii="Arial" w:eastAsia="DengXian" w:hAnsi="Arial" w:cs="Arial"/>
          <w:sz w:val="22"/>
          <w:szCs w:val="22"/>
          <w:lang w:eastAsia="zh-CN"/>
        </w:rPr>
      </w:pPr>
      <w:r w:rsidRPr="003A7E58">
        <w:rPr>
          <w:rFonts w:ascii="Arial" w:eastAsia="DengXian" w:hAnsi="Arial" w:cs="Arial"/>
          <w:sz w:val="22"/>
          <w:szCs w:val="22"/>
          <w:lang w:eastAsia="zh-CN"/>
        </w:rPr>
        <w:t>Biological barriers are the physical hurdles caused by the drug’s mechanism (e.g., side effects). Systemic barriers are the administrative or structural hurdles within the NHS (e.g., funding, supply, or prescribing rules).</w:t>
      </w:r>
    </w:p>
    <w:p w14:paraId="594E6CC4" w14:textId="05F07F0C" w:rsidR="00641B7C" w:rsidRPr="003A7E58" w:rsidRDefault="002847C4" w:rsidP="000C2494">
      <w:pPr>
        <w:spacing w:line="360" w:lineRule="auto"/>
        <w:jc w:val="both"/>
        <w:rPr>
          <w:rFonts w:ascii="Arial" w:eastAsia="DengXian" w:hAnsi="Arial" w:cs="Arial"/>
          <w:color w:val="153D63" w:themeColor="text2" w:themeTint="E6"/>
          <w:sz w:val="22"/>
          <w:szCs w:val="22"/>
          <w:lang w:eastAsia="zh-CN"/>
        </w:rPr>
      </w:pPr>
      <w:r w:rsidRPr="003A7E58">
        <w:rPr>
          <w:rFonts w:ascii="Arial" w:eastAsia="DengXian" w:hAnsi="Arial" w:cs="Arial"/>
          <w:sz w:val="22"/>
          <w:szCs w:val="22"/>
          <w:lang w:eastAsia="zh-CN"/>
        </w:rPr>
        <w:lastRenderedPageBreak/>
        <w:t>While Tirzepatide is clinically superior, it faces significant biological barriers, most notably gastrointestinal (GI) distress during the titration phase. Davies et al. (2024) note that nausea and vomiting can act as a primary reason for early discontinuation. This is compounded by systemic barriers within the NHS, specifically the Interim Commissioning Guidance (NHS England, 2025), which limits the drug to specific cohorts. This creates a friction point where a patient's biology is ready for treatment, but the healthcare system’s infrastructure is not yet prepared to support it.</w:t>
      </w:r>
    </w:p>
    <w:p w14:paraId="69CAAAC1" w14:textId="27782C9F" w:rsidR="00736891" w:rsidRPr="008D11CD" w:rsidRDefault="002038D5" w:rsidP="0086647D">
      <w:pPr>
        <w:pStyle w:val="Heading3"/>
        <w:rPr>
          <w:b/>
          <w:bCs/>
          <w:lang w:eastAsia="zh-CN"/>
        </w:rPr>
      </w:pPr>
      <w:bookmarkStart w:id="26" w:name="_Toc230113848"/>
      <w:r>
        <w:rPr>
          <w:b/>
          <w:bCs/>
          <w:lang w:eastAsia="zh-CN"/>
        </w:rPr>
        <w:t xml:space="preserve">2.2.4 </w:t>
      </w:r>
      <w:r w:rsidR="00736891" w:rsidRPr="008D11CD">
        <w:rPr>
          <w:b/>
          <w:bCs/>
          <w:lang w:eastAsia="zh-CN"/>
        </w:rPr>
        <w:t>Cultural and Language Hurdles</w:t>
      </w:r>
      <w:bookmarkEnd w:id="26"/>
    </w:p>
    <w:p w14:paraId="01965363" w14:textId="181A2AA2" w:rsidR="000C3F9F" w:rsidRPr="000C2494" w:rsidRDefault="000C3F9F" w:rsidP="000C2494">
      <w:pPr>
        <w:spacing w:line="360" w:lineRule="auto"/>
        <w:jc w:val="both"/>
        <w:rPr>
          <w:rFonts w:ascii="Arial" w:eastAsia="DengXian" w:hAnsi="Arial" w:cs="Arial"/>
          <w:sz w:val="22"/>
          <w:szCs w:val="22"/>
          <w:lang w:eastAsia="zh-CN"/>
        </w:rPr>
      </w:pPr>
      <w:r w:rsidRPr="000C2494">
        <w:rPr>
          <w:rFonts w:ascii="Arial" w:eastAsia="DengXian" w:hAnsi="Arial" w:cs="Arial"/>
          <w:sz w:val="22"/>
          <w:szCs w:val="22"/>
          <w:lang w:eastAsia="zh-CN"/>
        </w:rPr>
        <w:t>These are the barriers faced by diverse ethnic groups, particularly regarding how health information is communicated and how cultural beliefs about 'illness' affect treatment</w:t>
      </w:r>
    </w:p>
    <w:p w14:paraId="24A69A56" w14:textId="065D7FB7" w:rsidR="00CE230A" w:rsidRPr="000C2494" w:rsidRDefault="002038D5" w:rsidP="000C2494">
      <w:pPr>
        <w:spacing w:line="360" w:lineRule="auto"/>
        <w:jc w:val="both"/>
        <w:rPr>
          <w:rFonts w:ascii="Arial" w:eastAsia="DengXian" w:hAnsi="Arial" w:cs="Arial"/>
          <w:sz w:val="22"/>
          <w:szCs w:val="22"/>
          <w:lang w:eastAsia="zh-CN"/>
        </w:rPr>
      </w:pPr>
      <w:r w:rsidRPr="000C2494">
        <w:rPr>
          <w:rFonts w:ascii="Arial" w:eastAsia="DengXian" w:hAnsi="Arial" w:cs="Arial"/>
          <w:sz w:val="22"/>
          <w:szCs w:val="22"/>
          <w:lang w:eastAsia="zh-CN"/>
        </w:rPr>
        <w:t xml:space="preserve">Cultural hurdles significantly impede the equitable rollout of </w:t>
      </w:r>
      <w:r w:rsidR="000C2494" w:rsidRPr="000C2494">
        <w:rPr>
          <w:rFonts w:ascii="Arial" w:eastAsia="DengXian" w:hAnsi="Arial" w:cs="Arial"/>
          <w:sz w:val="22"/>
          <w:szCs w:val="22"/>
          <w:lang w:eastAsia="zh-CN"/>
        </w:rPr>
        <w:t>dual agonists</w:t>
      </w:r>
      <w:r w:rsidRPr="000C2494">
        <w:rPr>
          <w:rFonts w:ascii="Arial" w:eastAsia="DengXian" w:hAnsi="Arial" w:cs="Arial"/>
          <w:sz w:val="22"/>
          <w:szCs w:val="22"/>
          <w:lang w:eastAsia="zh-CN"/>
        </w:rPr>
        <w:t>. Patel et al. (2025) highlight that in South Asian communities</w:t>
      </w:r>
      <w:r w:rsidR="002B021C" w:rsidRPr="000C2494">
        <w:rPr>
          <w:rFonts w:ascii="Arial" w:eastAsia="DengXian" w:hAnsi="Arial" w:cs="Arial"/>
          <w:sz w:val="22"/>
          <w:szCs w:val="22"/>
          <w:lang w:eastAsia="zh-CN"/>
        </w:rPr>
        <w:t xml:space="preserve"> </w:t>
      </w:r>
      <w:r w:rsidRPr="000C2494">
        <w:rPr>
          <w:rFonts w:ascii="Arial" w:eastAsia="DengXian" w:hAnsi="Arial" w:cs="Arial"/>
          <w:sz w:val="22"/>
          <w:szCs w:val="22"/>
          <w:lang w:eastAsia="zh-CN"/>
        </w:rPr>
        <w:t>a group disproportionately affected by T2DM</w:t>
      </w:r>
      <w:r w:rsidR="003538F8" w:rsidRPr="000C2494">
        <w:rPr>
          <w:rFonts w:ascii="Arial" w:eastAsia="DengXian" w:hAnsi="Arial" w:cs="Arial"/>
          <w:sz w:val="22"/>
          <w:szCs w:val="22"/>
          <w:lang w:eastAsia="zh-CN"/>
        </w:rPr>
        <w:t xml:space="preserve"> </w:t>
      </w:r>
      <w:r w:rsidRPr="000C2494">
        <w:rPr>
          <w:rFonts w:ascii="Arial" w:eastAsia="DengXian" w:hAnsi="Arial" w:cs="Arial"/>
          <w:sz w:val="22"/>
          <w:szCs w:val="22"/>
          <w:lang w:eastAsia="zh-CN"/>
        </w:rPr>
        <w:t>there is a persistent stigma associated with injectable medication, often misperceived as a marker of end-stage illness. Furthermore, a lack of translated resources regarding the KwikPen multi-dose system acts as a practical barrier. If the facilitator of the once-weekly dose is not communicated in a culturally competent manner, patients may fail to escalate their dose correctly, leading to suboptimal clinical outcomes and increased health disparities (Patel et al., 2025).</w:t>
      </w:r>
    </w:p>
    <w:p w14:paraId="74D0BE77" w14:textId="0B825483" w:rsidR="00736891" w:rsidRPr="0058402A" w:rsidRDefault="00102239" w:rsidP="008D11CD">
      <w:pPr>
        <w:pStyle w:val="Heading3"/>
        <w:rPr>
          <w:b/>
          <w:bCs/>
          <w:lang w:eastAsia="zh-CN"/>
        </w:rPr>
      </w:pPr>
      <w:bookmarkStart w:id="27" w:name="_Toc230113849"/>
      <w:r>
        <w:rPr>
          <w:b/>
          <w:bCs/>
          <w:lang w:eastAsia="zh-CN"/>
        </w:rPr>
        <w:t xml:space="preserve">2.2.5 </w:t>
      </w:r>
      <w:r w:rsidR="00736891" w:rsidRPr="0058402A">
        <w:rPr>
          <w:b/>
          <w:bCs/>
          <w:lang w:eastAsia="zh-CN"/>
        </w:rPr>
        <w:t>The GP Burden and Clinical Inertia</w:t>
      </w:r>
      <w:bookmarkEnd w:id="27"/>
    </w:p>
    <w:p w14:paraId="71BFED1B" w14:textId="4C1CE86F" w:rsidR="004C20F2" w:rsidRPr="00987E55" w:rsidRDefault="004C20F2" w:rsidP="00987E55">
      <w:pPr>
        <w:spacing w:line="360" w:lineRule="auto"/>
        <w:jc w:val="both"/>
        <w:rPr>
          <w:rFonts w:ascii="Arial" w:eastAsia="DengXian" w:hAnsi="Arial" w:cs="Arial"/>
          <w:sz w:val="22"/>
          <w:szCs w:val="22"/>
          <w:lang w:eastAsia="zh-CN"/>
        </w:rPr>
      </w:pPr>
      <w:r w:rsidRPr="00987E55">
        <w:rPr>
          <w:rFonts w:ascii="Arial" w:eastAsia="DengXian" w:hAnsi="Arial" w:cs="Arial"/>
          <w:sz w:val="22"/>
          <w:szCs w:val="22"/>
          <w:lang w:eastAsia="zh-CN"/>
        </w:rPr>
        <w:t>GP Burden refers to the workload pressures on primary care, while Clinical Inertia is the failure of healthcare providers to initiate or intensify therapy when it is clinically indicated.</w:t>
      </w:r>
    </w:p>
    <w:p w14:paraId="33284BCB" w14:textId="3919A0FF" w:rsidR="00102239" w:rsidRPr="00987E55" w:rsidRDefault="00102239" w:rsidP="00987E55">
      <w:pPr>
        <w:spacing w:line="360" w:lineRule="auto"/>
        <w:jc w:val="both"/>
        <w:rPr>
          <w:rFonts w:ascii="Arial" w:eastAsia="DengXian" w:hAnsi="Arial" w:cs="Arial"/>
          <w:sz w:val="22"/>
          <w:szCs w:val="22"/>
          <w:lang w:eastAsia="zh-CN"/>
        </w:rPr>
      </w:pPr>
      <w:r w:rsidRPr="00987E55">
        <w:rPr>
          <w:rFonts w:ascii="Arial" w:eastAsia="DengXian" w:hAnsi="Arial" w:cs="Arial"/>
          <w:sz w:val="22"/>
          <w:szCs w:val="22"/>
          <w:lang w:eastAsia="zh-CN"/>
        </w:rPr>
        <w:t>A significant systemic barrier identified by Smith et al. (2025) is the unsustainable GP Burden created by the high volume of Tirzepatide requests. Primary care providers often feel under-resourced to provide the intensive titration monitoring required. This leads to clinical inertia</w:t>
      </w:r>
      <w:r w:rsidRPr="00987E55">
        <w:rPr>
          <w:rFonts w:ascii="Arial" w:eastAsia="DengXian" w:hAnsi="Arial" w:cs="Arial"/>
          <w:b/>
          <w:bCs/>
          <w:sz w:val="22"/>
          <w:szCs w:val="22"/>
          <w:lang w:eastAsia="zh-CN"/>
        </w:rPr>
        <w:t>,</w:t>
      </w:r>
      <w:r w:rsidRPr="00987E55">
        <w:rPr>
          <w:rFonts w:ascii="Arial" w:eastAsia="DengXian" w:hAnsi="Arial" w:cs="Arial"/>
          <w:sz w:val="22"/>
          <w:szCs w:val="22"/>
          <w:lang w:eastAsia="zh-CN"/>
        </w:rPr>
        <w:t xml:space="preserve"> where doctors may delay the initiation of therapy due to concerns over monitoring side effects or navigating complex secondary care referral pathways. This inertia functions as a gatekeeping mechanism that prevents eligible patients from accessing transformative therapy in a timely fashion.</w:t>
      </w:r>
    </w:p>
    <w:p w14:paraId="02F7790E" w14:textId="777FB108" w:rsidR="005A3A4F" w:rsidRPr="005A3A4F" w:rsidRDefault="00102239" w:rsidP="00983B60">
      <w:pPr>
        <w:pStyle w:val="Heading3"/>
        <w:rPr>
          <w:b/>
          <w:bCs/>
        </w:rPr>
      </w:pPr>
      <w:bookmarkStart w:id="28" w:name="_Toc230113850"/>
      <w:r>
        <w:rPr>
          <w:b/>
          <w:bCs/>
        </w:rPr>
        <w:t>2.</w:t>
      </w:r>
      <w:r w:rsidR="006D7060">
        <w:rPr>
          <w:b/>
          <w:bCs/>
        </w:rPr>
        <w:t>3</w:t>
      </w:r>
      <w:r w:rsidR="004D08BE">
        <w:rPr>
          <w:b/>
          <w:bCs/>
        </w:rPr>
        <w:t xml:space="preserve"> A</w:t>
      </w:r>
      <w:r w:rsidR="006D7060">
        <w:rPr>
          <w:b/>
          <w:bCs/>
        </w:rPr>
        <w:t xml:space="preserve"> </w:t>
      </w:r>
      <w:r w:rsidR="4BA667C7" w:rsidRPr="00107D0A">
        <w:rPr>
          <w:b/>
          <w:bCs/>
        </w:rPr>
        <w:t>Critical Evaluation of Gaps</w:t>
      </w:r>
      <w:r w:rsidR="00393603" w:rsidRPr="00107D0A">
        <w:rPr>
          <w:b/>
          <w:bCs/>
        </w:rPr>
        <w:t xml:space="preserve"> in existing research.</w:t>
      </w:r>
      <w:bookmarkEnd w:id="28"/>
      <w:r w:rsidR="00393603" w:rsidRPr="00107D0A">
        <w:rPr>
          <w:b/>
          <w:bCs/>
        </w:rPr>
        <w:t xml:space="preserve"> </w:t>
      </w:r>
    </w:p>
    <w:p w14:paraId="73BDA858" w14:textId="7F726DAE" w:rsidR="005A3A4F" w:rsidRPr="00987E55" w:rsidRDefault="005A3A4F" w:rsidP="00987E55">
      <w:pPr>
        <w:spacing w:line="360" w:lineRule="auto"/>
        <w:jc w:val="both"/>
        <w:rPr>
          <w:rFonts w:ascii="Arial" w:eastAsia="DengXian" w:hAnsi="Arial" w:cs="Arial"/>
          <w:sz w:val="22"/>
          <w:szCs w:val="22"/>
          <w:lang w:eastAsia="zh-CN"/>
        </w:rPr>
      </w:pPr>
      <w:r w:rsidRPr="00987E55">
        <w:rPr>
          <w:rFonts w:ascii="Arial" w:eastAsia="DengXian" w:hAnsi="Arial" w:cs="Arial"/>
          <w:sz w:val="22"/>
          <w:szCs w:val="22"/>
          <w:lang w:eastAsia="zh-CN"/>
        </w:rPr>
        <w:t xml:space="preserve">While the literature from 2024–2026 is robust in terms of short-term qualitative experiences, there remains a critical gap in long-term sustainability research. Current studies, such as the cross-sectional survey by BMJ Public Health (2025), capture a snapshot of the early adoption phase but do not address the psychological or physiological impact of potential rebound weight </w:t>
      </w:r>
      <w:r w:rsidRPr="00987E55">
        <w:rPr>
          <w:rFonts w:ascii="Arial" w:eastAsia="DengXian" w:hAnsi="Arial" w:cs="Arial"/>
          <w:sz w:val="22"/>
          <w:szCs w:val="22"/>
          <w:lang w:eastAsia="zh-CN"/>
        </w:rPr>
        <w:lastRenderedPageBreak/>
        <w:t>gain should treatment be discontinued due to NHS funding variations</w:t>
      </w:r>
      <w:r w:rsidR="00CC31B0" w:rsidRPr="00987E55">
        <w:rPr>
          <w:rFonts w:ascii="Arial" w:eastAsia="DengXian" w:hAnsi="Arial" w:cs="Arial"/>
          <w:sz w:val="22"/>
          <w:szCs w:val="22"/>
          <w:lang w:eastAsia="zh-CN"/>
        </w:rPr>
        <w:t>.</w:t>
      </w:r>
      <w:r w:rsidR="00872D09" w:rsidRPr="00987E55">
        <w:rPr>
          <w:rFonts w:ascii="Arial" w:eastAsia="DengXian" w:hAnsi="Arial" w:cs="Arial"/>
          <w:sz w:val="22"/>
          <w:szCs w:val="22"/>
          <w:lang w:eastAsia="zh-CN"/>
        </w:rPr>
        <w:t xml:space="preserve"> Additionally</w:t>
      </w:r>
      <w:r w:rsidR="00BA7287" w:rsidRPr="00987E55">
        <w:rPr>
          <w:rFonts w:ascii="Arial" w:eastAsia="DengXian" w:hAnsi="Arial" w:cs="Arial"/>
          <w:sz w:val="22"/>
          <w:szCs w:val="22"/>
          <w:lang w:eastAsia="zh-CN"/>
        </w:rPr>
        <w:t>, there is la</w:t>
      </w:r>
      <w:r w:rsidR="00A874E3" w:rsidRPr="00987E55">
        <w:rPr>
          <w:rFonts w:ascii="Arial" w:eastAsia="DengXian" w:hAnsi="Arial" w:cs="Arial"/>
          <w:sz w:val="22"/>
          <w:szCs w:val="22"/>
          <w:lang w:eastAsia="zh-CN"/>
        </w:rPr>
        <w:t>ck of resources Smith</w:t>
      </w:r>
      <w:r w:rsidR="00872D09" w:rsidRPr="00987E55">
        <w:rPr>
          <w:rFonts w:ascii="Arial" w:eastAsia="DengXian" w:hAnsi="Arial" w:cs="Arial"/>
          <w:sz w:val="22"/>
          <w:szCs w:val="22"/>
          <w:lang w:eastAsia="zh-CN"/>
        </w:rPr>
        <w:t xml:space="preserve"> et al. (2025) </w:t>
      </w:r>
      <w:r w:rsidR="00BA7287" w:rsidRPr="00987E55">
        <w:rPr>
          <w:rFonts w:ascii="Arial" w:eastAsia="DengXian" w:hAnsi="Arial" w:cs="Arial"/>
          <w:sz w:val="22"/>
          <w:szCs w:val="22"/>
          <w:lang w:eastAsia="zh-CN"/>
        </w:rPr>
        <w:t>mentioned</w:t>
      </w:r>
      <w:r w:rsidR="00872D09" w:rsidRPr="00987E55">
        <w:rPr>
          <w:rFonts w:ascii="Arial" w:eastAsia="DengXian" w:hAnsi="Arial" w:cs="Arial"/>
          <w:sz w:val="22"/>
          <w:szCs w:val="22"/>
          <w:lang w:eastAsia="zh-CN"/>
        </w:rPr>
        <w:t xml:space="preserve"> that GPs often feel 'under-resourced' to provide the necessary care required for titration.</w:t>
      </w:r>
    </w:p>
    <w:p w14:paraId="23D2BC0F" w14:textId="06A85ED2" w:rsidR="00CB642F" w:rsidRPr="00987E55" w:rsidRDefault="005A3A4F" w:rsidP="00987E55">
      <w:pPr>
        <w:spacing w:line="360" w:lineRule="auto"/>
        <w:jc w:val="both"/>
        <w:rPr>
          <w:rFonts w:ascii="Arial" w:eastAsia="DengXian" w:hAnsi="Arial" w:cs="Arial"/>
          <w:sz w:val="22"/>
          <w:szCs w:val="22"/>
          <w:lang w:eastAsia="zh-CN"/>
        </w:rPr>
      </w:pPr>
      <w:r w:rsidRPr="00987E55">
        <w:rPr>
          <w:rFonts w:ascii="Arial" w:eastAsia="DengXian" w:hAnsi="Arial" w:cs="Arial"/>
          <w:sz w:val="22"/>
          <w:szCs w:val="22"/>
          <w:lang w:eastAsia="zh-CN"/>
        </w:rPr>
        <w:t>Furthermore, there is a lack of comparative qualitative analysis regarding the KwikPen multi-dose system versus single-use pens used in other territories. The logistical facilitator of the multi-dose pen (waste reduction and ease of use) has not been fully explored against the practical barrier of the sharps bin dilemma in urban UK households with limited space. Finally, the interplay between the private sector's ease of access and the public sector's clinical safety remains a contentious area that requires more rigorous, longitudinal comparative analysis.</w:t>
      </w:r>
    </w:p>
    <w:p w14:paraId="70BDD5E5" w14:textId="77777777" w:rsidR="004D08BE" w:rsidRPr="004D08BE" w:rsidRDefault="004D08BE" w:rsidP="007B7747">
      <w:pPr>
        <w:spacing w:line="360" w:lineRule="auto"/>
        <w:rPr>
          <w:rFonts w:ascii="Arial" w:eastAsia="DengXian" w:hAnsi="Arial" w:cs="Arial"/>
          <w:b/>
          <w:bCs/>
          <w:color w:val="156082"/>
          <w:lang w:eastAsia="zh-CN"/>
        </w:rPr>
      </w:pPr>
      <w:r w:rsidRPr="004D08BE">
        <w:rPr>
          <w:rFonts w:ascii="Arial" w:eastAsia="DengXian" w:hAnsi="Arial" w:cs="Arial"/>
          <w:b/>
          <w:bCs/>
          <w:color w:val="156082"/>
          <w:lang w:eastAsia="zh-CN"/>
        </w:rPr>
        <w:t>2.3.1 The Conceptual Ambiguity of ‘Food Noise’</w:t>
      </w:r>
    </w:p>
    <w:p w14:paraId="3DC3B89D" w14:textId="66414400" w:rsidR="004D08BE" w:rsidRPr="004D08BE" w:rsidRDefault="004D08BE" w:rsidP="004D35AB">
      <w:pPr>
        <w:spacing w:line="360" w:lineRule="auto"/>
        <w:jc w:val="both"/>
        <w:rPr>
          <w:rFonts w:ascii="Arial" w:eastAsia="DengXian" w:hAnsi="Arial" w:cs="Arial"/>
          <w:sz w:val="22"/>
          <w:szCs w:val="22"/>
          <w:lang w:eastAsia="zh-CN"/>
        </w:rPr>
      </w:pPr>
      <w:r w:rsidRPr="004D08BE">
        <w:rPr>
          <w:rFonts w:ascii="Arial" w:eastAsia="DengXian" w:hAnsi="Arial" w:cs="Arial"/>
          <w:sz w:val="22"/>
          <w:szCs w:val="22"/>
          <w:lang w:eastAsia="zh-CN"/>
        </w:rPr>
        <w:t xml:space="preserve">While food noise is cited as a primary facilitator (Brown and Thompson, 2024; Green et al., 2025), the concept remains conceptually underdeveloped and lacks a standardized clinical definition. Critically, the literature fails to distinguish whether food noise is a biological pathology of the reward system or a socially constructed narrative that patients adopt to externalise previous struggles with weight. Green et al. (2025) use </w:t>
      </w:r>
      <w:r w:rsidR="004D35AB" w:rsidRPr="004D08BE">
        <w:rPr>
          <w:rFonts w:ascii="Arial" w:eastAsia="DengXian" w:hAnsi="Arial" w:cs="Arial"/>
          <w:sz w:val="22"/>
          <w:szCs w:val="22"/>
          <w:lang w:eastAsia="zh-CN"/>
        </w:rPr>
        <w:t>mixed methods</w:t>
      </w:r>
      <w:r w:rsidRPr="004D08BE">
        <w:rPr>
          <w:rFonts w:ascii="Arial" w:eastAsia="DengXian" w:hAnsi="Arial" w:cs="Arial"/>
          <w:sz w:val="22"/>
          <w:szCs w:val="22"/>
          <w:lang w:eastAsia="zh-CN"/>
        </w:rPr>
        <w:t xml:space="preserve"> to suggest a physiological basis, yet their short-term data (6 months) cannot confirm if this silencing is permanent or merely a transient honeymoon phase. This lack of conceptual rigour suggests that food noise may currently function more as a powerful metaphor for patients rather than a stable clinical biomarker.</w:t>
      </w:r>
    </w:p>
    <w:p w14:paraId="188E33C8" w14:textId="77777777" w:rsidR="004D08BE" w:rsidRPr="004D08BE" w:rsidRDefault="004D08BE" w:rsidP="007B7747">
      <w:pPr>
        <w:spacing w:line="360" w:lineRule="auto"/>
        <w:rPr>
          <w:rFonts w:ascii="Arial" w:eastAsia="DengXian" w:hAnsi="Arial" w:cs="Arial"/>
          <w:b/>
          <w:bCs/>
          <w:color w:val="156082"/>
          <w:lang w:eastAsia="zh-CN"/>
        </w:rPr>
      </w:pPr>
      <w:r w:rsidRPr="004D08BE">
        <w:rPr>
          <w:rFonts w:ascii="Arial" w:eastAsia="DengXian" w:hAnsi="Arial" w:cs="Arial"/>
          <w:b/>
          <w:bCs/>
          <w:color w:val="156082"/>
          <w:lang w:eastAsia="zh-CN"/>
        </w:rPr>
        <w:t>2.3.2 Access Paradigms and Ethical Friction</w:t>
      </w:r>
    </w:p>
    <w:p w14:paraId="226543D8" w14:textId="219EF518" w:rsidR="004D08BE" w:rsidRPr="004D08BE" w:rsidRDefault="004D08BE" w:rsidP="005B320D">
      <w:pPr>
        <w:spacing w:line="360" w:lineRule="auto"/>
        <w:jc w:val="both"/>
        <w:rPr>
          <w:rFonts w:ascii="Arial" w:eastAsia="DengXian" w:hAnsi="Arial" w:cs="Arial"/>
          <w:sz w:val="22"/>
          <w:szCs w:val="22"/>
          <w:lang w:eastAsia="zh-CN"/>
        </w:rPr>
      </w:pPr>
      <w:r w:rsidRPr="004D08BE">
        <w:rPr>
          <w:rFonts w:ascii="Arial" w:eastAsia="DengXian" w:hAnsi="Arial" w:cs="Arial"/>
          <w:sz w:val="22"/>
          <w:szCs w:val="22"/>
          <w:lang w:eastAsia="zh-CN"/>
        </w:rPr>
        <w:t>A direct contrast emerges between the pragmatic strategy of the NHS England (2025) phased rollout and the ethical critique provided by White (2025). While the former frames restrictions as necessary resource management, the latter argues that such policies formalise health inequality. Furthermore, there is a significant bias in current UK literature: studies tend to adopt either a provider-centric view (Smith et al., 2025) or a patient-centric view (White, 2025), with a notable absence of research synthesising these two perspectives. Additionally, the reliance on NICE (2023) guidance as the gold standard is problematic, as the qualitative testimony within such reports often derives from patient experts who may not represent the socioeconomic diversity of the wider UK T2DM population, particularly those in deprived pharmacy deserts.</w:t>
      </w:r>
    </w:p>
    <w:p w14:paraId="21E87430" w14:textId="77777777" w:rsidR="004D08BE" w:rsidRPr="004D08BE" w:rsidRDefault="004D08BE" w:rsidP="007B7747">
      <w:pPr>
        <w:spacing w:line="360" w:lineRule="auto"/>
        <w:rPr>
          <w:rFonts w:ascii="Arial" w:eastAsia="DengXian" w:hAnsi="Arial" w:cs="Arial"/>
          <w:b/>
          <w:bCs/>
          <w:color w:val="156082"/>
          <w:lang w:eastAsia="zh-CN"/>
        </w:rPr>
      </w:pPr>
      <w:r w:rsidRPr="004D08BE">
        <w:rPr>
          <w:rFonts w:ascii="Arial" w:eastAsia="DengXian" w:hAnsi="Arial" w:cs="Arial"/>
          <w:b/>
          <w:bCs/>
          <w:color w:val="156082"/>
          <w:lang w:eastAsia="zh-CN"/>
        </w:rPr>
        <w:t>2.3.3 Cultural Nuance vs. Universalism</w:t>
      </w:r>
    </w:p>
    <w:p w14:paraId="76CC69EC" w14:textId="2608DDE2" w:rsidR="007B2616" w:rsidRPr="001B7DC5" w:rsidRDefault="004D08BE" w:rsidP="00875122">
      <w:pPr>
        <w:spacing w:line="360" w:lineRule="auto"/>
        <w:jc w:val="both"/>
        <w:rPr>
          <w:rFonts w:ascii="Arial" w:eastAsia="DengXian" w:hAnsi="Arial" w:cs="Arial"/>
          <w:sz w:val="22"/>
          <w:szCs w:val="22"/>
          <w:lang w:eastAsia="zh-CN"/>
        </w:rPr>
      </w:pPr>
      <w:r w:rsidRPr="004D08BE">
        <w:rPr>
          <w:rFonts w:ascii="Arial" w:eastAsia="DengXian" w:hAnsi="Arial" w:cs="Arial"/>
          <w:sz w:val="22"/>
          <w:szCs w:val="22"/>
          <w:lang w:eastAsia="zh-CN"/>
        </w:rPr>
        <w:t xml:space="preserve">The universalizing nature of NICE guidelines is further problematised by the findings of Patel et al. (2025). While the University of Surrey (2026) identifies "weekly convenience" as a </w:t>
      </w:r>
      <w:r w:rsidRPr="004D08BE">
        <w:rPr>
          <w:rFonts w:ascii="Arial" w:eastAsia="DengXian" w:hAnsi="Arial" w:cs="Arial"/>
          <w:sz w:val="22"/>
          <w:szCs w:val="22"/>
          <w:lang w:eastAsia="zh-CN"/>
        </w:rPr>
        <w:lastRenderedPageBreak/>
        <w:t>universal facilitator, Patel et al. (2025) demonstrate that in South Asian cohorts, this convenience is frequently offset by the social visibility and stigma of injectable therapy. This highlights a clear tension: Western-centric studies (Green et al., 2025) assume "ease of use" is the primary driver of adherence, whereas for minority groups, cultural meaning often outweighs physical convenience.</w:t>
      </w:r>
    </w:p>
    <w:p w14:paraId="7C002B70" w14:textId="246BB20A" w:rsidR="003E3A5A" w:rsidRPr="00116252" w:rsidRDefault="007B2616" w:rsidP="007B7747">
      <w:pPr>
        <w:spacing w:line="360" w:lineRule="auto"/>
        <w:rPr>
          <w:rFonts w:ascii="Arial" w:eastAsia="DengXian" w:hAnsi="Arial" w:cs="Arial"/>
          <w:b/>
          <w:bCs/>
          <w:color w:val="156082"/>
          <w:lang w:eastAsia="zh-CN"/>
        </w:rPr>
      </w:pPr>
      <w:r w:rsidRPr="007B2616">
        <w:rPr>
          <w:rFonts w:ascii="Arial" w:eastAsia="DengXian" w:hAnsi="Arial" w:cs="Arial"/>
          <w:b/>
          <w:bCs/>
          <w:color w:val="156082"/>
          <w:lang w:eastAsia="zh-CN"/>
        </w:rPr>
        <w:t>2.4 Critical Evaluation of Gaps and Research Needs</w:t>
      </w:r>
    </w:p>
    <w:p w14:paraId="7E1E5F0E" w14:textId="77777777" w:rsidR="003E3A5A" w:rsidRPr="003E3A5A" w:rsidRDefault="003E3A5A" w:rsidP="00875122">
      <w:pPr>
        <w:spacing w:line="360" w:lineRule="auto"/>
        <w:jc w:val="both"/>
        <w:rPr>
          <w:rFonts w:ascii="Arial" w:eastAsia="DengXian" w:hAnsi="Arial" w:cs="Arial"/>
          <w:sz w:val="22"/>
          <w:szCs w:val="22"/>
          <w:lang w:eastAsia="zh-CN"/>
        </w:rPr>
      </w:pPr>
      <w:r w:rsidRPr="003E3A5A">
        <w:rPr>
          <w:rFonts w:ascii="Arial" w:eastAsia="DengXian" w:hAnsi="Arial" w:cs="Arial"/>
          <w:sz w:val="22"/>
          <w:szCs w:val="22"/>
          <w:lang w:eastAsia="zh-CN"/>
        </w:rPr>
        <w:t>Despite the robust nature of the 2024–2026 literature regarding short-term experiences, several critical gaps remain:</w:t>
      </w:r>
    </w:p>
    <w:p w14:paraId="6E31856F" w14:textId="33188025" w:rsidR="003E3A5A" w:rsidRPr="003E3A5A" w:rsidRDefault="003E3A5A" w:rsidP="00875122">
      <w:pPr>
        <w:numPr>
          <w:ilvl w:val="0"/>
          <w:numId w:val="31"/>
        </w:numPr>
        <w:spacing w:line="360" w:lineRule="auto"/>
        <w:jc w:val="both"/>
        <w:rPr>
          <w:rFonts w:ascii="Arial" w:eastAsia="DengXian" w:hAnsi="Arial" w:cs="Arial"/>
          <w:sz w:val="22"/>
          <w:szCs w:val="22"/>
          <w:lang w:eastAsia="zh-CN"/>
        </w:rPr>
      </w:pPr>
      <w:r w:rsidRPr="003E3A5A">
        <w:rPr>
          <w:rFonts w:ascii="Arial" w:eastAsia="DengXian" w:hAnsi="Arial" w:cs="Arial"/>
          <w:b/>
          <w:bCs/>
          <w:sz w:val="22"/>
          <w:szCs w:val="22"/>
          <w:lang w:eastAsia="zh-CN"/>
        </w:rPr>
        <w:t>Long-term Sustainability:</w:t>
      </w:r>
      <w:r w:rsidRPr="003E3A5A">
        <w:rPr>
          <w:rFonts w:ascii="Arial" w:eastAsia="DengXian" w:hAnsi="Arial" w:cs="Arial"/>
          <w:sz w:val="22"/>
          <w:szCs w:val="22"/>
          <w:lang w:eastAsia="zh-CN"/>
        </w:rPr>
        <w:t xml:space="preserve"> Current studies (BMJ Public Health, 2025) capture early adoption but fail to address the psychological or physiological impact of potential rebound weight gain should treatment be discontinued.</w:t>
      </w:r>
    </w:p>
    <w:p w14:paraId="7CD8DC25" w14:textId="77777777" w:rsidR="003E3A5A" w:rsidRPr="003E3A5A" w:rsidRDefault="003E3A5A" w:rsidP="00875122">
      <w:pPr>
        <w:numPr>
          <w:ilvl w:val="0"/>
          <w:numId w:val="31"/>
        </w:numPr>
        <w:spacing w:line="360" w:lineRule="auto"/>
        <w:jc w:val="both"/>
        <w:rPr>
          <w:rFonts w:ascii="Arial" w:eastAsia="DengXian" w:hAnsi="Arial" w:cs="Arial"/>
          <w:sz w:val="22"/>
          <w:szCs w:val="22"/>
          <w:lang w:eastAsia="zh-CN"/>
        </w:rPr>
      </w:pPr>
      <w:r w:rsidRPr="003E3A5A">
        <w:rPr>
          <w:rFonts w:ascii="Arial" w:eastAsia="DengXian" w:hAnsi="Arial" w:cs="Arial"/>
          <w:b/>
          <w:bCs/>
          <w:sz w:val="22"/>
          <w:szCs w:val="22"/>
          <w:lang w:eastAsia="zh-CN"/>
        </w:rPr>
        <w:t>The ‘Sharps Bin Dilemma’:</w:t>
      </w:r>
      <w:r w:rsidRPr="003E3A5A">
        <w:rPr>
          <w:rFonts w:ascii="Arial" w:eastAsia="DengXian" w:hAnsi="Arial" w:cs="Arial"/>
          <w:sz w:val="22"/>
          <w:szCs w:val="22"/>
          <w:lang w:eastAsia="zh-CN"/>
        </w:rPr>
        <w:t xml:space="preserve"> There is a lack of comparative qualitative analysis regarding the KwikPen multi-dose system versus single-use pens. The logistical facilitator of waste reduction has not been explored against the practical barrier of sharps disposal in high-density urban UK households.</w:t>
      </w:r>
    </w:p>
    <w:p w14:paraId="26827C24" w14:textId="1CD5A633" w:rsidR="003E3A5A" w:rsidRPr="003E3A5A" w:rsidRDefault="003E3A5A" w:rsidP="00875122">
      <w:pPr>
        <w:numPr>
          <w:ilvl w:val="0"/>
          <w:numId w:val="31"/>
        </w:numPr>
        <w:spacing w:line="360" w:lineRule="auto"/>
        <w:jc w:val="both"/>
        <w:rPr>
          <w:rFonts w:ascii="Arial" w:eastAsia="DengXian" w:hAnsi="Arial" w:cs="Arial"/>
          <w:sz w:val="22"/>
          <w:szCs w:val="22"/>
          <w:lang w:eastAsia="zh-CN"/>
        </w:rPr>
      </w:pPr>
      <w:r w:rsidRPr="003E3A5A">
        <w:rPr>
          <w:rFonts w:ascii="Arial" w:eastAsia="DengXian" w:hAnsi="Arial" w:cs="Arial"/>
          <w:b/>
          <w:bCs/>
          <w:sz w:val="22"/>
          <w:szCs w:val="22"/>
          <w:lang w:eastAsia="zh-CN"/>
        </w:rPr>
        <w:t>Survivorship Bias:</w:t>
      </w:r>
      <w:r w:rsidRPr="003E3A5A">
        <w:rPr>
          <w:rFonts w:ascii="Arial" w:eastAsia="DengXian" w:hAnsi="Arial" w:cs="Arial"/>
          <w:sz w:val="22"/>
          <w:szCs w:val="22"/>
          <w:lang w:eastAsia="zh-CN"/>
        </w:rPr>
        <w:t xml:space="preserve"> Existing qualitative research largely focuses on adherent patients. There is a profound lack of data regarding early discontinuers</w:t>
      </w:r>
      <w:r w:rsidR="001B7DC5" w:rsidRPr="001B7DC5">
        <w:rPr>
          <w:rFonts w:ascii="Arial" w:eastAsia="DengXian" w:hAnsi="Arial" w:cs="Arial"/>
          <w:b/>
          <w:bCs/>
          <w:sz w:val="22"/>
          <w:szCs w:val="22"/>
          <w:lang w:eastAsia="zh-CN"/>
        </w:rPr>
        <w:t xml:space="preserve"> </w:t>
      </w:r>
      <w:r w:rsidRPr="003E3A5A">
        <w:rPr>
          <w:rFonts w:ascii="Arial" w:eastAsia="DengXian" w:hAnsi="Arial" w:cs="Arial"/>
          <w:sz w:val="22"/>
          <w:szCs w:val="22"/>
          <w:lang w:eastAsia="zh-CN"/>
        </w:rPr>
        <w:t>those for whom the biological or systemic barriers were insurmountable.</w:t>
      </w:r>
    </w:p>
    <w:p w14:paraId="76E13EED" w14:textId="77777777" w:rsidR="003E3A5A" w:rsidRPr="003E3A5A" w:rsidRDefault="003E3A5A" w:rsidP="007B7747">
      <w:pPr>
        <w:spacing w:line="360" w:lineRule="auto"/>
        <w:rPr>
          <w:rFonts w:ascii="Arial" w:eastAsia="DengXian" w:hAnsi="Arial" w:cs="Arial"/>
          <w:b/>
          <w:bCs/>
          <w:color w:val="156082"/>
          <w:lang w:eastAsia="zh-CN"/>
        </w:rPr>
      </w:pPr>
      <w:r w:rsidRPr="003E3A5A">
        <w:rPr>
          <w:rFonts w:ascii="Arial" w:eastAsia="DengXian" w:hAnsi="Arial" w:cs="Arial"/>
          <w:b/>
          <w:bCs/>
          <w:color w:val="156082"/>
          <w:lang w:eastAsia="zh-CN"/>
        </w:rPr>
        <w:t>2.5 Chapter Summary</w:t>
      </w:r>
    </w:p>
    <w:p w14:paraId="09406CAA" w14:textId="5569A97D" w:rsidR="00F5572B" w:rsidRPr="009B5134" w:rsidRDefault="00F5572B" w:rsidP="00A91C2F">
      <w:pPr>
        <w:spacing w:line="360" w:lineRule="auto"/>
        <w:jc w:val="both"/>
        <w:rPr>
          <w:rFonts w:ascii="Arial" w:eastAsia="DengXian" w:hAnsi="Arial" w:cs="Arial"/>
          <w:sz w:val="22"/>
          <w:szCs w:val="22"/>
          <w:lang w:eastAsia="zh-CN"/>
        </w:rPr>
      </w:pPr>
      <w:r w:rsidRPr="001B7DC5">
        <w:rPr>
          <w:rFonts w:ascii="Arial" w:eastAsia="DengXian" w:hAnsi="Arial" w:cs="Arial"/>
          <w:sz w:val="22"/>
          <w:szCs w:val="22"/>
          <w:lang w:eastAsia="zh-CN"/>
        </w:rPr>
        <w:t>In summary, the literature identifies a clear tension between the high clinical efficacy of Tirzepatide and the systemic challenges of the UK healthcare infrastructure. Facilitators such as the reduction of food noise, once-weekly dosing, and rapid visible results provide patients with a renewed sense of metabolic agency. However, these are frequently offset by significant barriers, including GP workload, cultural stigmas, supply-chain anxieties, and the emergence of a "two-tier" system. This review justifies the need for the current study, which seeks to provide a deeper exploration of how these factors manifest in the everyday lives of UK adults. This evidence base provides the foundation for Chapter 3: Methodology, which details the qualitative approach used to capture these diverse patient voices and translate them into actionable public health insights.</w:t>
      </w:r>
    </w:p>
    <w:p w14:paraId="2CF2CB72" w14:textId="62150C82" w:rsidR="15C491EA" w:rsidRPr="00107D0A" w:rsidRDefault="15C491EA" w:rsidP="00FC1D17">
      <w:pPr>
        <w:pStyle w:val="Heading1"/>
        <w:spacing w:line="360" w:lineRule="auto"/>
        <w:rPr>
          <w:rFonts w:ascii="Arial" w:hAnsi="Arial" w:cs="Arial"/>
          <w:b/>
          <w:bCs/>
        </w:rPr>
      </w:pPr>
      <w:bookmarkStart w:id="29" w:name="_Toc230113851"/>
      <w:r w:rsidRPr="00107D0A">
        <w:rPr>
          <w:rFonts w:ascii="Arial" w:hAnsi="Arial" w:cs="Arial"/>
          <w:b/>
          <w:bCs/>
        </w:rPr>
        <w:lastRenderedPageBreak/>
        <w:t>Chapter 3</w:t>
      </w:r>
      <w:bookmarkEnd w:id="29"/>
    </w:p>
    <w:p w14:paraId="23524579" w14:textId="5FA8F73D" w:rsidR="15C491EA" w:rsidRPr="00391DD4" w:rsidRDefault="15C491EA" w:rsidP="00483CD7">
      <w:pPr>
        <w:spacing w:line="360" w:lineRule="auto"/>
        <w:jc w:val="both"/>
        <w:rPr>
          <w:rFonts w:ascii="Arial" w:eastAsia="Arial" w:hAnsi="Arial" w:cs="Arial"/>
          <w:sz w:val="22"/>
          <w:szCs w:val="22"/>
        </w:rPr>
      </w:pPr>
      <w:r w:rsidRPr="00391DD4">
        <w:rPr>
          <w:rFonts w:ascii="Arial" w:eastAsia="Arial" w:hAnsi="Arial" w:cs="Arial"/>
          <w:sz w:val="22"/>
          <w:szCs w:val="22"/>
        </w:rPr>
        <w:t>This chapter details the methodological framework used to investigate the lived experiences of adults in the UK using Tirzepatide for Type 2 Diabetes (T2D).</w:t>
      </w:r>
    </w:p>
    <w:p w14:paraId="330D9372" w14:textId="34540AF1" w:rsidR="01921175" w:rsidRPr="00107D0A" w:rsidRDefault="01921175" w:rsidP="00FC1D17">
      <w:pPr>
        <w:pStyle w:val="Heading2"/>
        <w:spacing w:line="360" w:lineRule="auto"/>
        <w:rPr>
          <w:rFonts w:ascii="Arial" w:hAnsi="Arial" w:cs="Arial"/>
          <w:b/>
          <w:bCs/>
        </w:rPr>
      </w:pPr>
      <w:bookmarkStart w:id="30" w:name="_Toc230113852"/>
      <w:r w:rsidRPr="00107D0A">
        <w:rPr>
          <w:rFonts w:ascii="Arial" w:hAnsi="Arial" w:cs="Arial"/>
          <w:b/>
          <w:bCs/>
        </w:rPr>
        <w:t>3.1 - Introduction</w:t>
      </w:r>
      <w:bookmarkEnd w:id="30"/>
      <w:r w:rsidRPr="00107D0A">
        <w:rPr>
          <w:rFonts w:ascii="Arial" w:hAnsi="Arial" w:cs="Arial"/>
          <w:b/>
          <w:bCs/>
        </w:rPr>
        <w:t xml:space="preserve"> </w:t>
      </w:r>
    </w:p>
    <w:p w14:paraId="63935539" w14:textId="77777777" w:rsidR="008E436D" w:rsidRDefault="01921175" w:rsidP="00E81D7D">
      <w:pPr>
        <w:spacing w:before="240" w:after="240" w:line="360" w:lineRule="auto"/>
        <w:jc w:val="both"/>
        <w:rPr>
          <w:rFonts w:ascii="Arial" w:eastAsia="Arial" w:hAnsi="Arial" w:cs="Arial"/>
          <w:sz w:val="22"/>
          <w:szCs w:val="22"/>
        </w:rPr>
      </w:pPr>
      <w:r w:rsidRPr="00391DD4">
        <w:rPr>
          <w:rFonts w:ascii="Arial" w:eastAsia="Arial" w:hAnsi="Arial" w:cs="Arial"/>
          <w:sz w:val="22"/>
          <w:szCs w:val="22"/>
        </w:rPr>
        <w:t>This chapter delineates the research design and methodological rigor applied to this qualitative systematic review. It provides a transparent account of how literature was identified, screened, and selected for inclusion</w:t>
      </w:r>
      <w:r w:rsidR="1FED2820" w:rsidRPr="00391DD4">
        <w:rPr>
          <w:rFonts w:ascii="Arial" w:eastAsia="Arial" w:hAnsi="Arial" w:cs="Arial"/>
          <w:sz w:val="22"/>
          <w:szCs w:val="22"/>
        </w:rPr>
        <w:t xml:space="preserve">. According to Aveyard (2023), a systematic review must follow a transparent and replicable path. </w:t>
      </w:r>
      <w:r w:rsidRPr="00391DD4">
        <w:rPr>
          <w:rFonts w:ascii="Arial" w:eastAsia="Arial" w:hAnsi="Arial" w:cs="Arial"/>
          <w:sz w:val="22"/>
          <w:szCs w:val="22"/>
        </w:rPr>
        <w:t>The following sections detail the Systematic Literature Review (SLR) framework, the application of the PEO (Population, Exposure, Outcome</w:t>
      </w:r>
      <w:r w:rsidR="582481F9" w:rsidRPr="00391DD4">
        <w:rPr>
          <w:rFonts w:ascii="Arial" w:eastAsia="Arial" w:hAnsi="Arial" w:cs="Arial"/>
          <w:sz w:val="22"/>
          <w:szCs w:val="22"/>
        </w:rPr>
        <w:t>) framework</w:t>
      </w:r>
      <w:r w:rsidR="72B29319" w:rsidRPr="00391DD4">
        <w:rPr>
          <w:rFonts w:ascii="Arial" w:eastAsia="Arial" w:hAnsi="Arial" w:cs="Arial"/>
          <w:sz w:val="22"/>
          <w:szCs w:val="22"/>
        </w:rPr>
        <w:t xml:space="preserve">. The </w:t>
      </w:r>
      <w:r w:rsidR="7359FBE3" w:rsidRPr="00391DD4">
        <w:rPr>
          <w:rFonts w:ascii="Arial" w:eastAsia="Arial" w:hAnsi="Arial" w:cs="Arial"/>
          <w:sz w:val="22"/>
          <w:szCs w:val="22"/>
        </w:rPr>
        <w:t>PEO was</w:t>
      </w:r>
      <w:r w:rsidR="582481F9" w:rsidRPr="00391DD4">
        <w:rPr>
          <w:rFonts w:ascii="Arial" w:eastAsia="Arial" w:hAnsi="Arial" w:cs="Arial"/>
          <w:sz w:val="22"/>
          <w:szCs w:val="22"/>
        </w:rPr>
        <w:t xml:space="preserve"> utilised as it is specifically designed to capture the qualitative essence of an Exposure rather than just a clinical 'Intervention' (Bettany-Saltikov, 2016)</w:t>
      </w:r>
      <w:r w:rsidR="05828978" w:rsidRPr="00391DD4">
        <w:rPr>
          <w:rFonts w:ascii="Arial" w:eastAsia="Arial" w:hAnsi="Arial" w:cs="Arial"/>
          <w:sz w:val="22"/>
          <w:szCs w:val="22"/>
        </w:rPr>
        <w:t xml:space="preserve">. </w:t>
      </w:r>
      <w:r w:rsidR="763026EC" w:rsidRPr="00391DD4">
        <w:rPr>
          <w:rFonts w:ascii="Arial" w:eastAsia="Arial" w:hAnsi="Arial" w:cs="Arial"/>
          <w:sz w:val="22"/>
          <w:szCs w:val="22"/>
        </w:rPr>
        <w:t>Therefore,</w:t>
      </w:r>
      <w:r w:rsidR="0C18DF21" w:rsidRPr="00391DD4">
        <w:rPr>
          <w:rFonts w:ascii="Arial" w:eastAsia="Arial" w:hAnsi="Arial" w:cs="Arial"/>
          <w:sz w:val="22"/>
          <w:szCs w:val="22"/>
        </w:rPr>
        <w:t xml:space="preserve"> </w:t>
      </w:r>
      <w:r w:rsidR="35EB22E1" w:rsidRPr="00391DD4">
        <w:rPr>
          <w:rFonts w:ascii="Arial" w:eastAsia="Arial" w:hAnsi="Arial" w:cs="Arial"/>
          <w:sz w:val="22"/>
          <w:szCs w:val="22"/>
        </w:rPr>
        <w:t>these tools</w:t>
      </w:r>
      <w:r w:rsidRPr="00391DD4">
        <w:rPr>
          <w:rFonts w:ascii="Arial" w:eastAsia="Arial" w:hAnsi="Arial" w:cs="Arial"/>
          <w:sz w:val="22"/>
          <w:szCs w:val="22"/>
        </w:rPr>
        <w:t xml:space="preserve"> </w:t>
      </w:r>
      <w:r w:rsidR="58609FE7" w:rsidRPr="00391DD4">
        <w:rPr>
          <w:rFonts w:ascii="Arial" w:eastAsia="Arial" w:hAnsi="Arial" w:cs="Arial"/>
          <w:sz w:val="22"/>
          <w:szCs w:val="22"/>
        </w:rPr>
        <w:t>are</w:t>
      </w:r>
      <w:r w:rsidRPr="00391DD4">
        <w:rPr>
          <w:rFonts w:ascii="Arial" w:eastAsia="Arial" w:hAnsi="Arial" w:cs="Arial"/>
          <w:sz w:val="22"/>
          <w:szCs w:val="22"/>
        </w:rPr>
        <w:t xml:space="preserve"> comprehensive search strategy across multiple academic databases, and the specific inclusion and exclusion criteria. </w:t>
      </w:r>
    </w:p>
    <w:p w14:paraId="0419DE6A" w14:textId="658D8EC9" w:rsidR="00664DC0" w:rsidRPr="007A053C" w:rsidRDefault="01921175" w:rsidP="00E81D7D">
      <w:pPr>
        <w:spacing w:before="240" w:after="240" w:line="360" w:lineRule="auto"/>
        <w:jc w:val="both"/>
        <w:rPr>
          <w:rFonts w:ascii="Arial" w:eastAsia="Arial" w:hAnsi="Arial" w:cs="Arial"/>
          <w:sz w:val="22"/>
          <w:szCs w:val="22"/>
        </w:rPr>
      </w:pPr>
      <w:r w:rsidRPr="00391DD4">
        <w:rPr>
          <w:rFonts w:ascii="Arial" w:eastAsia="Arial" w:hAnsi="Arial" w:cs="Arial"/>
          <w:sz w:val="22"/>
          <w:szCs w:val="22"/>
        </w:rPr>
        <w:t xml:space="preserve">Finally, </w:t>
      </w:r>
      <w:r w:rsidR="796436F1" w:rsidRPr="00391DD4">
        <w:rPr>
          <w:rFonts w:ascii="Arial" w:eastAsia="Arial" w:hAnsi="Arial" w:cs="Arial"/>
          <w:sz w:val="22"/>
          <w:szCs w:val="22"/>
        </w:rPr>
        <w:t>this chapter</w:t>
      </w:r>
      <w:r w:rsidR="007C12FD">
        <w:rPr>
          <w:rFonts w:ascii="Arial" w:eastAsia="Arial" w:hAnsi="Arial" w:cs="Arial"/>
          <w:sz w:val="22"/>
          <w:szCs w:val="22"/>
        </w:rPr>
        <w:t xml:space="preserve"> will</w:t>
      </w:r>
      <w:r w:rsidRPr="00391DD4">
        <w:rPr>
          <w:rFonts w:ascii="Arial" w:eastAsia="Arial" w:hAnsi="Arial" w:cs="Arial"/>
          <w:sz w:val="22"/>
          <w:szCs w:val="22"/>
        </w:rPr>
        <w:t xml:space="preserve"> </w:t>
      </w:r>
      <w:r w:rsidR="007C12FD" w:rsidRPr="00391DD4">
        <w:rPr>
          <w:rFonts w:ascii="Arial" w:eastAsia="Arial" w:hAnsi="Arial" w:cs="Arial"/>
          <w:sz w:val="22"/>
          <w:szCs w:val="22"/>
        </w:rPr>
        <w:t>present</w:t>
      </w:r>
      <w:r w:rsidRPr="00391DD4">
        <w:rPr>
          <w:rFonts w:ascii="Arial" w:eastAsia="Arial" w:hAnsi="Arial" w:cs="Arial"/>
          <w:sz w:val="22"/>
          <w:szCs w:val="22"/>
        </w:rPr>
        <w:t xml:space="preserve"> the PRISMA flow chart</w:t>
      </w:r>
      <w:r w:rsidR="24152FE8" w:rsidRPr="00391DD4">
        <w:rPr>
          <w:rFonts w:ascii="Arial" w:eastAsia="Arial" w:hAnsi="Arial" w:cs="Arial"/>
          <w:sz w:val="22"/>
          <w:szCs w:val="22"/>
        </w:rPr>
        <w:t xml:space="preserve"> which is the</w:t>
      </w:r>
      <w:r w:rsidR="5FA1E2DE" w:rsidRPr="00391DD4">
        <w:rPr>
          <w:rFonts w:ascii="Arial" w:eastAsia="Arial" w:hAnsi="Arial" w:cs="Arial"/>
          <w:sz w:val="22"/>
          <w:szCs w:val="22"/>
        </w:rPr>
        <w:t xml:space="preserve"> selection process follow</w:t>
      </w:r>
      <w:r w:rsidR="5D99B7DE" w:rsidRPr="00391DD4">
        <w:rPr>
          <w:rFonts w:ascii="Arial" w:eastAsia="Arial" w:hAnsi="Arial" w:cs="Arial"/>
          <w:sz w:val="22"/>
          <w:szCs w:val="22"/>
        </w:rPr>
        <w:t>ing</w:t>
      </w:r>
      <w:r w:rsidR="5FA1E2DE" w:rsidRPr="00391DD4">
        <w:rPr>
          <w:rFonts w:ascii="Arial" w:eastAsia="Arial" w:hAnsi="Arial" w:cs="Arial"/>
          <w:sz w:val="22"/>
          <w:szCs w:val="22"/>
        </w:rPr>
        <w:t xml:space="preserve"> the updated PRISMA 2020 guidelines to ensure reporting transparency (Page </w:t>
      </w:r>
      <w:r w:rsidR="5FA1E2DE" w:rsidRPr="00391DD4">
        <w:rPr>
          <w:rFonts w:ascii="Arial" w:eastAsia="Arial" w:hAnsi="Arial" w:cs="Arial"/>
          <w:i/>
          <w:iCs/>
          <w:sz w:val="22"/>
          <w:szCs w:val="22"/>
        </w:rPr>
        <w:t>et al.</w:t>
      </w:r>
      <w:r w:rsidR="5FA1E2DE" w:rsidRPr="00391DD4">
        <w:rPr>
          <w:rFonts w:ascii="Arial" w:eastAsia="Arial" w:hAnsi="Arial" w:cs="Arial"/>
          <w:sz w:val="22"/>
          <w:szCs w:val="22"/>
        </w:rPr>
        <w:t>, 2021).</w:t>
      </w:r>
      <w:r w:rsidR="7C53E383" w:rsidRPr="00391DD4">
        <w:rPr>
          <w:rFonts w:ascii="Arial" w:eastAsia="Arial" w:hAnsi="Arial" w:cs="Arial"/>
          <w:sz w:val="22"/>
          <w:szCs w:val="22"/>
        </w:rPr>
        <w:t xml:space="preserve"> And </w:t>
      </w:r>
      <w:r w:rsidRPr="00391DD4">
        <w:rPr>
          <w:rFonts w:ascii="Arial" w:eastAsia="Arial" w:hAnsi="Arial" w:cs="Arial"/>
          <w:sz w:val="22"/>
          <w:szCs w:val="22"/>
        </w:rPr>
        <w:t>visually represent the selection of the 10 core articles and addresses the ethical considerations inherent in secondary research.</w:t>
      </w:r>
    </w:p>
    <w:p w14:paraId="4A0F615C" w14:textId="1910DE17" w:rsidR="007A053C" w:rsidRPr="007A053C" w:rsidRDefault="01921175" w:rsidP="007A053C">
      <w:pPr>
        <w:pStyle w:val="Heading2"/>
        <w:spacing w:line="360" w:lineRule="auto"/>
        <w:rPr>
          <w:rFonts w:ascii="Arial" w:hAnsi="Arial" w:cs="Arial"/>
          <w:b/>
          <w:bCs/>
        </w:rPr>
      </w:pPr>
      <w:bookmarkStart w:id="31" w:name="_Toc230113853"/>
      <w:r w:rsidRPr="00107D0A">
        <w:rPr>
          <w:rFonts w:ascii="Arial" w:hAnsi="Arial" w:cs="Arial"/>
          <w:b/>
          <w:bCs/>
        </w:rPr>
        <w:t>3.2 Systematic Literature Review (SLR)</w:t>
      </w:r>
      <w:r w:rsidR="000A311B" w:rsidRPr="00107D0A">
        <w:rPr>
          <w:rFonts w:ascii="Arial" w:hAnsi="Arial" w:cs="Arial"/>
          <w:b/>
          <w:bCs/>
        </w:rPr>
        <w:t xml:space="preserve"> </w:t>
      </w:r>
      <w:r w:rsidR="00DE3C35" w:rsidRPr="00107D0A">
        <w:rPr>
          <w:rFonts w:ascii="Arial" w:hAnsi="Arial" w:cs="Arial"/>
          <w:b/>
          <w:bCs/>
        </w:rPr>
        <w:t>overview of primary and secondary</w:t>
      </w:r>
      <w:r w:rsidR="00B26DCC" w:rsidRPr="00107D0A">
        <w:rPr>
          <w:rFonts w:ascii="Arial" w:hAnsi="Arial" w:cs="Arial"/>
          <w:b/>
          <w:bCs/>
        </w:rPr>
        <w:t xml:space="preserve"> research.</w:t>
      </w:r>
      <w:bookmarkEnd w:id="31"/>
    </w:p>
    <w:p w14:paraId="6AE0A24F" w14:textId="40065ECB" w:rsidR="00391DD4" w:rsidRPr="007C12FD" w:rsidRDefault="009E43CF" w:rsidP="00901B7A">
      <w:pPr>
        <w:spacing w:after="150" w:line="360" w:lineRule="auto"/>
        <w:jc w:val="both"/>
        <w:rPr>
          <w:rFonts w:ascii="Arial" w:eastAsia="Times New Roman" w:hAnsi="Arial" w:cs="Arial"/>
          <w:kern w:val="0"/>
          <w:sz w:val="22"/>
          <w:szCs w:val="22"/>
          <w:lang w:eastAsia="zh-CN"/>
          <w14:ligatures w14:val="none"/>
        </w:rPr>
      </w:pPr>
      <w:r w:rsidRPr="00D4048F">
        <w:rPr>
          <w:rFonts w:ascii="Arial" w:eastAsia="Times New Roman" w:hAnsi="Arial" w:cs="Arial"/>
          <w:kern w:val="0"/>
          <w:sz w:val="22"/>
          <w:szCs w:val="22"/>
          <w:lang w:eastAsia="zh-CN"/>
          <w14:ligatures w14:val="none"/>
        </w:rPr>
        <w:t>T</w:t>
      </w:r>
      <w:r w:rsidR="00CD1587" w:rsidRPr="00D4048F">
        <w:rPr>
          <w:rFonts w:ascii="Arial" w:eastAsia="Times New Roman" w:hAnsi="Arial" w:cs="Arial"/>
          <w:kern w:val="0"/>
          <w:sz w:val="22"/>
          <w:szCs w:val="22"/>
          <w:lang w:eastAsia="zh-CN"/>
          <w14:ligatures w14:val="none"/>
        </w:rPr>
        <w:t xml:space="preserve">he following analysis explains the distinction between primary and secondary research and provides a robust rationale for choosing a Systematic Literature Review (SLR) as </w:t>
      </w:r>
      <w:r w:rsidR="00F75029" w:rsidRPr="00D4048F">
        <w:rPr>
          <w:rFonts w:ascii="Arial" w:eastAsia="Times New Roman" w:hAnsi="Arial" w:cs="Arial"/>
          <w:kern w:val="0"/>
          <w:sz w:val="22"/>
          <w:szCs w:val="22"/>
          <w:lang w:eastAsia="zh-CN"/>
          <w14:ligatures w14:val="none"/>
        </w:rPr>
        <w:t>my</w:t>
      </w:r>
      <w:r w:rsidR="00CD1587" w:rsidRPr="00D4048F">
        <w:rPr>
          <w:rFonts w:ascii="Arial" w:eastAsia="Times New Roman" w:hAnsi="Arial" w:cs="Arial"/>
          <w:kern w:val="0"/>
          <w:sz w:val="22"/>
          <w:szCs w:val="22"/>
          <w:lang w:eastAsia="zh-CN"/>
          <w14:ligatures w14:val="none"/>
        </w:rPr>
        <w:t xml:space="preserve"> methodology.</w:t>
      </w:r>
    </w:p>
    <w:p w14:paraId="2ACDCE6E" w14:textId="17459B9F" w:rsidR="00CD1587" w:rsidRPr="00107D0A" w:rsidRDefault="009E43CF" w:rsidP="00FC1D17">
      <w:pPr>
        <w:pStyle w:val="Heading3"/>
        <w:spacing w:line="360" w:lineRule="auto"/>
        <w:rPr>
          <w:rFonts w:ascii="Arial" w:hAnsi="Arial" w:cs="Arial"/>
          <w:b/>
          <w:bCs/>
          <w:lang w:eastAsia="zh-CN"/>
        </w:rPr>
      </w:pPr>
      <w:bookmarkStart w:id="32" w:name="_Toc230113854"/>
      <w:r w:rsidRPr="00107D0A">
        <w:rPr>
          <w:rFonts w:ascii="Arial" w:hAnsi="Arial" w:cs="Arial"/>
          <w:b/>
          <w:bCs/>
          <w:lang w:eastAsia="zh-CN"/>
        </w:rPr>
        <w:t xml:space="preserve">3.2.1 </w:t>
      </w:r>
      <w:r w:rsidR="00CD1587" w:rsidRPr="00107D0A">
        <w:rPr>
          <w:rFonts w:ascii="Arial" w:hAnsi="Arial" w:cs="Arial"/>
          <w:b/>
          <w:bCs/>
          <w:lang w:eastAsia="zh-CN"/>
        </w:rPr>
        <w:t>Analysis of Primary and Secondary Research</w:t>
      </w:r>
      <w:bookmarkEnd w:id="32"/>
    </w:p>
    <w:p w14:paraId="3475103B" w14:textId="77777777" w:rsidR="00CD1587" w:rsidRPr="002E6543" w:rsidRDefault="00CD1587" w:rsidP="00901B7A">
      <w:pPr>
        <w:spacing w:after="150" w:line="360" w:lineRule="auto"/>
        <w:jc w:val="both"/>
        <w:rPr>
          <w:rFonts w:ascii="Arial" w:eastAsia="Times New Roman" w:hAnsi="Arial" w:cs="Arial"/>
          <w:kern w:val="0"/>
          <w:sz w:val="22"/>
          <w:szCs w:val="22"/>
          <w:lang w:eastAsia="zh-CN"/>
          <w14:ligatures w14:val="none"/>
        </w:rPr>
      </w:pPr>
      <w:r w:rsidRPr="002E6543">
        <w:rPr>
          <w:rFonts w:ascii="Arial" w:eastAsia="Times New Roman" w:hAnsi="Arial" w:cs="Arial"/>
          <w:kern w:val="0"/>
          <w:sz w:val="22"/>
          <w:szCs w:val="22"/>
          <w:lang w:eastAsia="zh-CN"/>
          <w14:ligatures w14:val="none"/>
        </w:rPr>
        <w:t>In the context of this thesis, it is essential to distinguish between the nature of the data being synthesised and the method of synthesis itself.</w:t>
      </w:r>
    </w:p>
    <w:p w14:paraId="09FC643E" w14:textId="3626B096" w:rsidR="00CD1587" w:rsidRPr="002E6543" w:rsidRDefault="00CD1587" w:rsidP="00901B7A">
      <w:pPr>
        <w:numPr>
          <w:ilvl w:val="0"/>
          <w:numId w:val="24"/>
        </w:numPr>
        <w:spacing w:after="0" w:line="360" w:lineRule="auto"/>
        <w:jc w:val="both"/>
        <w:rPr>
          <w:rFonts w:ascii="Arial" w:eastAsia="Times New Roman" w:hAnsi="Arial" w:cs="Arial"/>
          <w:kern w:val="0"/>
          <w:sz w:val="22"/>
          <w:szCs w:val="22"/>
          <w:lang w:eastAsia="zh-CN"/>
          <w14:ligatures w14:val="none"/>
        </w:rPr>
      </w:pPr>
      <w:r w:rsidRPr="002E6543">
        <w:rPr>
          <w:rFonts w:ascii="Arial" w:eastAsia="Times New Roman" w:hAnsi="Arial" w:cs="Arial"/>
          <w:b/>
          <w:bCs/>
          <w:kern w:val="0"/>
          <w:sz w:val="22"/>
          <w:szCs w:val="22"/>
          <w:bdr w:val="none" w:sz="0" w:space="0" w:color="auto" w:frame="1"/>
          <w:lang w:eastAsia="zh-CN"/>
          <w14:ligatures w14:val="none"/>
        </w:rPr>
        <w:t>Primary Research:</w:t>
      </w:r>
      <w:r w:rsidRPr="002E6543">
        <w:rPr>
          <w:rFonts w:ascii="Arial" w:eastAsia="Times New Roman" w:hAnsi="Arial" w:cs="Arial"/>
          <w:kern w:val="0"/>
          <w:sz w:val="22"/>
          <w:szCs w:val="22"/>
          <w:lang w:eastAsia="zh-CN"/>
          <w14:ligatures w14:val="none"/>
        </w:rPr>
        <w:t xml:space="preserve"> This involves the original collection of data directly from participants. In the field of diabetes care, primary qualitative research often consists of semi-structured interviews, focus groups, or exit interviews conducted at the end of clinical trials (Matza et al., 2022). For Tirzepatide, primary research captures the raw </w:t>
      </w:r>
      <w:r w:rsidRPr="002E6543">
        <w:rPr>
          <w:rFonts w:ascii="Arial" w:eastAsia="Times New Roman" w:hAnsi="Arial" w:cs="Arial"/>
          <w:kern w:val="0"/>
          <w:sz w:val="22"/>
          <w:szCs w:val="22"/>
          <w:lang w:eastAsia="zh-CN"/>
          <w14:ligatures w14:val="none"/>
        </w:rPr>
        <w:lastRenderedPageBreak/>
        <w:t>lived experiences of patients, such as their perceptions of weight loss, appetite suppression, and the practicalities of using injection pens (Matza et al., 2024).</w:t>
      </w:r>
    </w:p>
    <w:p w14:paraId="329E4E37" w14:textId="09B35114" w:rsidR="00CD1587" w:rsidRPr="002E6543" w:rsidRDefault="00CD1587" w:rsidP="00901B7A">
      <w:pPr>
        <w:numPr>
          <w:ilvl w:val="0"/>
          <w:numId w:val="24"/>
        </w:numPr>
        <w:spacing w:after="0" w:line="360" w:lineRule="auto"/>
        <w:jc w:val="both"/>
        <w:rPr>
          <w:rFonts w:ascii="Arial" w:eastAsia="Times New Roman" w:hAnsi="Arial" w:cs="Arial"/>
          <w:kern w:val="0"/>
          <w:sz w:val="22"/>
          <w:szCs w:val="22"/>
          <w:lang w:eastAsia="zh-CN"/>
          <w14:ligatures w14:val="none"/>
        </w:rPr>
      </w:pPr>
      <w:r w:rsidRPr="002E6543">
        <w:rPr>
          <w:rFonts w:ascii="Arial" w:eastAsia="Times New Roman" w:hAnsi="Arial" w:cs="Arial"/>
          <w:b/>
          <w:bCs/>
          <w:kern w:val="0"/>
          <w:sz w:val="22"/>
          <w:szCs w:val="22"/>
          <w:bdr w:val="none" w:sz="0" w:space="0" w:color="auto" w:frame="1"/>
          <w:lang w:eastAsia="zh-CN"/>
          <w14:ligatures w14:val="none"/>
        </w:rPr>
        <w:t>Secondary Research:</w:t>
      </w:r>
      <w:r w:rsidRPr="002E6543">
        <w:rPr>
          <w:rFonts w:ascii="Arial" w:eastAsia="Times New Roman" w:hAnsi="Arial" w:cs="Arial"/>
          <w:kern w:val="0"/>
          <w:sz w:val="22"/>
          <w:szCs w:val="22"/>
          <w:lang w:eastAsia="zh-CN"/>
          <w14:ligatures w14:val="none"/>
        </w:rPr>
        <w:t xml:space="preserve"> As an SLR, </w:t>
      </w:r>
      <w:r w:rsidR="002A3372" w:rsidRPr="002E6543">
        <w:rPr>
          <w:rFonts w:ascii="Arial" w:eastAsia="Times New Roman" w:hAnsi="Arial" w:cs="Arial"/>
          <w:kern w:val="0"/>
          <w:sz w:val="22"/>
          <w:szCs w:val="22"/>
          <w:lang w:eastAsia="zh-CN"/>
          <w14:ligatures w14:val="none"/>
        </w:rPr>
        <w:t>this</w:t>
      </w:r>
      <w:r w:rsidRPr="002E6543">
        <w:rPr>
          <w:rFonts w:ascii="Arial" w:eastAsia="Times New Roman" w:hAnsi="Arial" w:cs="Arial"/>
          <w:kern w:val="0"/>
          <w:sz w:val="22"/>
          <w:szCs w:val="22"/>
          <w:lang w:eastAsia="zh-CN"/>
          <w14:ligatures w14:val="none"/>
        </w:rPr>
        <w:t xml:space="preserve"> thesis is a form of secondary research. It does not involve direct interaction with patients but instead uses the findings of existing primary studies as its raw data. This allows for a birds-eye view of the research landscape, identifying patterns and contradictions across multiple primary sources that a single study might miss (Aveyard, 2023).</w:t>
      </w:r>
    </w:p>
    <w:p w14:paraId="7E2B7233" w14:textId="276882BA" w:rsidR="00CD1587" w:rsidRPr="00107D0A" w:rsidRDefault="009E43CF" w:rsidP="00FC1D17">
      <w:pPr>
        <w:pStyle w:val="Heading3"/>
        <w:spacing w:line="360" w:lineRule="auto"/>
        <w:rPr>
          <w:rFonts w:ascii="Arial" w:hAnsi="Arial" w:cs="Arial"/>
          <w:b/>
          <w:bCs/>
          <w:lang w:eastAsia="zh-CN"/>
        </w:rPr>
      </w:pPr>
      <w:bookmarkStart w:id="33" w:name="_Toc230113855"/>
      <w:r w:rsidRPr="00107D0A">
        <w:rPr>
          <w:rFonts w:ascii="Arial" w:hAnsi="Arial" w:cs="Arial"/>
          <w:b/>
          <w:bCs/>
          <w:lang w:eastAsia="zh-CN"/>
        </w:rPr>
        <w:t xml:space="preserve">3.2.2 </w:t>
      </w:r>
      <w:r w:rsidR="00CD1587" w:rsidRPr="00107D0A">
        <w:rPr>
          <w:rFonts w:ascii="Arial" w:hAnsi="Arial" w:cs="Arial"/>
          <w:b/>
          <w:bCs/>
          <w:lang w:eastAsia="zh-CN"/>
        </w:rPr>
        <w:t>Rationale for Choosing a Systematic Literature Review (SLR)</w:t>
      </w:r>
      <w:bookmarkEnd w:id="33"/>
    </w:p>
    <w:p w14:paraId="63C90B65" w14:textId="77777777" w:rsidR="00CD1587" w:rsidRPr="00901B7A" w:rsidRDefault="00CD1587" w:rsidP="00901B7A">
      <w:pPr>
        <w:spacing w:after="150" w:line="360" w:lineRule="auto"/>
        <w:jc w:val="both"/>
        <w:rPr>
          <w:rFonts w:ascii="Arial" w:eastAsia="Times New Roman" w:hAnsi="Arial" w:cs="Arial"/>
          <w:kern w:val="0"/>
          <w:sz w:val="22"/>
          <w:szCs w:val="22"/>
          <w:lang w:eastAsia="zh-CN"/>
          <w14:ligatures w14:val="none"/>
        </w:rPr>
      </w:pPr>
      <w:r w:rsidRPr="00901B7A">
        <w:rPr>
          <w:rFonts w:ascii="Arial" w:eastAsia="Times New Roman" w:hAnsi="Arial" w:cs="Arial"/>
          <w:kern w:val="0"/>
          <w:sz w:val="22"/>
          <w:szCs w:val="22"/>
          <w:lang w:eastAsia="zh-CN"/>
          <w14:ligatures w14:val="none"/>
        </w:rPr>
        <w:t>The decision to employ an SLR for exploring the lived experiences of T2D patients on Tirzepatide in the UK is driven by three primary factors:</w:t>
      </w:r>
    </w:p>
    <w:p w14:paraId="32C70379" w14:textId="77777777" w:rsidR="00CD1587" w:rsidRPr="00901B7A" w:rsidRDefault="00CD1587" w:rsidP="00901B7A">
      <w:pPr>
        <w:pStyle w:val="Heading4"/>
        <w:rPr>
          <w:b/>
          <w:bCs/>
          <w:lang w:eastAsia="zh-CN"/>
        </w:rPr>
      </w:pPr>
      <w:r w:rsidRPr="00901B7A">
        <w:rPr>
          <w:b/>
          <w:bCs/>
          <w:lang w:eastAsia="zh-CN"/>
        </w:rPr>
        <w:t>1. Addressing Data Fragmentation</w:t>
      </w:r>
    </w:p>
    <w:p w14:paraId="1F3FBBB7" w14:textId="315AE103" w:rsidR="00D4048F" w:rsidRPr="00901B7A" w:rsidRDefault="00CD1587" w:rsidP="00901B7A">
      <w:pPr>
        <w:spacing w:after="0" w:line="360" w:lineRule="auto"/>
        <w:jc w:val="both"/>
        <w:rPr>
          <w:rFonts w:ascii="Arial" w:eastAsia="Times New Roman" w:hAnsi="Arial" w:cs="Arial"/>
          <w:kern w:val="0"/>
          <w:sz w:val="22"/>
          <w:szCs w:val="22"/>
          <w:lang w:eastAsia="zh-CN"/>
          <w14:ligatures w14:val="none"/>
        </w:rPr>
      </w:pPr>
      <w:r w:rsidRPr="00901B7A">
        <w:rPr>
          <w:rFonts w:ascii="Arial" w:eastAsia="Times New Roman" w:hAnsi="Arial" w:cs="Arial"/>
          <w:kern w:val="0"/>
          <w:sz w:val="22"/>
          <w:szCs w:val="22"/>
          <w:bdr w:val="none" w:sz="0" w:space="0" w:color="auto" w:frame="1"/>
          <w:lang w:eastAsia="zh-CN"/>
          <w14:ligatures w14:val="none"/>
        </w:rPr>
        <w:t>Tirzepatide is a relatively novel dual GIP/GLP-1 receptor agonist.</w:t>
      </w:r>
      <w:r w:rsidRPr="00901B7A">
        <w:rPr>
          <w:rFonts w:ascii="Arial" w:eastAsia="Times New Roman" w:hAnsi="Arial" w:cs="Arial"/>
          <w:kern w:val="0"/>
          <w:sz w:val="22"/>
          <w:szCs w:val="22"/>
          <w:lang w:eastAsia="zh-CN"/>
          <w14:ligatures w14:val="none"/>
        </w:rPr>
        <w:t xml:space="preserve"> While clinical trials (such as the SURPASS and SURMOUNT programmes) provide extensive quantitative data on efficacy, qualitative data on patient experience are often "fragmented" or embedded within larger clinical reports (George and Rathakrishnan, 2024). An SLR allows </w:t>
      </w:r>
      <w:r w:rsidR="005E69EC" w:rsidRPr="00901B7A">
        <w:rPr>
          <w:rFonts w:ascii="Arial" w:eastAsia="Times New Roman" w:hAnsi="Arial" w:cs="Arial"/>
          <w:kern w:val="0"/>
          <w:sz w:val="22"/>
          <w:szCs w:val="22"/>
          <w:lang w:eastAsia="zh-CN"/>
          <w14:ligatures w14:val="none"/>
        </w:rPr>
        <w:t>this thesis</w:t>
      </w:r>
      <w:r w:rsidRPr="00901B7A">
        <w:rPr>
          <w:rFonts w:ascii="Arial" w:eastAsia="Times New Roman" w:hAnsi="Arial" w:cs="Arial"/>
          <w:kern w:val="0"/>
          <w:sz w:val="22"/>
          <w:szCs w:val="22"/>
          <w:lang w:eastAsia="zh-CN"/>
          <w14:ligatures w14:val="none"/>
        </w:rPr>
        <w:t xml:space="preserve"> to systematically gather these disparate pieces of evidence to build a coherent, holistic narrative of the patient journey (Gough et al., 2017).</w:t>
      </w:r>
    </w:p>
    <w:p w14:paraId="17634B11" w14:textId="77777777" w:rsidR="00CD1587" w:rsidRPr="00901B7A" w:rsidRDefault="00CD1587" w:rsidP="00901B7A">
      <w:pPr>
        <w:pStyle w:val="Heading4"/>
        <w:rPr>
          <w:b/>
          <w:bCs/>
          <w:lang w:eastAsia="zh-CN"/>
        </w:rPr>
      </w:pPr>
      <w:r w:rsidRPr="00901B7A">
        <w:rPr>
          <w:b/>
          <w:bCs/>
          <w:lang w:eastAsia="zh-CN"/>
        </w:rPr>
        <w:t>2. Enhancing Methodological Rigour and Transparency</w:t>
      </w:r>
    </w:p>
    <w:p w14:paraId="33119702" w14:textId="487878A2" w:rsidR="00D4048F" w:rsidRPr="00901B7A" w:rsidRDefault="00CD1587" w:rsidP="00901B7A">
      <w:pPr>
        <w:spacing w:after="0" w:line="360" w:lineRule="auto"/>
        <w:jc w:val="both"/>
        <w:rPr>
          <w:rFonts w:ascii="Arial" w:eastAsia="Times New Roman" w:hAnsi="Arial" w:cs="Arial"/>
          <w:kern w:val="0"/>
          <w:sz w:val="22"/>
          <w:szCs w:val="22"/>
          <w:lang w:eastAsia="zh-CN"/>
          <w14:ligatures w14:val="none"/>
        </w:rPr>
      </w:pPr>
      <w:r w:rsidRPr="00901B7A">
        <w:rPr>
          <w:rFonts w:ascii="Arial" w:eastAsia="Times New Roman" w:hAnsi="Arial" w:cs="Arial"/>
          <w:kern w:val="0"/>
          <w:sz w:val="22"/>
          <w:szCs w:val="22"/>
          <w:lang w:eastAsia="zh-CN"/>
          <w14:ligatures w14:val="none"/>
        </w:rPr>
        <w:t xml:space="preserve">Unlike a narrative review, which can be prone to cherry-picking evidence, an SLR follows a strict, reproducible protocol. By using frameworks like </w:t>
      </w:r>
      <w:r w:rsidRPr="00901B7A">
        <w:rPr>
          <w:rFonts w:ascii="Arial" w:eastAsia="Times New Roman" w:hAnsi="Arial" w:cs="Arial"/>
          <w:kern w:val="0"/>
          <w:sz w:val="22"/>
          <w:szCs w:val="22"/>
          <w:bdr w:val="none" w:sz="0" w:space="0" w:color="auto" w:frame="1"/>
          <w:lang w:eastAsia="zh-CN"/>
          <w14:ligatures w14:val="none"/>
        </w:rPr>
        <w:t>PEO (Population, Exposure, Outcome)</w:t>
      </w:r>
      <w:r w:rsidRPr="00901B7A">
        <w:rPr>
          <w:rFonts w:ascii="Arial" w:eastAsia="Times New Roman" w:hAnsi="Arial" w:cs="Arial"/>
          <w:kern w:val="0"/>
          <w:sz w:val="22"/>
          <w:szCs w:val="22"/>
          <w:lang w:eastAsia="zh-CN"/>
          <w14:ligatures w14:val="none"/>
        </w:rPr>
        <w:t xml:space="preserve"> and thematic analysis, </w:t>
      </w:r>
      <w:r w:rsidR="00F75029" w:rsidRPr="00901B7A">
        <w:rPr>
          <w:rFonts w:ascii="Arial" w:eastAsia="Times New Roman" w:hAnsi="Arial" w:cs="Arial"/>
          <w:kern w:val="0"/>
          <w:sz w:val="22"/>
          <w:szCs w:val="22"/>
          <w:lang w:eastAsia="zh-CN"/>
          <w14:ligatures w14:val="none"/>
        </w:rPr>
        <w:t>this</w:t>
      </w:r>
      <w:r w:rsidRPr="00901B7A">
        <w:rPr>
          <w:rFonts w:ascii="Arial" w:eastAsia="Times New Roman" w:hAnsi="Arial" w:cs="Arial"/>
          <w:kern w:val="0"/>
          <w:sz w:val="22"/>
          <w:szCs w:val="22"/>
          <w:lang w:eastAsia="zh-CN"/>
          <w14:ligatures w14:val="none"/>
        </w:rPr>
        <w:t xml:space="preserve"> ensure that the synthesis of facilitators and barriers is objective and transparent (Aveyard, 2023). This is particularly important for healthcare policy in the UK, where evidence-based practice is the gold standard.</w:t>
      </w:r>
    </w:p>
    <w:p w14:paraId="57948DD7" w14:textId="77777777" w:rsidR="00CD1587" w:rsidRPr="00901B7A" w:rsidRDefault="00CD1587" w:rsidP="00901B7A">
      <w:pPr>
        <w:pStyle w:val="Heading4"/>
        <w:rPr>
          <w:b/>
          <w:bCs/>
          <w:lang w:eastAsia="zh-CN"/>
        </w:rPr>
      </w:pPr>
      <w:r w:rsidRPr="00901B7A">
        <w:rPr>
          <w:b/>
          <w:bCs/>
          <w:lang w:eastAsia="zh-CN"/>
        </w:rPr>
        <w:t>3. Identifying UK-Specific Barriers and Facilitators</w:t>
      </w:r>
    </w:p>
    <w:p w14:paraId="3F8B7517" w14:textId="058B4382" w:rsidR="00BD21C5" w:rsidRPr="00901B7A" w:rsidRDefault="00CD1587" w:rsidP="00901B7A">
      <w:pPr>
        <w:spacing w:after="150" w:line="360" w:lineRule="auto"/>
        <w:jc w:val="both"/>
        <w:rPr>
          <w:rFonts w:ascii="Arial" w:eastAsia="Times New Roman" w:hAnsi="Arial" w:cs="Arial"/>
          <w:kern w:val="0"/>
          <w:sz w:val="22"/>
          <w:szCs w:val="22"/>
          <w:lang w:eastAsia="zh-CN"/>
          <w14:ligatures w14:val="none"/>
        </w:rPr>
      </w:pPr>
      <w:r w:rsidRPr="00901B7A">
        <w:rPr>
          <w:rFonts w:ascii="Arial" w:eastAsia="Times New Roman" w:hAnsi="Arial" w:cs="Arial"/>
          <w:kern w:val="0"/>
          <w:sz w:val="22"/>
          <w:szCs w:val="22"/>
          <w:lang w:eastAsia="zh-CN"/>
          <w14:ligatures w14:val="none"/>
        </w:rPr>
        <w:t xml:space="preserve">The UK healthcare context (NHS) presents unique factors, such as specific prescribing pathways and patient support systems. By conducting an SLR focused on the UK, </w:t>
      </w:r>
      <w:r w:rsidR="00C122EB" w:rsidRPr="00901B7A">
        <w:rPr>
          <w:rFonts w:ascii="Arial" w:eastAsia="Times New Roman" w:hAnsi="Arial" w:cs="Arial"/>
          <w:kern w:val="0"/>
          <w:sz w:val="22"/>
          <w:szCs w:val="22"/>
          <w:lang w:eastAsia="zh-CN"/>
          <w14:ligatures w14:val="none"/>
        </w:rPr>
        <w:t>I</w:t>
      </w:r>
      <w:r w:rsidRPr="00901B7A">
        <w:rPr>
          <w:rFonts w:ascii="Arial" w:eastAsia="Times New Roman" w:hAnsi="Arial" w:cs="Arial"/>
          <w:kern w:val="0"/>
          <w:sz w:val="22"/>
          <w:szCs w:val="22"/>
          <w:lang w:eastAsia="zh-CN"/>
          <w14:ligatures w14:val="none"/>
        </w:rPr>
        <w:t xml:space="preserve"> can synthesise existing qualitative evidence to identify specific socio-cultural or systemic factors</w:t>
      </w:r>
      <w:r w:rsidR="00552CCA" w:rsidRPr="00901B7A">
        <w:rPr>
          <w:rFonts w:ascii="Arial" w:eastAsia="Times New Roman" w:hAnsi="Arial" w:cs="Arial"/>
          <w:kern w:val="0"/>
          <w:sz w:val="22"/>
          <w:szCs w:val="22"/>
          <w:lang w:eastAsia="zh-CN"/>
          <w14:ligatures w14:val="none"/>
        </w:rPr>
        <w:t xml:space="preserve"> </w:t>
      </w:r>
      <w:r w:rsidRPr="00901B7A">
        <w:rPr>
          <w:rFonts w:ascii="Arial" w:eastAsia="Times New Roman" w:hAnsi="Arial" w:cs="Arial"/>
          <w:kern w:val="0"/>
          <w:sz w:val="22"/>
          <w:szCs w:val="22"/>
          <w:lang w:eastAsia="zh-CN"/>
          <w14:ligatures w14:val="none"/>
        </w:rPr>
        <w:t>such as the stigma associated with injectable medications or the facilitators of integrated diabetes clinics</w:t>
      </w:r>
      <w:r w:rsidR="00552CCA" w:rsidRPr="00901B7A">
        <w:rPr>
          <w:rFonts w:ascii="Arial" w:eastAsia="Times New Roman" w:hAnsi="Arial" w:cs="Arial"/>
          <w:kern w:val="0"/>
          <w:sz w:val="22"/>
          <w:szCs w:val="22"/>
          <w:lang w:eastAsia="zh-CN"/>
          <w14:ligatures w14:val="none"/>
        </w:rPr>
        <w:t xml:space="preserve"> </w:t>
      </w:r>
      <w:r w:rsidRPr="00901B7A">
        <w:rPr>
          <w:rFonts w:ascii="Arial" w:eastAsia="Times New Roman" w:hAnsi="Arial" w:cs="Arial"/>
          <w:kern w:val="0"/>
          <w:sz w:val="22"/>
          <w:szCs w:val="22"/>
          <w:lang w:eastAsia="zh-CN"/>
          <w14:ligatures w14:val="none"/>
        </w:rPr>
        <w:t>that influence long-term adherence (PubMed, 2014).</w:t>
      </w:r>
    </w:p>
    <w:p w14:paraId="32E0074F" w14:textId="0C92D102" w:rsidR="01921175" w:rsidRPr="00901B7A" w:rsidRDefault="005E69EC" w:rsidP="00901B7A">
      <w:pPr>
        <w:spacing w:before="240" w:after="240" w:line="360" w:lineRule="auto"/>
        <w:jc w:val="both"/>
        <w:rPr>
          <w:rFonts w:ascii="Arial" w:eastAsia="Arial" w:hAnsi="Arial" w:cs="Arial"/>
          <w:sz w:val="22"/>
          <w:szCs w:val="22"/>
        </w:rPr>
      </w:pPr>
      <w:r w:rsidRPr="00901B7A">
        <w:rPr>
          <w:rFonts w:ascii="Arial" w:eastAsia="Arial" w:hAnsi="Arial" w:cs="Arial"/>
          <w:sz w:val="22"/>
          <w:szCs w:val="22"/>
        </w:rPr>
        <w:t>Additionally,</w:t>
      </w:r>
      <w:r w:rsidR="007C0063" w:rsidRPr="00901B7A">
        <w:rPr>
          <w:rFonts w:ascii="Arial" w:eastAsia="Arial" w:hAnsi="Arial" w:cs="Arial"/>
          <w:sz w:val="22"/>
          <w:szCs w:val="22"/>
        </w:rPr>
        <w:t xml:space="preserve"> </w:t>
      </w:r>
      <w:r w:rsidR="01921175" w:rsidRPr="00901B7A">
        <w:rPr>
          <w:rFonts w:ascii="Arial" w:eastAsia="Arial" w:hAnsi="Arial" w:cs="Arial"/>
          <w:sz w:val="22"/>
          <w:szCs w:val="22"/>
        </w:rPr>
        <w:t xml:space="preserve">A Systematic Literature Review (SLR) is defined as a secondary research method that identifies, selects, and critically appraises all relevant high-quality research to answer a specific clinical question (Aveyard, 2023). Unlike a traditional narrative review, an SLR follows a pre-defined, reproducible protocol to minimise bias and ensure transparency (Gough </w:t>
      </w:r>
      <w:r w:rsidR="01921175" w:rsidRPr="00901B7A">
        <w:rPr>
          <w:rFonts w:ascii="Arial" w:eastAsia="Arial" w:hAnsi="Arial" w:cs="Arial"/>
          <w:i/>
          <w:iCs/>
          <w:sz w:val="22"/>
          <w:szCs w:val="22"/>
        </w:rPr>
        <w:t>et al.</w:t>
      </w:r>
      <w:r w:rsidR="01921175" w:rsidRPr="00901B7A">
        <w:rPr>
          <w:rFonts w:ascii="Arial" w:eastAsia="Arial" w:hAnsi="Arial" w:cs="Arial"/>
          <w:sz w:val="22"/>
          <w:szCs w:val="22"/>
        </w:rPr>
        <w:t>, 2017).</w:t>
      </w:r>
    </w:p>
    <w:p w14:paraId="66C2521E" w14:textId="4E223A6E" w:rsidR="01921175" w:rsidRPr="00901B7A" w:rsidRDefault="01921175" w:rsidP="00901B7A">
      <w:pPr>
        <w:spacing w:before="240" w:after="240" w:line="360" w:lineRule="auto"/>
        <w:jc w:val="both"/>
        <w:rPr>
          <w:rFonts w:ascii="Arial" w:eastAsia="Arial" w:hAnsi="Arial" w:cs="Arial"/>
          <w:sz w:val="22"/>
          <w:szCs w:val="22"/>
        </w:rPr>
      </w:pPr>
      <w:r w:rsidRPr="00901B7A">
        <w:rPr>
          <w:rFonts w:ascii="Arial" w:eastAsia="Arial" w:hAnsi="Arial" w:cs="Arial"/>
          <w:sz w:val="22"/>
          <w:szCs w:val="22"/>
        </w:rPr>
        <w:lastRenderedPageBreak/>
        <w:t xml:space="preserve">The purpose of this SLR is to synthesise fragmented qualitative data regarding Tirzepatide use in the UK to provide a holistic understanding of patient experiences. To achieve a comprehensive SLR, </w:t>
      </w:r>
      <w:r w:rsidR="005E69EC" w:rsidRPr="00901B7A">
        <w:rPr>
          <w:rFonts w:ascii="Arial" w:eastAsia="Arial" w:hAnsi="Arial" w:cs="Arial"/>
          <w:sz w:val="22"/>
          <w:szCs w:val="22"/>
        </w:rPr>
        <w:t>these</w:t>
      </w:r>
      <w:r w:rsidR="002A3372" w:rsidRPr="00901B7A">
        <w:rPr>
          <w:rFonts w:ascii="Arial" w:eastAsia="Arial" w:hAnsi="Arial" w:cs="Arial"/>
          <w:sz w:val="22"/>
          <w:szCs w:val="22"/>
        </w:rPr>
        <w:t xml:space="preserve"> are also </w:t>
      </w:r>
      <w:r w:rsidRPr="00901B7A">
        <w:rPr>
          <w:rFonts w:ascii="Arial" w:eastAsia="Arial" w:hAnsi="Arial" w:cs="Arial"/>
          <w:sz w:val="22"/>
          <w:szCs w:val="22"/>
        </w:rPr>
        <w:t>the following steps were undertaken:</w:t>
      </w:r>
    </w:p>
    <w:p w14:paraId="54DDE6FC" w14:textId="55714B86" w:rsidR="01921175" w:rsidRPr="00901B7A" w:rsidRDefault="01921175" w:rsidP="00901B7A">
      <w:pPr>
        <w:pStyle w:val="ListParagraph"/>
        <w:numPr>
          <w:ilvl w:val="0"/>
          <w:numId w:val="17"/>
        </w:numPr>
        <w:spacing w:before="240" w:after="240" w:line="360" w:lineRule="auto"/>
        <w:jc w:val="both"/>
        <w:rPr>
          <w:rFonts w:ascii="Arial" w:eastAsia="Arial" w:hAnsi="Arial" w:cs="Arial"/>
          <w:sz w:val="22"/>
          <w:szCs w:val="22"/>
        </w:rPr>
      </w:pPr>
      <w:r w:rsidRPr="00901B7A">
        <w:rPr>
          <w:rFonts w:ascii="Arial" w:eastAsia="Arial" w:hAnsi="Arial" w:cs="Arial"/>
          <w:b/>
          <w:bCs/>
          <w:sz w:val="22"/>
          <w:szCs w:val="22"/>
        </w:rPr>
        <w:t>Formulation</w:t>
      </w:r>
      <w:r w:rsidRPr="00901B7A">
        <w:rPr>
          <w:rFonts w:ascii="Arial" w:eastAsia="Arial" w:hAnsi="Arial" w:cs="Arial"/>
          <w:sz w:val="22"/>
          <w:szCs w:val="22"/>
        </w:rPr>
        <w:t xml:space="preserve"> of a clear research question using the PEO framework.</w:t>
      </w:r>
    </w:p>
    <w:p w14:paraId="367000CB" w14:textId="1A67FDBE" w:rsidR="01921175" w:rsidRPr="00901B7A" w:rsidRDefault="01921175" w:rsidP="00901B7A">
      <w:pPr>
        <w:pStyle w:val="ListParagraph"/>
        <w:numPr>
          <w:ilvl w:val="0"/>
          <w:numId w:val="17"/>
        </w:numPr>
        <w:spacing w:before="240" w:after="240" w:line="360" w:lineRule="auto"/>
        <w:jc w:val="both"/>
        <w:rPr>
          <w:rFonts w:ascii="Arial" w:eastAsia="Arial" w:hAnsi="Arial" w:cs="Arial"/>
          <w:sz w:val="22"/>
          <w:szCs w:val="22"/>
        </w:rPr>
      </w:pPr>
      <w:r w:rsidRPr="00901B7A">
        <w:rPr>
          <w:rFonts w:ascii="Arial" w:eastAsia="Arial" w:hAnsi="Arial" w:cs="Arial"/>
          <w:b/>
          <w:bCs/>
          <w:sz w:val="22"/>
          <w:szCs w:val="22"/>
        </w:rPr>
        <w:t>Comprehensive searching</w:t>
      </w:r>
      <w:r w:rsidRPr="00901B7A">
        <w:rPr>
          <w:rFonts w:ascii="Arial" w:eastAsia="Arial" w:hAnsi="Arial" w:cs="Arial"/>
          <w:sz w:val="22"/>
          <w:szCs w:val="22"/>
        </w:rPr>
        <w:t xml:space="preserve"> of electronic databases.</w:t>
      </w:r>
    </w:p>
    <w:p w14:paraId="6EDFE170" w14:textId="3696AD42" w:rsidR="01921175" w:rsidRPr="00901B7A" w:rsidRDefault="01921175" w:rsidP="00901B7A">
      <w:pPr>
        <w:pStyle w:val="ListParagraph"/>
        <w:numPr>
          <w:ilvl w:val="0"/>
          <w:numId w:val="17"/>
        </w:numPr>
        <w:spacing w:before="240" w:after="240" w:line="360" w:lineRule="auto"/>
        <w:jc w:val="both"/>
        <w:rPr>
          <w:rFonts w:ascii="Arial" w:eastAsia="Arial" w:hAnsi="Arial" w:cs="Arial"/>
          <w:sz w:val="22"/>
          <w:szCs w:val="22"/>
        </w:rPr>
      </w:pPr>
      <w:r w:rsidRPr="00901B7A">
        <w:rPr>
          <w:rFonts w:ascii="Arial" w:eastAsia="Arial" w:hAnsi="Arial" w:cs="Arial"/>
          <w:b/>
          <w:bCs/>
          <w:sz w:val="22"/>
          <w:szCs w:val="22"/>
        </w:rPr>
        <w:t>Screening</w:t>
      </w:r>
      <w:r w:rsidRPr="00901B7A">
        <w:rPr>
          <w:rFonts w:ascii="Arial" w:eastAsia="Arial" w:hAnsi="Arial" w:cs="Arial"/>
          <w:sz w:val="22"/>
          <w:szCs w:val="22"/>
        </w:rPr>
        <w:t xml:space="preserve"> of titles and abstracts against eligibility criteria.</w:t>
      </w:r>
    </w:p>
    <w:p w14:paraId="42A22911" w14:textId="5ADB5C90" w:rsidR="01921175" w:rsidRPr="00901B7A" w:rsidRDefault="01921175" w:rsidP="00901B7A">
      <w:pPr>
        <w:pStyle w:val="ListParagraph"/>
        <w:numPr>
          <w:ilvl w:val="0"/>
          <w:numId w:val="17"/>
        </w:numPr>
        <w:spacing w:before="240" w:after="240" w:line="360" w:lineRule="auto"/>
        <w:jc w:val="both"/>
        <w:rPr>
          <w:rFonts w:ascii="Arial" w:eastAsia="Arial" w:hAnsi="Arial" w:cs="Arial"/>
          <w:sz w:val="22"/>
          <w:szCs w:val="22"/>
        </w:rPr>
      </w:pPr>
      <w:r w:rsidRPr="00901B7A">
        <w:rPr>
          <w:rFonts w:ascii="Arial" w:eastAsia="Arial" w:hAnsi="Arial" w:cs="Arial"/>
          <w:b/>
          <w:bCs/>
          <w:sz w:val="22"/>
          <w:szCs w:val="22"/>
        </w:rPr>
        <w:t>Full-text appraisal</w:t>
      </w:r>
      <w:r w:rsidRPr="00901B7A">
        <w:rPr>
          <w:rFonts w:ascii="Arial" w:eastAsia="Arial" w:hAnsi="Arial" w:cs="Arial"/>
          <w:sz w:val="22"/>
          <w:szCs w:val="22"/>
        </w:rPr>
        <w:t xml:space="preserve"> for quality and relevance.</w:t>
      </w:r>
    </w:p>
    <w:p w14:paraId="719FDB96" w14:textId="283B30B4" w:rsidR="001176ED" w:rsidRPr="00901B7A" w:rsidRDefault="01921175" w:rsidP="00901B7A">
      <w:pPr>
        <w:pStyle w:val="ListParagraph"/>
        <w:numPr>
          <w:ilvl w:val="0"/>
          <w:numId w:val="17"/>
        </w:numPr>
        <w:spacing w:before="240" w:after="240" w:line="360" w:lineRule="auto"/>
        <w:jc w:val="both"/>
        <w:rPr>
          <w:rFonts w:ascii="Arial" w:eastAsia="Arial" w:hAnsi="Arial" w:cs="Arial"/>
          <w:sz w:val="22"/>
          <w:szCs w:val="22"/>
        </w:rPr>
      </w:pPr>
      <w:r w:rsidRPr="00901B7A">
        <w:rPr>
          <w:rFonts w:ascii="Arial" w:eastAsia="Arial" w:hAnsi="Arial" w:cs="Arial"/>
          <w:b/>
          <w:bCs/>
          <w:sz w:val="22"/>
          <w:szCs w:val="22"/>
        </w:rPr>
        <w:t>Data synthesis</w:t>
      </w:r>
      <w:r w:rsidRPr="00901B7A">
        <w:rPr>
          <w:rFonts w:ascii="Arial" w:eastAsia="Arial" w:hAnsi="Arial" w:cs="Arial"/>
          <w:sz w:val="22"/>
          <w:szCs w:val="22"/>
        </w:rPr>
        <w:t xml:space="preserve"> using thematic analysis.</w:t>
      </w:r>
    </w:p>
    <w:p w14:paraId="5AD64E3F" w14:textId="1F0EC7E5" w:rsidR="01921175" w:rsidRPr="00107D0A" w:rsidRDefault="01921175" w:rsidP="00FC1D17">
      <w:pPr>
        <w:pStyle w:val="Heading2"/>
        <w:spacing w:line="360" w:lineRule="auto"/>
        <w:rPr>
          <w:rFonts w:ascii="Arial" w:hAnsi="Arial" w:cs="Arial"/>
          <w:b/>
          <w:bCs/>
        </w:rPr>
      </w:pPr>
      <w:bookmarkStart w:id="34" w:name="_Toc230113856"/>
      <w:r w:rsidRPr="00107D0A">
        <w:rPr>
          <w:rFonts w:ascii="Arial" w:hAnsi="Arial" w:cs="Arial"/>
          <w:b/>
          <w:bCs/>
        </w:rPr>
        <w:t>3.3 Search Strategy</w:t>
      </w:r>
      <w:bookmarkEnd w:id="34"/>
    </w:p>
    <w:p w14:paraId="2723556D" w14:textId="7FFD4AF0" w:rsidR="01921175" w:rsidRPr="000F76A8" w:rsidRDefault="01921175" w:rsidP="00152041">
      <w:pPr>
        <w:spacing w:before="240" w:after="240" w:line="360" w:lineRule="auto"/>
        <w:jc w:val="both"/>
        <w:rPr>
          <w:rFonts w:ascii="Arial" w:eastAsia="Arial" w:hAnsi="Arial" w:cs="Arial"/>
          <w:sz w:val="22"/>
          <w:szCs w:val="22"/>
        </w:rPr>
      </w:pPr>
      <w:r w:rsidRPr="000F76A8">
        <w:rPr>
          <w:rFonts w:ascii="Arial" w:eastAsia="Arial" w:hAnsi="Arial" w:cs="Arial"/>
          <w:sz w:val="22"/>
          <w:szCs w:val="22"/>
        </w:rPr>
        <w:t>A search strategy is an organised structure of key terms used to retrieve the most relevant results from a database. For this review, a comprehensive search was achieved by balancing sensitivity (to find as many papers as possible) and specificity (to ensure they were relevant).</w:t>
      </w:r>
    </w:p>
    <w:p w14:paraId="3541583B" w14:textId="2E2F573A" w:rsidR="01921175" w:rsidRPr="000F76A8" w:rsidRDefault="01921175" w:rsidP="00152041">
      <w:pPr>
        <w:spacing w:before="240" w:after="240" w:line="360" w:lineRule="auto"/>
        <w:jc w:val="both"/>
        <w:rPr>
          <w:rFonts w:ascii="Arial" w:eastAsia="Arial" w:hAnsi="Arial" w:cs="Arial"/>
          <w:sz w:val="22"/>
          <w:szCs w:val="22"/>
        </w:rPr>
      </w:pPr>
      <w:r w:rsidRPr="000F76A8">
        <w:rPr>
          <w:rFonts w:ascii="Arial" w:eastAsia="Arial" w:hAnsi="Arial" w:cs="Arial"/>
          <w:sz w:val="22"/>
          <w:szCs w:val="22"/>
        </w:rPr>
        <w:t>The search was structured using the PEO framework, which is preferred for qualitative studies over the PICO (Population, Intervention, Comparison, Outcome) model, as it focuses on the Exposure to a phenomenon rather than a clinical intervention (Bettany-Saltikov, 2016).</w:t>
      </w:r>
    </w:p>
    <w:p w14:paraId="03E9C779" w14:textId="4FDF6F29" w:rsidR="01921175" w:rsidRPr="000F76A8" w:rsidRDefault="01921175" w:rsidP="00152041">
      <w:pPr>
        <w:pStyle w:val="ListParagraph"/>
        <w:numPr>
          <w:ilvl w:val="0"/>
          <w:numId w:val="16"/>
        </w:numPr>
        <w:spacing w:before="240" w:after="240" w:line="360" w:lineRule="auto"/>
        <w:jc w:val="both"/>
        <w:rPr>
          <w:rFonts w:ascii="Arial" w:eastAsia="Arial" w:hAnsi="Arial" w:cs="Arial"/>
          <w:sz w:val="22"/>
          <w:szCs w:val="22"/>
        </w:rPr>
      </w:pPr>
      <w:r w:rsidRPr="000F76A8">
        <w:rPr>
          <w:rFonts w:ascii="Arial" w:eastAsia="Arial" w:hAnsi="Arial" w:cs="Arial"/>
          <w:b/>
          <w:bCs/>
          <w:sz w:val="22"/>
          <w:szCs w:val="22"/>
        </w:rPr>
        <w:t>Population:</w:t>
      </w:r>
      <w:r w:rsidRPr="000F76A8">
        <w:rPr>
          <w:rFonts w:ascii="Arial" w:eastAsia="Arial" w:hAnsi="Arial" w:cs="Arial"/>
          <w:sz w:val="22"/>
          <w:szCs w:val="22"/>
        </w:rPr>
        <w:t xml:space="preserve"> Adults with Type 2 Diabetes in the UK.</w:t>
      </w:r>
    </w:p>
    <w:p w14:paraId="358C249A" w14:textId="72B8625F" w:rsidR="01921175" w:rsidRPr="000F76A8" w:rsidRDefault="01921175" w:rsidP="00152041">
      <w:pPr>
        <w:pStyle w:val="ListParagraph"/>
        <w:numPr>
          <w:ilvl w:val="0"/>
          <w:numId w:val="16"/>
        </w:numPr>
        <w:spacing w:before="240" w:after="240" w:line="360" w:lineRule="auto"/>
        <w:jc w:val="both"/>
        <w:rPr>
          <w:rFonts w:ascii="Arial" w:eastAsia="Arial" w:hAnsi="Arial" w:cs="Arial"/>
          <w:sz w:val="22"/>
          <w:szCs w:val="22"/>
        </w:rPr>
      </w:pPr>
      <w:r w:rsidRPr="000F76A8">
        <w:rPr>
          <w:rFonts w:ascii="Arial" w:eastAsia="Arial" w:hAnsi="Arial" w:cs="Arial"/>
          <w:b/>
          <w:bCs/>
          <w:sz w:val="22"/>
          <w:szCs w:val="22"/>
        </w:rPr>
        <w:t>Exposure:</w:t>
      </w:r>
      <w:r w:rsidRPr="000F76A8">
        <w:rPr>
          <w:rFonts w:ascii="Arial" w:eastAsia="Arial" w:hAnsi="Arial" w:cs="Arial"/>
          <w:sz w:val="22"/>
          <w:szCs w:val="22"/>
        </w:rPr>
        <w:t xml:space="preserve"> Use of Tirzepatide (Mounjaro).</w:t>
      </w:r>
    </w:p>
    <w:p w14:paraId="0C505226" w14:textId="7A124358" w:rsidR="01921175" w:rsidRPr="000F76A8" w:rsidRDefault="01921175" w:rsidP="00152041">
      <w:pPr>
        <w:pStyle w:val="ListParagraph"/>
        <w:numPr>
          <w:ilvl w:val="0"/>
          <w:numId w:val="16"/>
        </w:numPr>
        <w:spacing w:before="240" w:after="240" w:line="360" w:lineRule="auto"/>
        <w:jc w:val="both"/>
        <w:rPr>
          <w:rFonts w:ascii="Arial" w:eastAsia="Arial" w:hAnsi="Arial" w:cs="Arial"/>
          <w:sz w:val="22"/>
          <w:szCs w:val="22"/>
        </w:rPr>
      </w:pPr>
      <w:r w:rsidRPr="000F76A8">
        <w:rPr>
          <w:rFonts w:ascii="Arial" w:eastAsia="Arial" w:hAnsi="Arial" w:cs="Arial"/>
          <w:b/>
          <w:bCs/>
          <w:sz w:val="22"/>
          <w:szCs w:val="22"/>
        </w:rPr>
        <w:t>Outcome:</w:t>
      </w:r>
      <w:r w:rsidRPr="000F76A8">
        <w:rPr>
          <w:rFonts w:ascii="Arial" w:eastAsia="Arial" w:hAnsi="Arial" w:cs="Arial"/>
          <w:sz w:val="22"/>
          <w:szCs w:val="22"/>
        </w:rPr>
        <w:t xml:space="preserve"> Lived experiences, facilitators, and barriers.</w:t>
      </w:r>
    </w:p>
    <w:p w14:paraId="1C413817" w14:textId="5045C48D" w:rsidR="00EC338E" w:rsidRPr="000F76A8" w:rsidRDefault="01921175" w:rsidP="00152041">
      <w:pPr>
        <w:spacing w:before="240" w:after="240" w:line="360" w:lineRule="auto"/>
        <w:jc w:val="both"/>
        <w:rPr>
          <w:rFonts w:ascii="Arial" w:eastAsia="Arial" w:hAnsi="Arial" w:cs="Arial"/>
          <w:sz w:val="22"/>
          <w:szCs w:val="22"/>
        </w:rPr>
      </w:pPr>
      <w:r w:rsidRPr="000F76A8">
        <w:rPr>
          <w:rFonts w:ascii="Arial" w:eastAsia="Arial" w:hAnsi="Arial" w:cs="Arial"/>
          <w:sz w:val="22"/>
          <w:szCs w:val="22"/>
        </w:rPr>
        <w:t>The search was restricted to articles published between 2021 and 2026 to reflect the timeframe since Tirzepatide entered clinical trials and the UK market.</w:t>
      </w:r>
    </w:p>
    <w:p w14:paraId="5DCA103C" w14:textId="714DE990" w:rsidR="119141D2" w:rsidRPr="00107D0A" w:rsidRDefault="119141D2" w:rsidP="00FC1D17">
      <w:pPr>
        <w:pStyle w:val="Heading2"/>
        <w:spacing w:line="360" w:lineRule="auto"/>
        <w:rPr>
          <w:rFonts w:ascii="Arial" w:hAnsi="Arial" w:cs="Arial"/>
          <w:b/>
          <w:bCs/>
        </w:rPr>
      </w:pPr>
      <w:bookmarkStart w:id="35" w:name="_Toc230113857"/>
      <w:r w:rsidRPr="00107D0A">
        <w:rPr>
          <w:rFonts w:ascii="Arial" w:hAnsi="Arial" w:cs="Arial"/>
          <w:b/>
          <w:bCs/>
        </w:rPr>
        <w:t>3.4 Search Terms</w:t>
      </w:r>
      <w:bookmarkEnd w:id="35"/>
    </w:p>
    <w:p w14:paraId="79B5B289" w14:textId="259DD5BB" w:rsidR="119141D2" w:rsidRPr="000F76A8" w:rsidRDefault="119141D2" w:rsidP="00152041">
      <w:pPr>
        <w:spacing w:before="240" w:after="240" w:line="360" w:lineRule="auto"/>
        <w:jc w:val="both"/>
        <w:rPr>
          <w:rFonts w:ascii="Arial" w:eastAsia="Arial" w:hAnsi="Arial" w:cs="Arial"/>
          <w:sz w:val="22"/>
          <w:szCs w:val="22"/>
        </w:rPr>
      </w:pPr>
      <w:r w:rsidRPr="000F76A8">
        <w:rPr>
          <w:rFonts w:ascii="Arial" w:eastAsia="Arial" w:hAnsi="Arial" w:cs="Arial"/>
          <w:sz w:val="22"/>
          <w:szCs w:val="22"/>
        </w:rPr>
        <w:t xml:space="preserve">Search terms are the specific words or phrases </w:t>
      </w:r>
      <w:r w:rsidR="00830890" w:rsidRPr="000F76A8">
        <w:rPr>
          <w:rFonts w:ascii="Arial" w:eastAsia="Arial" w:hAnsi="Arial" w:cs="Arial"/>
          <w:sz w:val="22"/>
          <w:szCs w:val="22"/>
        </w:rPr>
        <w:t>entered</w:t>
      </w:r>
      <w:r w:rsidR="00374C9B" w:rsidRPr="000F76A8">
        <w:rPr>
          <w:rFonts w:ascii="Arial" w:eastAsia="Arial" w:hAnsi="Arial" w:cs="Arial"/>
          <w:sz w:val="22"/>
          <w:szCs w:val="22"/>
        </w:rPr>
        <w:t xml:space="preserve"> the </w:t>
      </w:r>
      <w:r w:rsidRPr="000F76A8">
        <w:rPr>
          <w:rFonts w:ascii="Arial" w:eastAsia="Arial" w:hAnsi="Arial" w:cs="Arial"/>
          <w:sz w:val="22"/>
          <w:szCs w:val="22"/>
        </w:rPr>
        <w:t>databases to retrieve literature. They are the building blocks of the research; using them effectively ensures the review captures all relevant nuances of the topic. The use of synonyms (truncation and wildcards) is vital because different authors may use different terminology for the same concept (e.g., patient perspectives vs lived experience).</w:t>
      </w:r>
    </w:p>
    <w:p w14:paraId="65B3AA39" w14:textId="02CBC561" w:rsidR="119141D2" w:rsidRPr="000F76A8" w:rsidRDefault="119141D2" w:rsidP="00152041">
      <w:pPr>
        <w:spacing w:before="240" w:after="240" w:line="360" w:lineRule="auto"/>
        <w:jc w:val="both"/>
        <w:rPr>
          <w:rFonts w:ascii="Arial" w:eastAsia="Arial" w:hAnsi="Arial" w:cs="Arial"/>
          <w:sz w:val="22"/>
          <w:szCs w:val="22"/>
        </w:rPr>
      </w:pPr>
      <w:r w:rsidRPr="000F76A8">
        <w:rPr>
          <w:rFonts w:ascii="Arial" w:eastAsia="Arial" w:hAnsi="Arial" w:cs="Arial"/>
          <w:sz w:val="22"/>
          <w:szCs w:val="22"/>
        </w:rPr>
        <w:t>The PEO framework was used to generate these terms, which were then combined using Boolean operators. "OR" was used to group synonyms (expanding the search), while "AND" was used to join the PEO components (narrowing the search).</w:t>
      </w:r>
    </w:p>
    <w:p w14:paraId="67BF216E" w14:textId="4D49A26F" w:rsidR="0086348C" w:rsidRPr="00107D0A" w:rsidRDefault="00D939FD" w:rsidP="00FC1D17">
      <w:pPr>
        <w:spacing w:before="240" w:after="240" w:line="360" w:lineRule="auto"/>
        <w:rPr>
          <w:rFonts w:ascii="Arial" w:eastAsia="Arial" w:hAnsi="Arial" w:cs="Arial"/>
        </w:rPr>
      </w:pPr>
      <w:r>
        <w:rPr>
          <w:rFonts w:ascii="Arial" w:eastAsia="Arial" w:hAnsi="Arial" w:cs="Arial"/>
          <w:noProof/>
        </w:rPr>
        <w:lastRenderedPageBreak/>
        <mc:AlternateContent>
          <mc:Choice Requires="wpi">
            <w:drawing>
              <wp:anchor distT="0" distB="0" distL="114300" distR="114300" simplePos="0" relativeHeight="251659264" behindDoc="0" locked="0" layoutInCell="1" allowOverlap="1" wp14:anchorId="1CE96800" wp14:editId="1046C6F6">
                <wp:simplePos x="0" y="0"/>
                <wp:positionH relativeFrom="column">
                  <wp:posOffset>389441</wp:posOffset>
                </wp:positionH>
                <wp:positionV relativeFrom="paragraph">
                  <wp:posOffset>1186991</wp:posOffset>
                </wp:positionV>
                <wp:extent cx="360" cy="360"/>
                <wp:effectExtent l="38100" t="38100" r="38100" b="38100"/>
                <wp:wrapNone/>
                <wp:docPr id="1009274016" name="Ink 3"/>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type w14:anchorId="74FC6A2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0.3pt;margin-top:93.1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">
                <v:imagedata r:id="rId21" o:title=""/>
              </v:shape>
            </w:pict>
          </mc:Fallback>
        </mc:AlternateContent>
      </w:r>
    </w:p>
    <w:p w14:paraId="10DDCB8D" w14:textId="1C3E4551" w:rsidR="119141D2" w:rsidRPr="00107D0A" w:rsidRDefault="119141D2" w:rsidP="00FC1D17">
      <w:pPr>
        <w:pStyle w:val="Heading3"/>
        <w:spacing w:line="360" w:lineRule="auto"/>
        <w:rPr>
          <w:rFonts w:ascii="Arial" w:hAnsi="Arial" w:cs="Arial"/>
          <w:b/>
          <w:bCs/>
        </w:rPr>
      </w:pPr>
      <w:bookmarkStart w:id="36" w:name="_Toc230113858"/>
      <w:r w:rsidRPr="00107D0A">
        <w:rPr>
          <w:rFonts w:ascii="Arial" w:hAnsi="Arial" w:cs="Arial"/>
          <w:b/>
          <w:bCs/>
        </w:rPr>
        <w:t>Table 1: PEO Framework and Search Strategy</w:t>
      </w:r>
      <w:bookmarkEnd w:id="36"/>
    </w:p>
    <w:p w14:paraId="1E521584" w14:textId="6255C68E" w:rsidR="119141D2" w:rsidRPr="000F76A8" w:rsidRDefault="119141D2" w:rsidP="00152041">
      <w:pPr>
        <w:spacing w:before="240" w:after="240" w:line="360" w:lineRule="auto"/>
        <w:jc w:val="both"/>
        <w:rPr>
          <w:rFonts w:ascii="Arial" w:eastAsia="Arial" w:hAnsi="Arial" w:cs="Arial"/>
          <w:i/>
          <w:iCs/>
          <w:sz w:val="22"/>
          <w:szCs w:val="22"/>
        </w:rPr>
      </w:pPr>
      <w:r w:rsidRPr="000F76A8">
        <w:rPr>
          <w:rFonts w:ascii="Arial" w:eastAsia="Arial" w:hAnsi="Arial" w:cs="Arial"/>
          <w:b/>
          <w:bCs/>
          <w:sz w:val="22"/>
          <w:szCs w:val="22"/>
        </w:rPr>
        <w:t>Research Question:</w:t>
      </w:r>
      <w:r w:rsidRPr="000F76A8">
        <w:rPr>
          <w:rFonts w:ascii="Arial" w:eastAsia="Arial" w:hAnsi="Arial" w:cs="Arial"/>
          <w:sz w:val="22"/>
          <w:szCs w:val="22"/>
        </w:rPr>
        <w:t xml:space="preserve"> What are the facilitators and barriers experienced by adults in the UK using Tirzepatide for the management of Type 2 Diabetes?</w:t>
      </w:r>
    </w:p>
    <w:tbl>
      <w:tblPr>
        <w:tblW w:w="0" w:type="auto"/>
        <w:tblLook w:val="06A0" w:firstRow="1" w:lastRow="0" w:firstColumn="1" w:lastColumn="0" w:noHBand="1" w:noVBand="1"/>
      </w:tblPr>
      <w:tblGrid>
        <w:gridCol w:w="1780"/>
        <w:gridCol w:w="3948"/>
        <w:gridCol w:w="3282"/>
      </w:tblGrid>
      <w:tr w:rsidR="0048569E" w:rsidRPr="000F76A8" w14:paraId="4AE1C5C6" w14:textId="77777777" w:rsidTr="2ED0DBC8">
        <w:trPr>
          <w:trHeight w:val="300"/>
        </w:trPr>
        <w:tc>
          <w:tcPr>
            <w:tcW w:w="1780"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1AF7CECA" w14:textId="596B129E"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PEO Component</w:t>
            </w:r>
          </w:p>
        </w:tc>
        <w:tc>
          <w:tcPr>
            <w:tcW w:w="3951"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23930053" w14:textId="460CA53A"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Search Terms (Keywords &amp; Synonyms)</w:t>
            </w:r>
          </w:p>
        </w:tc>
        <w:tc>
          <w:tcPr>
            <w:tcW w:w="3284"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tcMar>
            <w:vAlign w:val="center"/>
          </w:tcPr>
          <w:p w14:paraId="170D0591" w14:textId="2E5CCDC5"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Combined Boolean Strategy</w:t>
            </w:r>
          </w:p>
        </w:tc>
      </w:tr>
      <w:tr w:rsidR="0048569E" w:rsidRPr="000F76A8" w14:paraId="4545A2FB" w14:textId="77777777" w:rsidTr="2ED0DBC8">
        <w:trPr>
          <w:trHeight w:val="300"/>
        </w:trPr>
        <w:tc>
          <w:tcPr>
            <w:tcW w:w="178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ABF2F18" w14:textId="57ED525D"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P (Population)</w:t>
            </w:r>
          </w:p>
        </w:tc>
        <w:tc>
          <w:tcPr>
            <w:tcW w:w="3951"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964F9DC" w14:textId="4DEB3901"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"Adults" OR "Patients" OR "Type 2 Diabetes" OR "T2D" OR "Diabetics"</w:t>
            </w:r>
          </w:p>
        </w:tc>
        <w:tc>
          <w:tcPr>
            <w:tcW w:w="328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78271088" w14:textId="37BB495C"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(Adults OR "Type 2 Diabetes" OR T2D)</w:t>
            </w:r>
          </w:p>
        </w:tc>
      </w:tr>
      <w:tr w:rsidR="0048569E" w:rsidRPr="000F76A8" w14:paraId="4C5E4A88" w14:textId="77777777" w:rsidTr="2ED0DBC8">
        <w:trPr>
          <w:trHeight w:val="300"/>
        </w:trPr>
        <w:tc>
          <w:tcPr>
            <w:tcW w:w="178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97B08A4" w14:textId="293450A8"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E (Exposure)</w:t>
            </w:r>
          </w:p>
        </w:tc>
        <w:tc>
          <w:tcPr>
            <w:tcW w:w="3951"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A430248" w14:textId="2EFF1E07"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"Tirzepatide" OR "Mounjaro" OR "GLP-1/GIP" OR "Incretin mimetics"</w:t>
            </w:r>
          </w:p>
        </w:tc>
        <w:tc>
          <w:tcPr>
            <w:tcW w:w="328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AD6821F" w14:textId="5C198E63"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AND (Tirzepatide OR Mounjaro)</w:t>
            </w:r>
          </w:p>
        </w:tc>
      </w:tr>
      <w:tr w:rsidR="0048569E" w:rsidRPr="000F76A8" w14:paraId="19019E21" w14:textId="77777777" w:rsidTr="2ED0DBC8">
        <w:trPr>
          <w:trHeight w:val="300"/>
        </w:trPr>
        <w:tc>
          <w:tcPr>
            <w:tcW w:w="178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E12D7A5" w14:textId="034F3229"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O (Outcome)</w:t>
            </w:r>
          </w:p>
        </w:tc>
        <w:tc>
          <w:tcPr>
            <w:tcW w:w="3951"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903B726" w14:textId="5CE68B9C"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"Lived experience" OR "Qualitative" OR "Barriers" OR "Facilitators" OR "Perspectives" OR "Interviews"</w:t>
            </w:r>
          </w:p>
        </w:tc>
        <w:tc>
          <w:tcPr>
            <w:tcW w:w="328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775911D4" w14:textId="111C8628"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AND (Qualitative OR "Lived experience" OR Barriers OR Facilitators)</w:t>
            </w:r>
          </w:p>
        </w:tc>
      </w:tr>
      <w:tr w:rsidR="0048569E" w:rsidRPr="000F76A8" w14:paraId="226396EF" w14:textId="77777777" w:rsidTr="2ED0DBC8">
        <w:trPr>
          <w:trHeight w:val="300"/>
        </w:trPr>
        <w:tc>
          <w:tcPr>
            <w:tcW w:w="1780"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BF2B9AE" w14:textId="12487994" w:rsidR="2ED0DBC8" w:rsidRPr="000F76A8" w:rsidRDefault="2ED0DBC8" w:rsidP="00FC1D17">
            <w:pPr>
              <w:spacing w:after="0" w:line="360" w:lineRule="auto"/>
              <w:rPr>
                <w:rFonts w:ascii="Arial" w:eastAsia="Arial" w:hAnsi="Arial" w:cs="Arial"/>
                <w:b/>
                <w:bCs/>
                <w:sz w:val="22"/>
                <w:szCs w:val="22"/>
              </w:rPr>
            </w:pPr>
            <w:r w:rsidRPr="000F76A8">
              <w:rPr>
                <w:rFonts w:ascii="Arial" w:eastAsia="Arial" w:hAnsi="Arial" w:cs="Arial"/>
                <w:b/>
                <w:bCs/>
                <w:sz w:val="22"/>
                <w:szCs w:val="22"/>
              </w:rPr>
              <w:t>Setting (UK)</w:t>
            </w:r>
          </w:p>
        </w:tc>
        <w:tc>
          <w:tcPr>
            <w:tcW w:w="3951"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D98CAA9" w14:textId="366515AE"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"United Kingdom" OR "UK" OR "NHS" OR "England" OR "Scotland"</w:t>
            </w:r>
          </w:p>
        </w:tc>
        <w:tc>
          <w:tcPr>
            <w:tcW w:w="328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BC0A6D5" w14:textId="49F8095B" w:rsidR="2ED0DBC8" w:rsidRPr="000F76A8" w:rsidRDefault="2ED0DBC8" w:rsidP="00FC1D17">
            <w:pPr>
              <w:spacing w:after="0" w:line="360" w:lineRule="auto"/>
              <w:rPr>
                <w:rFonts w:ascii="Arial" w:eastAsia="Arial" w:hAnsi="Arial" w:cs="Arial"/>
                <w:sz w:val="22"/>
                <w:szCs w:val="22"/>
              </w:rPr>
            </w:pPr>
            <w:r w:rsidRPr="000F76A8">
              <w:rPr>
                <w:rFonts w:ascii="Arial" w:eastAsia="Arial" w:hAnsi="Arial" w:cs="Arial"/>
                <w:sz w:val="22"/>
                <w:szCs w:val="22"/>
              </w:rPr>
              <w:t>AND ("United Kingdom" OR UK OR NHS)</w:t>
            </w:r>
          </w:p>
        </w:tc>
      </w:tr>
    </w:tbl>
    <w:p w14:paraId="00327812" w14:textId="0269ED56" w:rsidR="57133FBA" w:rsidRPr="00107D0A" w:rsidRDefault="57133FBA" w:rsidP="00FC1D17">
      <w:pPr>
        <w:pStyle w:val="Heading2"/>
        <w:spacing w:line="360" w:lineRule="auto"/>
        <w:rPr>
          <w:rFonts w:ascii="Arial" w:hAnsi="Arial" w:cs="Arial"/>
          <w:b/>
          <w:bCs/>
        </w:rPr>
      </w:pPr>
      <w:bookmarkStart w:id="37" w:name="_Toc230113859"/>
      <w:r w:rsidRPr="00107D0A">
        <w:rPr>
          <w:rFonts w:ascii="Arial" w:hAnsi="Arial" w:cs="Arial"/>
          <w:b/>
          <w:bCs/>
        </w:rPr>
        <w:t>3.5 Key Words</w:t>
      </w:r>
      <w:bookmarkEnd w:id="37"/>
    </w:p>
    <w:p w14:paraId="7BB320C8" w14:textId="40C63608" w:rsidR="57133FBA" w:rsidRPr="00B4278C" w:rsidRDefault="57133FBA" w:rsidP="00884B67">
      <w:pPr>
        <w:spacing w:before="240" w:after="240" w:line="360" w:lineRule="auto"/>
        <w:jc w:val="both"/>
        <w:rPr>
          <w:rFonts w:ascii="Arial" w:eastAsia="Arial" w:hAnsi="Arial" w:cs="Arial"/>
          <w:sz w:val="22"/>
          <w:szCs w:val="22"/>
        </w:rPr>
      </w:pPr>
      <w:r w:rsidRPr="00B4278C">
        <w:rPr>
          <w:rFonts w:ascii="Arial" w:eastAsia="Arial" w:hAnsi="Arial" w:cs="Arial"/>
          <w:sz w:val="22"/>
          <w:szCs w:val="22"/>
        </w:rPr>
        <w:t>Keywords are significant terms that capture the essence of the research topic. They are essential for indexing and retrieving scholarly work efficiently (Aveyard, 2023). For this study, the primary keywords used were: Tirzepatide, Mounjaro, Type 2 Diabetes, Qualitative, Lived Experience, United Kingdom, and Barriers. These terms were selected to ensure the search remained focused on the human experience within the UK healthcare system.</w:t>
      </w:r>
    </w:p>
    <w:p w14:paraId="6BD8A70F" w14:textId="416CFA9C" w:rsidR="57133FBA" w:rsidRPr="00107D0A" w:rsidRDefault="57133FBA" w:rsidP="00FC1D17">
      <w:pPr>
        <w:pStyle w:val="Heading2"/>
        <w:spacing w:line="360" w:lineRule="auto"/>
        <w:rPr>
          <w:rFonts w:ascii="Arial" w:hAnsi="Arial" w:cs="Arial"/>
          <w:b/>
          <w:bCs/>
        </w:rPr>
      </w:pPr>
      <w:bookmarkStart w:id="38" w:name="_Toc230113860"/>
      <w:r w:rsidRPr="00107D0A">
        <w:rPr>
          <w:rFonts w:ascii="Arial" w:hAnsi="Arial" w:cs="Arial"/>
          <w:b/>
          <w:bCs/>
        </w:rPr>
        <w:t>3.6 Databases</w:t>
      </w:r>
      <w:bookmarkEnd w:id="38"/>
    </w:p>
    <w:p w14:paraId="44831DE3" w14:textId="5CD3F615" w:rsidR="00233AFE" w:rsidRPr="00B4278C" w:rsidRDefault="57133FBA" w:rsidP="00884B67">
      <w:pPr>
        <w:spacing w:before="240" w:after="240" w:line="360" w:lineRule="auto"/>
        <w:jc w:val="both"/>
        <w:rPr>
          <w:rFonts w:ascii="Arial" w:eastAsia="Arial" w:hAnsi="Arial" w:cs="Arial"/>
          <w:sz w:val="22"/>
          <w:szCs w:val="22"/>
        </w:rPr>
      </w:pPr>
      <w:r w:rsidRPr="00B4278C">
        <w:rPr>
          <w:rFonts w:ascii="Arial" w:eastAsia="Arial" w:hAnsi="Arial" w:cs="Arial"/>
          <w:sz w:val="22"/>
          <w:szCs w:val="22"/>
        </w:rPr>
        <w:t xml:space="preserve">To achieve a comprehensive search, four major electronic databases were utilised: PubMed, CINAHL, EMBASE, and PsycINFO. Searching multiple databases is necessary because no </w:t>
      </w:r>
      <w:r w:rsidRPr="00B4278C">
        <w:rPr>
          <w:rFonts w:ascii="Arial" w:eastAsia="Arial" w:hAnsi="Arial" w:cs="Arial"/>
          <w:sz w:val="22"/>
          <w:szCs w:val="22"/>
        </w:rPr>
        <w:lastRenderedPageBreak/>
        <w:t xml:space="preserve">single database indexes every journal. Relying on one source risks publication bias and may overlook critical qualitative data published in nursing-specific or psychological journals (Bettany-Saltikov, 2016). Evidence suggests that a multi-database approach increases the recall of a systematic review, ensuring that the final 10 articles represent the full breadth of current UK knowledge (Gough </w:t>
      </w:r>
      <w:r w:rsidRPr="00B4278C">
        <w:rPr>
          <w:rFonts w:ascii="Arial" w:eastAsia="Arial" w:hAnsi="Arial" w:cs="Arial"/>
          <w:i/>
          <w:iCs/>
          <w:sz w:val="22"/>
          <w:szCs w:val="22"/>
        </w:rPr>
        <w:t>et al.</w:t>
      </w:r>
      <w:r w:rsidRPr="00B4278C">
        <w:rPr>
          <w:rFonts w:ascii="Arial" w:eastAsia="Arial" w:hAnsi="Arial" w:cs="Arial"/>
          <w:sz w:val="22"/>
          <w:szCs w:val="22"/>
        </w:rPr>
        <w:t>, 2017).</w:t>
      </w:r>
    </w:p>
    <w:p w14:paraId="55FEE461" w14:textId="7846600A" w:rsidR="70E9BB22" w:rsidRPr="00107D0A" w:rsidRDefault="70E9BB22" w:rsidP="00FC1D17">
      <w:pPr>
        <w:pStyle w:val="Heading2"/>
        <w:spacing w:line="360" w:lineRule="auto"/>
        <w:rPr>
          <w:rFonts w:ascii="Arial" w:hAnsi="Arial" w:cs="Arial"/>
          <w:b/>
          <w:bCs/>
        </w:rPr>
      </w:pPr>
      <w:bookmarkStart w:id="39" w:name="_Toc230113861"/>
      <w:r w:rsidRPr="00107D0A">
        <w:rPr>
          <w:rFonts w:ascii="Arial" w:hAnsi="Arial" w:cs="Arial"/>
          <w:b/>
          <w:bCs/>
        </w:rPr>
        <w:t>3.7 Inclusion/Exclusion Criteria</w:t>
      </w:r>
      <w:bookmarkEnd w:id="39"/>
    </w:p>
    <w:p w14:paraId="7B3E9579" w14:textId="05B75D35" w:rsidR="70E9BB22" w:rsidRPr="00B4278C" w:rsidRDefault="492E35AE" w:rsidP="00884B67">
      <w:pPr>
        <w:spacing w:before="240" w:after="240" w:line="360" w:lineRule="auto"/>
        <w:jc w:val="both"/>
        <w:rPr>
          <w:rFonts w:ascii="Arial" w:eastAsia="Arial" w:hAnsi="Arial" w:cs="Arial"/>
          <w:sz w:val="22"/>
          <w:szCs w:val="22"/>
        </w:rPr>
      </w:pPr>
      <w:r w:rsidRPr="00B4278C">
        <w:rPr>
          <w:rFonts w:ascii="Arial" w:eastAsia="Arial" w:hAnsi="Arial" w:cs="Arial"/>
          <w:sz w:val="22"/>
          <w:szCs w:val="22"/>
        </w:rPr>
        <w:t>Inclusion and exclusion criteria are the boundaries set by the researcher to determine which studies are eligible for the review. They are critical for ensuring the validity and reliability of the synthesis by preventing scope creep (Meline, 2006).</w:t>
      </w:r>
    </w:p>
    <w:p w14:paraId="06E36B9B" w14:textId="7ADB34E5" w:rsidR="49FBEB41" w:rsidRPr="00107D0A" w:rsidRDefault="49FBEB41" w:rsidP="00FC1D17">
      <w:pPr>
        <w:spacing w:before="240" w:after="240" w:line="360" w:lineRule="auto"/>
        <w:rPr>
          <w:rFonts w:ascii="Arial" w:eastAsia="Arial" w:hAnsi="Arial" w:cs="Arial"/>
        </w:rPr>
      </w:pPr>
      <w:r w:rsidRPr="00107D0A">
        <w:rPr>
          <w:rFonts w:ascii="Arial" w:hAnsi="Arial" w:cs="Arial"/>
          <w:noProof/>
        </w:rPr>
        <w:drawing>
          <wp:inline distT="0" distB="0" distL="0" distR="0" wp14:anchorId="76F8ACA3" wp14:editId="0B010A29">
            <wp:extent cx="5200650" cy="4914900"/>
            <wp:effectExtent l="0" t="0" r="0" b="0"/>
            <wp:docPr id="15479216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921671" name="Picture 1547921671"/>
                    <pic:cNvPicPr/>
                  </pic:nvPicPr>
                  <pic:blipFill>
                    <a:blip r:embed="rId22">
                      <a:extLst>
                        <a:ext uri="{28A0092B-C50C-407E-A947-70E740481C1C}">
                          <a14:useLocalDpi xmlns:a14="http://schemas.microsoft.com/office/drawing/2010/main"/>
                        </a:ext>
                      </a:extLst>
                    </a:blip>
                    <a:stretch>
                      <a:fillRect/>
                    </a:stretch>
                  </pic:blipFill>
                  <pic:spPr>
                    <a:xfrm>
                      <a:off x="0" y="0"/>
                      <a:ext cx="5200650" cy="4914900"/>
                    </a:xfrm>
                    <a:prstGeom prst="rect">
                      <a:avLst/>
                    </a:prstGeom>
                  </pic:spPr>
                </pic:pic>
              </a:graphicData>
            </a:graphic>
          </wp:inline>
        </w:drawing>
      </w:r>
    </w:p>
    <w:p w14:paraId="50D2F4BE" w14:textId="08174E44" w:rsidR="000B45A2" w:rsidRPr="0046359A" w:rsidRDefault="000B45A2" w:rsidP="0046359A">
      <w:pPr>
        <w:pStyle w:val="Heading3"/>
        <w:rPr>
          <w:b/>
          <w:bCs/>
        </w:rPr>
      </w:pPr>
      <w:bookmarkStart w:id="40" w:name="_Toc230113862"/>
      <w:r w:rsidRPr="0046359A">
        <w:rPr>
          <w:b/>
          <w:bCs/>
        </w:rPr>
        <w:lastRenderedPageBreak/>
        <w:t xml:space="preserve">Figure </w:t>
      </w:r>
      <w:r w:rsidR="0046359A" w:rsidRPr="0046359A">
        <w:rPr>
          <w:b/>
          <w:bCs/>
        </w:rPr>
        <w:t>5</w:t>
      </w:r>
      <w:bookmarkEnd w:id="40"/>
    </w:p>
    <w:p w14:paraId="6C68BD5F" w14:textId="3C9F92E3" w:rsidR="04C432C1" w:rsidRPr="00107D0A" w:rsidRDefault="04C432C1" w:rsidP="00FC1D17">
      <w:pPr>
        <w:pStyle w:val="Heading3"/>
        <w:spacing w:line="360" w:lineRule="auto"/>
        <w:rPr>
          <w:rFonts w:ascii="Arial" w:hAnsi="Arial" w:cs="Arial"/>
          <w:b/>
          <w:bCs/>
        </w:rPr>
      </w:pPr>
      <w:bookmarkStart w:id="41" w:name="_Toc230113863"/>
      <w:r w:rsidRPr="00107D0A">
        <w:rPr>
          <w:rFonts w:ascii="Arial" w:hAnsi="Arial" w:cs="Arial"/>
          <w:b/>
          <w:bCs/>
        </w:rPr>
        <w:t>3.7.1 Inclusion Criteria</w:t>
      </w:r>
      <w:bookmarkEnd w:id="41"/>
    </w:p>
    <w:p w14:paraId="112694C9" w14:textId="348E08C3" w:rsidR="04C432C1" w:rsidRPr="00B4278C" w:rsidRDefault="04C432C1"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Studies focused on adults (18+)</w:t>
      </w:r>
      <w:r w:rsidRPr="00B4278C">
        <w:rPr>
          <w:rFonts w:ascii="Arial" w:eastAsia="Arial" w:hAnsi="Arial" w:cs="Arial"/>
          <w:sz w:val="22"/>
          <w:szCs w:val="22"/>
        </w:rPr>
        <w:t xml:space="preserve"> with a confirmed diagnosis of Type 2 Diabetes.</w:t>
      </w:r>
    </w:p>
    <w:p w14:paraId="1482D364" w14:textId="441416A4" w:rsidR="04C432C1" w:rsidRPr="00B4278C" w:rsidRDefault="04C432C1"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Primary qualitative research</w:t>
      </w:r>
      <w:r w:rsidRPr="00B4278C">
        <w:rPr>
          <w:rFonts w:ascii="Arial" w:eastAsia="Arial" w:hAnsi="Arial" w:cs="Arial"/>
          <w:sz w:val="22"/>
          <w:szCs w:val="22"/>
        </w:rPr>
        <w:t xml:space="preserve"> (interviews, focus groups, etc.).</w:t>
      </w:r>
    </w:p>
    <w:p w14:paraId="135106EF" w14:textId="4F018937" w:rsidR="04C432C1" w:rsidRPr="00B4278C" w:rsidRDefault="04C432C1"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Setting:</w:t>
      </w:r>
      <w:r w:rsidRPr="00B4278C">
        <w:rPr>
          <w:rFonts w:ascii="Arial" w:eastAsia="Arial" w:hAnsi="Arial" w:cs="Arial"/>
          <w:sz w:val="22"/>
          <w:szCs w:val="22"/>
        </w:rPr>
        <w:t xml:space="preserve"> United Kingdom (NHS or private care).</w:t>
      </w:r>
    </w:p>
    <w:p w14:paraId="68CAD0CC" w14:textId="24A8C21F" w:rsidR="04C432C1" w:rsidRPr="00B4278C" w:rsidRDefault="04C432C1"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Intervention:</w:t>
      </w:r>
      <w:r w:rsidRPr="00B4278C">
        <w:rPr>
          <w:rFonts w:ascii="Arial" w:eastAsia="Arial" w:hAnsi="Arial" w:cs="Arial"/>
          <w:sz w:val="22"/>
          <w:szCs w:val="22"/>
        </w:rPr>
        <w:t xml:space="preserve"> Tirzepatide (Mounjaro) use.</w:t>
      </w:r>
    </w:p>
    <w:p w14:paraId="0DF2E078" w14:textId="233853CB" w:rsidR="04C432C1" w:rsidRPr="00B4278C" w:rsidRDefault="04C432C1"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Date:</w:t>
      </w:r>
      <w:r w:rsidRPr="00B4278C">
        <w:rPr>
          <w:rFonts w:ascii="Arial" w:eastAsia="Arial" w:hAnsi="Arial" w:cs="Arial"/>
          <w:sz w:val="22"/>
          <w:szCs w:val="22"/>
        </w:rPr>
        <w:t xml:space="preserve"> 2021–2026.</w:t>
      </w:r>
    </w:p>
    <w:p w14:paraId="51EB6CDA" w14:textId="3D285F7A" w:rsidR="1AE78CA7" w:rsidRPr="005B2ADA" w:rsidRDefault="67FB3C14" w:rsidP="00884B67">
      <w:pPr>
        <w:pStyle w:val="ListParagraph"/>
        <w:numPr>
          <w:ilvl w:val="0"/>
          <w:numId w:val="15"/>
        </w:numPr>
        <w:spacing w:before="240" w:after="240" w:line="360" w:lineRule="auto"/>
        <w:jc w:val="both"/>
        <w:rPr>
          <w:rFonts w:ascii="Arial" w:eastAsia="Arial" w:hAnsi="Arial" w:cs="Arial"/>
          <w:sz w:val="22"/>
          <w:szCs w:val="22"/>
        </w:rPr>
      </w:pPr>
      <w:r w:rsidRPr="00B4278C">
        <w:rPr>
          <w:rFonts w:ascii="Arial" w:eastAsia="Arial" w:hAnsi="Arial" w:cs="Arial"/>
          <w:b/>
          <w:bCs/>
          <w:sz w:val="22"/>
          <w:szCs w:val="22"/>
        </w:rPr>
        <w:t>Language:</w:t>
      </w:r>
      <w:r w:rsidRPr="00B4278C">
        <w:rPr>
          <w:rFonts w:ascii="Arial" w:eastAsia="Arial" w:hAnsi="Arial" w:cs="Arial"/>
          <w:sz w:val="22"/>
          <w:szCs w:val="22"/>
        </w:rPr>
        <w:t xml:space="preserve"> English.</w:t>
      </w:r>
    </w:p>
    <w:p w14:paraId="2DD35C6E" w14:textId="38EBC5A0" w:rsidR="04C432C1" w:rsidRPr="00107D0A" w:rsidRDefault="04C432C1" w:rsidP="00FC1D17">
      <w:pPr>
        <w:pStyle w:val="Heading3"/>
        <w:spacing w:line="360" w:lineRule="auto"/>
        <w:rPr>
          <w:rFonts w:ascii="Arial" w:hAnsi="Arial" w:cs="Arial"/>
          <w:b/>
          <w:bCs/>
        </w:rPr>
      </w:pPr>
      <w:bookmarkStart w:id="42" w:name="_Toc230113864"/>
      <w:r w:rsidRPr="00107D0A">
        <w:rPr>
          <w:rFonts w:ascii="Arial" w:hAnsi="Arial" w:cs="Arial"/>
          <w:b/>
          <w:bCs/>
        </w:rPr>
        <w:t>3.7.2 Exclusion Criteria</w:t>
      </w:r>
      <w:bookmarkEnd w:id="42"/>
    </w:p>
    <w:p w14:paraId="5BAC6054" w14:textId="1E545A3E" w:rsidR="04C432C1" w:rsidRPr="003D5AA5" w:rsidRDefault="04C432C1" w:rsidP="00884B67">
      <w:pPr>
        <w:pStyle w:val="ListParagraph"/>
        <w:numPr>
          <w:ilvl w:val="0"/>
          <w:numId w:val="14"/>
        </w:numPr>
        <w:spacing w:before="240" w:after="240" w:line="360" w:lineRule="auto"/>
        <w:jc w:val="both"/>
        <w:rPr>
          <w:rFonts w:ascii="Arial" w:eastAsia="Arial" w:hAnsi="Arial" w:cs="Arial"/>
          <w:sz w:val="22"/>
          <w:szCs w:val="22"/>
        </w:rPr>
      </w:pPr>
      <w:r w:rsidRPr="003D5AA5">
        <w:rPr>
          <w:rFonts w:ascii="Arial" w:eastAsia="Arial" w:hAnsi="Arial" w:cs="Arial"/>
          <w:b/>
          <w:bCs/>
          <w:sz w:val="22"/>
          <w:szCs w:val="22"/>
        </w:rPr>
        <w:t>Quantitative-only studies</w:t>
      </w:r>
      <w:r w:rsidRPr="003D5AA5">
        <w:rPr>
          <w:rFonts w:ascii="Arial" w:eastAsia="Arial" w:hAnsi="Arial" w:cs="Arial"/>
          <w:sz w:val="22"/>
          <w:szCs w:val="22"/>
        </w:rPr>
        <w:t xml:space="preserve"> (e.g., RCTs focusing solely on HbA1c levels).</w:t>
      </w:r>
    </w:p>
    <w:p w14:paraId="71424AB3" w14:textId="0F2A02B4" w:rsidR="04C432C1" w:rsidRPr="003D5AA5" w:rsidRDefault="04C432C1" w:rsidP="00884B67">
      <w:pPr>
        <w:pStyle w:val="ListParagraph"/>
        <w:numPr>
          <w:ilvl w:val="0"/>
          <w:numId w:val="14"/>
        </w:numPr>
        <w:spacing w:before="240" w:after="240" w:line="360" w:lineRule="auto"/>
        <w:jc w:val="both"/>
        <w:rPr>
          <w:rFonts w:ascii="Arial" w:eastAsia="Arial" w:hAnsi="Arial" w:cs="Arial"/>
          <w:sz w:val="22"/>
          <w:szCs w:val="22"/>
        </w:rPr>
      </w:pPr>
      <w:r w:rsidRPr="003D5AA5">
        <w:rPr>
          <w:rFonts w:ascii="Arial" w:eastAsia="Arial" w:hAnsi="Arial" w:cs="Arial"/>
          <w:b/>
          <w:bCs/>
          <w:sz w:val="22"/>
          <w:szCs w:val="22"/>
        </w:rPr>
        <w:t>Non-UK studies</w:t>
      </w:r>
      <w:r w:rsidRPr="003D5AA5">
        <w:rPr>
          <w:rFonts w:ascii="Arial" w:eastAsia="Arial" w:hAnsi="Arial" w:cs="Arial"/>
          <w:sz w:val="22"/>
          <w:szCs w:val="22"/>
        </w:rPr>
        <w:t xml:space="preserve"> (due to differences in healthcare delivery).</w:t>
      </w:r>
    </w:p>
    <w:p w14:paraId="7A616019" w14:textId="0FD5C710" w:rsidR="04C432C1" w:rsidRPr="003D5AA5" w:rsidRDefault="04C432C1" w:rsidP="00884B67">
      <w:pPr>
        <w:pStyle w:val="ListParagraph"/>
        <w:numPr>
          <w:ilvl w:val="0"/>
          <w:numId w:val="14"/>
        </w:numPr>
        <w:spacing w:before="240" w:after="240" w:line="360" w:lineRule="auto"/>
        <w:jc w:val="both"/>
        <w:rPr>
          <w:rFonts w:ascii="Arial" w:eastAsia="Arial" w:hAnsi="Arial" w:cs="Arial"/>
          <w:sz w:val="22"/>
          <w:szCs w:val="22"/>
        </w:rPr>
      </w:pPr>
      <w:r w:rsidRPr="003D5AA5">
        <w:rPr>
          <w:rFonts w:ascii="Arial" w:eastAsia="Arial" w:hAnsi="Arial" w:cs="Arial"/>
          <w:b/>
          <w:bCs/>
          <w:sz w:val="22"/>
          <w:szCs w:val="22"/>
        </w:rPr>
        <w:t>Focus on Obesity only</w:t>
      </w:r>
      <w:r w:rsidRPr="003D5AA5">
        <w:rPr>
          <w:rFonts w:ascii="Arial" w:eastAsia="Arial" w:hAnsi="Arial" w:cs="Arial"/>
          <w:sz w:val="22"/>
          <w:szCs w:val="22"/>
        </w:rPr>
        <w:t xml:space="preserve"> (participants without a T2D diagnosis).</w:t>
      </w:r>
    </w:p>
    <w:p w14:paraId="322A039A" w14:textId="73D2BEAC" w:rsidR="1AE78CA7" w:rsidRPr="003D5AA5" w:rsidRDefault="67FB3C14" w:rsidP="00884B67">
      <w:pPr>
        <w:pStyle w:val="ListParagraph"/>
        <w:numPr>
          <w:ilvl w:val="0"/>
          <w:numId w:val="14"/>
        </w:numPr>
        <w:spacing w:before="240" w:after="240" w:line="360" w:lineRule="auto"/>
        <w:jc w:val="both"/>
        <w:rPr>
          <w:rFonts w:ascii="Arial" w:eastAsia="Arial" w:hAnsi="Arial" w:cs="Arial"/>
          <w:sz w:val="22"/>
          <w:szCs w:val="22"/>
        </w:rPr>
      </w:pPr>
      <w:r w:rsidRPr="003D5AA5">
        <w:rPr>
          <w:rFonts w:ascii="Arial" w:eastAsia="Arial" w:hAnsi="Arial" w:cs="Arial"/>
          <w:b/>
          <w:bCs/>
          <w:sz w:val="22"/>
          <w:szCs w:val="22"/>
        </w:rPr>
        <w:t>Grey literature</w:t>
      </w:r>
      <w:r w:rsidRPr="003D5AA5">
        <w:rPr>
          <w:rFonts w:ascii="Arial" w:eastAsia="Arial" w:hAnsi="Arial" w:cs="Arial"/>
          <w:sz w:val="22"/>
          <w:szCs w:val="22"/>
        </w:rPr>
        <w:t xml:space="preserve"> that lacks methodological transparency (e.g., unverified social media posts).</w:t>
      </w:r>
    </w:p>
    <w:p w14:paraId="7CCCF9B0" w14:textId="283F3EDF" w:rsidR="04C432C1" w:rsidRPr="00107D0A" w:rsidRDefault="04C432C1" w:rsidP="00FC1D17">
      <w:pPr>
        <w:pStyle w:val="Heading2"/>
        <w:spacing w:line="360" w:lineRule="auto"/>
        <w:rPr>
          <w:rFonts w:ascii="Arial" w:hAnsi="Arial" w:cs="Arial"/>
          <w:b/>
          <w:bCs/>
        </w:rPr>
      </w:pPr>
      <w:bookmarkStart w:id="43" w:name="_Toc230113865"/>
      <w:r w:rsidRPr="00107D0A">
        <w:rPr>
          <w:rFonts w:ascii="Arial" w:hAnsi="Arial" w:cs="Arial"/>
          <w:b/>
          <w:bCs/>
        </w:rPr>
        <w:t>3.8 Search Results</w:t>
      </w:r>
      <w:bookmarkEnd w:id="43"/>
    </w:p>
    <w:p w14:paraId="0EB29284" w14:textId="466A4DC5" w:rsidR="04C432C1" w:rsidRPr="003D5AA5" w:rsidRDefault="04C432C1" w:rsidP="00884B67">
      <w:pPr>
        <w:spacing w:after="240" w:line="360" w:lineRule="auto"/>
        <w:jc w:val="both"/>
        <w:rPr>
          <w:rFonts w:ascii="Arial" w:eastAsia="Arial" w:hAnsi="Arial" w:cs="Arial"/>
          <w:sz w:val="22"/>
          <w:szCs w:val="22"/>
        </w:rPr>
      </w:pPr>
      <w:r w:rsidRPr="003D5AA5">
        <w:rPr>
          <w:rFonts w:ascii="Arial" w:eastAsia="Arial" w:hAnsi="Arial" w:cs="Arial"/>
          <w:sz w:val="22"/>
          <w:szCs w:val="22"/>
        </w:rPr>
        <w:t xml:space="preserve">The initial database search yielded </w:t>
      </w:r>
      <w:r w:rsidRPr="00884B67">
        <w:rPr>
          <w:rFonts w:ascii="Arial" w:eastAsia="Arial" w:hAnsi="Arial" w:cs="Arial"/>
          <w:sz w:val="22"/>
          <w:szCs w:val="22"/>
        </w:rPr>
        <w:t>156 records</w:t>
      </w:r>
      <w:r w:rsidRPr="003D5AA5">
        <w:rPr>
          <w:rFonts w:ascii="Arial" w:eastAsia="Arial" w:hAnsi="Arial" w:cs="Arial"/>
          <w:sz w:val="22"/>
          <w:szCs w:val="22"/>
        </w:rPr>
        <w:t>. To reach the final selection of 10 articles, a multi-stage elimination process was conducted. First, 25 duplicates were removed. The remaining 131 titles and abstracts were screened against the inclusion criteria, leading to the exclusion of 98 records that were either quantitative or focused on other medications.</w:t>
      </w:r>
    </w:p>
    <w:p w14:paraId="6FCF5949" w14:textId="3833F455" w:rsidR="04C432C1" w:rsidRPr="003D5AA5" w:rsidRDefault="04C432C1" w:rsidP="00884B67">
      <w:pPr>
        <w:spacing w:after="240" w:line="360" w:lineRule="auto"/>
        <w:jc w:val="both"/>
        <w:rPr>
          <w:rFonts w:ascii="Arial" w:eastAsia="Arial" w:hAnsi="Arial" w:cs="Arial"/>
          <w:sz w:val="22"/>
          <w:szCs w:val="22"/>
        </w:rPr>
      </w:pPr>
      <w:r w:rsidRPr="003D5AA5">
        <w:rPr>
          <w:rFonts w:ascii="Arial" w:eastAsia="Arial" w:hAnsi="Arial" w:cs="Arial"/>
          <w:sz w:val="22"/>
          <w:szCs w:val="22"/>
        </w:rPr>
        <w:t xml:space="preserve">Full-text reviews were conducted on 33 articles. 23 were excluded at this stage—primarily because they were not UK-based (n=12) or lacked primary qualitative data (n=11). This left </w:t>
      </w:r>
      <w:r w:rsidRPr="00884B67">
        <w:rPr>
          <w:rFonts w:ascii="Arial" w:eastAsia="Arial" w:hAnsi="Arial" w:cs="Arial"/>
          <w:sz w:val="22"/>
          <w:szCs w:val="22"/>
        </w:rPr>
        <w:t>10</w:t>
      </w:r>
      <w:r w:rsidRPr="003D5AA5">
        <w:rPr>
          <w:rFonts w:ascii="Arial" w:eastAsia="Arial" w:hAnsi="Arial" w:cs="Arial"/>
          <w:b/>
          <w:bCs/>
          <w:sz w:val="22"/>
          <w:szCs w:val="22"/>
        </w:rPr>
        <w:t xml:space="preserve"> </w:t>
      </w:r>
      <w:r w:rsidRPr="00884B67">
        <w:rPr>
          <w:rFonts w:ascii="Arial" w:eastAsia="Arial" w:hAnsi="Arial" w:cs="Arial"/>
          <w:sz w:val="22"/>
          <w:szCs w:val="22"/>
        </w:rPr>
        <w:t>high-quality articles</w:t>
      </w:r>
      <w:r w:rsidRPr="003D5AA5">
        <w:rPr>
          <w:rFonts w:ascii="Arial" w:eastAsia="Arial" w:hAnsi="Arial" w:cs="Arial"/>
          <w:sz w:val="22"/>
          <w:szCs w:val="22"/>
        </w:rPr>
        <w:t xml:space="preserve"> for synthesis. This process is visually documented in the PRISMA flow chart below.</w:t>
      </w:r>
    </w:p>
    <w:p w14:paraId="13E6C5FD" w14:textId="078D5506" w:rsidR="5DD3BBA7" w:rsidRPr="00AC32AB" w:rsidRDefault="438697D6" w:rsidP="00AC32AB">
      <w:pPr>
        <w:pStyle w:val="Heading2"/>
        <w:rPr>
          <w:b/>
          <w:bCs/>
        </w:rPr>
      </w:pPr>
      <w:bookmarkStart w:id="44" w:name="_Toc230113866"/>
      <w:r w:rsidRPr="00AC32AB">
        <w:rPr>
          <w:b/>
          <w:bCs/>
        </w:rPr>
        <w:t>PRISMA Flow Diagram: Tirzepatide Lived Experiences (UK)</w:t>
      </w:r>
      <w:bookmarkEnd w:id="44"/>
    </w:p>
    <w:p w14:paraId="48AD2A46" w14:textId="075B30A3" w:rsidR="5DD3BBA7" w:rsidRPr="00107D0A" w:rsidRDefault="5DD3BBA7" w:rsidP="00FC1D17">
      <w:pPr>
        <w:pStyle w:val="Heading3"/>
        <w:spacing w:line="360" w:lineRule="auto"/>
        <w:rPr>
          <w:rFonts w:ascii="Arial" w:hAnsi="Arial" w:cs="Arial"/>
          <w:b/>
          <w:bCs/>
        </w:rPr>
      </w:pPr>
      <w:bookmarkStart w:id="45" w:name="_Toc230113867"/>
      <w:r w:rsidRPr="00107D0A">
        <w:rPr>
          <w:rFonts w:ascii="Arial" w:hAnsi="Arial" w:cs="Arial"/>
          <w:b/>
          <w:bCs/>
        </w:rPr>
        <w:t>1. Identification</w:t>
      </w:r>
      <w:bookmarkEnd w:id="45"/>
    </w:p>
    <w:p w14:paraId="70E0C672" w14:textId="5AB775C6" w:rsidR="5DD3BBA7" w:rsidRPr="0046310F" w:rsidRDefault="5DD3BBA7" w:rsidP="00884B67">
      <w:pPr>
        <w:pStyle w:val="ListParagraph"/>
        <w:numPr>
          <w:ilvl w:val="0"/>
          <w:numId w:val="10"/>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Records identified through database searching:</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=152</w:t>
      </w:r>
    </w:p>
    <w:p w14:paraId="00F24CD6" w14:textId="3EEA940C" w:rsidR="5DD3BBA7" w:rsidRPr="0046310F" w:rsidRDefault="5DD3BBA7" w:rsidP="00884B67">
      <w:pPr>
        <w:pStyle w:val="ListParagraph"/>
        <w:numPr>
          <w:ilvl w:val="0"/>
          <w:numId w:val="10"/>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Additional records identified through other sources (e.g., grey literature):</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=4</w:t>
      </w:r>
    </w:p>
    <w:p w14:paraId="31C112C8" w14:textId="0E00A363" w:rsidR="5DD3BBA7" w:rsidRPr="0046310F" w:rsidRDefault="5DD3BBA7" w:rsidP="00884B67">
      <w:pPr>
        <w:pStyle w:val="ListParagraph"/>
        <w:numPr>
          <w:ilvl w:val="0"/>
          <w:numId w:val="10"/>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Total Records:</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=156</w:t>
      </w:r>
    </w:p>
    <w:p w14:paraId="12337CD1" w14:textId="137E4141" w:rsidR="5DD3BBA7" w:rsidRPr="00107D0A" w:rsidRDefault="5DD3BBA7" w:rsidP="00FC1D17">
      <w:pPr>
        <w:pStyle w:val="Heading3"/>
        <w:spacing w:line="360" w:lineRule="auto"/>
        <w:rPr>
          <w:rFonts w:ascii="Arial" w:hAnsi="Arial" w:cs="Arial"/>
          <w:b/>
          <w:bCs/>
        </w:rPr>
      </w:pPr>
      <w:bookmarkStart w:id="46" w:name="_Toc230113868"/>
      <w:r w:rsidRPr="00107D0A">
        <w:rPr>
          <w:rFonts w:ascii="Arial" w:hAnsi="Arial" w:cs="Arial"/>
          <w:b/>
          <w:bCs/>
        </w:rPr>
        <w:lastRenderedPageBreak/>
        <w:t>2. Screening</w:t>
      </w:r>
      <w:bookmarkEnd w:id="46"/>
    </w:p>
    <w:p w14:paraId="7A8CE58A" w14:textId="759B0571" w:rsidR="5DD3BBA7" w:rsidRPr="0046310F" w:rsidRDefault="5DD3BBA7" w:rsidP="00C50DB2">
      <w:pPr>
        <w:pStyle w:val="ListParagraph"/>
        <w:numPr>
          <w:ilvl w:val="0"/>
          <w:numId w:val="9"/>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Records after duplicates removed:</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=131 (25 duplicates removed)</w:t>
      </w:r>
    </w:p>
    <w:p w14:paraId="0A29A422" w14:textId="72B32CFF" w:rsidR="5DD3BBA7" w:rsidRPr="0046310F" w:rsidRDefault="5DD3BBA7" w:rsidP="00C50DB2">
      <w:pPr>
        <w:pStyle w:val="ListParagraph"/>
        <w:numPr>
          <w:ilvl w:val="0"/>
          <w:numId w:val="9"/>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Records screened (Title and Abstract):</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=131</w:t>
      </w:r>
    </w:p>
    <w:p w14:paraId="775F9E31" w14:textId="5A846EE7" w:rsidR="5DD3BBA7" w:rsidRPr="0046310F" w:rsidRDefault="5DD3BBA7" w:rsidP="00C50DB2">
      <w:pPr>
        <w:pStyle w:val="ListParagraph"/>
        <w:numPr>
          <w:ilvl w:val="0"/>
          <w:numId w:val="9"/>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Records excluded:</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=98</w:t>
      </w:r>
    </w:p>
    <w:p w14:paraId="53EB3266" w14:textId="194FD897" w:rsidR="5DD3BBA7" w:rsidRPr="0046310F" w:rsidRDefault="5DD3BBA7" w:rsidP="00C50DB2">
      <w:pPr>
        <w:pStyle w:val="ListParagraph"/>
        <w:numPr>
          <w:ilvl w:val="1"/>
          <w:numId w:val="9"/>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i/>
          <w:iCs/>
          <w:sz w:val="22"/>
          <w:szCs w:val="22"/>
        </w:rPr>
        <w:t>Reasons for exclusion:</w:t>
      </w:r>
      <w:r w:rsidRPr="0046310F">
        <w:rPr>
          <w:rFonts w:ascii="Arial" w:eastAsia="Arial" w:hAnsi="Arial" w:cs="Arial"/>
          <w:sz w:val="22"/>
          <w:szCs w:val="22"/>
        </w:rPr>
        <w:t xml:space="preserve"> Not focused on Tirzepatide (</w:t>
      </w:r>
      <w:r w:rsidRPr="0046310F">
        <w:rPr>
          <w:rFonts w:ascii="Arial" w:eastAsia="Arial" w:hAnsi="Arial" w:cs="Arial"/>
          <w:i/>
          <w:iCs/>
          <w:sz w:val="22"/>
          <w:szCs w:val="22"/>
        </w:rPr>
        <w:t>n</w:t>
      </w:r>
      <w:r w:rsidRPr="0046310F">
        <w:rPr>
          <w:rFonts w:ascii="Arial" w:eastAsia="Arial" w:hAnsi="Arial" w:cs="Arial"/>
          <w:sz w:val="22"/>
          <w:szCs w:val="22"/>
        </w:rPr>
        <w:t>=40), quantitative/clinical trial data only (</w:t>
      </w:r>
      <w:r w:rsidRPr="0046310F">
        <w:rPr>
          <w:rFonts w:ascii="Arial" w:eastAsia="Arial" w:hAnsi="Arial" w:cs="Arial"/>
          <w:i/>
          <w:iCs/>
          <w:sz w:val="22"/>
          <w:szCs w:val="22"/>
        </w:rPr>
        <w:t>n</w:t>
      </w:r>
      <w:r w:rsidRPr="0046310F">
        <w:rPr>
          <w:rFonts w:ascii="Arial" w:eastAsia="Arial" w:hAnsi="Arial" w:cs="Arial"/>
          <w:sz w:val="22"/>
          <w:szCs w:val="22"/>
        </w:rPr>
        <w:t>=35), non-human studies (</w:t>
      </w:r>
      <w:r w:rsidRPr="0046310F">
        <w:rPr>
          <w:rFonts w:ascii="Arial" w:eastAsia="Arial" w:hAnsi="Arial" w:cs="Arial"/>
          <w:i/>
          <w:iCs/>
          <w:sz w:val="22"/>
          <w:szCs w:val="22"/>
        </w:rPr>
        <w:t>n</w:t>
      </w:r>
      <w:r w:rsidRPr="0046310F">
        <w:rPr>
          <w:rFonts w:ascii="Arial" w:eastAsia="Arial" w:hAnsi="Arial" w:cs="Arial"/>
          <w:sz w:val="22"/>
          <w:szCs w:val="22"/>
        </w:rPr>
        <w:t>=10), not focused on Type 2 Diabetes (</w:t>
      </w:r>
      <w:r w:rsidRPr="0046310F">
        <w:rPr>
          <w:rFonts w:ascii="Arial" w:eastAsia="Arial" w:hAnsi="Arial" w:cs="Arial"/>
          <w:i/>
          <w:iCs/>
          <w:sz w:val="22"/>
          <w:szCs w:val="22"/>
        </w:rPr>
        <w:t>n</w:t>
      </w:r>
      <w:r w:rsidRPr="0046310F">
        <w:rPr>
          <w:rFonts w:ascii="Arial" w:eastAsia="Arial" w:hAnsi="Arial" w:cs="Arial"/>
          <w:sz w:val="22"/>
          <w:szCs w:val="22"/>
        </w:rPr>
        <w:t>=13).</w:t>
      </w:r>
    </w:p>
    <w:p w14:paraId="10D6CF8A" w14:textId="3D815C0D" w:rsidR="5DD3BBA7" w:rsidRPr="00107D0A" w:rsidRDefault="5DD3BBA7" w:rsidP="00FC1D17">
      <w:pPr>
        <w:pStyle w:val="Heading3"/>
        <w:spacing w:line="360" w:lineRule="auto"/>
        <w:rPr>
          <w:rFonts w:ascii="Arial" w:hAnsi="Arial" w:cs="Arial"/>
          <w:b/>
          <w:bCs/>
        </w:rPr>
      </w:pPr>
      <w:bookmarkStart w:id="47" w:name="_Toc230113869"/>
      <w:r w:rsidRPr="00107D0A">
        <w:rPr>
          <w:rFonts w:ascii="Arial" w:hAnsi="Arial" w:cs="Arial"/>
          <w:b/>
          <w:bCs/>
        </w:rPr>
        <w:t>3. Eligibility</w:t>
      </w:r>
      <w:bookmarkEnd w:id="47"/>
    </w:p>
    <w:p w14:paraId="1266E752" w14:textId="59019BE0" w:rsidR="5DD3BBA7" w:rsidRPr="0046310F" w:rsidRDefault="5DD3BBA7" w:rsidP="00C50DB2">
      <w:pPr>
        <w:pStyle w:val="ListParagraph"/>
        <w:numPr>
          <w:ilvl w:val="0"/>
          <w:numId w:val="8"/>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Full-text articles assessed for eligibility:</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=33</w:t>
      </w:r>
    </w:p>
    <w:p w14:paraId="067CC424" w14:textId="6997B147" w:rsidR="5DD3BBA7" w:rsidRPr="0046310F" w:rsidRDefault="5DD3BBA7" w:rsidP="00C50DB2">
      <w:pPr>
        <w:pStyle w:val="ListParagraph"/>
        <w:numPr>
          <w:ilvl w:val="0"/>
          <w:numId w:val="8"/>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Full-text articles excluded, with reasons:</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=23</w:t>
      </w:r>
    </w:p>
    <w:p w14:paraId="62DA8427" w14:textId="43351A68" w:rsidR="5DD3BBA7" w:rsidRPr="0046310F" w:rsidRDefault="5DD3BBA7" w:rsidP="00C50DB2">
      <w:pPr>
        <w:pStyle w:val="ListParagraph"/>
        <w:numPr>
          <w:ilvl w:val="1"/>
          <w:numId w:val="8"/>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Not UK-based:</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=12 (Studies from US/Europe/Australia with different healthcare systems).</w:t>
      </w:r>
    </w:p>
    <w:p w14:paraId="6D743A07" w14:textId="6857B0B2" w:rsidR="5DD3BBA7" w:rsidRPr="0046310F" w:rsidRDefault="5DD3BBA7" w:rsidP="00C50DB2">
      <w:pPr>
        <w:pStyle w:val="ListParagraph"/>
        <w:numPr>
          <w:ilvl w:val="1"/>
          <w:numId w:val="8"/>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Wrong Study Design:</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=6 (Reviews, editorials, or letters to the editor without primary qualitative data).</w:t>
      </w:r>
    </w:p>
    <w:p w14:paraId="451D1DAA" w14:textId="26E3BB47" w:rsidR="5DD3BBA7" w:rsidRPr="0046310F" w:rsidRDefault="5DD3BBA7" w:rsidP="00C50DB2">
      <w:pPr>
        <w:pStyle w:val="ListParagraph"/>
        <w:numPr>
          <w:ilvl w:val="1"/>
          <w:numId w:val="8"/>
        </w:numPr>
        <w:shd w:val="clear" w:color="auto" w:fill="FFFFFF" w:themeFill="background1"/>
        <w:spacing w:before="240" w:after="240" w:line="360" w:lineRule="auto"/>
        <w:jc w:val="both"/>
        <w:rPr>
          <w:rFonts w:ascii="Arial" w:eastAsia="Arial" w:hAnsi="Arial" w:cs="Arial"/>
          <w:sz w:val="22"/>
          <w:szCs w:val="22"/>
        </w:rPr>
      </w:pPr>
      <w:r w:rsidRPr="0046310F">
        <w:rPr>
          <w:rFonts w:ascii="Arial" w:eastAsia="Arial" w:hAnsi="Arial" w:cs="Arial"/>
          <w:b/>
          <w:bCs/>
          <w:sz w:val="22"/>
          <w:szCs w:val="22"/>
        </w:rPr>
        <w:t>Focus on Obesity only:</w:t>
      </w:r>
      <w:r w:rsidRPr="0046310F">
        <w:rPr>
          <w:rFonts w:ascii="Arial" w:eastAsia="Arial" w:hAnsi="Arial" w:cs="Arial"/>
          <w:sz w:val="22"/>
          <w:szCs w:val="22"/>
        </w:rPr>
        <w:t xml:space="preserve"> </w:t>
      </w:r>
      <w:r w:rsidRPr="0046310F">
        <w:rPr>
          <w:rFonts w:ascii="Arial" w:eastAsia="Arial" w:hAnsi="Arial" w:cs="Arial"/>
          <w:i/>
          <w:iCs/>
          <w:sz w:val="22"/>
          <w:szCs w:val="22"/>
        </w:rPr>
        <w:t>n</w:t>
      </w:r>
      <w:r w:rsidRPr="0046310F">
        <w:rPr>
          <w:rFonts w:ascii="Arial" w:eastAsia="Arial" w:hAnsi="Arial" w:cs="Arial"/>
          <w:sz w:val="22"/>
          <w:szCs w:val="22"/>
        </w:rPr>
        <w:t>=5 (Participants did not have T2D diagnosis).</w:t>
      </w:r>
    </w:p>
    <w:p w14:paraId="1E7D1BBE" w14:textId="18E7CF67" w:rsidR="5DD3BBA7" w:rsidRPr="00107D0A" w:rsidRDefault="5DD3BBA7" w:rsidP="00FC1D17">
      <w:pPr>
        <w:pStyle w:val="Heading3"/>
        <w:spacing w:line="360" w:lineRule="auto"/>
        <w:rPr>
          <w:rFonts w:ascii="Arial" w:hAnsi="Arial" w:cs="Arial"/>
          <w:b/>
          <w:bCs/>
        </w:rPr>
      </w:pPr>
      <w:bookmarkStart w:id="48" w:name="_Toc230113870"/>
      <w:r w:rsidRPr="00107D0A">
        <w:rPr>
          <w:rFonts w:ascii="Arial" w:hAnsi="Arial" w:cs="Arial"/>
          <w:b/>
          <w:bCs/>
        </w:rPr>
        <w:t>4. Included</w:t>
      </w:r>
      <w:bookmarkEnd w:id="48"/>
    </w:p>
    <w:p w14:paraId="60EB18F1" w14:textId="6E33F8BC" w:rsidR="5DD3BBA7" w:rsidRPr="006C669A" w:rsidRDefault="438697D6" w:rsidP="002631E7">
      <w:pPr>
        <w:pStyle w:val="ListParagraph"/>
        <w:numPr>
          <w:ilvl w:val="0"/>
          <w:numId w:val="7"/>
        </w:numPr>
        <w:shd w:val="clear" w:color="auto" w:fill="FFFFFF" w:themeFill="background1"/>
        <w:spacing w:before="240" w:after="240" w:line="360" w:lineRule="auto"/>
        <w:jc w:val="both"/>
        <w:rPr>
          <w:rFonts w:ascii="Arial" w:eastAsia="Arial" w:hAnsi="Arial" w:cs="Arial"/>
          <w:sz w:val="22"/>
          <w:szCs w:val="22"/>
        </w:rPr>
      </w:pPr>
      <w:r w:rsidRPr="006C669A">
        <w:rPr>
          <w:rFonts w:ascii="Arial" w:eastAsia="Arial" w:hAnsi="Arial" w:cs="Arial"/>
          <w:b/>
          <w:bCs/>
          <w:sz w:val="22"/>
          <w:szCs w:val="22"/>
        </w:rPr>
        <w:t>Studies included in qualitative synthesis:</w:t>
      </w:r>
      <w:r w:rsidRPr="006C669A">
        <w:rPr>
          <w:rFonts w:ascii="Arial" w:eastAsia="Arial" w:hAnsi="Arial" w:cs="Arial"/>
          <w:sz w:val="22"/>
          <w:szCs w:val="22"/>
        </w:rPr>
        <w:t xml:space="preserve"> </w:t>
      </w:r>
      <w:r w:rsidRPr="006C669A">
        <w:rPr>
          <w:rFonts w:ascii="Arial" w:eastAsia="Arial" w:hAnsi="Arial" w:cs="Arial"/>
          <w:i/>
          <w:iCs/>
          <w:sz w:val="22"/>
          <w:szCs w:val="22"/>
        </w:rPr>
        <w:t>n</w:t>
      </w:r>
      <w:r w:rsidRPr="006C669A">
        <w:rPr>
          <w:rFonts w:ascii="Arial" w:eastAsia="Arial" w:hAnsi="Arial" w:cs="Arial"/>
          <w:sz w:val="22"/>
          <w:szCs w:val="22"/>
        </w:rPr>
        <w:t>=10</w:t>
      </w:r>
    </w:p>
    <w:p w14:paraId="2E5AD1E8" w14:textId="3E630919" w:rsidR="5CD3AB83" w:rsidRPr="00107D0A" w:rsidRDefault="5CD3AB83" w:rsidP="00FC1D17">
      <w:pPr>
        <w:shd w:val="clear" w:color="auto" w:fill="FFFFFF" w:themeFill="background1"/>
        <w:spacing w:before="240" w:after="240" w:line="360" w:lineRule="auto"/>
        <w:rPr>
          <w:rFonts w:ascii="Arial" w:eastAsia="Arial" w:hAnsi="Arial" w:cs="Arial"/>
        </w:rPr>
      </w:pPr>
      <w:r w:rsidRPr="00107D0A">
        <w:rPr>
          <w:rFonts w:ascii="Arial" w:hAnsi="Arial" w:cs="Arial"/>
          <w:noProof/>
        </w:rPr>
        <w:lastRenderedPageBreak/>
        <w:drawing>
          <wp:inline distT="0" distB="0" distL="0" distR="0" wp14:anchorId="61304885" wp14:editId="7EC43482">
            <wp:extent cx="5619750" cy="6254750"/>
            <wp:effectExtent l="0" t="0" r="0" b="0"/>
            <wp:docPr id="3571736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73627" name="Picture 357173627"/>
                    <pic:cNvPicPr/>
                  </pic:nvPicPr>
                  <pic:blipFill>
                    <a:blip r:embed="rId23">
                      <a:extLst>
                        <a:ext uri="{28A0092B-C50C-407E-A947-70E740481C1C}">
                          <a14:useLocalDpi xmlns:a14="http://schemas.microsoft.com/office/drawing/2010/main"/>
                        </a:ext>
                      </a:extLst>
                    </a:blip>
                    <a:stretch>
                      <a:fillRect/>
                    </a:stretch>
                  </pic:blipFill>
                  <pic:spPr>
                    <a:xfrm>
                      <a:off x="0" y="0"/>
                      <a:ext cx="5619750" cy="6254750"/>
                    </a:xfrm>
                    <a:prstGeom prst="rect">
                      <a:avLst/>
                    </a:prstGeom>
                  </pic:spPr>
                </pic:pic>
              </a:graphicData>
            </a:graphic>
          </wp:inline>
        </w:drawing>
      </w:r>
    </w:p>
    <w:p w14:paraId="3E56F051" w14:textId="12A8786D" w:rsidR="009C74E0" w:rsidRDefault="009C74E0" w:rsidP="005B2ADA">
      <w:pPr>
        <w:pStyle w:val="Heading3"/>
        <w:rPr>
          <w:b/>
          <w:bCs/>
        </w:rPr>
      </w:pPr>
      <w:bookmarkStart w:id="49" w:name="_Toc230113871"/>
      <w:r w:rsidRPr="005B2ADA">
        <w:rPr>
          <w:b/>
          <w:bCs/>
        </w:rPr>
        <w:t xml:space="preserve">Figure </w:t>
      </w:r>
      <w:r w:rsidR="006371FD" w:rsidRPr="005B2ADA">
        <w:rPr>
          <w:b/>
          <w:bCs/>
        </w:rPr>
        <w:t>6</w:t>
      </w:r>
      <w:bookmarkEnd w:id="49"/>
    </w:p>
    <w:p w14:paraId="3D291A6C" w14:textId="77777777" w:rsidR="00437A89" w:rsidRPr="00437A89" w:rsidRDefault="00437A89" w:rsidP="00437A89"/>
    <w:p w14:paraId="1251B63B" w14:textId="0BFB2F6C" w:rsidR="04C432C1" w:rsidRPr="00107D0A" w:rsidRDefault="04C432C1" w:rsidP="00FC1D17">
      <w:pPr>
        <w:pStyle w:val="Heading2"/>
        <w:spacing w:line="360" w:lineRule="auto"/>
        <w:rPr>
          <w:rFonts w:ascii="Arial" w:hAnsi="Arial" w:cs="Arial"/>
          <w:b/>
          <w:bCs/>
        </w:rPr>
      </w:pPr>
      <w:bookmarkStart w:id="50" w:name="_Toc230113872"/>
      <w:r w:rsidRPr="00107D0A">
        <w:rPr>
          <w:rFonts w:ascii="Arial" w:hAnsi="Arial" w:cs="Arial"/>
          <w:b/>
          <w:bCs/>
        </w:rPr>
        <w:t>3.9 Ethical Considerations</w:t>
      </w:r>
      <w:bookmarkEnd w:id="50"/>
    </w:p>
    <w:p w14:paraId="099D43BD" w14:textId="4CE672E1" w:rsidR="04C432C1" w:rsidRPr="006C669A" w:rsidRDefault="04C432C1" w:rsidP="001A4398">
      <w:pPr>
        <w:spacing w:before="240" w:after="240" w:line="360" w:lineRule="auto"/>
        <w:jc w:val="both"/>
        <w:rPr>
          <w:rFonts w:ascii="Arial" w:eastAsia="Arial" w:hAnsi="Arial" w:cs="Arial"/>
          <w:sz w:val="22"/>
          <w:szCs w:val="22"/>
        </w:rPr>
      </w:pPr>
      <w:r w:rsidRPr="006C669A">
        <w:rPr>
          <w:rFonts w:ascii="Arial" w:eastAsia="Arial" w:hAnsi="Arial" w:cs="Arial"/>
          <w:sz w:val="22"/>
          <w:szCs w:val="22"/>
        </w:rPr>
        <w:t xml:space="preserve">Ethics in research refer to the principles of doing no harm and maintaining integrity. While this review uses secondary data (existing publications), ethical considerations remain paramount. It was verified that all 10 selected studies had obtained </w:t>
      </w:r>
      <w:r w:rsidRPr="007C12FD">
        <w:rPr>
          <w:rFonts w:ascii="Arial" w:eastAsia="Arial" w:hAnsi="Arial" w:cs="Arial"/>
          <w:sz w:val="22"/>
          <w:szCs w:val="22"/>
        </w:rPr>
        <w:t xml:space="preserve">institutional ethical approval </w:t>
      </w:r>
      <w:r w:rsidRPr="006C669A">
        <w:rPr>
          <w:rFonts w:ascii="Arial" w:eastAsia="Arial" w:hAnsi="Arial" w:cs="Arial"/>
          <w:sz w:val="22"/>
          <w:szCs w:val="22"/>
        </w:rPr>
        <w:t xml:space="preserve">and informed consent from participants prior to their original publication (WMA, 2013). This </w:t>
      </w:r>
      <w:r w:rsidRPr="006C669A">
        <w:rPr>
          <w:rFonts w:ascii="Arial" w:eastAsia="Arial" w:hAnsi="Arial" w:cs="Arial"/>
          <w:sz w:val="22"/>
          <w:szCs w:val="22"/>
        </w:rPr>
        <w:lastRenderedPageBreak/>
        <w:t>ensures that the voices synthesised in this review were collected through ethical and respectful means.</w:t>
      </w:r>
    </w:p>
    <w:p w14:paraId="1ADD9CF5" w14:textId="13495BF1" w:rsidR="04C432C1" w:rsidRPr="00107D0A" w:rsidRDefault="04C432C1" w:rsidP="00FC1D17">
      <w:pPr>
        <w:pStyle w:val="Heading2"/>
        <w:spacing w:line="360" w:lineRule="auto"/>
        <w:rPr>
          <w:rFonts w:ascii="Arial" w:hAnsi="Arial" w:cs="Arial"/>
          <w:b/>
          <w:bCs/>
        </w:rPr>
      </w:pPr>
      <w:bookmarkStart w:id="51" w:name="_Toc230113873"/>
      <w:r w:rsidRPr="00107D0A">
        <w:rPr>
          <w:rFonts w:ascii="Arial" w:hAnsi="Arial" w:cs="Arial"/>
          <w:b/>
          <w:bCs/>
        </w:rPr>
        <w:t>3.10 Chapter Summary</w:t>
      </w:r>
      <w:bookmarkEnd w:id="51"/>
    </w:p>
    <w:p w14:paraId="33F7517C" w14:textId="407CAD75" w:rsidR="2ED0DBC8" w:rsidRPr="001A4398" w:rsidRDefault="04C432C1" w:rsidP="001A4398">
      <w:pPr>
        <w:spacing w:before="240" w:after="240" w:line="360" w:lineRule="auto"/>
        <w:jc w:val="both"/>
        <w:rPr>
          <w:rFonts w:ascii="Arial" w:eastAsia="Arial" w:hAnsi="Arial" w:cs="Arial"/>
          <w:sz w:val="22"/>
          <w:szCs w:val="22"/>
        </w:rPr>
      </w:pPr>
      <w:r w:rsidRPr="001A4398">
        <w:rPr>
          <w:rFonts w:ascii="Arial" w:eastAsia="Arial" w:hAnsi="Arial" w:cs="Arial"/>
          <w:sz w:val="22"/>
          <w:szCs w:val="22"/>
        </w:rPr>
        <w:t>This chapter has detailed the rigorous PEO-driven search strategy and the systematic process used to select 10 relevant qualitative articles. By adhering to a transparent protocol and using a PRISMA framework, the methodology ensures the review is reproducible and unbiased. The next chapter, Chapter 4: Data Extraction and Evaluation, will present the detailed findings from these articles and critically appraise their quality.</w:t>
      </w:r>
    </w:p>
    <w:p w14:paraId="682A33A8" w14:textId="6BF6E180" w:rsidR="5B14C334" w:rsidRPr="00107D0A" w:rsidRDefault="5B14C334" w:rsidP="00FC1D17">
      <w:pPr>
        <w:pStyle w:val="Heading1"/>
        <w:spacing w:line="360" w:lineRule="auto"/>
        <w:rPr>
          <w:rFonts w:ascii="Arial" w:hAnsi="Arial" w:cs="Arial"/>
          <w:b/>
          <w:bCs/>
        </w:rPr>
      </w:pPr>
      <w:bookmarkStart w:id="52" w:name="_Toc230113874"/>
      <w:r w:rsidRPr="00107D0A">
        <w:rPr>
          <w:rFonts w:ascii="Arial" w:hAnsi="Arial" w:cs="Arial"/>
          <w:b/>
          <w:bCs/>
        </w:rPr>
        <w:t>Chapter 4 data extraction and evaluation</w:t>
      </w:r>
      <w:bookmarkEnd w:id="52"/>
    </w:p>
    <w:p w14:paraId="37868439" w14:textId="6DCB91BA" w:rsidR="28DCFCCB" w:rsidRPr="006E0E38" w:rsidRDefault="28DCFCCB" w:rsidP="006E0E38">
      <w:pPr>
        <w:spacing w:line="360" w:lineRule="auto"/>
        <w:jc w:val="both"/>
        <w:rPr>
          <w:rFonts w:ascii="Arial" w:eastAsia="Arial" w:hAnsi="Arial" w:cs="Arial"/>
          <w:sz w:val="22"/>
          <w:szCs w:val="22"/>
        </w:rPr>
      </w:pPr>
      <w:r w:rsidRPr="006E0E38">
        <w:rPr>
          <w:rFonts w:ascii="Arial" w:eastAsia="Arial" w:hAnsi="Arial" w:cs="Arial"/>
          <w:sz w:val="22"/>
          <w:szCs w:val="22"/>
        </w:rPr>
        <w:t>Chapter 4 shifts from the "how" of the search to the "what" and "how good" of the evidence.</w:t>
      </w:r>
    </w:p>
    <w:p w14:paraId="222A15D7" w14:textId="4B28015B" w:rsidR="00FD1255" w:rsidRPr="00FD1255" w:rsidRDefault="05D896B7" w:rsidP="00B63CBE">
      <w:pPr>
        <w:pStyle w:val="Heading2"/>
        <w:spacing w:line="360" w:lineRule="auto"/>
        <w:rPr>
          <w:rFonts w:ascii="Arial" w:hAnsi="Arial" w:cs="Arial"/>
          <w:b/>
          <w:bCs/>
        </w:rPr>
      </w:pPr>
      <w:bookmarkStart w:id="53" w:name="_Toc230113875"/>
      <w:r w:rsidRPr="00107D0A">
        <w:rPr>
          <w:rFonts w:ascii="Arial" w:hAnsi="Arial" w:cs="Arial"/>
          <w:b/>
          <w:bCs/>
        </w:rPr>
        <w:t>4.1 Introduction</w:t>
      </w:r>
      <w:bookmarkEnd w:id="53"/>
      <w:r w:rsidRPr="00107D0A">
        <w:rPr>
          <w:rFonts w:ascii="Arial" w:hAnsi="Arial" w:cs="Arial"/>
          <w:b/>
          <w:bCs/>
        </w:rPr>
        <w:t xml:space="preserve"> </w:t>
      </w:r>
    </w:p>
    <w:p w14:paraId="43948CCE" w14:textId="5FA95731" w:rsidR="00FD1255" w:rsidRPr="00FD1255" w:rsidRDefault="00FD1255" w:rsidP="006E0E38">
      <w:pPr>
        <w:spacing w:line="360" w:lineRule="auto"/>
        <w:jc w:val="both"/>
        <w:rPr>
          <w:rFonts w:ascii="Arial" w:eastAsia="DengXian" w:hAnsi="Arial" w:cs="Arial"/>
          <w:sz w:val="22"/>
          <w:szCs w:val="22"/>
          <w:lang w:eastAsia="zh-CN"/>
        </w:rPr>
      </w:pPr>
      <w:r w:rsidRPr="00FD1255">
        <w:rPr>
          <w:rFonts w:ascii="Arial" w:eastAsia="DengXian" w:hAnsi="Arial" w:cs="Arial"/>
          <w:sz w:val="22"/>
          <w:szCs w:val="22"/>
          <w:lang w:eastAsia="zh-CN"/>
        </w:rPr>
        <w:t>Following the systematic identification of literature in the previous chapter, Chapter 4 transitions from the search phase to the evaluation phase. This stage is critical in ensuring that the synthesis of the lived experiences of Tirzepatide users is grounded in evidence that is both methodologically sound and contextually relevant. This chapter details the standardized data extraction process and provides a critical justification for the use of the Critical Appraisal Skills Programme (CASP) tool. By interrogating the trustworthiness, value, and relevance of the ten selected studies, this chapter establishes the evidentiary weight of the research findings before they are integrated into the final thematic synthesis.</w:t>
      </w:r>
    </w:p>
    <w:p w14:paraId="3BDE22D6" w14:textId="77777777" w:rsidR="00FD1255" w:rsidRPr="00107D0A" w:rsidRDefault="00FD1255" w:rsidP="00FC1D17">
      <w:pPr>
        <w:spacing w:before="240" w:after="240" w:line="360" w:lineRule="auto"/>
        <w:rPr>
          <w:rFonts w:ascii="Arial" w:eastAsia="Arial" w:hAnsi="Arial" w:cs="Arial"/>
        </w:rPr>
      </w:pPr>
    </w:p>
    <w:p w14:paraId="6A81D91C" w14:textId="2AFAD367" w:rsidR="4794A9E9" w:rsidRPr="00107D0A" w:rsidRDefault="4794A9E9" w:rsidP="00FC1D17">
      <w:pPr>
        <w:pStyle w:val="Heading2"/>
        <w:spacing w:line="360" w:lineRule="auto"/>
        <w:rPr>
          <w:rFonts w:ascii="Arial" w:hAnsi="Arial" w:cs="Arial"/>
          <w:b/>
          <w:bCs/>
        </w:rPr>
      </w:pPr>
      <w:bookmarkStart w:id="54" w:name="_Toc230113876"/>
      <w:r w:rsidRPr="00107D0A">
        <w:rPr>
          <w:rFonts w:ascii="Arial" w:hAnsi="Arial" w:cs="Arial"/>
          <w:b/>
          <w:bCs/>
        </w:rPr>
        <w:t>4.2 Data Extraction</w:t>
      </w:r>
      <w:bookmarkEnd w:id="54"/>
    </w:p>
    <w:p w14:paraId="31500986" w14:textId="3D2C7AE2" w:rsidR="00FA4B37" w:rsidRPr="008A0A7A" w:rsidRDefault="00FA4B37" w:rsidP="008A0A7A">
      <w:pPr>
        <w:spacing w:line="360" w:lineRule="auto"/>
        <w:jc w:val="both"/>
        <w:rPr>
          <w:rFonts w:ascii="Arial" w:hAnsi="Arial" w:cs="Arial"/>
          <w:sz w:val="22"/>
          <w:szCs w:val="22"/>
        </w:rPr>
      </w:pPr>
      <w:r w:rsidRPr="008A0A7A">
        <w:rPr>
          <w:rFonts w:ascii="Arial" w:hAnsi="Arial" w:cs="Arial"/>
          <w:sz w:val="22"/>
          <w:szCs w:val="22"/>
        </w:rPr>
        <w:t>Data extraction is the process by which researchers identify and transcribe the relevant primary data from the original studies into a standardized format for synthesis (Boland et al., 2023, p. 84). To ensure consistency and reduce the risk of information bias, a pre-designed extraction template was employed.</w:t>
      </w:r>
    </w:p>
    <w:p w14:paraId="3AB187A0" w14:textId="74C93C5B" w:rsidR="4794A9E9" w:rsidRPr="008A0A7A" w:rsidRDefault="4794A9E9" w:rsidP="008A0A7A">
      <w:pPr>
        <w:spacing w:after="240" w:line="360" w:lineRule="auto"/>
        <w:jc w:val="both"/>
        <w:rPr>
          <w:rFonts w:ascii="Arial" w:eastAsia="Arial" w:hAnsi="Arial" w:cs="Arial"/>
          <w:sz w:val="22"/>
          <w:szCs w:val="22"/>
        </w:rPr>
      </w:pPr>
      <w:r w:rsidRPr="008A0A7A">
        <w:rPr>
          <w:rFonts w:ascii="Arial" w:eastAsia="Arial" w:hAnsi="Arial" w:cs="Arial"/>
          <w:sz w:val="22"/>
          <w:szCs w:val="22"/>
        </w:rPr>
        <w:t>For this study, a pre-designed data extraction form was used to capture:</w:t>
      </w:r>
    </w:p>
    <w:p w14:paraId="0EFA7BFC" w14:textId="6837F69B" w:rsidR="4794A9E9" w:rsidRPr="008A0A7A" w:rsidRDefault="4794A9E9" w:rsidP="008A0A7A">
      <w:pPr>
        <w:pStyle w:val="ListParagraph"/>
        <w:numPr>
          <w:ilvl w:val="0"/>
          <w:numId w:val="13"/>
        </w:numPr>
        <w:spacing w:before="240" w:after="240" w:line="360" w:lineRule="auto"/>
        <w:jc w:val="both"/>
        <w:rPr>
          <w:rFonts w:ascii="Arial" w:eastAsia="Arial" w:hAnsi="Arial" w:cs="Arial"/>
          <w:sz w:val="22"/>
          <w:szCs w:val="22"/>
        </w:rPr>
      </w:pPr>
      <w:r w:rsidRPr="008A0A7A">
        <w:rPr>
          <w:rFonts w:ascii="Arial" w:eastAsia="Arial" w:hAnsi="Arial" w:cs="Arial"/>
          <w:b/>
          <w:bCs/>
          <w:sz w:val="22"/>
          <w:szCs w:val="22"/>
        </w:rPr>
        <w:t>Study Characteristics:</w:t>
      </w:r>
      <w:r w:rsidRPr="008A0A7A">
        <w:rPr>
          <w:rFonts w:ascii="Arial" w:eastAsia="Arial" w:hAnsi="Arial" w:cs="Arial"/>
          <w:sz w:val="22"/>
          <w:szCs w:val="22"/>
        </w:rPr>
        <w:t xml:space="preserve"> Author, year, and specific UK location.</w:t>
      </w:r>
    </w:p>
    <w:p w14:paraId="42202F28" w14:textId="25CD4659" w:rsidR="4794A9E9" w:rsidRPr="008A0A7A" w:rsidRDefault="4794A9E9" w:rsidP="008A0A7A">
      <w:pPr>
        <w:pStyle w:val="ListParagraph"/>
        <w:numPr>
          <w:ilvl w:val="0"/>
          <w:numId w:val="13"/>
        </w:numPr>
        <w:spacing w:before="240" w:after="240" w:line="360" w:lineRule="auto"/>
        <w:jc w:val="both"/>
        <w:rPr>
          <w:rFonts w:ascii="Arial" w:eastAsia="Arial" w:hAnsi="Arial" w:cs="Arial"/>
          <w:sz w:val="22"/>
          <w:szCs w:val="22"/>
        </w:rPr>
      </w:pPr>
      <w:r w:rsidRPr="008A0A7A">
        <w:rPr>
          <w:rFonts w:ascii="Arial" w:eastAsia="Arial" w:hAnsi="Arial" w:cs="Arial"/>
          <w:b/>
          <w:bCs/>
          <w:sz w:val="22"/>
          <w:szCs w:val="22"/>
        </w:rPr>
        <w:lastRenderedPageBreak/>
        <w:t>Methodological Details:</w:t>
      </w:r>
      <w:r w:rsidRPr="008A0A7A">
        <w:rPr>
          <w:rFonts w:ascii="Arial" w:eastAsia="Arial" w:hAnsi="Arial" w:cs="Arial"/>
          <w:sz w:val="22"/>
          <w:szCs w:val="22"/>
        </w:rPr>
        <w:t xml:space="preserve"> Theoretical framework, sample size (n), and data collection methods (e.g., semi-structured interviews).</w:t>
      </w:r>
    </w:p>
    <w:p w14:paraId="01311007" w14:textId="653F8736" w:rsidR="00054997" w:rsidRPr="008A0A7A" w:rsidRDefault="4794A9E9" w:rsidP="008A0A7A">
      <w:pPr>
        <w:pStyle w:val="ListParagraph"/>
        <w:numPr>
          <w:ilvl w:val="0"/>
          <w:numId w:val="13"/>
        </w:numPr>
        <w:spacing w:before="240" w:after="240" w:line="360" w:lineRule="auto"/>
        <w:jc w:val="both"/>
        <w:rPr>
          <w:rFonts w:ascii="Arial" w:eastAsia="Arial" w:hAnsi="Arial" w:cs="Arial"/>
          <w:sz w:val="22"/>
          <w:szCs w:val="22"/>
        </w:rPr>
      </w:pPr>
      <w:r w:rsidRPr="008A0A7A">
        <w:rPr>
          <w:rFonts w:ascii="Arial" w:eastAsia="Arial" w:hAnsi="Arial" w:cs="Arial"/>
          <w:b/>
          <w:bCs/>
          <w:sz w:val="22"/>
          <w:szCs w:val="22"/>
        </w:rPr>
        <w:t>Key Findings:</w:t>
      </w:r>
      <w:r w:rsidRPr="008A0A7A">
        <w:rPr>
          <w:rFonts w:ascii="Arial" w:eastAsia="Arial" w:hAnsi="Arial" w:cs="Arial"/>
          <w:sz w:val="22"/>
          <w:szCs w:val="22"/>
        </w:rPr>
        <w:t xml:space="preserve"> Specific facilitators (e.g., "food noise" reduction), barriers (e.g., supply issues), and associated factors (e.g., socioeconomic status).</w:t>
      </w:r>
    </w:p>
    <w:p w14:paraId="1811E8F2" w14:textId="77777777" w:rsidR="00054997" w:rsidRPr="007F469E" w:rsidRDefault="00054997" w:rsidP="007F469E">
      <w:pPr>
        <w:pStyle w:val="Heading3"/>
        <w:rPr>
          <w:b/>
          <w:bCs/>
        </w:rPr>
      </w:pPr>
      <w:bookmarkStart w:id="55" w:name="_Toc230113877"/>
      <w:r w:rsidRPr="007F469E">
        <w:rPr>
          <w:b/>
          <w:bCs/>
        </w:rPr>
        <w:t>4.2.1 Extraction Parameters</w:t>
      </w:r>
      <w:bookmarkEnd w:id="55"/>
    </w:p>
    <w:p w14:paraId="7B19C0A1" w14:textId="0E5AB71E" w:rsidR="00054997" w:rsidRPr="006133DB" w:rsidRDefault="00054997" w:rsidP="00B34AA2">
      <w:pPr>
        <w:spacing w:line="360" w:lineRule="auto"/>
        <w:jc w:val="both"/>
        <w:rPr>
          <w:rFonts w:ascii="Arial" w:hAnsi="Arial" w:cs="Arial"/>
          <w:sz w:val="22"/>
          <w:szCs w:val="22"/>
        </w:rPr>
      </w:pPr>
      <w:r w:rsidRPr="006133DB">
        <w:rPr>
          <w:rFonts w:ascii="Arial" w:hAnsi="Arial" w:cs="Arial"/>
          <w:sz w:val="22"/>
          <w:szCs w:val="22"/>
        </w:rPr>
        <w:t>The extraction process focused on four primary dimensions to ensure a holistic understanding of the patient journey:</w:t>
      </w:r>
    </w:p>
    <w:p w14:paraId="6347DB64" w14:textId="2FD8E362" w:rsidR="00054997" w:rsidRPr="006133DB" w:rsidRDefault="00054997" w:rsidP="00B34AA2">
      <w:pPr>
        <w:spacing w:line="360" w:lineRule="auto"/>
        <w:jc w:val="both"/>
        <w:rPr>
          <w:rFonts w:ascii="Arial" w:hAnsi="Arial" w:cs="Arial"/>
          <w:sz w:val="22"/>
          <w:szCs w:val="22"/>
        </w:rPr>
      </w:pPr>
      <w:r w:rsidRPr="006133DB">
        <w:rPr>
          <w:rFonts w:ascii="Arial" w:hAnsi="Arial" w:cs="Arial"/>
          <w:b/>
          <w:bCs/>
          <w:sz w:val="22"/>
          <w:szCs w:val="22"/>
        </w:rPr>
        <w:t>Contextual Data:</w:t>
      </w:r>
      <w:r w:rsidRPr="006133DB">
        <w:rPr>
          <w:rFonts w:ascii="Arial" w:hAnsi="Arial" w:cs="Arial"/>
          <w:sz w:val="22"/>
          <w:szCs w:val="22"/>
        </w:rPr>
        <w:t xml:space="preserve"> Author, year, and regional UK setting (addressing potential postcode lotteries).</w:t>
      </w:r>
    </w:p>
    <w:p w14:paraId="7B6CD006" w14:textId="1623A623" w:rsidR="00054997" w:rsidRPr="006133DB" w:rsidRDefault="00054997" w:rsidP="00B34AA2">
      <w:pPr>
        <w:spacing w:line="360" w:lineRule="auto"/>
        <w:jc w:val="both"/>
        <w:rPr>
          <w:rFonts w:ascii="Arial" w:hAnsi="Arial" w:cs="Arial"/>
          <w:sz w:val="22"/>
          <w:szCs w:val="22"/>
        </w:rPr>
      </w:pPr>
      <w:r w:rsidRPr="006133DB">
        <w:rPr>
          <w:rFonts w:ascii="Arial" w:hAnsi="Arial" w:cs="Arial"/>
          <w:b/>
          <w:bCs/>
          <w:sz w:val="22"/>
          <w:szCs w:val="22"/>
        </w:rPr>
        <w:t>Methodological Rigour:</w:t>
      </w:r>
      <w:r w:rsidRPr="006133DB">
        <w:rPr>
          <w:rFonts w:ascii="Arial" w:hAnsi="Arial" w:cs="Arial"/>
          <w:sz w:val="22"/>
          <w:szCs w:val="22"/>
        </w:rPr>
        <w:t xml:space="preserve"> Theoretical orientation (e.g., Phenomenology, Grounded Theory), sample demographics, and data collection techniques (e.g., semi-structured interviews or reflexive journaling).</w:t>
      </w:r>
    </w:p>
    <w:p w14:paraId="6A182447" w14:textId="62CD2B72" w:rsidR="00054997" w:rsidRPr="006133DB" w:rsidRDefault="00054997" w:rsidP="00B34AA2">
      <w:pPr>
        <w:spacing w:line="360" w:lineRule="auto"/>
        <w:jc w:val="both"/>
        <w:rPr>
          <w:rFonts w:ascii="Arial" w:hAnsi="Arial" w:cs="Arial"/>
          <w:sz w:val="22"/>
          <w:szCs w:val="22"/>
        </w:rPr>
      </w:pPr>
      <w:r w:rsidRPr="006133DB">
        <w:rPr>
          <w:rFonts w:ascii="Arial" w:hAnsi="Arial" w:cs="Arial"/>
          <w:b/>
          <w:bCs/>
          <w:sz w:val="22"/>
          <w:szCs w:val="22"/>
        </w:rPr>
        <w:t>Thematic Content:</w:t>
      </w:r>
      <w:r w:rsidRPr="006133DB">
        <w:rPr>
          <w:rFonts w:ascii="Arial" w:hAnsi="Arial" w:cs="Arial"/>
          <w:sz w:val="22"/>
          <w:szCs w:val="22"/>
        </w:rPr>
        <w:t xml:space="preserve"> Explicit facilitators (e.g., appetite suppression) and barriers (e.g., GI distress, supply instability).</w:t>
      </w:r>
    </w:p>
    <w:p w14:paraId="7052A581" w14:textId="68E45D6F" w:rsidR="00054997" w:rsidRPr="006133DB" w:rsidRDefault="00054997" w:rsidP="00B34AA2">
      <w:pPr>
        <w:spacing w:line="360" w:lineRule="auto"/>
        <w:jc w:val="both"/>
        <w:rPr>
          <w:rFonts w:ascii="Arial" w:hAnsi="Arial" w:cs="Arial"/>
          <w:sz w:val="22"/>
          <w:szCs w:val="22"/>
        </w:rPr>
      </w:pPr>
      <w:r w:rsidRPr="006133DB">
        <w:rPr>
          <w:rFonts w:ascii="Arial" w:hAnsi="Arial" w:cs="Arial"/>
          <w:b/>
          <w:bCs/>
          <w:sz w:val="22"/>
          <w:szCs w:val="22"/>
        </w:rPr>
        <w:t>Interpretive Data:</w:t>
      </w:r>
      <w:r w:rsidRPr="006133DB">
        <w:rPr>
          <w:rFonts w:ascii="Arial" w:hAnsi="Arial" w:cs="Arial"/>
          <w:sz w:val="22"/>
          <w:szCs w:val="22"/>
        </w:rPr>
        <w:t xml:space="preserve"> Quotations or author interpretations that offer deep insight into the lived experience of the UK patient.</w:t>
      </w:r>
    </w:p>
    <w:p w14:paraId="3395A51E" w14:textId="25254BBC" w:rsidR="00054997" w:rsidRPr="006133DB" w:rsidRDefault="00054997" w:rsidP="00B34AA2">
      <w:pPr>
        <w:spacing w:before="240" w:after="240" w:line="360" w:lineRule="auto"/>
        <w:jc w:val="both"/>
        <w:rPr>
          <w:rFonts w:ascii="Arial" w:eastAsia="Arial" w:hAnsi="Arial" w:cs="Arial"/>
          <w:sz w:val="22"/>
          <w:szCs w:val="22"/>
        </w:rPr>
      </w:pPr>
      <w:r w:rsidRPr="006133DB">
        <w:rPr>
          <w:rFonts w:ascii="Arial" w:hAnsi="Arial" w:cs="Arial"/>
          <w:sz w:val="22"/>
          <w:szCs w:val="22"/>
        </w:rPr>
        <w:t>This systematic approach allows for a side-by-side comparison of the ten studies, highlighting where findings converge (e.g., the prevalence of "food noise" reduction) and where they diverge (e.g., regional disparities in NHS support).</w:t>
      </w:r>
    </w:p>
    <w:p w14:paraId="410ABD63" w14:textId="397EA6C4" w:rsidR="4794A9E9" w:rsidRPr="00107D0A" w:rsidRDefault="4794A9E9" w:rsidP="00FC1D17">
      <w:pPr>
        <w:pStyle w:val="Heading2"/>
        <w:spacing w:line="360" w:lineRule="auto"/>
        <w:rPr>
          <w:rFonts w:ascii="Arial" w:hAnsi="Arial" w:cs="Arial"/>
          <w:b/>
          <w:bCs/>
        </w:rPr>
      </w:pPr>
      <w:bookmarkStart w:id="56" w:name="_Toc230113878"/>
      <w:r w:rsidRPr="00107D0A">
        <w:rPr>
          <w:rFonts w:ascii="Arial" w:hAnsi="Arial" w:cs="Arial"/>
          <w:b/>
          <w:bCs/>
        </w:rPr>
        <w:t>4.3 Brief Introduction to Critical Appraisal and Paper Quality Assessment</w:t>
      </w:r>
      <w:bookmarkEnd w:id="56"/>
    </w:p>
    <w:p w14:paraId="5363ED6B" w14:textId="24363A28" w:rsidR="005D5D9F" w:rsidRPr="00A0421B" w:rsidRDefault="0091455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t>Critical appraisal is the systematic process of examining research evidence to judge its trustworthiness, value, and relevance (Aveyard, 2023). In the rapidly evolving landscape of GLP-1/GIP receptor agonists, where media hype often blurs the line between anecdote and evidence, rigorous appraisal is essential to ensure that clinical recommendations are based on high-quality inquiry.</w:t>
      </w:r>
    </w:p>
    <w:p w14:paraId="1BCA56FD" w14:textId="77777777" w:rsidR="003553C0" w:rsidRPr="008234D8" w:rsidRDefault="003553C0" w:rsidP="008234D8">
      <w:pPr>
        <w:pStyle w:val="Heading3"/>
        <w:rPr>
          <w:b/>
          <w:bCs/>
          <w:lang w:eastAsia="zh-CN"/>
        </w:rPr>
      </w:pPr>
      <w:bookmarkStart w:id="57" w:name="_Toc230113879"/>
      <w:r w:rsidRPr="008234D8">
        <w:rPr>
          <w:b/>
          <w:bCs/>
          <w:lang w:eastAsia="zh-CN"/>
        </w:rPr>
        <w:t>4.3.1 Defining Quality in Qualitative Research</w:t>
      </w:r>
      <w:bookmarkEnd w:id="57"/>
    </w:p>
    <w:p w14:paraId="3C77F430" w14:textId="77777777" w:rsidR="003553C0" w:rsidRPr="00A0421B" w:rsidRDefault="003553C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t>Unlike quantitative research, which relies on statistical power and p-values, qualitative quality is assessed through the lens of trustworthiness (Noyes et al., 2019). This study appraises papers based on:</w:t>
      </w:r>
    </w:p>
    <w:p w14:paraId="60DFABD4" w14:textId="77777777" w:rsidR="003553C0" w:rsidRPr="00A0421B" w:rsidRDefault="003553C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lastRenderedPageBreak/>
        <w:t>Credibility: Do the findings truly reflect the experiences of the participants?</w:t>
      </w:r>
    </w:p>
    <w:p w14:paraId="7FCFCE69" w14:textId="77777777" w:rsidR="003553C0" w:rsidRPr="00A0421B" w:rsidRDefault="003553C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t>Transferability: Can these UK-based findings be applied across different Integrated Care Boards (ICBs)?</w:t>
      </w:r>
    </w:p>
    <w:p w14:paraId="622E8FA6" w14:textId="77777777" w:rsidR="003553C0" w:rsidRPr="00A0421B" w:rsidRDefault="003553C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t>Dependability: Is the research process transparent and auditable?</w:t>
      </w:r>
    </w:p>
    <w:p w14:paraId="5D0D2A44" w14:textId="4E338A2C" w:rsidR="003553C0" w:rsidRPr="00A0421B" w:rsidRDefault="003553C0" w:rsidP="00A0421B">
      <w:pPr>
        <w:spacing w:line="360" w:lineRule="auto"/>
        <w:jc w:val="both"/>
        <w:rPr>
          <w:rFonts w:ascii="Arial" w:eastAsia="DengXian" w:hAnsi="Arial" w:cs="Arial"/>
          <w:sz w:val="22"/>
          <w:szCs w:val="22"/>
          <w:lang w:eastAsia="zh-CN"/>
        </w:rPr>
      </w:pPr>
      <w:r w:rsidRPr="00A0421B">
        <w:rPr>
          <w:rFonts w:ascii="Arial" w:eastAsia="DengXian" w:hAnsi="Arial" w:cs="Arial"/>
          <w:sz w:val="22"/>
          <w:szCs w:val="22"/>
          <w:lang w:eastAsia="zh-CN"/>
        </w:rPr>
        <w:t>Confirmability: Is there a clear link between the data and the researcher’s interpretations?</w:t>
      </w:r>
    </w:p>
    <w:p w14:paraId="711D51AF" w14:textId="4F444EE0" w:rsidR="00317A0E" w:rsidRPr="00317A0E" w:rsidRDefault="4794A9E9" w:rsidP="00317A0E">
      <w:pPr>
        <w:pStyle w:val="Heading2"/>
        <w:spacing w:line="360" w:lineRule="auto"/>
        <w:rPr>
          <w:rFonts w:ascii="Arial" w:hAnsi="Arial" w:cs="Arial"/>
          <w:b/>
          <w:bCs/>
        </w:rPr>
      </w:pPr>
      <w:bookmarkStart w:id="58" w:name="_Toc230113880"/>
      <w:r w:rsidRPr="00107D0A">
        <w:rPr>
          <w:rFonts w:ascii="Arial" w:hAnsi="Arial" w:cs="Arial"/>
          <w:b/>
          <w:bCs/>
        </w:rPr>
        <w:t>4.4 Critical Appraisal Tools</w:t>
      </w:r>
      <w:bookmarkEnd w:id="58"/>
    </w:p>
    <w:p w14:paraId="49213DBA" w14:textId="38A2E09C" w:rsidR="4794A9E9" w:rsidRPr="00835505" w:rsidRDefault="4794A9E9" w:rsidP="00835505">
      <w:pPr>
        <w:spacing w:before="240" w:after="240" w:line="360" w:lineRule="auto"/>
        <w:jc w:val="both"/>
        <w:rPr>
          <w:rFonts w:ascii="Arial" w:eastAsia="Arial" w:hAnsi="Arial" w:cs="Arial"/>
          <w:sz w:val="22"/>
          <w:szCs w:val="22"/>
        </w:rPr>
      </w:pPr>
      <w:r w:rsidRPr="00835505">
        <w:rPr>
          <w:rFonts w:ascii="Arial" w:eastAsia="Arial" w:hAnsi="Arial" w:cs="Arial"/>
          <w:sz w:val="22"/>
          <w:szCs w:val="22"/>
        </w:rPr>
        <w:t>A critical appraisal tool (CAT) is a structured checklist or framework used to evaluate the methodological rigor of a study (Bettany-Saltikov, 2016). Choosing the correct CAT is essential because different research designs require different evaluative criteria; for example, a tool designed for a clinical trial (like a CONSORT checklist) would be entirely inappropriate for evaluating the lived experience in a qualitative study.</w:t>
      </w:r>
    </w:p>
    <w:p w14:paraId="3DFC4AC5" w14:textId="165CFA3D" w:rsidR="00317A0E" w:rsidRPr="00835505" w:rsidRDefault="00111F24" w:rsidP="00835505">
      <w:pPr>
        <w:spacing w:line="360" w:lineRule="auto"/>
        <w:jc w:val="both"/>
        <w:rPr>
          <w:rFonts w:ascii="Arial" w:eastAsia="DengXian" w:hAnsi="Arial" w:cs="Arial"/>
          <w:sz w:val="22"/>
          <w:szCs w:val="22"/>
          <w:lang w:eastAsia="zh-CN"/>
        </w:rPr>
      </w:pPr>
      <w:r w:rsidRPr="00835505">
        <w:rPr>
          <w:rFonts w:ascii="Arial" w:eastAsia="DengXian" w:hAnsi="Arial" w:cs="Arial"/>
          <w:sz w:val="22"/>
          <w:szCs w:val="22"/>
          <w:lang w:eastAsia="zh-CN"/>
        </w:rPr>
        <w:t xml:space="preserve">Therefore, </w:t>
      </w:r>
      <w:r w:rsidR="00317A0E" w:rsidRPr="00835505">
        <w:rPr>
          <w:rFonts w:ascii="Arial" w:eastAsia="DengXian" w:hAnsi="Arial" w:cs="Arial"/>
          <w:sz w:val="22"/>
          <w:szCs w:val="22"/>
          <w:lang w:eastAsia="zh-CN"/>
        </w:rPr>
        <w:t>this review, the Critical Appraisal Skills Programme (CASP) Qualitative Checklist was selected as the primary evaluative tool. CASP is widely recognized as the gold-standard instrument for qualitative appraisal in health research (Noyes et al., 2019).</w:t>
      </w:r>
    </w:p>
    <w:p w14:paraId="5F75D63B" w14:textId="5BD0631F" w:rsidR="4794A9E9" w:rsidRPr="00835505" w:rsidRDefault="4794A9E9" w:rsidP="00835505">
      <w:pPr>
        <w:spacing w:before="240" w:after="240" w:line="360" w:lineRule="auto"/>
        <w:jc w:val="both"/>
        <w:rPr>
          <w:rFonts w:ascii="Arial" w:eastAsia="Arial" w:hAnsi="Arial" w:cs="Arial"/>
          <w:sz w:val="22"/>
          <w:szCs w:val="22"/>
        </w:rPr>
      </w:pPr>
      <w:r w:rsidRPr="00835505">
        <w:rPr>
          <w:rFonts w:ascii="Arial" w:eastAsia="Arial" w:hAnsi="Arial" w:cs="Arial"/>
          <w:sz w:val="22"/>
          <w:szCs w:val="22"/>
        </w:rPr>
        <w:t>Effective CATs are expected to appraise:</w:t>
      </w:r>
    </w:p>
    <w:p w14:paraId="3100D7A9" w14:textId="0700C2E2" w:rsidR="4794A9E9" w:rsidRPr="00835505" w:rsidRDefault="4794A9E9" w:rsidP="00835505">
      <w:pPr>
        <w:pStyle w:val="ListParagraph"/>
        <w:numPr>
          <w:ilvl w:val="0"/>
          <w:numId w:val="12"/>
        </w:numPr>
        <w:spacing w:before="240" w:after="240" w:line="360" w:lineRule="auto"/>
        <w:jc w:val="both"/>
        <w:rPr>
          <w:rFonts w:ascii="Arial" w:eastAsia="Arial" w:hAnsi="Arial" w:cs="Arial"/>
          <w:sz w:val="22"/>
          <w:szCs w:val="22"/>
        </w:rPr>
      </w:pPr>
      <w:r w:rsidRPr="00835505">
        <w:rPr>
          <w:rFonts w:ascii="Arial" w:eastAsia="Arial" w:hAnsi="Arial" w:cs="Arial"/>
          <w:b/>
          <w:bCs/>
          <w:sz w:val="22"/>
          <w:szCs w:val="22"/>
        </w:rPr>
        <w:t>Validity:</w:t>
      </w:r>
      <w:r w:rsidRPr="00835505">
        <w:rPr>
          <w:rFonts w:ascii="Arial" w:eastAsia="Arial" w:hAnsi="Arial" w:cs="Arial"/>
          <w:sz w:val="22"/>
          <w:szCs w:val="22"/>
        </w:rPr>
        <w:t xml:space="preserve"> Did the study use appropriate methods to answer the research question?</w:t>
      </w:r>
    </w:p>
    <w:p w14:paraId="79649E7D" w14:textId="0D254892" w:rsidR="4794A9E9" w:rsidRPr="00835505" w:rsidRDefault="4794A9E9" w:rsidP="00835505">
      <w:pPr>
        <w:pStyle w:val="ListParagraph"/>
        <w:numPr>
          <w:ilvl w:val="0"/>
          <w:numId w:val="12"/>
        </w:numPr>
        <w:spacing w:before="240" w:after="240" w:line="360" w:lineRule="auto"/>
        <w:jc w:val="both"/>
        <w:rPr>
          <w:rFonts w:ascii="Arial" w:eastAsia="Arial" w:hAnsi="Arial" w:cs="Arial"/>
          <w:sz w:val="22"/>
          <w:szCs w:val="22"/>
        </w:rPr>
      </w:pPr>
      <w:r w:rsidRPr="00835505">
        <w:rPr>
          <w:rFonts w:ascii="Arial" w:eastAsia="Arial" w:hAnsi="Arial" w:cs="Arial"/>
          <w:b/>
          <w:bCs/>
          <w:sz w:val="22"/>
          <w:szCs w:val="22"/>
        </w:rPr>
        <w:t>Trustworthiness:</w:t>
      </w:r>
      <w:r w:rsidRPr="00835505">
        <w:rPr>
          <w:rFonts w:ascii="Arial" w:eastAsia="Arial" w:hAnsi="Arial" w:cs="Arial"/>
          <w:sz w:val="22"/>
          <w:szCs w:val="22"/>
        </w:rPr>
        <w:t xml:space="preserve"> Is the data analysis transparent and auditable?</w:t>
      </w:r>
    </w:p>
    <w:p w14:paraId="4EEF3641" w14:textId="7DCB2F40" w:rsidR="4794A9E9" w:rsidRPr="00835505" w:rsidRDefault="4794A9E9" w:rsidP="00835505">
      <w:pPr>
        <w:pStyle w:val="ListParagraph"/>
        <w:numPr>
          <w:ilvl w:val="0"/>
          <w:numId w:val="12"/>
        </w:numPr>
        <w:spacing w:before="240" w:after="240" w:line="360" w:lineRule="auto"/>
        <w:jc w:val="both"/>
        <w:rPr>
          <w:rFonts w:ascii="Arial" w:eastAsia="Arial" w:hAnsi="Arial" w:cs="Arial"/>
          <w:sz w:val="22"/>
          <w:szCs w:val="22"/>
        </w:rPr>
      </w:pPr>
      <w:r w:rsidRPr="00835505">
        <w:rPr>
          <w:rFonts w:ascii="Arial" w:eastAsia="Arial" w:hAnsi="Arial" w:cs="Arial"/>
          <w:b/>
          <w:bCs/>
          <w:sz w:val="22"/>
          <w:szCs w:val="22"/>
        </w:rPr>
        <w:t>Applicability:</w:t>
      </w:r>
      <w:r w:rsidRPr="00835505">
        <w:rPr>
          <w:rFonts w:ascii="Arial" w:eastAsia="Arial" w:hAnsi="Arial" w:cs="Arial"/>
          <w:sz w:val="22"/>
          <w:szCs w:val="22"/>
        </w:rPr>
        <w:t xml:space="preserve"> Are the findings relevant to the specific UK T2D population?</w:t>
      </w:r>
    </w:p>
    <w:p w14:paraId="0D3C0FA6" w14:textId="4EE87FCA" w:rsidR="4794A9E9" w:rsidRPr="00835505" w:rsidRDefault="4794A9E9" w:rsidP="00835505">
      <w:pPr>
        <w:pStyle w:val="ListParagraph"/>
        <w:numPr>
          <w:ilvl w:val="0"/>
          <w:numId w:val="12"/>
        </w:numPr>
        <w:spacing w:before="240" w:after="240" w:line="360" w:lineRule="auto"/>
        <w:jc w:val="both"/>
        <w:rPr>
          <w:rFonts w:ascii="Arial" w:eastAsia="Arial" w:hAnsi="Arial" w:cs="Arial"/>
          <w:sz w:val="22"/>
          <w:szCs w:val="22"/>
        </w:rPr>
      </w:pPr>
      <w:r w:rsidRPr="00835505">
        <w:rPr>
          <w:rFonts w:ascii="Arial" w:eastAsia="Arial" w:hAnsi="Arial" w:cs="Arial"/>
          <w:b/>
          <w:bCs/>
          <w:sz w:val="22"/>
          <w:szCs w:val="22"/>
        </w:rPr>
        <w:t>Ethical Rigour:</w:t>
      </w:r>
      <w:r w:rsidRPr="00835505">
        <w:rPr>
          <w:rFonts w:ascii="Arial" w:eastAsia="Arial" w:hAnsi="Arial" w:cs="Arial"/>
          <w:sz w:val="22"/>
          <w:szCs w:val="22"/>
        </w:rPr>
        <w:t xml:space="preserve"> Were the participants protected from harm?</w:t>
      </w:r>
    </w:p>
    <w:p w14:paraId="63468D9C" w14:textId="77777777" w:rsidR="00BA24D8" w:rsidRPr="003F4664" w:rsidRDefault="00BA24D8" w:rsidP="003F4664">
      <w:pPr>
        <w:pStyle w:val="Heading3"/>
        <w:rPr>
          <w:b/>
          <w:bCs/>
        </w:rPr>
      </w:pPr>
      <w:bookmarkStart w:id="59" w:name="_Toc230113881"/>
      <w:r w:rsidRPr="003F4664">
        <w:rPr>
          <w:b/>
          <w:bCs/>
        </w:rPr>
        <w:t>4.4.1 Justification and Comparison</w:t>
      </w:r>
      <w:bookmarkEnd w:id="59"/>
    </w:p>
    <w:p w14:paraId="24B382F3" w14:textId="77777777" w:rsidR="00BA24D8" w:rsidRPr="002E6A95" w:rsidRDefault="00BA24D8" w:rsidP="00390DE3">
      <w:pPr>
        <w:pStyle w:val="ListParagraph"/>
        <w:spacing w:line="360" w:lineRule="auto"/>
        <w:jc w:val="both"/>
        <w:rPr>
          <w:rFonts w:ascii="Arial" w:hAnsi="Arial" w:cs="Arial"/>
          <w:sz w:val="22"/>
          <w:szCs w:val="22"/>
        </w:rPr>
      </w:pPr>
      <w:r w:rsidRPr="002E6A95">
        <w:rPr>
          <w:rFonts w:ascii="Arial" w:hAnsi="Arial" w:cs="Arial"/>
          <w:sz w:val="22"/>
          <w:szCs w:val="22"/>
        </w:rPr>
        <w:t>The CASP tool was selected over alternatives, such as the Joanna Briggs Institute (JBI) checklist, for several strategic reasons:</w:t>
      </w:r>
    </w:p>
    <w:p w14:paraId="15B35FA0" w14:textId="77777777" w:rsidR="00BA24D8" w:rsidRPr="002E6A95" w:rsidRDefault="00BA24D8" w:rsidP="00390DE3">
      <w:pPr>
        <w:pStyle w:val="ListParagraph"/>
        <w:spacing w:line="360" w:lineRule="auto"/>
        <w:jc w:val="both"/>
        <w:rPr>
          <w:rFonts w:ascii="Arial" w:hAnsi="Arial" w:cs="Arial"/>
          <w:sz w:val="22"/>
          <w:szCs w:val="22"/>
        </w:rPr>
      </w:pPr>
      <w:r w:rsidRPr="002E6A95">
        <w:rPr>
          <w:rFonts w:ascii="Arial" w:hAnsi="Arial" w:cs="Arial"/>
          <w:b/>
          <w:bCs/>
          <w:sz w:val="22"/>
          <w:szCs w:val="22"/>
        </w:rPr>
        <w:t>Focus on Reflexivity:</w:t>
      </w:r>
      <w:r w:rsidRPr="002E6A95">
        <w:rPr>
          <w:rFonts w:ascii="Arial" w:hAnsi="Arial" w:cs="Arial"/>
          <w:sz w:val="22"/>
          <w:szCs w:val="22"/>
        </w:rPr>
        <w:t xml:space="preserve"> CASP explicitly interrogates the relationship between the researcher and the participants—a vital consideration in Tirzepatide research, where clinician bias regarding weight can inadvertently shape patient testimony.</w:t>
      </w:r>
    </w:p>
    <w:p w14:paraId="1D682B35" w14:textId="01F5EA45" w:rsidR="00BA24D8" w:rsidRPr="002E6A95" w:rsidRDefault="00BA24D8" w:rsidP="00390DE3">
      <w:pPr>
        <w:pStyle w:val="ListParagraph"/>
        <w:spacing w:line="360" w:lineRule="auto"/>
        <w:jc w:val="both"/>
        <w:rPr>
          <w:rFonts w:ascii="Arial" w:hAnsi="Arial" w:cs="Arial"/>
          <w:sz w:val="22"/>
          <w:szCs w:val="22"/>
        </w:rPr>
      </w:pPr>
      <w:r w:rsidRPr="002E6A95">
        <w:rPr>
          <w:rFonts w:ascii="Arial" w:hAnsi="Arial" w:cs="Arial"/>
          <w:b/>
          <w:bCs/>
          <w:sz w:val="22"/>
          <w:szCs w:val="22"/>
        </w:rPr>
        <w:t>Narrative Richness:</w:t>
      </w:r>
      <w:r w:rsidRPr="002E6A95">
        <w:rPr>
          <w:rFonts w:ascii="Arial" w:hAnsi="Arial" w:cs="Arial"/>
          <w:sz w:val="22"/>
          <w:szCs w:val="22"/>
        </w:rPr>
        <w:t xml:space="preserve"> While the JBI tool often yields a numerical score, CASP encourages a narrative assessment of quality. At the MSc level, a narrative critique is often more insightful, as it allows for a nuanced discussion of a study’s richness rather than reducing complex human experience to a rigid digit (Aveyard, 2023).</w:t>
      </w:r>
    </w:p>
    <w:p w14:paraId="404E5EEE" w14:textId="0C2EFE09" w:rsidR="00BA24D8" w:rsidRPr="002E6A95" w:rsidRDefault="00BA24D8" w:rsidP="00390DE3">
      <w:pPr>
        <w:pStyle w:val="ListParagraph"/>
        <w:spacing w:line="360" w:lineRule="auto"/>
        <w:jc w:val="both"/>
        <w:rPr>
          <w:rFonts w:ascii="Arial" w:hAnsi="Arial" w:cs="Arial"/>
          <w:sz w:val="22"/>
          <w:szCs w:val="22"/>
        </w:rPr>
      </w:pPr>
      <w:r w:rsidRPr="002E6A95">
        <w:rPr>
          <w:rFonts w:ascii="Arial" w:hAnsi="Arial" w:cs="Arial"/>
          <w:b/>
          <w:bCs/>
          <w:sz w:val="22"/>
          <w:szCs w:val="22"/>
        </w:rPr>
        <w:lastRenderedPageBreak/>
        <w:t>Feasibility and Standardisation:</w:t>
      </w:r>
      <w:r w:rsidRPr="002E6A95">
        <w:rPr>
          <w:rFonts w:ascii="Arial" w:hAnsi="Arial" w:cs="Arial"/>
          <w:sz w:val="22"/>
          <w:szCs w:val="22"/>
        </w:rPr>
        <w:t xml:space="preserve"> The 10-point screening format ensures that each of the selected papers is subjected to the same level of scrutiny, facilitating a transparent quality map of the current UK evidence base.</w:t>
      </w:r>
    </w:p>
    <w:p w14:paraId="4E7AA0D6" w14:textId="77777777" w:rsidR="00BA24D8" w:rsidRPr="00BA24D8" w:rsidRDefault="00BA24D8" w:rsidP="00BA24D8">
      <w:pPr>
        <w:spacing w:before="240" w:after="240" w:line="360" w:lineRule="auto"/>
        <w:rPr>
          <w:rFonts w:ascii="Arial" w:eastAsia="Arial" w:hAnsi="Arial" w:cs="Arial"/>
        </w:rPr>
      </w:pPr>
    </w:p>
    <w:p w14:paraId="3102CB3E" w14:textId="14F0FADF" w:rsidR="5693555B" w:rsidRPr="00107D0A" w:rsidRDefault="5693555B" w:rsidP="00FC1D17">
      <w:pPr>
        <w:pStyle w:val="Heading2"/>
        <w:spacing w:line="360" w:lineRule="auto"/>
        <w:rPr>
          <w:rFonts w:ascii="Arial" w:hAnsi="Arial" w:cs="Arial"/>
          <w:b/>
          <w:bCs/>
        </w:rPr>
      </w:pPr>
      <w:bookmarkStart w:id="60" w:name="_Toc230113882"/>
      <w:r w:rsidRPr="00107D0A">
        <w:rPr>
          <w:rFonts w:ascii="Arial" w:hAnsi="Arial" w:cs="Arial"/>
          <w:b/>
          <w:bCs/>
        </w:rPr>
        <w:t>4.5 Evaluation of Qualitative Studies using the CASP Tool</w:t>
      </w:r>
      <w:bookmarkEnd w:id="60"/>
    </w:p>
    <w:p w14:paraId="3D795F0D" w14:textId="2F663657" w:rsidR="5693555B" w:rsidRPr="00390DE3" w:rsidRDefault="5693555B" w:rsidP="00390DE3">
      <w:pPr>
        <w:spacing w:before="240" w:after="240" w:line="360" w:lineRule="auto"/>
        <w:jc w:val="both"/>
        <w:rPr>
          <w:rFonts w:ascii="Arial" w:eastAsia="Arial" w:hAnsi="Arial" w:cs="Arial"/>
          <w:sz w:val="22"/>
          <w:szCs w:val="22"/>
        </w:rPr>
      </w:pPr>
      <w:r w:rsidRPr="00390DE3">
        <w:rPr>
          <w:rFonts w:ascii="Arial" w:eastAsia="Arial" w:hAnsi="Arial" w:cs="Arial"/>
          <w:sz w:val="22"/>
          <w:szCs w:val="22"/>
        </w:rPr>
        <w:t xml:space="preserve">For this review, the Critical Appraisal Skills Programme (CASP) Qualitative Checklist was chosen. The CASP tool is the most widely recognised instrument for qualitative appraisal in health research (Noyes </w:t>
      </w:r>
      <w:r w:rsidRPr="00390DE3">
        <w:rPr>
          <w:rFonts w:ascii="Arial" w:eastAsia="Arial" w:hAnsi="Arial" w:cs="Arial"/>
          <w:i/>
          <w:iCs/>
          <w:sz w:val="22"/>
          <w:szCs w:val="22"/>
        </w:rPr>
        <w:t>et al.</w:t>
      </w:r>
      <w:r w:rsidRPr="00390DE3">
        <w:rPr>
          <w:rFonts w:ascii="Arial" w:eastAsia="Arial" w:hAnsi="Arial" w:cs="Arial"/>
          <w:sz w:val="22"/>
          <w:szCs w:val="22"/>
        </w:rPr>
        <w:t>, 2019). It consists of 10 questions focusing on issues such as research design, recruitment strategy, data collection, and the relationship between researcher and participants.</w:t>
      </w:r>
    </w:p>
    <w:p w14:paraId="61F388CE" w14:textId="5BF2F1F0" w:rsidR="5693555B" w:rsidRPr="00072628" w:rsidRDefault="5693555B" w:rsidP="00072628">
      <w:pPr>
        <w:pStyle w:val="Heading3"/>
        <w:rPr>
          <w:b/>
          <w:bCs/>
        </w:rPr>
      </w:pPr>
      <w:bookmarkStart w:id="61" w:name="_Toc230113883"/>
      <w:r w:rsidRPr="00072628">
        <w:rPr>
          <w:b/>
          <w:bCs/>
        </w:rPr>
        <w:t>Justification and Comparison</w:t>
      </w:r>
      <w:bookmarkEnd w:id="61"/>
    </w:p>
    <w:p w14:paraId="2779FCCF" w14:textId="34917DDD" w:rsidR="5693555B" w:rsidRPr="00085AC5" w:rsidRDefault="5693555B" w:rsidP="001F68D0">
      <w:pPr>
        <w:spacing w:before="240" w:after="240" w:line="360" w:lineRule="auto"/>
        <w:jc w:val="both"/>
        <w:rPr>
          <w:rFonts w:ascii="Arial" w:eastAsia="Arial" w:hAnsi="Arial" w:cs="Arial"/>
          <w:sz w:val="22"/>
          <w:szCs w:val="22"/>
        </w:rPr>
      </w:pPr>
      <w:r w:rsidRPr="00085AC5">
        <w:rPr>
          <w:rFonts w:ascii="Arial" w:eastAsia="Arial" w:hAnsi="Arial" w:cs="Arial"/>
          <w:sz w:val="22"/>
          <w:szCs w:val="22"/>
        </w:rPr>
        <w:t>The CASP tool was selected over alternatives like the JBI (Joanna Briggs Institute) checklist due to its user-friendly, screening question format which allows for a high degree of standardisation.</w:t>
      </w:r>
    </w:p>
    <w:p w14:paraId="7D15827C" w14:textId="3E35F006" w:rsidR="5693555B" w:rsidRPr="00085AC5" w:rsidRDefault="5693555B" w:rsidP="001F68D0">
      <w:pPr>
        <w:pStyle w:val="ListParagraph"/>
        <w:numPr>
          <w:ilvl w:val="0"/>
          <w:numId w:val="11"/>
        </w:numPr>
        <w:spacing w:before="240" w:after="240" w:line="360" w:lineRule="auto"/>
        <w:jc w:val="both"/>
        <w:rPr>
          <w:rFonts w:ascii="Arial" w:eastAsia="Arial" w:hAnsi="Arial" w:cs="Arial"/>
          <w:sz w:val="22"/>
          <w:szCs w:val="22"/>
        </w:rPr>
      </w:pPr>
      <w:r w:rsidRPr="00085AC5">
        <w:rPr>
          <w:rFonts w:ascii="Arial" w:eastAsia="Arial" w:hAnsi="Arial" w:cs="Arial"/>
          <w:b/>
          <w:bCs/>
          <w:sz w:val="22"/>
          <w:szCs w:val="22"/>
        </w:rPr>
        <w:t>Strengths:</w:t>
      </w:r>
      <w:r w:rsidRPr="00085AC5">
        <w:rPr>
          <w:rFonts w:ascii="Arial" w:eastAsia="Arial" w:hAnsi="Arial" w:cs="Arial"/>
          <w:sz w:val="22"/>
          <w:szCs w:val="22"/>
        </w:rPr>
        <w:t xml:space="preserve"> It is specifically tailored to qualitative inquiry and is highly regarded for its ability to assess the richness of data.</w:t>
      </w:r>
    </w:p>
    <w:p w14:paraId="399DC219" w14:textId="271FB6C4" w:rsidR="5693555B" w:rsidRPr="00085AC5" w:rsidRDefault="5693555B" w:rsidP="001F68D0">
      <w:pPr>
        <w:pStyle w:val="ListParagraph"/>
        <w:numPr>
          <w:ilvl w:val="0"/>
          <w:numId w:val="11"/>
        </w:numPr>
        <w:spacing w:before="240" w:after="240" w:line="360" w:lineRule="auto"/>
        <w:jc w:val="both"/>
        <w:rPr>
          <w:rFonts w:ascii="Arial" w:eastAsia="Arial" w:hAnsi="Arial" w:cs="Arial"/>
          <w:sz w:val="22"/>
          <w:szCs w:val="22"/>
        </w:rPr>
      </w:pPr>
      <w:r w:rsidRPr="00085AC5">
        <w:rPr>
          <w:rFonts w:ascii="Arial" w:eastAsia="Arial" w:hAnsi="Arial" w:cs="Arial"/>
          <w:b/>
          <w:bCs/>
          <w:sz w:val="22"/>
          <w:szCs w:val="22"/>
        </w:rPr>
        <w:t>Limitations:</w:t>
      </w:r>
      <w:r w:rsidRPr="00085AC5">
        <w:rPr>
          <w:rFonts w:ascii="Arial" w:eastAsia="Arial" w:hAnsi="Arial" w:cs="Arial"/>
          <w:sz w:val="22"/>
          <w:szCs w:val="22"/>
        </w:rPr>
        <w:t xml:space="preserve"> Unlike JBI, CASP does not provide a numerical score, which can make it more subjective. However, for a qualitative review, a narrative assessment of quality is often more insightful than a rigid number (Aveyard, 2023).</w:t>
      </w:r>
    </w:p>
    <w:p w14:paraId="06A04A68" w14:textId="548B7759" w:rsidR="004E38FE" w:rsidRPr="00D2410F" w:rsidRDefault="004E38FE" w:rsidP="00D2410F">
      <w:pPr>
        <w:pStyle w:val="Heading3"/>
        <w:rPr>
          <w:b/>
          <w:bCs/>
        </w:rPr>
      </w:pPr>
      <w:bookmarkStart w:id="62" w:name="_Toc230113884"/>
      <w:r w:rsidRPr="00D2410F">
        <w:rPr>
          <w:b/>
          <w:bCs/>
        </w:rPr>
        <w:t>4.5</w:t>
      </w:r>
      <w:r w:rsidR="00A15D1A" w:rsidRPr="00D2410F">
        <w:rPr>
          <w:b/>
          <w:bCs/>
        </w:rPr>
        <w:t>.1</w:t>
      </w:r>
      <w:r w:rsidRPr="00D2410F">
        <w:rPr>
          <w:b/>
          <w:bCs/>
        </w:rPr>
        <w:t xml:space="preserve"> Evaluative Overview of Included Studies</w:t>
      </w:r>
      <w:bookmarkEnd w:id="62"/>
    </w:p>
    <w:p w14:paraId="6503336D" w14:textId="565F0323" w:rsidR="004E38FE" w:rsidRPr="001549E0" w:rsidRDefault="004E38FE" w:rsidP="001549E0">
      <w:pPr>
        <w:spacing w:line="360" w:lineRule="auto"/>
        <w:jc w:val="both"/>
        <w:rPr>
          <w:rFonts w:ascii="Arial" w:hAnsi="Arial" w:cs="Arial"/>
          <w:sz w:val="22"/>
          <w:szCs w:val="22"/>
        </w:rPr>
      </w:pPr>
      <w:r w:rsidRPr="001549E0">
        <w:rPr>
          <w:rFonts w:ascii="Arial" w:hAnsi="Arial" w:cs="Arial"/>
          <w:sz w:val="22"/>
          <w:szCs w:val="22"/>
        </w:rPr>
        <w:t>While a full breakdown of each paper's appraisal is provided in the Appendices, an overarching evaluation of the ten studies reveals a generally high level of methodological rigour.</w:t>
      </w:r>
    </w:p>
    <w:p w14:paraId="46D8CBB7" w14:textId="34497F29" w:rsidR="004E38FE" w:rsidRPr="001549E0" w:rsidRDefault="004E38FE" w:rsidP="001549E0">
      <w:pPr>
        <w:spacing w:line="360" w:lineRule="auto"/>
        <w:jc w:val="both"/>
        <w:rPr>
          <w:rFonts w:ascii="Arial" w:hAnsi="Arial" w:cs="Arial"/>
          <w:sz w:val="22"/>
          <w:szCs w:val="22"/>
        </w:rPr>
      </w:pPr>
      <w:r w:rsidRPr="001549E0">
        <w:rPr>
          <w:rFonts w:ascii="Arial" w:hAnsi="Arial" w:cs="Arial"/>
          <w:sz w:val="22"/>
          <w:szCs w:val="22"/>
        </w:rPr>
        <w:t>Most studies (e.g., Brown and Thompson, 2024; Davies et al., 2024) demonstrated strong procedural transparency, particularly in their recruitment strategies within the NHS. However, a common weakness identified through the CASP appraisal was a lack of explicit reflexive positioning</w:t>
      </w:r>
      <w:r w:rsidR="00A15D1A" w:rsidRPr="001549E0">
        <w:rPr>
          <w:rFonts w:ascii="Arial" w:hAnsi="Arial" w:cs="Arial"/>
          <w:sz w:val="22"/>
          <w:szCs w:val="22"/>
        </w:rPr>
        <w:t xml:space="preserve"> </w:t>
      </w:r>
      <w:r w:rsidRPr="001549E0">
        <w:rPr>
          <w:rFonts w:ascii="Arial" w:hAnsi="Arial" w:cs="Arial"/>
          <w:sz w:val="22"/>
          <w:szCs w:val="22"/>
        </w:rPr>
        <w:t>many authors failed to discuss how their own clinical backgrounds might have influenced the data collection or analysis. Furthermore, while the studies were ethically robust, several (e.g., Smith et al., 2025) were limited by a lack of longitudinal depth, focusing on the "initiation" phase of Tirzepatide rather than long-term maintenance.</w:t>
      </w:r>
    </w:p>
    <w:p w14:paraId="54CBA719" w14:textId="77777777" w:rsidR="004E38FE" w:rsidRPr="004E38FE" w:rsidRDefault="004E38FE" w:rsidP="004E38FE">
      <w:pPr>
        <w:spacing w:before="240" w:after="240" w:line="360" w:lineRule="auto"/>
        <w:rPr>
          <w:rFonts w:ascii="Arial" w:eastAsia="Arial" w:hAnsi="Arial" w:cs="Arial"/>
        </w:rPr>
      </w:pPr>
    </w:p>
    <w:p w14:paraId="78ACF649" w14:textId="11A87431" w:rsidR="5693555B" w:rsidRPr="00107D0A" w:rsidRDefault="00702195" w:rsidP="00FC1D17">
      <w:pPr>
        <w:pStyle w:val="Heading3"/>
        <w:spacing w:line="360" w:lineRule="auto"/>
        <w:rPr>
          <w:rFonts w:ascii="Arial" w:hAnsi="Arial" w:cs="Arial"/>
          <w:b/>
          <w:bCs/>
        </w:rPr>
      </w:pPr>
      <w:bookmarkStart w:id="63" w:name="_Toc230113885"/>
      <w:r>
        <w:rPr>
          <w:rFonts w:ascii="Arial" w:hAnsi="Arial" w:cs="Arial"/>
          <w:b/>
          <w:bCs/>
        </w:rPr>
        <w:lastRenderedPageBreak/>
        <w:t xml:space="preserve">Table 2: </w:t>
      </w:r>
      <w:r w:rsidR="5693555B" w:rsidRPr="00107D0A">
        <w:rPr>
          <w:rFonts w:ascii="Arial" w:hAnsi="Arial" w:cs="Arial"/>
          <w:b/>
          <w:bCs/>
        </w:rPr>
        <w:t>Appraisal of the 10 Selected Studies</w:t>
      </w:r>
      <w:bookmarkEnd w:id="63"/>
    </w:p>
    <w:p w14:paraId="7FBD6B8C" w14:textId="1F1CA0DB" w:rsidR="5693555B" w:rsidRPr="00EF771B" w:rsidRDefault="5693555B" w:rsidP="00EF771B">
      <w:pPr>
        <w:spacing w:before="240" w:after="240" w:line="360" w:lineRule="auto"/>
        <w:jc w:val="both"/>
        <w:rPr>
          <w:rFonts w:ascii="Arial" w:eastAsia="Arial" w:hAnsi="Arial" w:cs="Arial"/>
          <w:sz w:val="22"/>
          <w:szCs w:val="22"/>
        </w:rPr>
      </w:pPr>
      <w:r w:rsidRPr="00EF771B">
        <w:rPr>
          <w:rFonts w:ascii="Arial" w:eastAsia="Arial" w:hAnsi="Arial" w:cs="Arial"/>
          <w:sz w:val="22"/>
          <w:szCs w:val="22"/>
        </w:rPr>
        <w:t>Each of the 10 studies was screened against the 10 CASP questions. Below is a summary of the quality assessment:</w:t>
      </w:r>
    </w:p>
    <w:tbl>
      <w:tblPr>
        <w:tblW w:w="0" w:type="auto"/>
        <w:tblLook w:val="06A0" w:firstRow="1" w:lastRow="0" w:firstColumn="1" w:lastColumn="0" w:noHBand="1" w:noVBand="1"/>
      </w:tblPr>
      <w:tblGrid>
        <w:gridCol w:w="1983"/>
        <w:gridCol w:w="1277"/>
        <w:gridCol w:w="5750"/>
      </w:tblGrid>
      <w:tr w:rsidR="0048569E" w:rsidRPr="00107D0A" w14:paraId="77D15E39"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63CC7057" w14:textId="44BF8316"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Author (Year)</w:t>
            </w:r>
          </w:p>
        </w:tc>
        <w:tc>
          <w:tcPr>
            <w:tcW w:w="1277"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706CDB9D" w14:textId="792233C1"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CASP Score (/10)</w:t>
            </w:r>
          </w:p>
        </w:tc>
        <w:tc>
          <w:tcPr>
            <w:tcW w:w="5754"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tcMar>
            <w:vAlign w:val="center"/>
          </w:tcPr>
          <w:p w14:paraId="6B725807" w14:textId="39DDF161"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Assessment Summary</w:t>
            </w:r>
          </w:p>
        </w:tc>
      </w:tr>
      <w:tr w:rsidR="0048569E" w:rsidRPr="00107D0A" w14:paraId="0681BF74"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72A3EA8" w14:textId="32335DA7"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BMJ Public Health</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EF60053" w14:textId="127FAA90"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9/10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40CE2C26" w14:textId="0704A9CB"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Robust methodology, though recruitment was largely online.</w:t>
            </w:r>
          </w:p>
        </w:tc>
      </w:tr>
      <w:tr w:rsidR="0048569E" w:rsidRPr="00107D0A" w14:paraId="7D990219"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9CCEBC1" w14:textId="765BC373"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Brown &amp; Thompson</w:t>
            </w:r>
            <w:r w:rsidRPr="003F2E99">
              <w:rPr>
                <w:rFonts w:ascii="Arial" w:eastAsia="Arial" w:hAnsi="Arial" w:cs="Arial"/>
                <w:sz w:val="22"/>
                <w:szCs w:val="22"/>
              </w:rPr>
              <w:t xml:space="preserve"> (2024)</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EC6881A" w14:textId="03560F61"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10/10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8398288" w14:textId="2E2B8D5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Exceptional reflexivity and clear thematic analysis.</w:t>
            </w:r>
          </w:p>
        </w:tc>
      </w:tr>
      <w:tr w:rsidR="0048569E" w:rsidRPr="00107D0A" w14:paraId="40BEFD77"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74599D2" w14:textId="0771745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Davies et al.</w:t>
            </w:r>
            <w:r w:rsidRPr="003F2E99">
              <w:rPr>
                <w:rFonts w:ascii="Arial" w:eastAsia="Arial" w:hAnsi="Arial" w:cs="Arial"/>
                <w:sz w:val="22"/>
                <w:szCs w:val="22"/>
              </w:rPr>
              <w:t xml:space="preserve"> (2024)</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7F20860" w14:textId="42247C09"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8/10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6D37E0B" w14:textId="32345C53"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Medium/High.</w:t>
            </w:r>
            <w:r w:rsidRPr="003F2E99">
              <w:rPr>
                <w:rFonts w:ascii="Arial" w:eastAsia="Arial" w:hAnsi="Arial" w:cs="Arial"/>
                <w:sz w:val="22"/>
                <w:szCs w:val="22"/>
              </w:rPr>
              <w:t xml:space="preserve"> Strong data, but as a sub-analysis, it lacked primary qualitative aim.</w:t>
            </w:r>
          </w:p>
        </w:tc>
      </w:tr>
      <w:tr w:rsidR="0048569E" w:rsidRPr="00107D0A" w14:paraId="069AE378"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758A56C" w14:textId="43997B6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Green et al.</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7A4691F" w14:textId="2794D873"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9/10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0C2B7F7" w14:textId="71EACA6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Mixed-methods provided strong triangulation.</w:t>
            </w:r>
          </w:p>
        </w:tc>
      </w:tr>
      <w:tr w:rsidR="0048569E" w:rsidRPr="00107D0A" w14:paraId="036C3A8B"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0BD0906" w14:textId="0967CD35"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NICE [TA924]</w:t>
            </w:r>
            <w:r w:rsidRPr="003F2E99">
              <w:rPr>
                <w:rFonts w:ascii="Arial" w:eastAsia="Arial" w:hAnsi="Arial" w:cs="Arial"/>
                <w:sz w:val="22"/>
                <w:szCs w:val="22"/>
              </w:rPr>
              <w:t xml:space="preserve"> (2023)</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57DE5F6" w14:textId="27C61557"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N/A</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3405AE4" w14:textId="6F803C8A"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Policy Doc.</w:t>
            </w:r>
            <w:r w:rsidRPr="003F2E99">
              <w:rPr>
                <w:rFonts w:ascii="Arial" w:eastAsia="Arial" w:hAnsi="Arial" w:cs="Arial"/>
                <w:sz w:val="22"/>
                <w:szCs w:val="22"/>
              </w:rPr>
              <w:t xml:space="preserve"> Evaluated for relevance rather than CASP rigor.</w:t>
            </w:r>
          </w:p>
        </w:tc>
      </w:tr>
      <w:tr w:rsidR="0048569E" w:rsidRPr="00107D0A" w14:paraId="645318C3"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1CDB130C" w14:textId="6C3A611D"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NHS England</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92F853D" w14:textId="7E6C6D7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N/A</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1FEE746E" w14:textId="6211D7E8"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Policy Doc.</w:t>
            </w:r>
            <w:r w:rsidRPr="003F2E99">
              <w:rPr>
                <w:rFonts w:ascii="Arial" w:eastAsia="Arial" w:hAnsi="Arial" w:cs="Arial"/>
                <w:sz w:val="22"/>
                <w:szCs w:val="22"/>
              </w:rPr>
              <w:t xml:space="preserve"> Evaluated for contextual value in the UK setting.</w:t>
            </w:r>
          </w:p>
        </w:tc>
      </w:tr>
      <w:tr w:rsidR="0048569E" w:rsidRPr="00107D0A" w14:paraId="4A59A55B"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E470E66" w14:textId="47DD4F3E"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Patel et al.</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BB11413" w14:textId="7234A5EE"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10/10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287A93EB" w14:textId="5F2C7CE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Excellent cultural considerations and ethical transparency.</w:t>
            </w:r>
          </w:p>
        </w:tc>
      </w:tr>
      <w:tr w:rsidR="0048569E" w:rsidRPr="00107D0A" w14:paraId="5C726AE5"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6D8C299" w14:textId="6199637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Smith et al.</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3739B78" w14:textId="1C69B966"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8/10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2681AFC5" w14:textId="128B5FD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Medium.</w:t>
            </w:r>
            <w:r w:rsidRPr="003F2E99">
              <w:rPr>
                <w:rFonts w:ascii="Arial" w:eastAsia="Arial" w:hAnsi="Arial" w:cs="Arial"/>
                <w:sz w:val="22"/>
                <w:szCs w:val="22"/>
              </w:rPr>
              <w:t xml:space="preserve"> Researcher-participant relationship not fully explored.</w:t>
            </w:r>
          </w:p>
        </w:tc>
      </w:tr>
      <w:tr w:rsidR="0048569E" w:rsidRPr="00107D0A" w14:paraId="01DF3230"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3ADB25C" w14:textId="0516A391"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lastRenderedPageBreak/>
              <w:t>Univ. of Surrey</w:t>
            </w:r>
            <w:r w:rsidRPr="003F2E99">
              <w:rPr>
                <w:rFonts w:ascii="Arial" w:eastAsia="Arial" w:hAnsi="Arial" w:cs="Arial"/>
                <w:sz w:val="22"/>
                <w:szCs w:val="22"/>
              </w:rPr>
              <w:t xml:space="preserve"> (2026)</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9CBAD58" w14:textId="712144E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9/10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76F273A4" w14:textId="264EFB12"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Highly relevant "real-world" environmental findings.</w:t>
            </w:r>
          </w:p>
        </w:tc>
      </w:tr>
      <w:tr w:rsidR="00107D0A" w:rsidRPr="00107D0A" w14:paraId="37E381D5" w14:textId="77777777" w:rsidTr="2ED0DBC8">
        <w:trPr>
          <w:trHeight w:val="300"/>
        </w:trPr>
        <w:tc>
          <w:tcPr>
            <w:tcW w:w="1984"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603F0F7" w14:textId="1FAD5EB0"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White</w:t>
            </w:r>
            <w:r w:rsidRPr="003F2E99">
              <w:rPr>
                <w:rFonts w:ascii="Arial" w:eastAsia="Arial" w:hAnsi="Arial" w:cs="Arial"/>
                <w:sz w:val="22"/>
                <w:szCs w:val="22"/>
              </w:rPr>
              <w:t xml:space="preserve"> (2025)</w:t>
            </w:r>
          </w:p>
        </w:tc>
        <w:tc>
          <w:tcPr>
            <w:tcW w:w="1277"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D14DFD1" w14:textId="68559345"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9/10</w:t>
            </w:r>
          </w:p>
        </w:tc>
        <w:tc>
          <w:tcPr>
            <w:tcW w:w="5754"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FC49AD8" w14:textId="16C0FB8B"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High Quality.</w:t>
            </w:r>
            <w:r w:rsidRPr="003F2E99">
              <w:rPr>
                <w:rFonts w:ascii="Arial" w:eastAsia="Arial" w:hAnsi="Arial" w:cs="Arial"/>
                <w:sz w:val="22"/>
                <w:szCs w:val="22"/>
              </w:rPr>
              <w:t xml:space="preserve"> Critical analysis of UK socioeconomic disparities.</w:t>
            </w:r>
          </w:p>
        </w:tc>
      </w:tr>
    </w:tbl>
    <w:p w14:paraId="51E25388" w14:textId="2DC53967" w:rsidR="2ED0DBC8" w:rsidRPr="00107D0A" w:rsidRDefault="2ED0DBC8" w:rsidP="00FC1D17">
      <w:pPr>
        <w:spacing w:before="240" w:after="240" w:line="360" w:lineRule="auto"/>
        <w:rPr>
          <w:rFonts w:ascii="Arial" w:eastAsia="Arial" w:hAnsi="Arial" w:cs="Arial"/>
        </w:rPr>
      </w:pPr>
    </w:p>
    <w:p w14:paraId="13C33026" w14:textId="322D855D" w:rsidR="2F697CE4" w:rsidRPr="0089742E" w:rsidRDefault="2F697CE4" w:rsidP="0089742E">
      <w:pPr>
        <w:pStyle w:val="Heading3"/>
        <w:rPr>
          <w:b/>
          <w:bCs/>
        </w:rPr>
      </w:pPr>
      <w:bookmarkStart w:id="64" w:name="_Toc230113886"/>
      <w:r w:rsidRPr="0089742E">
        <w:rPr>
          <w:b/>
          <w:bCs/>
        </w:rPr>
        <w:t xml:space="preserve">Table </w:t>
      </w:r>
      <w:r w:rsidR="00702195" w:rsidRPr="0089742E">
        <w:rPr>
          <w:b/>
          <w:bCs/>
        </w:rPr>
        <w:t>3</w:t>
      </w:r>
      <w:r w:rsidRPr="0089742E">
        <w:rPr>
          <w:b/>
          <w:bCs/>
        </w:rPr>
        <w:t>: Characteristics of Included Studies (n=10)</w:t>
      </w:r>
      <w:bookmarkEnd w:id="64"/>
    </w:p>
    <w:p w14:paraId="76CFC9E7" w14:textId="66073F4A" w:rsidR="2ED0DBC8" w:rsidRPr="00107D0A" w:rsidRDefault="2ED0DBC8" w:rsidP="00FC1D17">
      <w:pPr>
        <w:spacing w:line="360" w:lineRule="auto"/>
        <w:rPr>
          <w:rFonts w:ascii="Arial" w:eastAsia="Arial" w:hAnsi="Arial" w:cs="Arial"/>
        </w:rPr>
      </w:pPr>
    </w:p>
    <w:tbl>
      <w:tblPr>
        <w:tblW w:w="0" w:type="auto"/>
        <w:tblLook w:val="06A0" w:firstRow="1" w:lastRow="0" w:firstColumn="1" w:lastColumn="0" w:noHBand="1" w:noVBand="1"/>
      </w:tblPr>
      <w:tblGrid>
        <w:gridCol w:w="1571"/>
        <w:gridCol w:w="2551"/>
        <w:gridCol w:w="2483"/>
        <w:gridCol w:w="2405"/>
      </w:tblGrid>
      <w:tr w:rsidR="0048569E" w:rsidRPr="00107D0A" w14:paraId="35F96902"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59872E0A" w14:textId="3F9BA00C"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Author (Year)</w:t>
            </w:r>
          </w:p>
        </w:tc>
        <w:tc>
          <w:tcPr>
            <w:tcW w:w="2066"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125675C3" w14:textId="16DF9E1E"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Study Aim</w:t>
            </w:r>
          </w:p>
        </w:tc>
        <w:tc>
          <w:tcPr>
            <w:tcW w:w="2915"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5D74F00F" w14:textId="6792CA12"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Methodology &amp; Design</w:t>
            </w:r>
          </w:p>
        </w:tc>
        <w:tc>
          <w:tcPr>
            <w:tcW w:w="2287"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tcMar>
            <w:vAlign w:val="center"/>
          </w:tcPr>
          <w:p w14:paraId="743F013D" w14:textId="5357DF29" w:rsidR="2ED0DBC8" w:rsidRPr="003F2E99" w:rsidRDefault="2ED0DBC8" w:rsidP="00FC1D17">
            <w:pPr>
              <w:spacing w:after="0" w:line="360" w:lineRule="auto"/>
              <w:rPr>
                <w:rFonts w:ascii="Arial" w:eastAsia="Arial" w:hAnsi="Arial" w:cs="Arial"/>
                <w:b/>
                <w:bCs/>
                <w:sz w:val="22"/>
                <w:szCs w:val="22"/>
              </w:rPr>
            </w:pPr>
            <w:r w:rsidRPr="003F2E99">
              <w:rPr>
                <w:rFonts w:ascii="Arial" w:eastAsia="Arial" w:hAnsi="Arial" w:cs="Arial"/>
                <w:b/>
                <w:bCs/>
                <w:sz w:val="22"/>
                <w:szCs w:val="22"/>
              </w:rPr>
              <w:t xml:space="preserve">Sample &amp; </w:t>
            </w:r>
            <w:r w:rsidR="003E17E4" w:rsidRPr="003F2E99">
              <w:rPr>
                <w:rFonts w:ascii="Arial" w:eastAsia="Arial" w:hAnsi="Arial" w:cs="Arial"/>
                <w:b/>
                <w:bCs/>
                <w:sz w:val="22"/>
                <w:szCs w:val="22"/>
              </w:rPr>
              <w:t>setting</w:t>
            </w:r>
          </w:p>
        </w:tc>
      </w:tr>
      <w:tr w:rsidR="0048569E" w:rsidRPr="00107D0A" w14:paraId="43573473"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3996AEB" w14:textId="49E8BE0A"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BMJ Public Health</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15FF7560" w14:textId="45A71EB8"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explore public perceptions of GLP-1/GIP meds for weight/diabetes.</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6C28FE2" w14:textId="69C0D60E"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Cross-sectional qualitative survey; Thematic analysis.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C3E0CFF" w14:textId="14ACE30E"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n=1,200 (UK-wide online respondents).</w:t>
            </w:r>
          </w:p>
        </w:tc>
      </w:tr>
      <w:tr w:rsidR="0048569E" w:rsidRPr="00107D0A" w14:paraId="10B842CD"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70A8347" w14:textId="4E8514E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Brown &amp; Thompson</w:t>
            </w:r>
            <w:r w:rsidRPr="003F2E99">
              <w:rPr>
                <w:rFonts w:ascii="Arial" w:eastAsia="Arial" w:hAnsi="Arial" w:cs="Arial"/>
                <w:sz w:val="22"/>
                <w:szCs w:val="22"/>
              </w:rPr>
              <w:t xml:space="preserve"> (2024)</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94C7003" w14:textId="477F2D75"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investigate the psychological impact of "food noise" reduction.</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507ED0D" w14:textId="73D7DA76"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Semi-structured interviews; Interpretative Phenomenological Analysis (IPA).</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79AD73B" w14:textId="78DB443A"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n=15 T2D patients in NHS Primary Care, London.</w:t>
            </w:r>
          </w:p>
        </w:tc>
      </w:tr>
      <w:tr w:rsidR="0048569E" w:rsidRPr="00107D0A" w14:paraId="2BFF79F0"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D154A17" w14:textId="12F29B2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Davies et al.</w:t>
            </w:r>
            <w:r w:rsidRPr="003F2E99">
              <w:rPr>
                <w:rFonts w:ascii="Arial" w:eastAsia="Arial" w:hAnsi="Arial" w:cs="Arial"/>
                <w:sz w:val="22"/>
                <w:szCs w:val="22"/>
              </w:rPr>
              <w:t xml:space="preserve"> (2024)</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D4DDA8C" w14:textId="31C41FC2"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extract patient-reported quality of life (QoL) data.</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9AFF142" w14:textId="58C84D0D"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Qualitative sub-analysis of open-ended trial feedback.</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DAB5643" w14:textId="12BD888F"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n=45 UK participants from SURPASS clinical sites.</w:t>
            </w:r>
          </w:p>
        </w:tc>
      </w:tr>
      <w:tr w:rsidR="0048569E" w:rsidRPr="00107D0A" w14:paraId="61DACEB5"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095A003" w14:textId="2BD76DB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Green et al.</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B1A2191" w14:textId="79C191FD"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understand patient motivation and adherence strategies.</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D9E72CC" w14:textId="1F60573C" w:rsidR="2ED0DBC8" w:rsidRPr="003F2E99" w:rsidRDefault="10BE657E" w:rsidP="00FC1D17">
            <w:pPr>
              <w:spacing w:after="0" w:line="360" w:lineRule="auto"/>
              <w:rPr>
                <w:rFonts w:ascii="Arial" w:eastAsia="Arial" w:hAnsi="Arial" w:cs="Arial"/>
                <w:sz w:val="22"/>
                <w:szCs w:val="22"/>
              </w:rPr>
            </w:pPr>
            <w:r w:rsidRPr="003F2E99">
              <w:rPr>
                <w:rFonts w:ascii="Arial" w:eastAsia="Arial" w:hAnsi="Arial" w:cs="Arial"/>
                <w:sz w:val="22"/>
                <w:szCs w:val="22"/>
              </w:rPr>
              <w:t>Mixed methods</w:t>
            </w:r>
            <w:r w:rsidR="28FE5574" w:rsidRPr="003F2E99">
              <w:rPr>
                <w:rFonts w:ascii="Arial" w:eastAsia="Arial" w:hAnsi="Arial" w:cs="Arial"/>
                <w:sz w:val="22"/>
                <w:szCs w:val="22"/>
              </w:rPr>
              <w:t>: Convergent parallel design (Interviews + Surveys).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6460C06" w14:textId="48041468"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n=60 adults with T2D across various UK regions.</w:t>
            </w:r>
          </w:p>
        </w:tc>
      </w:tr>
      <w:tr w:rsidR="0048569E" w:rsidRPr="00107D0A" w14:paraId="3C9976EE"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9198818" w14:textId="3DBD508A"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lastRenderedPageBreak/>
              <w:t>NICE [TA924]</w:t>
            </w:r>
            <w:r w:rsidRPr="003F2E99">
              <w:rPr>
                <w:rFonts w:ascii="Arial" w:eastAsia="Arial" w:hAnsi="Arial" w:cs="Arial"/>
                <w:sz w:val="22"/>
                <w:szCs w:val="22"/>
              </w:rPr>
              <w:t xml:space="preserve"> (2023)</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AE1FA25" w14:textId="18636ECA"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assess the clinical and cost-effectiveness of Tirzepatide.</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50D7210" w14:textId="2D3D8F34"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Qualitative synthesis of patient expert witness statements.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045BD8B" w14:textId="31C4ABA6"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Multiple UK patient advocacy groups (e.g., Diabetes UK).</w:t>
            </w:r>
          </w:p>
        </w:tc>
      </w:tr>
      <w:tr w:rsidR="0048569E" w:rsidRPr="00107D0A" w14:paraId="5C672902"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E71B0F5" w14:textId="131F4BBE"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NHS England</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09774E2" w14:textId="7671F34B"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outline implementation hurdles and patient access issues.</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536011F7" w14:textId="276BBBB5"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Policy review incorporating patient-level feedback data.</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78555BD0" w14:textId="2F02CD50"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NHS Integrated Care Boards (ICBs) across England.</w:t>
            </w:r>
          </w:p>
        </w:tc>
      </w:tr>
      <w:tr w:rsidR="0048569E" w:rsidRPr="00107D0A" w14:paraId="7B9F9036"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3F25B6F" w14:textId="55EFE539"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Patel et al.</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0400978" w14:textId="5AE9E6EC"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identify cultural determinants of injectable medication uptake.</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782B6D9" w14:textId="13626F5F"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Focus groups conducted in multiple languages.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04A0A8C3" w14:textId="36A8C274"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n=32 South Asian T2D patients in Leicester/Birmingham.</w:t>
            </w:r>
          </w:p>
        </w:tc>
      </w:tr>
      <w:tr w:rsidR="0048569E" w:rsidRPr="00107D0A" w14:paraId="2A14ED1C"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07D4B62" w14:textId="3A1FAB02"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Smith et al.</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B6CAD07" w14:textId="05B922A0"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evaluate the clinician-patient relationship during titration.</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623A07E2" w14:textId="07561673"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Dyadic interviews (Patient + GP pairs).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126625BC" w14:textId="65D0C83A"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n=20 dyads (10 GPs, 10 Patients) in Northern England.</w:t>
            </w:r>
          </w:p>
        </w:tc>
      </w:tr>
      <w:tr w:rsidR="0048569E" w:rsidRPr="00107D0A" w14:paraId="2C641FE7"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36C9BF8" w14:textId="375703BC"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Univ. of Surrey</w:t>
            </w:r>
            <w:r w:rsidRPr="003F2E99">
              <w:rPr>
                <w:rFonts w:ascii="Arial" w:eastAsia="Arial" w:hAnsi="Arial" w:cs="Arial"/>
                <w:sz w:val="22"/>
                <w:szCs w:val="22"/>
              </w:rPr>
              <w:t xml:space="preserve"> (2026)</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519DBEE" w14:textId="2591B26E"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examine the practical/environmental logistics of weekly injections.</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46C654EA" w14:textId="01100772"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Thematic analysis of online health forums and diaries.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126488E6" w14:textId="0D0939ED"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n=50 UK-based Tirzepatide users.</w:t>
            </w:r>
          </w:p>
        </w:tc>
      </w:tr>
      <w:tr w:rsidR="00107D0A" w:rsidRPr="00107D0A" w14:paraId="5ACC7456" w14:textId="77777777" w:rsidTr="1AE78CA7">
        <w:trPr>
          <w:trHeight w:val="300"/>
        </w:trPr>
        <w:tc>
          <w:tcPr>
            <w:tcW w:w="1748"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1322E668" w14:textId="317D31A9"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b/>
                <w:bCs/>
                <w:sz w:val="22"/>
                <w:szCs w:val="22"/>
              </w:rPr>
              <w:t>White</w:t>
            </w:r>
            <w:r w:rsidRPr="003F2E99">
              <w:rPr>
                <w:rFonts w:ascii="Arial" w:eastAsia="Arial" w:hAnsi="Arial" w:cs="Arial"/>
                <w:sz w:val="22"/>
                <w:szCs w:val="22"/>
              </w:rPr>
              <w:t xml:space="preserve"> (2025)</w:t>
            </w:r>
          </w:p>
        </w:tc>
        <w:tc>
          <w:tcPr>
            <w:tcW w:w="2066"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A85BB12" w14:textId="11AD65DB"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To compare the lived experiences of private vs NHS patient pathways.</w:t>
            </w:r>
          </w:p>
        </w:tc>
        <w:tc>
          <w:tcPr>
            <w:tcW w:w="2915"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79CDE9EC" w14:textId="73B6FE63" w:rsidR="2ED0DBC8" w:rsidRPr="003F2E99" w:rsidRDefault="2ED0DBC8" w:rsidP="00FC1D17">
            <w:pPr>
              <w:spacing w:after="0" w:line="360" w:lineRule="auto"/>
              <w:rPr>
                <w:rFonts w:ascii="Arial" w:eastAsia="Arial" w:hAnsi="Arial" w:cs="Arial"/>
                <w:sz w:val="22"/>
                <w:szCs w:val="22"/>
              </w:rPr>
            </w:pPr>
            <w:r w:rsidRPr="003F2E99">
              <w:rPr>
                <w:rFonts w:ascii="Arial" w:eastAsia="Arial" w:hAnsi="Arial" w:cs="Arial"/>
                <w:sz w:val="22"/>
                <w:szCs w:val="22"/>
              </w:rPr>
              <w:t>Ethnographic interviews and case study analysis.</w:t>
            </w:r>
          </w:p>
        </w:tc>
        <w:tc>
          <w:tcPr>
            <w:tcW w:w="2287"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644EEF90" w14:textId="5FFCBD7E" w:rsidR="2ED0DBC8" w:rsidRPr="003F2E99" w:rsidRDefault="28FE5574" w:rsidP="00FC1D17">
            <w:pPr>
              <w:spacing w:after="0" w:line="360" w:lineRule="auto"/>
              <w:rPr>
                <w:rFonts w:ascii="Arial" w:eastAsia="Arial" w:hAnsi="Arial" w:cs="Arial"/>
                <w:sz w:val="22"/>
                <w:szCs w:val="22"/>
              </w:rPr>
            </w:pPr>
            <w:r w:rsidRPr="003F2E99">
              <w:rPr>
                <w:rFonts w:ascii="Arial" w:eastAsia="Arial" w:hAnsi="Arial" w:cs="Arial"/>
                <w:sz w:val="22"/>
                <w:szCs w:val="22"/>
              </w:rPr>
              <w:t>n=18 participants from both private clinics and NHS.</w:t>
            </w:r>
          </w:p>
        </w:tc>
      </w:tr>
    </w:tbl>
    <w:p w14:paraId="7F068101" w14:textId="69EBC823" w:rsidR="1AE78CA7" w:rsidRPr="00107D0A" w:rsidRDefault="1AE78CA7" w:rsidP="00FC1D17">
      <w:pPr>
        <w:spacing w:line="360" w:lineRule="auto"/>
        <w:rPr>
          <w:rFonts w:ascii="Arial" w:eastAsia="Arial" w:hAnsi="Arial" w:cs="Arial"/>
        </w:rPr>
      </w:pPr>
    </w:p>
    <w:p w14:paraId="3418DD99" w14:textId="6A69DBDA" w:rsidR="48EDB616" w:rsidRPr="00C74282" w:rsidRDefault="48EDB616" w:rsidP="00FC1D17">
      <w:pPr>
        <w:spacing w:line="360" w:lineRule="auto"/>
        <w:rPr>
          <w:rFonts w:ascii="Arial" w:eastAsia="Arial" w:hAnsi="Arial" w:cs="Arial"/>
          <w:sz w:val="22"/>
          <w:szCs w:val="22"/>
        </w:rPr>
      </w:pPr>
      <w:r w:rsidRPr="00C74282">
        <w:rPr>
          <w:rFonts w:ascii="Arial" w:eastAsia="Arial" w:hAnsi="Arial" w:cs="Arial"/>
          <w:sz w:val="22"/>
          <w:szCs w:val="22"/>
        </w:rPr>
        <w:t xml:space="preserve">Additionally, the Methodological Diversity: this review includes a mix of Interviews (Brown &amp; Thompson), Focus Groups (Patel </w:t>
      </w:r>
      <w:r w:rsidRPr="00C74282">
        <w:rPr>
          <w:rFonts w:ascii="Arial" w:eastAsia="Arial" w:hAnsi="Arial" w:cs="Arial"/>
          <w:i/>
          <w:iCs/>
          <w:sz w:val="22"/>
          <w:szCs w:val="22"/>
        </w:rPr>
        <w:t>et al.</w:t>
      </w:r>
      <w:r w:rsidRPr="00C74282">
        <w:rPr>
          <w:rFonts w:ascii="Arial" w:eastAsia="Arial" w:hAnsi="Arial" w:cs="Arial"/>
          <w:sz w:val="22"/>
          <w:szCs w:val="22"/>
        </w:rPr>
        <w:t>), and Policy feedback (NICE). This is called Methodological Triangulation.</w:t>
      </w:r>
    </w:p>
    <w:p w14:paraId="264024DB" w14:textId="33CB046F" w:rsidR="00702195" w:rsidRPr="00C74282" w:rsidRDefault="16077481" w:rsidP="00FC1D17">
      <w:pPr>
        <w:spacing w:before="240" w:after="240" w:line="360" w:lineRule="auto"/>
        <w:rPr>
          <w:rFonts w:ascii="Arial" w:eastAsia="Arial" w:hAnsi="Arial" w:cs="Arial"/>
          <w:sz w:val="22"/>
          <w:szCs w:val="22"/>
        </w:rPr>
      </w:pPr>
      <w:r w:rsidRPr="00C74282">
        <w:rPr>
          <w:rFonts w:ascii="Arial" w:eastAsia="Arial" w:hAnsi="Arial" w:cs="Arial"/>
          <w:b/>
          <w:bCs/>
          <w:sz w:val="22"/>
          <w:szCs w:val="22"/>
        </w:rPr>
        <w:lastRenderedPageBreak/>
        <w:t>The UK Context:</w:t>
      </w:r>
      <w:r w:rsidRPr="00C74282">
        <w:rPr>
          <w:rFonts w:ascii="Arial" w:eastAsia="Arial" w:hAnsi="Arial" w:cs="Arial"/>
          <w:sz w:val="22"/>
          <w:szCs w:val="22"/>
        </w:rPr>
        <w:t xml:space="preserve"> </w:t>
      </w:r>
      <w:r w:rsidR="05E5D9F7" w:rsidRPr="00C74282">
        <w:rPr>
          <w:rFonts w:ascii="Arial" w:eastAsia="Arial" w:hAnsi="Arial" w:cs="Arial"/>
          <w:sz w:val="22"/>
          <w:szCs w:val="22"/>
        </w:rPr>
        <w:t xml:space="preserve">as it </w:t>
      </w:r>
      <w:r w:rsidR="5ED44BD0" w:rsidRPr="00C74282">
        <w:rPr>
          <w:rFonts w:ascii="Arial" w:eastAsia="Arial" w:hAnsi="Arial" w:cs="Arial"/>
          <w:sz w:val="22"/>
          <w:szCs w:val="22"/>
        </w:rPr>
        <w:t>shows</w:t>
      </w:r>
      <w:r w:rsidR="05E5D9F7" w:rsidRPr="00C74282">
        <w:rPr>
          <w:rFonts w:ascii="Arial" w:eastAsia="Arial" w:hAnsi="Arial" w:cs="Arial"/>
          <w:sz w:val="22"/>
          <w:szCs w:val="22"/>
        </w:rPr>
        <w:t xml:space="preserve"> from the review </w:t>
      </w:r>
      <w:r w:rsidRPr="00C74282">
        <w:rPr>
          <w:rFonts w:ascii="Arial" w:eastAsia="Arial" w:hAnsi="Arial" w:cs="Arial"/>
          <w:sz w:val="22"/>
          <w:szCs w:val="22"/>
        </w:rPr>
        <w:t>the settings</w:t>
      </w:r>
      <w:r w:rsidR="19000BC9" w:rsidRPr="00C74282">
        <w:rPr>
          <w:rFonts w:ascii="Arial" w:eastAsia="Arial" w:hAnsi="Arial" w:cs="Arial"/>
          <w:sz w:val="22"/>
          <w:szCs w:val="22"/>
        </w:rPr>
        <w:t xml:space="preserve"> </w:t>
      </w:r>
      <w:r w:rsidR="27EDB937" w:rsidRPr="00C74282">
        <w:rPr>
          <w:rFonts w:ascii="Arial" w:eastAsia="Arial" w:hAnsi="Arial" w:cs="Arial"/>
          <w:sz w:val="22"/>
          <w:szCs w:val="22"/>
        </w:rPr>
        <w:t>are</w:t>
      </w:r>
      <w:r w:rsidRPr="00C74282">
        <w:rPr>
          <w:rFonts w:ascii="Arial" w:eastAsia="Arial" w:hAnsi="Arial" w:cs="Arial"/>
          <w:sz w:val="22"/>
          <w:szCs w:val="22"/>
        </w:rPr>
        <w:t xml:space="preserve"> London, Leicester, Birmingham, and Northern England. Highlighting these specific UK locales proves </w:t>
      </w:r>
      <w:r w:rsidR="39BD7CA4" w:rsidRPr="00C74282">
        <w:rPr>
          <w:rFonts w:ascii="Arial" w:eastAsia="Arial" w:hAnsi="Arial" w:cs="Arial"/>
          <w:sz w:val="22"/>
          <w:szCs w:val="22"/>
        </w:rPr>
        <w:t>the</w:t>
      </w:r>
      <w:r w:rsidRPr="00C74282">
        <w:rPr>
          <w:rFonts w:ascii="Arial" w:eastAsia="Arial" w:hAnsi="Arial" w:cs="Arial"/>
          <w:sz w:val="22"/>
          <w:szCs w:val="22"/>
        </w:rPr>
        <w:t xml:space="preserve"> review isn't just general but specifically addresses the NHS landscape.</w:t>
      </w:r>
    </w:p>
    <w:p w14:paraId="3D882B85" w14:textId="7F231DD6" w:rsidR="37BBDFC0" w:rsidRPr="0089742E" w:rsidRDefault="00D64C63" w:rsidP="0089742E">
      <w:pPr>
        <w:pStyle w:val="Heading3"/>
        <w:rPr>
          <w:b/>
          <w:bCs/>
        </w:rPr>
      </w:pPr>
      <w:bookmarkStart w:id="65" w:name="_Toc230113887"/>
      <w:r w:rsidRPr="0089742E">
        <w:rPr>
          <w:b/>
          <w:bCs/>
        </w:rPr>
        <w:t xml:space="preserve">Table 4: </w:t>
      </w:r>
      <w:r w:rsidR="37BBDFC0" w:rsidRPr="0089742E">
        <w:rPr>
          <w:b/>
          <w:bCs/>
        </w:rPr>
        <w:t>CASP TABLE</w:t>
      </w:r>
      <w:bookmarkEnd w:id="65"/>
    </w:p>
    <w:tbl>
      <w:tblPr>
        <w:tblStyle w:val="PlainTable1"/>
        <w:tblW w:w="0" w:type="auto"/>
        <w:tblLook w:val="06A0" w:firstRow="1" w:lastRow="0" w:firstColumn="1" w:lastColumn="0" w:noHBand="1" w:noVBand="1"/>
      </w:tblPr>
      <w:tblGrid>
        <w:gridCol w:w="729"/>
        <w:gridCol w:w="698"/>
        <w:gridCol w:w="836"/>
        <w:gridCol w:w="764"/>
        <w:gridCol w:w="764"/>
        <w:gridCol w:w="722"/>
        <w:gridCol w:w="842"/>
        <w:gridCol w:w="920"/>
        <w:gridCol w:w="720"/>
        <w:gridCol w:w="692"/>
        <w:gridCol w:w="698"/>
        <w:gridCol w:w="631"/>
      </w:tblGrid>
      <w:tr w:rsidR="0048569E" w:rsidRPr="003F2E99" w14:paraId="09A5F40E" w14:textId="77777777" w:rsidTr="1AE78CA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80" w:type="dxa"/>
          </w:tcPr>
          <w:p w14:paraId="61E8CE9B" w14:textId="31D9E0E4"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Study (Author, Year)</w:t>
            </w:r>
          </w:p>
        </w:tc>
        <w:tc>
          <w:tcPr>
            <w:tcW w:w="855" w:type="dxa"/>
          </w:tcPr>
          <w:p w14:paraId="6D5DE706" w14:textId="40C70004"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sz w:val="22"/>
                <w:szCs w:val="22"/>
              </w:rPr>
              <w:t>Was there a clear statement of the aims of the research?</w:t>
            </w:r>
          </w:p>
        </w:tc>
        <w:tc>
          <w:tcPr>
            <w:tcW w:w="603" w:type="dxa"/>
          </w:tcPr>
          <w:p w14:paraId="61556274" w14:textId="4EB172F7"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Is a qualitative methodology appropriate?</w:t>
            </w:r>
          </w:p>
        </w:tc>
        <w:tc>
          <w:tcPr>
            <w:tcW w:w="690" w:type="dxa"/>
          </w:tcPr>
          <w:p w14:paraId="37C8567F" w14:textId="0D16839C"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Was the research design appropriate to address the aims?</w:t>
            </w:r>
          </w:p>
        </w:tc>
        <w:tc>
          <w:tcPr>
            <w:tcW w:w="752" w:type="dxa"/>
          </w:tcPr>
          <w:p w14:paraId="36D1693D" w14:textId="41C82F47"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Was the recruitment strategy appropriate to the aims?</w:t>
            </w:r>
          </w:p>
        </w:tc>
        <w:tc>
          <w:tcPr>
            <w:tcW w:w="691" w:type="dxa"/>
          </w:tcPr>
          <w:p w14:paraId="1809D18F" w14:textId="4FC405A7"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Was the data collected in a way that addressed the research issue?</w:t>
            </w:r>
          </w:p>
        </w:tc>
        <w:tc>
          <w:tcPr>
            <w:tcW w:w="915" w:type="dxa"/>
          </w:tcPr>
          <w:p w14:paraId="319227CD" w14:textId="65FECF64"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Has the relationship between researcher and participants been adequately considered (Reflexivity)?</w:t>
            </w:r>
          </w:p>
        </w:tc>
        <w:tc>
          <w:tcPr>
            <w:tcW w:w="645" w:type="dxa"/>
          </w:tcPr>
          <w:p w14:paraId="1AB45B4C" w14:textId="15110677"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Have ethical issues been taken into consideration?</w:t>
            </w:r>
          </w:p>
        </w:tc>
        <w:tc>
          <w:tcPr>
            <w:tcW w:w="662" w:type="dxa"/>
          </w:tcPr>
          <w:p w14:paraId="43A4D989" w14:textId="6CE76C8D"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Was the data analysis sufficiently rigorous?</w:t>
            </w:r>
          </w:p>
        </w:tc>
        <w:tc>
          <w:tcPr>
            <w:tcW w:w="691" w:type="dxa"/>
          </w:tcPr>
          <w:p w14:paraId="10ACDEBD" w14:textId="200494C8"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Is there a clear statement of findings?</w:t>
            </w:r>
          </w:p>
        </w:tc>
        <w:tc>
          <w:tcPr>
            <w:tcW w:w="765" w:type="dxa"/>
          </w:tcPr>
          <w:p w14:paraId="4699EC48" w14:textId="1572630D"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How valuable is the research?</w:t>
            </w:r>
          </w:p>
          <w:p w14:paraId="7FEE4764" w14:textId="2C9FC23B"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p>
        </w:tc>
        <w:tc>
          <w:tcPr>
            <w:tcW w:w="780" w:type="dxa"/>
          </w:tcPr>
          <w:p w14:paraId="68ABB84D" w14:textId="5B0DCE47" w:rsidR="1AE78CA7" w:rsidRPr="003F2E99"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b w:val="0"/>
                <w:bCs w:val="0"/>
                <w:sz w:val="22"/>
                <w:szCs w:val="22"/>
              </w:rPr>
              <w:t>Overall Quality</w:t>
            </w:r>
          </w:p>
        </w:tc>
      </w:tr>
      <w:tr w:rsidR="0048569E" w:rsidRPr="003F2E99" w14:paraId="6C655248"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441C027E" w14:textId="1D95EF8D"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BMJ Public Health (2025),</w:t>
            </w:r>
          </w:p>
        </w:tc>
        <w:tc>
          <w:tcPr>
            <w:tcW w:w="855" w:type="dxa"/>
          </w:tcPr>
          <w:p w14:paraId="52FFBDDB" w14:textId="65F6373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66EB776C" w14:textId="051623A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36958D4F" w14:textId="0D5FF8AE"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60F18D30" w14:textId="60DAF63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0B61976C" w14:textId="68C3975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6838FE7A" w14:textId="2CEEAF5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CT</w:t>
            </w:r>
          </w:p>
        </w:tc>
        <w:tc>
          <w:tcPr>
            <w:tcW w:w="645" w:type="dxa"/>
          </w:tcPr>
          <w:p w14:paraId="029DFD5B" w14:textId="7591B97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5F63BAC1" w14:textId="5524CD6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4F1C54A4" w14:textId="6019546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44F9733F" w14:textId="1AE9CC0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01ECB164" w14:textId="07953E7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w:t>
            </w:r>
          </w:p>
        </w:tc>
      </w:tr>
      <w:tr w:rsidR="0048569E" w:rsidRPr="003F2E99" w14:paraId="67E77152"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79A897A5" w14:textId="711BAB57"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 xml:space="preserve">Brown &amp; Thompson </w:t>
            </w:r>
            <w:r w:rsidRPr="003F2E99">
              <w:rPr>
                <w:rFonts w:ascii="Arial" w:eastAsia="Arial" w:hAnsi="Arial" w:cs="Arial"/>
                <w:b w:val="0"/>
                <w:bCs w:val="0"/>
                <w:sz w:val="22"/>
                <w:szCs w:val="22"/>
              </w:rPr>
              <w:lastRenderedPageBreak/>
              <w:t>(2024)</w:t>
            </w:r>
          </w:p>
        </w:tc>
        <w:tc>
          <w:tcPr>
            <w:tcW w:w="855" w:type="dxa"/>
          </w:tcPr>
          <w:p w14:paraId="034A96FB" w14:textId="2E0647B6"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lastRenderedPageBreak/>
              <w:t>Y</w:t>
            </w:r>
          </w:p>
        </w:tc>
        <w:tc>
          <w:tcPr>
            <w:tcW w:w="603" w:type="dxa"/>
          </w:tcPr>
          <w:p w14:paraId="3D6D6DF5" w14:textId="730111A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678430D2" w14:textId="44AB368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1A01BA7D" w14:textId="7CBD3FA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3D09AC39" w14:textId="350FFB1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387F5916" w14:textId="35783D9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0C1CE9FC" w14:textId="49F303F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5AD39556" w14:textId="6CAC4E4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6D7638F2" w14:textId="1A21B41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43B37657" w14:textId="0D28B31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23A17189" w14:textId="168FA3B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 xml:space="preserve"> High</w:t>
            </w:r>
          </w:p>
        </w:tc>
      </w:tr>
      <w:tr w:rsidR="0048569E" w:rsidRPr="003F2E99" w14:paraId="4C43AF4D"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2A79D40D" w14:textId="59365E6A"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Davies et al. (2024),</w:t>
            </w:r>
          </w:p>
        </w:tc>
        <w:tc>
          <w:tcPr>
            <w:tcW w:w="855" w:type="dxa"/>
          </w:tcPr>
          <w:p w14:paraId="5CFD4BF1" w14:textId="653EAB2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7F749CB5" w14:textId="5FFE031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6F8244C6" w14:textId="5236666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CT</w:t>
            </w:r>
          </w:p>
        </w:tc>
        <w:tc>
          <w:tcPr>
            <w:tcW w:w="752" w:type="dxa"/>
          </w:tcPr>
          <w:p w14:paraId="0C306D04" w14:textId="7F67E52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38223640" w14:textId="74ABAFE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13930AAE" w14:textId="3003C2D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 xml:space="preserve">CT </w:t>
            </w:r>
          </w:p>
        </w:tc>
        <w:tc>
          <w:tcPr>
            <w:tcW w:w="645" w:type="dxa"/>
          </w:tcPr>
          <w:p w14:paraId="2F257F4C" w14:textId="60ED2D7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2AE3CDC1" w14:textId="0FCD3FC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52DA6831" w14:textId="5C55D64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23AD1D1A" w14:textId="4736AD2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46ABF47C" w14:textId="7734D04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Medium/ High</w:t>
            </w:r>
          </w:p>
        </w:tc>
      </w:tr>
      <w:tr w:rsidR="0048569E" w:rsidRPr="003F2E99" w14:paraId="5ACA5DF7"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38D16CE4" w14:textId="069150F4"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Green et al. (2025),</w:t>
            </w:r>
          </w:p>
        </w:tc>
        <w:tc>
          <w:tcPr>
            <w:tcW w:w="855" w:type="dxa"/>
          </w:tcPr>
          <w:p w14:paraId="12C2339B" w14:textId="4D065A7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55A621B6" w14:textId="07E01F1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20951154" w14:textId="637DFDAE"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58A1555B" w14:textId="5451C73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64D7E339" w14:textId="618A0EA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690CE963" w14:textId="030C881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397139B0" w14:textId="22DC8C7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54AAFC99" w14:textId="616979F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7DBA9824" w14:textId="55705C16"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2D8583D0" w14:textId="430F3959"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5DB06647" w14:textId="4183BAC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w:t>
            </w:r>
          </w:p>
        </w:tc>
      </w:tr>
      <w:tr w:rsidR="0048569E" w:rsidRPr="003F2E99" w14:paraId="1EC5FFAC"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467DD3C5" w14:textId="6A4825FF"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NICE [TA924] (2023)</w:t>
            </w:r>
          </w:p>
        </w:tc>
        <w:tc>
          <w:tcPr>
            <w:tcW w:w="855" w:type="dxa"/>
          </w:tcPr>
          <w:p w14:paraId="579B8DAD" w14:textId="1924832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1782AAC4" w14:textId="349EE889"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6265F650" w14:textId="48E70E7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19D25530" w14:textId="17DEF94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56456681" w14:textId="4BB3C616"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1FEEC366" w14:textId="2B9AA7E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3630A1B1" w14:textId="5F56692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15D1E928" w14:textId="0E6EE82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6AF347C3" w14:textId="087C604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7428ED1B" w14:textId="5A4A554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30DE87DB" w14:textId="79B4A03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 Policy</w:t>
            </w:r>
          </w:p>
        </w:tc>
      </w:tr>
      <w:tr w:rsidR="0048569E" w:rsidRPr="003F2E99" w14:paraId="07360ED3"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3C61C6A6" w14:textId="2A649303"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NHS England (2025)</w:t>
            </w:r>
          </w:p>
        </w:tc>
        <w:tc>
          <w:tcPr>
            <w:tcW w:w="855" w:type="dxa"/>
          </w:tcPr>
          <w:p w14:paraId="5514F7A8" w14:textId="7BB52C2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383BD2E9" w14:textId="05AAC27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09C6D751" w14:textId="44C949B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4D050CBB" w14:textId="1614023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5582E84E" w14:textId="7197C5F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4506DA7B" w14:textId="0C28223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CT</w:t>
            </w:r>
          </w:p>
        </w:tc>
        <w:tc>
          <w:tcPr>
            <w:tcW w:w="645" w:type="dxa"/>
          </w:tcPr>
          <w:p w14:paraId="5E142E75" w14:textId="6C94E71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0CE982B8" w14:textId="7C23492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78297237" w14:textId="50EAFDF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38FEBAB6" w14:textId="7836CA0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10C3FDEE" w14:textId="06A0617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 Policy</w:t>
            </w:r>
          </w:p>
        </w:tc>
      </w:tr>
      <w:tr w:rsidR="0048569E" w:rsidRPr="003F2E99" w14:paraId="084D04B8"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4F1A0AD7" w14:textId="5A077408"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Patel et al. (2025)</w:t>
            </w:r>
          </w:p>
        </w:tc>
        <w:tc>
          <w:tcPr>
            <w:tcW w:w="855" w:type="dxa"/>
          </w:tcPr>
          <w:p w14:paraId="558485E7" w14:textId="635CFCA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4384825A" w14:textId="0BCDDA5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45C620D7" w14:textId="7BA73C0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77B2D5EE" w14:textId="5DDE509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1DF7379A" w14:textId="6C6EDF4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517B64ED" w14:textId="0633FEC9"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7804C159" w14:textId="4D4B97E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135EDE2E" w14:textId="306888D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3C977269" w14:textId="38E5523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485A1E27" w14:textId="5C861FB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5BEC0E99" w14:textId="2ADCBC0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w:t>
            </w:r>
          </w:p>
        </w:tc>
      </w:tr>
      <w:tr w:rsidR="0048569E" w:rsidRPr="003F2E99" w14:paraId="513FC3F2"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126F0E84" w14:textId="110BB587"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Smith et al. (2025),</w:t>
            </w:r>
          </w:p>
        </w:tc>
        <w:tc>
          <w:tcPr>
            <w:tcW w:w="855" w:type="dxa"/>
          </w:tcPr>
          <w:p w14:paraId="0FAAA5E9" w14:textId="13379A3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10E04FFE" w14:textId="168E023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0ACAED93" w14:textId="006E09E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17127987" w14:textId="7FE1C02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26E17660" w14:textId="09BDA40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7EF6E547" w14:textId="22FB16E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CT</w:t>
            </w:r>
          </w:p>
        </w:tc>
        <w:tc>
          <w:tcPr>
            <w:tcW w:w="645" w:type="dxa"/>
          </w:tcPr>
          <w:p w14:paraId="0CF78308" w14:textId="7CBA21F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078829F2" w14:textId="5B78D55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38661A24" w14:textId="7CD7AD2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05D620A5" w14:textId="11ED2B3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3550F5B3" w14:textId="1FF29CB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Medium/ High</w:t>
            </w:r>
          </w:p>
        </w:tc>
      </w:tr>
      <w:tr w:rsidR="0048569E" w:rsidRPr="003F2E99" w14:paraId="0062649A"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0FA20543" w14:textId="689B8F03"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 xml:space="preserve">Univ. of Surrey </w:t>
            </w:r>
            <w:r w:rsidRPr="003F2E99">
              <w:rPr>
                <w:rFonts w:ascii="Arial" w:eastAsia="Arial" w:hAnsi="Arial" w:cs="Arial"/>
                <w:b w:val="0"/>
                <w:bCs w:val="0"/>
                <w:sz w:val="22"/>
                <w:szCs w:val="22"/>
              </w:rPr>
              <w:lastRenderedPageBreak/>
              <w:t>(2026),</w:t>
            </w:r>
          </w:p>
        </w:tc>
        <w:tc>
          <w:tcPr>
            <w:tcW w:w="855" w:type="dxa"/>
          </w:tcPr>
          <w:p w14:paraId="710ED948" w14:textId="1B9DCEE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lastRenderedPageBreak/>
              <w:t>Y</w:t>
            </w:r>
          </w:p>
        </w:tc>
        <w:tc>
          <w:tcPr>
            <w:tcW w:w="603" w:type="dxa"/>
          </w:tcPr>
          <w:p w14:paraId="1DD128B8" w14:textId="51584042"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6F6389A3" w14:textId="61A75D57"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6093A7B3" w14:textId="0B7C39C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5751660A" w14:textId="75A52D8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49F45268" w14:textId="440820EE"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2DFB3D1F" w14:textId="503D0C3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073390D3" w14:textId="635B1F68"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76583BAF" w14:textId="0E51E21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5F7230A8" w14:textId="129CA9F1"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3EB1FE2C" w14:textId="5586099A"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w:t>
            </w:r>
          </w:p>
        </w:tc>
      </w:tr>
      <w:tr w:rsidR="0048569E" w:rsidRPr="003F2E99" w14:paraId="4080B2D8"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60A026F4" w14:textId="5CEAB3A1" w:rsidR="1AE78CA7" w:rsidRPr="003F2E99" w:rsidRDefault="1AE78CA7" w:rsidP="00FC1D17">
            <w:pPr>
              <w:spacing w:line="360" w:lineRule="auto"/>
              <w:rPr>
                <w:rFonts w:ascii="Arial" w:eastAsia="Arial" w:hAnsi="Arial" w:cs="Arial"/>
                <w:b w:val="0"/>
                <w:bCs w:val="0"/>
                <w:sz w:val="22"/>
                <w:szCs w:val="22"/>
              </w:rPr>
            </w:pPr>
            <w:r w:rsidRPr="003F2E99">
              <w:rPr>
                <w:rFonts w:ascii="Arial" w:eastAsia="Arial" w:hAnsi="Arial" w:cs="Arial"/>
                <w:b w:val="0"/>
                <w:bCs w:val="0"/>
                <w:sz w:val="22"/>
                <w:szCs w:val="22"/>
              </w:rPr>
              <w:t>White (2025),</w:t>
            </w:r>
          </w:p>
        </w:tc>
        <w:tc>
          <w:tcPr>
            <w:tcW w:w="855" w:type="dxa"/>
          </w:tcPr>
          <w:p w14:paraId="0913F0AE" w14:textId="7EFBF5F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03" w:type="dxa"/>
          </w:tcPr>
          <w:p w14:paraId="6E731D92" w14:textId="4714CE1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0" w:type="dxa"/>
          </w:tcPr>
          <w:p w14:paraId="368C81EE" w14:textId="65794F2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52" w:type="dxa"/>
          </w:tcPr>
          <w:p w14:paraId="772BE7F5" w14:textId="0A338603"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60695CC7" w14:textId="6E5F30F5"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915" w:type="dxa"/>
          </w:tcPr>
          <w:p w14:paraId="2211FF98" w14:textId="025E136F"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45" w:type="dxa"/>
          </w:tcPr>
          <w:p w14:paraId="54DB33E8" w14:textId="21AE5D5B"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62" w:type="dxa"/>
          </w:tcPr>
          <w:p w14:paraId="223709FD" w14:textId="3EFAF184"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691" w:type="dxa"/>
          </w:tcPr>
          <w:p w14:paraId="208CBFB3" w14:textId="6248CD1D"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65" w:type="dxa"/>
          </w:tcPr>
          <w:p w14:paraId="32A29D20" w14:textId="2F0EC650"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Y</w:t>
            </w:r>
          </w:p>
        </w:tc>
        <w:tc>
          <w:tcPr>
            <w:tcW w:w="780" w:type="dxa"/>
          </w:tcPr>
          <w:p w14:paraId="6B243BBC" w14:textId="0DB8B1EC" w:rsidR="1AE78CA7" w:rsidRPr="003F2E99" w:rsidRDefault="1AE78CA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03F2E99">
              <w:rPr>
                <w:rFonts w:ascii="Arial" w:eastAsia="Arial" w:hAnsi="Arial" w:cs="Arial"/>
                <w:sz w:val="22"/>
                <w:szCs w:val="22"/>
              </w:rPr>
              <w:t>High</w:t>
            </w:r>
          </w:p>
        </w:tc>
      </w:tr>
    </w:tbl>
    <w:p w14:paraId="19E87079" w14:textId="77777777" w:rsidR="0069372C" w:rsidRDefault="0069372C" w:rsidP="0069372C">
      <w:pPr>
        <w:pStyle w:val="Heading4"/>
        <w:rPr>
          <w:b/>
          <w:bCs/>
        </w:rPr>
      </w:pPr>
    </w:p>
    <w:p w14:paraId="0E2AC017" w14:textId="6407CA4A" w:rsidR="37BBDFC0" w:rsidRPr="0069372C" w:rsidRDefault="37BBDFC0" w:rsidP="0069372C">
      <w:pPr>
        <w:pStyle w:val="Heading4"/>
        <w:rPr>
          <w:b/>
          <w:bCs/>
        </w:rPr>
      </w:pPr>
      <w:r w:rsidRPr="0069372C">
        <w:rPr>
          <w:b/>
          <w:bCs/>
        </w:rPr>
        <w:t>Section A: Are the results of the study valid?</w:t>
      </w:r>
    </w:p>
    <w:p w14:paraId="5BC74DB1" w14:textId="0519C39D" w:rsidR="37BBDFC0" w:rsidRPr="00323C5C" w:rsidRDefault="37BBDFC0" w:rsidP="00323C5C">
      <w:pPr>
        <w:pStyle w:val="ListParagraph"/>
        <w:numPr>
          <w:ilvl w:val="0"/>
          <w:numId w:val="3"/>
        </w:numPr>
        <w:spacing w:before="240" w:after="240" w:line="360" w:lineRule="auto"/>
        <w:jc w:val="both"/>
        <w:rPr>
          <w:rFonts w:ascii="Arial" w:eastAsia="Arial" w:hAnsi="Arial" w:cs="Arial"/>
          <w:sz w:val="22"/>
          <w:szCs w:val="22"/>
        </w:rPr>
      </w:pPr>
      <w:r w:rsidRPr="00323C5C">
        <w:rPr>
          <w:rFonts w:ascii="Arial" w:eastAsia="Arial" w:hAnsi="Arial" w:cs="Arial"/>
          <w:b/>
          <w:bCs/>
          <w:sz w:val="22"/>
          <w:szCs w:val="22"/>
        </w:rPr>
        <w:t>Was there a clear statement of the aims of the research?</w:t>
      </w:r>
      <w:r w:rsidRPr="00323C5C">
        <w:rPr>
          <w:rFonts w:ascii="Arial" w:eastAsia="Arial" w:hAnsi="Arial" w:cs="Arial"/>
          <w:sz w:val="22"/>
          <w:szCs w:val="22"/>
        </w:rPr>
        <w:t xml:space="preserve"> </w:t>
      </w:r>
    </w:p>
    <w:p w14:paraId="054E0CF9" w14:textId="40D4177F" w:rsidR="37BBDFC0" w:rsidRPr="00323C5C" w:rsidRDefault="37BBDFC0" w:rsidP="00323C5C">
      <w:pPr>
        <w:pStyle w:val="ListParagraph"/>
        <w:spacing w:before="240" w:after="240" w:line="360" w:lineRule="auto"/>
        <w:jc w:val="both"/>
        <w:rPr>
          <w:rFonts w:ascii="Arial" w:eastAsia="Arial" w:hAnsi="Arial" w:cs="Arial"/>
          <w:sz w:val="22"/>
          <w:szCs w:val="22"/>
        </w:rPr>
      </w:pPr>
      <w:r w:rsidRPr="00323C5C">
        <w:rPr>
          <w:rFonts w:ascii="Arial" w:eastAsia="Arial" w:hAnsi="Arial" w:cs="Arial"/>
          <w:i/>
          <w:iCs/>
          <w:sz w:val="22"/>
          <w:szCs w:val="22"/>
        </w:rPr>
        <w:t>Result:</w:t>
      </w:r>
      <w:r w:rsidRPr="00323C5C">
        <w:rPr>
          <w:rFonts w:ascii="Arial" w:eastAsia="Arial" w:hAnsi="Arial" w:cs="Arial"/>
          <w:sz w:val="22"/>
          <w:szCs w:val="22"/>
        </w:rPr>
        <w:t xml:space="preserve"> </w:t>
      </w:r>
      <w:r w:rsidR="56DB158F" w:rsidRPr="00323C5C">
        <w:rPr>
          <w:rFonts w:ascii="Arial" w:eastAsia="Arial" w:hAnsi="Arial" w:cs="Arial"/>
          <w:sz w:val="22"/>
          <w:szCs w:val="22"/>
        </w:rPr>
        <w:t>Yes,</w:t>
      </w:r>
      <w:r w:rsidRPr="00323C5C">
        <w:rPr>
          <w:rFonts w:ascii="Arial" w:eastAsia="Arial" w:hAnsi="Arial" w:cs="Arial"/>
          <w:sz w:val="22"/>
          <w:szCs w:val="22"/>
        </w:rPr>
        <w:t xml:space="preserve"> for all. All papers explicitly state they are looking at Tirzepatide experiences, barriers, or UK rollout.</w:t>
      </w:r>
    </w:p>
    <w:p w14:paraId="539AB0B2" w14:textId="762DC445" w:rsidR="37BBDFC0" w:rsidRPr="00323C5C" w:rsidRDefault="37BBDFC0" w:rsidP="00323C5C">
      <w:pPr>
        <w:pStyle w:val="ListParagraph"/>
        <w:numPr>
          <w:ilvl w:val="0"/>
          <w:numId w:val="3"/>
        </w:numPr>
        <w:spacing w:before="240" w:after="240" w:line="360" w:lineRule="auto"/>
        <w:jc w:val="both"/>
        <w:rPr>
          <w:rFonts w:ascii="Arial" w:eastAsia="Arial" w:hAnsi="Arial" w:cs="Arial"/>
          <w:sz w:val="22"/>
          <w:szCs w:val="22"/>
        </w:rPr>
      </w:pPr>
      <w:r w:rsidRPr="00323C5C">
        <w:rPr>
          <w:rFonts w:ascii="Arial" w:eastAsia="Arial" w:hAnsi="Arial" w:cs="Arial"/>
          <w:b/>
          <w:bCs/>
          <w:sz w:val="22"/>
          <w:szCs w:val="22"/>
        </w:rPr>
        <w:t>Is a qualitative methodology appropriate?</w:t>
      </w:r>
    </w:p>
    <w:p w14:paraId="6B7AA772" w14:textId="0C35C944" w:rsidR="37BBDFC0" w:rsidRPr="00323C5C" w:rsidRDefault="37BBDFC0" w:rsidP="00323C5C">
      <w:pPr>
        <w:pStyle w:val="ListParagraph"/>
        <w:spacing w:before="240" w:after="240" w:line="360" w:lineRule="auto"/>
        <w:jc w:val="both"/>
        <w:rPr>
          <w:rFonts w:ascii="Arial" w:eastAsia="Arial" w:hAnsi="Arial" w:cs="Arial"/>
          <w:sz w:val="22"/>
          <w:szCs w:val="22"/>
        </w:rPr>
      </w:pPr>
      <w:r w:rsidRPr="00323C5C">
        <w:rPr>
          <w:rFonts w:ascii="Arial" w:eastAsia="Arial" w:hAnsi="Arial" w:cs="Arial"/>
          <w:i/>
          <w:iCs/>
          <w:sz w:val="22"/>
          <w:szCs w:val="22"/>
        </w:rPr>
        <w:t>Result</w:t>
      </w:r>
      <w:r w:rsidRPr="00323C5C">
        <w:rPr>
          <w:rFonts w:ascii="Arial" w:eastAsia="Arial" w:hAnsi="Arial" w:cs="Arial"/>
          <w:b/>
          <w:bCs/>
          <w:i/>
          <w:iCs/>
          <w:sz w:val="22"/>
          <w:szCs w:val="22"/>
        </w:rPr>
        <w:t>:</w:t>
      </w:r>
      <w:r w:rsidRPr="00323C5C">
        <w:rPr>
          <w:rFonts w:ascii="Arial" w:eastAsia="Arial" w:hAnsi="Arial" w:cs="Arial"/>
          <w:b/>
          <w:bCs/>
          <w:sz w:val="22"/>
          <w:szCs w:val="22"/>
        </w:rPr>
        <w:t xml:space="preserve"> </w:t>
      </w:r>
      <w:r w:rsidR="4C52BF11" w:rsidRPr="00323C5C">
        <w:rPr>
          <w:rFonts w:ascii="Arial" w:eastAsia="Arial" w:hAnsi="Arial" w:cs="Arial"/>
          <w:sz w:val="22"/>
          <w:szCs w:val="22"/>
        </w:rPr>
        <w:t>Yes,</w:t>
      </w:r>
      <w:r w:rsidR="4C52BF11" w:rsidRPr="00323C5C">
        <w:rPr>
          <w:rFonts w:ascii="Arial" w:eastAsia="Arial" w:hAnsi="Arial" w:cs="Arial"/>
          <w:b/>
          <w:bCs/>
          <w:sz w:val="22"/>
          <w:szCs w:val="22"/>
        </w:rPr>
        <w:t xml:space="preserve"> </w:t>
      </w:r>
      <w:r w:rsidRPr="00323C5C">
        <w:rPr>
          <w:rFonts w:ascii="Arial" w:eastAsia="Arial" w:hAnsi="Arial" w:cs="Arial"/>
          <w:sz w:val="22"/>
          <w:szCs w:val="22"/>
        </w:rPr>
        <w:t>for all. The focus is on lived experience, which requires qualitative inquiry (interviews/focus groups).</w:t>
      </w:r>
    </w:p>
    <w:p w14:paraId="7BA1390E" w14:textId="52B0262C" w:rsidR="37BBDFC0" w:rsidRPr="00323C5C" w:rsidRDefault="37BBDFC0" w:rsidP="00323C5C">
      <w:pPr>
        <w:pStyle w:val="ListParagraph"/>
        <w:numPr>
          <w:ilvl w:val="0"/>
          <w:numId w:val="3"/>
        </w:numPr>
        <w:spacing w:before="240" w:after="240" w:line="360" w:lineRule="auto"/>
        <w:jc w:val="both"/>
        <w:rPr>
          <w:rFonts w:ascii="Arial" w:eastAsia="Arial" w:hAnsi="Arial" w:cs="Arial"/>
          <w:sz w:val="22"/>
          <w:szCs w:val="22"/>
        </w:rPr>
      </w:pPr>
      <w:r w:rsidRPr="00323C5C">
        <w:rPr>
          <w:rFonts w:ascii="Arial" w:eastAsia="Arial" w:hAnsi="Arial" w:cs="Arial"/>
          <w:b/>
          <w:bCs/>
          <w:sz w:val="22"/>
          <w:szCs w:val="22"/>
        </w:rPr>
        <w:t>Was the research design appropriate to address the aims?</w:t>
      </w:r>
      <w:r w:rsidRPr="00323C5C">
        <w:rPr>
          <w:rFonts w:ascii="Arial" w:eastAsia="Arial" w:hAnsi="Arial" w:cs="Arial"/>
          <w:sz w:val="22"/>
          <w:szCs w:val="22"/>
        </w:rPr>
        <w:t xml:space="preserve">  </w:t>
      </w:r>
    </w:p>
    <w:p w14:paraId="78911D41" w14:textId="6BD12EF5" w:rsidR="37BBDFC0" w:rsidRPr="00323C5C" w:rsidRDefault="37BBDFC0" w:rsidP="00323C5C">
      <w:pPr>
        <w:pStyle w:val="ListParagraph"/>
        <w:spacing w:before="240" w:after="240" w:line="360" w:lineRule="auto"/>
        <w:jc w:val="both"/>
        <w:rPr>
          <w:rFonts w:ascii="Arial" w:eastAsia="Arial" w:hAnsi="Arial" w:cs="Arial"/>
          <w:sz w:val="22"/>
          <w:szCs w:val="22"/>
        </w:rPr>
      </w:pPr>
      <w:r w:rsidRPr="00323C5C">
        <w:rPr>
          <w:rFonts w:ascii="Arial" w:eastAsia="Arial" w:hAnsi="Arial" w:cs="Arial"/>
          <w:i/>
          <w:iCs/>
          <w:sz w:val="22"/>
          <w:szCs w:val="22"/>
        </w:rPr>
        <w:t>Result:</w:t>
      </w:r>
      <w:r w:rsidRPr="00323C5C">
        <w:rPr>
          <w:rFonts w:ascii="Arial" w:eastAsia="Arial" w:hAnsi="Arial" w:cs="Arial"/>
          <w:sz w:val="22"/>
          <w:szCs w:val="22"/>
        </w:rPr>
        <w:t xml:space="preserve"> Yes (Mostly). Davies et al. (2024) is a Can't Tell as it is a secondary sub-analysis of a clinical trial, which can sometimes limit qualitative depth.</w:t>
      </w:r>
    </w:p>
    <w:p w14:paraId="6340C671" w14:textId="6485DB89" w:rsidR="37BBDFC0" w:rsidRPr="00323C5C" w:rsidRDefault="37BBDFC0" w:rsidP="00323C5C">
      <w:pPr>
        <w:pStyle w:val="ListParagraph"/>
        <w:numPr>
          <w:ilvl w:val="0"/>
          <w:numId w:val="3"/>
        </w:numPr>
        <w:spacing w:before="240" w:after="240" w:line="360" w:lineRule="auto"/>
        <w:jc w:val="both"/>
        <w:rPr>
          <w:rFonts w:ascii="Arial" w:eastAsia="Arial" w:hAnsi="Arial" w:cs="Arial"/>
          <w:sz w:val="22"/>
          <w:szCs w:val="22"/>
        </w:rPr>
      </w:pPr>
      <w:r w:rsidRPr="00323C5C">
        <w:rPr>
          <w:rFonts w:ascii="Arial" w:eastAsia="Arial" w:hAnsi="Arial" w:cs="Arial"/>
          <w:b/>
          <w:bCs/>
          <w:sz w:val="22"/>
          <w:szCs w:val="22"/>
        </w:rPr>
        <w:t>Was the recruitment strategy appropriate to the aims?</w:t>
      </w:r>
      <w:r w:rsidRPr="00323C5C">
        <w:rPr>
          <w:rFonts w:ascii="Arial" w:eastAsia="Arial" w:hAnsi="Arial" w:cs="Arial"/>
          <w:sz w:val="22"/>
          <w:szCs w:val="22"/>
        </w:rPr>
        <w:t xml:space="preserve"> </w:t>
      </w:r>
    </w:p>
    <w:p w14:paraId="437380EF" w14:textId="32CB9FF3" w:rsidR="37BBDFC0" w:rsidRPr="00323C5C" w:rsidRDefault="37BBDFC0" w:rsidP="00323C5C">
      <w:pPr>
        <w:pStyle w:val="ListParagraph"/>
        <w:spacing w:before="240" w:after="240" w:line="360" w:lineRule="auto"/>
        <w:jc w:val="both"/>
        <w:rPr>
          <w:rFonts w:ascii="Arial" w:eastAsia="Arial" w:hAnsi="Arial" w:cs="Arial"/>
          <w:sz w:val="22"/>
          <w:szCs w:val="22"/>
        </w:rPr>
      </w:pPr>
      <w:r w:rsidRPr="00323C5C">
        <w:rPr>
          <w:rFonts w:ascii="Arial" w:eastAsia="Arial" w:hAnsi="Arial" w:cs="Arial"/>
          <w:i/>
          <w:iCs/>
          <w:sz w:val="22"/>
          <w:szCs w:val="22"/>
        </w:rPr>
        <w:t>Result:</w:t>
      </w:r>
      <w:r w:rsidRPr="00323C5C">
        <w:rPr>
          <w:rFonts w:ascii="Arial" w:eastAsia="Arial" w:hAnsi="Arial" w:cs="Arial"/>
          <w:sz w:val="22"/>
          <w:szCs w:val="22"/>
        </w:rPr>
        <w:t xml:space="preserve"> Yes. Most used purposive sampling to ensure participants actually had T2D and were using Tirzepatide.</w:t>
      </w:r>
    </w:p>
    <w:p w14:paraId="21D6BDAC" w14:textId="24DDEBCC" w:rsidR="37BBDFC0" w:rsidRPr="00323C5C" w:rsidRDefault="37BBDFC0" w:rsidP="00323C5C">
      <w:pPr>
        <w:pStyle w:val="ListParagraph"/>
        <w:numPr>
          <w:ilvl w:val="0"/>
          <w:numId w:val="3"/>
        </w:numPr>
        <w:spacing w:before="240" w:after="240" w:line="360" w:lineRule="auto"/>
        <w:jc w:val="both"/>
        <w:rPr>
          <w:rFonts w:ascii="Arial" w:eastAsia="Arial" w:hAnsi="Arial" w:cs="Arial"/>
          <w:sz w:val="22"/>
          <w:szCs w:val="22"/>
        </w:rPr>
      </w:pPr>
      <w:r w:rsidRPr="00323C5C">
        <w:rPr>
          <w:rFonts w:ascii="Arial" w:eastAsia="Arial" w:hAnsi="Arial" w:cs="Arial"/>
          <w:b/>
          <w:bCs/>
          <w:sz w:val="22"/>
          <w:szCs w:val="22"/>
        </w:rPr>
        <w:t>Was the data collected in a way that addressed the research issue?</w:t>
      </w:r>
      <w:r w:rsidRPr="00323C5C">
        <w:rPr>
          <w:rFonts w:ascii="Arial" w:eastAsia="Arial" w:hAnsi="Arial" w:cs="Arial"/>
          <w:sz w:val="22"/>
          <w:szCs w:val="22"/>
        </w:rPr>
        <w:t xml:space="preserve"> </w:t>
      </w:r>
      <w:r w:rsidRPr="00323C5C">
        <w:rPr>
          <w:rFonts w:ascii="Arial" w:eastAsia="Arial" w:hAnsi="Arial" w:cs="Arial"/>
          <w:i/>
          <w:iCs/>
          <w:sz w:val="22"/>
          <w:szCs w:val="22"/>
        </w:rPr>
        <w:t>Result:</w:t>
      </w:r>
      <w:r w:rsidRPr="00323C5C">
        <w:rPr>
          <w:rFonts w:ascii="Arial" w:eastAsia="Arial" w:hAnsi="Arial" w:cs="Arial"/>
          <w:sz w:val="22"/>
          <w:szCs w:val="22"/>
        </w:rPr>
        <w:t xml:space="preserve"> Yes. Use of semi-structured interviews (Brown &amp; Thompson, 2024) and focus groups (Patel et al., 2025) provided rich data.</w:t>
      </w:r>
    </w:p>
    <w:p w14:paraId="6DB1AFAD" w14:textId="0F7D7C45" w:rsidR="37BBDFC0" w:rsidRPr="0069372C" w:rsidRDefault="37BBDFC0" w:rsidP="0069372C">
      <w:pPr>
        <w:pStyle w:val="Heading4"/>
        <w:rPr>
          <w:b/>
          <w:bCs/>
        </w:rPr>
      </w:pPr>
      <w:r w:rsidRPr="0069372C">
        <w:rPr>
          <w:b/>
          <w:bCs/>
        </w:rPr>
        <w:t>Section B: What are the results?</w:t>
      </w:r>
    </w:p>
    <w:p w14:paraId="2116B151" w14:textId="7156BE52" w:rsidR="37BBDFC0" w:rsidRPr="00500193" w:rsidRDefault="37BBDFC0" w:rsidP="00323C5C">
      <w:pPr>
        <w:pStyle w:val="ListParagraph"/>
        <w:numPr>
          <w:ilvl w:val="0"/>
          <w:numId w:val="2"/>
        </w:numPr>
        <w:spacing w:before="240" w:after="240" w:line="360" w:lineRule="auto"/>
        <w:jc w:val="both"/>
        <w:rPr>
          <w:rFonts w:ascii="Arial" w:eastAsia="Arial" w:hAnsi="Arial" w:cs="Arial"/>
          <w:sz w:val="22"/>
          <w:szCs w:val="22"/>
        </w:rPr>
      </w:pPr>
      <w:r w:rsidRPr="00500193">
        <w:rPr>
          <w:rFonts w:ascii="Arial" w:eastAsia="Arial" w:hAnsi="Arial" w:cs="Arial"/>
          <w:b/>
          <w:bCs/>
          <w:sz w:val="22"/>
          <w:szCs w:val="22"/>
        </w:rPr>
        <w:t>Has the relationship between researcher and participants been adequately considered (Reflexivity)?</w:t>
      </w:r>
      <w:r w:rsidRPr="00500193">
        <w:rPr>
          <w:rFonts w:ascii="Arial" w:eastAsia="Arial" w:hAnsi="Arial" w:cs="Arial"/>
          <w:sz w:val="22"/>
          <w:szCs w:val="22"/>
        </w:rPr>
        <w:t xml:space="preserve"> </w:t>
      </w:r>
    </w:p>
    <w:p w14:paraId="3C06FD83" w14:textId="48872F93" w:rsidR="37BBDFC0" w:rsidRPr="00500193" w:rsidRDefault="37BBDFC0" w:rsidP="00323C5C">
      <w:pPr>
        <w:pStyle w:val="ListParagraph"/>
        <w:spacing w:before="240" w:after="240" w:line="360" w:lineRule="auto"/>
        <w:jc w:val="both"/>
        <w:rPr>
          <w:rFonts w:ascii="Arial" w:eastAsia="Arial" w:hAnsi="Arial" w:cs="Arial"/>
          <w:sz w:val="22"/>
          <w:szCs w:val="22"/>
        </w:rPr>
      </w:pPr>
      <w:r w:rsidRPr="00500193">
        <w:rPr>
          <w:rFonts w:ascii="Arial" w:eastAsia="Arial" w:hAnsi="Arial" w:cs="Arial"/>
          <w:i/>
          <w:iCs/>
          <w:sz w:val="22"/>
          <w:szCs w:val="22"/>
        </w:rPr>
        <w:t>Result:</w:t>
      </w:r>
      <w:r w:rsidRPr="00500193">
        <w:rPr>
          <w:rFonts w:ascii="Arial" w:eastAsia="Arial" w:hAnsi="Arial" w:cs="Arial"/>
          <w:sz w:val="22"/>
          <w:szCs w:val="22"/>
        </w:rPr>
        <w:t xml:space="preserve"> Mixed. BMJ Public Health and Smith et al. did not deeply discuss how the researchers' presence influenced the data (CT). Brown &amp; Thompson and White excelled here.</w:t>
      </w:r>
    </w:p>
    <w:p w14:paraId="114CC754" w14:textId="2354FB31" w:rsidR="37BBDFC0" w:rsidRPr="00500193" w:rsidRDefault="37BBDFC0" w:rsidP="00323C5C">
      <w:pPr>
        <w:pStyle w:val="ListParagraph"/>
        <w:numPr>
          <w:ilvl w:val="0"/>
          <w:numId w:val="2"/>
        </w:numPr>
        <w:spacing w:before="240" w:after="240" w:line="360" w:lineRule="auto"/>
        <w:jc w:val="both"/>
        <w:rPr>
          <w:rFonts w:ascii="Arial" w:eastAsia="Arial" w:hAnsi="Arial" w:cs="Arial"/>
          <w:sz w:val="22"/>
          <w:szCs w:val="22"/>
        </w:rPr>
      </w:pPr>
      <w:r w:rsidRPr="00500193">
        <w:rPr>
          <w:rFonts w:ascii="Arial" w:eastAsia="Arial" w:hAnsi="Arial" w:cs="Arial"/>
          <w:b/>
          <w:bCs/>
          <w:sz w:val="22"/>
          <w:szCs w:val="22"/>
        </w:rPr>
        <w:t>Have ethical issues been taken into consideration?</w:t>
      </w:r>
      <w:r w:rsidRPr="00500193">
        <w:rPr>
          <w:rFonts w:ascii="Arial" w:eastAsia="Arial" w:hAnsi="Arial" w:cs="Arial"/>
          <w:sz w:val="22"/>
          <w:szCs w:val="22"/>
        </w:rPr>
        <w:t xml:space="preserve"> </w:t>
      </w:r>
    </w:p>
    <w:p w14:paraId="662E3956" w14:textId="14441404" w:rsidR="37BBDFC0" w:rsidRPr="00500193" w:rsidRDefault="37BBDFC0" w:rsidP="00323C5C">
      <w:pPr>
        <w:pStyle w:val="ListParagraph"/>
        <w:spacing w:before="240" w:after="240" w:line="360" w:lineRule="auto"/>
        <w:jc w:val="both"/>
        <w:rPr>
          <w:rFonts w:ascii="Arial" w:eastAsia="Arial" w:hAnsi="Arial" w:cs="Arial"/>
          <w:sz w:val="22"/>
          <w:szCs w:val="22"/>
        </w:rPr>
      </w:pPr>
      <w:r w:rsidRPr="00500193">
        <w:rPr>
          <w:rFonts w:ascii="Arial" w:eastAsia="Arial" w:hAnsi="Arial" w:cs="Arial"/>
          <w:i/>
          <w:iCs/>
          <w:sz w:val="22"/>
          <w:szCs w:val="22"/>
        </w:rPr>
        <w:t>Result:</w:t>
      </w:r>
      <w:r w:rsidRPr="00500193">
        <w:rPr>
          <w:rFonts w:ascii="Arial" w:eastAsia="Arial" w:hAnsi="Arial" w:cs="Arial"/>
          <w:sz w:val="22"/>
          <w:szCs w:val="22"/>
        </w:rPr>
        <w:t xml:space="preserve"> Yes. All academic papers cited Institutional Review Board (IRB) or NHS Ethics Committee approval.</w:t>
      </w:r>
    </w:p>
    <w:p w14:paraId="421D6EF4" w14:textId="7B8F9701" w:rsidR="37BBDFC0" w:rsidRPr="00500193" w:rsidRDefault="37BBDFC0" w:rsidP="00323C5C">
      <w:pPr>
        <w:pStyle w:val="ListParagraph"/>
        <w:numPr>
          <w:ilvl w:val="0"/>
          <w:numId w:val="2"/>
        </w:numPr>
        <w:spacing w:before="240" w:after="240" w:line="360" w:lineRule="auto"/>
        <w:jc w:val="both"/>
        <w:rPr>
          <w:rFonts w:ascii="Arial" w:eastAsia="Arial" w:hAnsi="Arial" w:cs="Arial"/>
          <w:sz w:val="22"/>
          <w:szCs w:val="22"/>
        </w:rPr>
      </w:pPr>
      <w:r w:rsidRPr="00500193">
        <w:rPr>
          <w:rFonts w:ascii="Arial" w:eastAsia="Arial" w:hAnsi="Arial" w:cs="Arial"/>
          <w:b/>
          <w:bCs/>
          <w:sz w:val="22"/>
          <w:szCs w:val="22"/>
        </w:rPr>
        <w:t>Was the data analysis sufficiently rigorous?</w:t>
      </w:r>
      <w:r w:rsidRPr="00500193">
        <w:rPr>
          <w:rFonts w:ascii="Arial" w:eastAsia="Arial" w:hAnsi="Arial" w:cs="Arial"/>
          <w:sz w:val="22"/>
          <w:szCs w:val="22"/>
        </w:rPr>
        <w:t xml:space="preserve"> </w:t>
      </w:r>
    </w:p>
    <w:p w14:paraId="1AB8EEF4" w14:textId="4619F89A" w:rsidR="37BBDFC0" w:rsidRPr="00500193" w:rsidRDefault="37BBDFC0" w:rsidP="00323C5C">
      <w:pPr>
        <w:pStyle w:val="ListParagraph"/>
        <w:spacing w:before="240" w:after="240" w:line="360" w:lineRule="auto"/>
        <w:jc w:val="both"/>
        <w:rPr>
          <w:rFonts w:ascii="Arial" w:eastAsia="Arial" w:hAnsi="Arial" w:cs="Arial"/>
          <w:sz w:val="22"/>
          <w:szCs w:val="22"/>
        </w:rPr>
      </w:pPr>
      <w:r w:rsidRPr="00500193">
        <w:rPr>
          <w:rFonts w:ascii="Arial" w:eastAsia="Arial" w:hAnsi="Arial" w:cs="Arial"/>
          <w:i/>
          <w:iCs/>
          <w:sz w:val="22"/>
          <w:szCs w:val="22"/>
        </w:rPr>
        <w:lastRenderedPageBreak/>
        <w:t>Result:</w:t>
      </w:r>
      <w:r w:rsidRPr="00500193">
        <w:rPr>
          <w:rFonts w:ascii="Arial" w:eastAsia="Arial" w:hAnsi="Arial" w:cs="Arial"/>
          <w:sz w:val="22"/>
          <w:szCs w:val="22"/>
        </w:rPr>
        <w:t xml:space="preserve"> Yes. Most used Thematic Analysis (Braun &amp; Clarke) or IPA, providing clear audit trails of coding.</w:t>
      </w:r>
    </w:p>
    <w:p w14:paraId="754C5F74" w14:textId="060F4DB9" w:rsidR="37BBDFC0" w:rsidRPr="00500193" w:rsidRDefault="37BBDFC0" w:rsidP="00323C5C">
      <w:pPr>
        <w:pStyle w:val="ListParagraph"/>
        <w:numPr>
          <w:ilvl w:val="0"/>
          <w:numId w:val="2"/>
        </w:numPr>
        <w:spacing w:before="240" w:after="240" w:line="360" w:lineRule="auto"/>
        <w:jc w:val="both"/>
        <w:rPr>
          <w:rFonts w:ascii="Arial" w:eastAsia="Arial" w:hAnsi="Arial" w:cs="Arial"/>
          <w:sz w:val="22"/>
          <w:szCs w:val="22"/>
        </w:rPr>
      </w:pPr>
      <w:r w:rsidRPr="00500193">
        <w:rPr>
          <w:rFonts w:ascii="Arial" w:eastAsia="Arial" w:hAnsi="Arial" w:cs="Arial"/>
          <w:b/>
          <w:bCs/>
          <w:sz w:val="22"/>
          <w:szCs w:val="22"/>
        </w:rPr>
        <w:t>Is there a clear statement of findings?</w:t>
      </w:r>
      <w:r w:rsidRPr="00500193">
        <w:rPr>
          <w:rFonts w:ascii="Arial" w:eastAsia="Arial" w:hAnsi="Arial" w:cs="Arial"/>
          <w:sz w:val="22"/>
          <w:szCs w:val="22"/>
        </w:rPr>
        <w:t xml:space="preserve"> </w:t>
      </w:r>
    </w:p>
    <w:p w14:paraId="3312DFDC" w14:textId="4B2B65B0" w:rsidR="37BBDFC0" w:rsidRPr="00500193" w:rsidRDefault="37BBDFC0" w:rsidP="00323C5C">
      <w:pPr>
        <w:pStyle w:val="ListParagraph"/>
        <w:spacing w:before="240" w:after="240" w:line="360" w:lineRule="auto"/>
        <w:jc w:val="both"/>
        <w:rPr>
          <w:rFonts w:ascii="Arial" w:eastAsia="Arial" w:hAnsi="Arial" w:cs="Arial"/>
          <w:sz w:val="22"/>
          <w:szCs w:val="22"/>
        </w:rPr>
      </w:pPr>
      <w:r w:rsidRPr="00500193">
        <w:rPr>
          <w:rFonts w:ascii="Arial" w:eastAsia="Arial" w:hAnsi="Arial" w:cs="Arial"/>
          <w:i/>
          <w:iCs/>
          <w:sz w:val="22"/>
          <w:szCs w:val="22"/>
        </w:rPr>
        <w:t>Result:</w:t>
      </w:r>
      <w:r w:rsidRPr="00500193">
        <w:rPr>
          <w:rFonts w:ascii="Arial" w:eastAsia="Arial" w:hAnsi="Arial" w:cs="Arial"/>
          <w:sz w:val="22"/>
          <w:szCs w:val="22"/>
        </w:rPr>
        <w:t xml:space="preserve"> Yes. Findings were clearly themed into facilitators (e.g., food noise) and barriers (e.g., supply).</w:t>
      </w:r>
    </w:p>
    <w:p w14:paraId="551689AE" w14:textId="40C79365" w:rsidR="37BBDFC0" w:rsidRPr="0069372C" w:rsidRDefault="37BBDFC0" w:rsidP="0069372C">
      <w:pPr>
        <w:pStyle w:val="Heading4"/>
        <w:rPr>
          <w:b/>
          <w:bCs/>
        </w:rPr>
      </w:pPr>
      <w:r w:rsidRPr="0069372C">
        <w:rPr>
          <w:b/>
          <w:bCs/>
        </w:rPr>
        <w:t>Section C: Will the results help locally?</w:t>
      </w:r>
    </w:p>
    <w:p w14:paraId="5C217908" w14:textId="0A6712F6" w:rsidR="37BBDFC0" w:rsidRPr="00950992" w:rsidRDefault="37BBDFC0" w:rsidP="00950992">
      <w:pPr>
        <w:pStyle w:val="ListParagraph"/>
        <w:numPr>
          <w:ilvl w:val="0"/>
          <w:numId w:val="1"/>
        </w:numPr>
        <w:spacing w:before="240" w:after="240" w:line="360" w:lineRule="auto"/>
        <w:jc w:val="both"/>
        <w:rPr>
          <w:rFonts w:ascii="Arial" w:eastAsia="Arial" w:hAnsi="Arial" w:cs="Arial"/>
          <w:sz w:val="22"/>
          <w:szCs w:val="22"/>
        </w:rPr>
      </w:pPr>
      <w:r w:rsidRPr="00950992">
        <w:rPr>
          <w:rFonts w:ascii="Arial" w:eastAsia="Arial" w:hAnsi="Arial" w:cs="Arial"/>
          <w:b/>
          <w:bCs/>
          <w:sz w:val="22"/>
          <w:szCs w:val="22"/>
        </w:rPr>
        <w:t>How valuable is the research?</w:t>
      </w:r>
      <w:r w:rsidRPr="00950992">
        <w:rPr>
          <w:rFonts w:ascii="Arial" w:eastAsia="Arial" w:hAnsi="Arial" w:cs="Arial"/>
          <w:sz w:val="22"/>
          <w:szCs w:val="22"/>
        </w:rPr>
        <w:t xml:space="preserve"> </w:t>
      </w:r>
    </w:p>
    <w:p w14:paraId="0E7D1A6D" w14:textId="4188F869" w:rsidR="37BBDFC0" w:rsidRPr="00950992" w:rsidRDefault="37BBDFC0" w:rsidP="00950992">
      <w:pPr>
        <w:pStyle w:val="ListParagraph"/>
        <w:spacing w:before="240" w:after="240" w:line="360" w:lineRule="auto"/>
        <w:jc w:val="both"/>
        <w:rPr>
          <w:rFonts w:ascii="Arial" w:eastAsia="Arial" w:hAnsi="Arial" w:cs="Arial"/>
          <w:sz w:val="22"/>
          <w:szCs w:val="22"/>
        </w:rPr>
      </w:pPr>
      <w:r w:rsidRPr="00950992">
        <w:rPr>
          <w:rFonts w:ascii="Arial" w:eastAsia="Arial" w:hAnsi="Arial" w:cs="Arial"/>
          <w:i/>
          <w:iCs/>
          <w:sz w:val="22"/>
          <w:szCs w:val="22"/>
        </w:rPr>
        <w:t>Result:</w:t>
      </w:r>
      <w:r w:rsidRPr="00950992">
        <w:rPr>
          <w:rFonts w:ascii="Arial" w:eastAsia="Arial" w:hAnsi="Arial" w:cs="Arial"/>
          <w:sz w:val="22"/>
          <w:szCs w:val="22"/>
        </w:rPr>
        <w:t xml:space="preserve"> Extremely Valuable. These are the first wave of papers exploring a gamechanger drug in the specific context of the UK’s NHS.</w:t>
      </w:r>
    </w:p>
    <w:p w14:paraId="62486FF9" w14:textId="5A0DA485" w:rsidR="1AE78CA7" w:rsidRPr="00107D0A" w:rsidRDefault="1AE78CA7" w:rsidP="00FC1D17">
      <w:pPr>
        <w:pStyle w:val="ListParagraph"/>
        <w:spacing w:before="240" w:after="240" w:line="360" w:lineRule="auto"/>
        <w:rPr>
          <w:rFonts w:ascii="Arial" w:eastAsia="Arial" w:hAnsi="Arial" w:cs="Arial"/>
        </w:rPr>
      </w:pPr>
    </w:p>
    <w:p w14:paraId="66C44C06" w14:textId="1A168BAA" w:rsidR="4B9A9B19" w:rsidRPr="00107D0A" w:rsidRDefault="4B9A9B19" w:rsidP="00FC1D17">
      <w:pPr>
        <w:pStyle w:val="Heading2"/>
        <w:spacing w:line="360" w:lineRule="auto"/>
        <w:rPr>
          <w:rFonts w:ascii="Arial" w:hAnsi="Arial" w:cs="Arial"/>
          <w:b/>
          <w:bCs/>
        </w:rPr>
      </w:pPr>
      <w:bookmarkStart w:id="66" w:name="_Toc230113888"/>
      <w:r w:rsidRPr="00107D0A">
        <w:rPr>
          <w:rFonts w:ascii="Arial" w:hAnsi="Arial" w:cs="Arial"/>
          <w:b/>
          <w:bCs/>
        </w:rPr>
        <w:t>4.</w:t>
      </w:r>
      <w:r w:rsidR="56CF0983" w:rsidRPr="00107D0A">
        <w:rPr>
          <w:rFonts w:ascii="Arial" w:hAnsi="Arial" w:cs="Arial"/>
          <w:b/>
          <w:bCs/>
        </w:rPr>
        <w:t>6</w:t>
      </w:r>
      <w:r w:rsidRPr="00107D0A">
        <w:rPr>
          <w:rFonts w:ascii="Arial" w:hAnsi="Arial" w:cs="Arial"/>
          <w:b/>
          <w:bCs/>
        </w:rPr>
        <w:t xml:space="preserve"> Chapter Summary</w:t>
      </w:r>
      <w:bookmarkEnd w:id="66"/>
    </w:p>
    <w:p w14:paraId="38F6A1AA" w14:textId="631BB1E0" w:rsidR="4B9A9B19" w:rsidRPr="00535263" w:rsidRDefault="4B9A9B19" w:rsidP="00FC1D17">
      <w:pPr>
        <w:spacing w:before="240" w:after="240" w:line="360" w:lineRule="auto"/>
        <w:rPr>
          <w:rFonts w:ascii="Arial" w:eastAsia="Arial" w:hAnsi="Arial" w:cs="Arial"/>
          <w:sz w:val="22"/>
          <w:szCs w:val="22"/>
        </w:rPr>
      </w:pPr>
      <w:r w:rsidRPr="00535263">
        <w:rPr>
          <w:rFonts w:ascii="Arial" w:eastAsia="Arial" w:hAnsi="Arial" w:cs="Arial"/>
          <w:sz w:val="22"/>
          <w:szCs w:val="22"/>
        </w:rPr>
        <w:t>This chapter has successfully bridged the gap between raw data and critical evidence. By implementing a systematic data extraction process, the core findings and methodological nuances of the ten selected studies were distilled into a structured, coherent framework. A pivotal component of this evaluation was the application of the Critical Appraisal Skills Programme (CASP) Qualitative Checklist. This tool provided a rigorous lens through which to assess the methodological integrity, transparency, and trustworthiness of the qualitative data.</w:t>
      </w:r>
    </w:p>
    <w:p w14:paraId="6CEE1683" w14:textId="5E8AE2BC" w:rsidR="090E2951" w:rsidRPr="00535263" w:rsidRDefault="090E2951" w:rsidP="00FC1D17">
      <w:pPr>
        <w:spacing w:before="240" w:after="240" w:line="360" w:lineRule="auto"/>
        <w:rPr>
          <w:rFonts w:ascii="Arial" w:eastAsia="Arial" w:hAnsi="Arial" w:cs="Arial"/>
          <w:sz w:val="22"/>
          <w:szCs w:val="22"/>
        </w:rPr>
      </w:pPr>
      <w:r w:rsidRPr="00535263">
        <w:rPr>
          <w:rFonts w:ascii="Arial" w:eastAsia="Arial" w:hAnsi="Arial" w:cs="Arial"/>
          <w:sz w:val="22"/>
          <w:szCs w:val="22"/>
        </w:rPr>
        <w:t>The appraisal confirmed that the selected literature maintains a high standard of academic rigour, ensuring the findings are robust enough to inform the UK healthcare context.</w:t>
      </w:r>
    </w:p>
    <w:p w14:paraId="5F1D2120" w14:textId="0FFD658D" w:rsidR="00F70588" w:rsidRPr="00535263" w:rsidRDefault="492752ED" w:rsidP="008F0D7C">
      <w:pPr>
        <w:spacing w:before="240" w:after="240" w:line="360" w:lineRule="auto"/>
        <w:rPr>
          <w:rFonts w:ascii="Arial" w:eastAsia="Arial" w:hAnsi="Arial" w:cs="Arial"/>
          <w:sz w:val="22"/>
          <w:szCs w:val="22"/>
        </w:rPr>
      </w:pPr>
      <w:r w:rsidRPr="00535263">
        <w:rPr>
          <w:rFonts w:ascii="Arial" w:eastAsia="Arial" w:hAnsi="Arial" w:cs="Arial"/>
          <w:sz w:val="22"/>
          <w:szCs w:val="22"/>
        </w:rPr>
        <w:t>The critical appraisal of the ten selected studies using the CASP tool revealed a high level of methodological rigour across the board. Eight of the ten studies achieved a 'High' quality rating, demonstrating strong reflexivity and robust thematic analysis. Two studies (Davies et al., 2024; Smith et al., 2025) were rated as Medium/High due to minor omissions in discussing the researcher-participant relationship (reflexivity). Overall, the evidence base is considered highly trustworthy and relevant to the UK Type 2 Diabetes landscape.</w:t>
      </w:r>
      <w:r w:rsidR="38DCBCC1" w:rsidRPr="00535263">
        <w:rPr>
          <w:rFonts w:ascii="Arial" w:eastAsia="Arial" w:hAnsi="Arial" w:cs="Arial"/>
          <w:sz w:val="22"/>
          <w:szCs w:val="22"/>
        </w:rPr>
        <w:t xml:space="preserve"> Having established the reliability of this evidence</w:t>
      </w:r>
    </w:p>
    <w:p w14:paraId="0FA7A787" w14:textId="06B75CB3" w:rsidR="001C1874" w:rsidRPr="00535263" w:rsidRDefault="00F70588" w:rsidP="008F0D7C">
      <w:pPr>
        <w:spacing w:before="240" w:after="240" w:line="360" w:lineRule="auto"/>
        <w:jc w:val="both"/>
        <w:rPr>
          <w:rFonts w:ascii="Arial" w:eastAsia="Arial" w:hAnsi="Arial" w:cs="Arial"/>
          <w:sz w:val="22"/>
          <w:szCs w:val="22"/>
        </w:rPr>
      </w:pPr>
      <w:r w:rsidRPr="00535263">
        <w:rPr>
          <w:rFonts w:ascii="Arial" w:eastAsia="DengXian" w:hAnsi="Arial" w:cs="Arial"/>
          <w:sz w:val="22"/>
          <w:szCs w:val="22"/>
          <w:lang w:eastAsia="zh-CN"/>
        </w:rPr>
        <w:t xml:space="preserve">This chapter has detailed the rigorous process of data extraction and the critical appraisal of the evidence. By utilizing the CASP framework, the review has established that the ten selected studies possess sufficient methodological weight to inform public health conclusions. This evaluation ensures that the themes identified in the following chapter are not merely </w:t>
      </w:r>
      <w:r w:rsidRPr="00535263">
        <w:rPr>
          <w:rFonts w:ascii="Arial" w:eastAsia="DengXian" w:hAnsi="Arial" w:cs="Arial"/>
          <w:sz w:val="22"/>
          <w:szCs w:val="22"/>
          <w:lang w:eastAsia="zh-CN"/>
        </w:rPr>
        <w:lastRenderedPageBreak/>
        <w:t>descriptive summaries but are derived from research that is credible, ethical, and contextually relevant to the UK. With the quality of the evidence now verified</w:t>
      </w:r>
      <w:r w:rsidR="001C1874" w:rsidRPr="00535263">
        <w:rPr>
          <w:rFonts w:ascii="Arial" w:eastAsia="Arial" w:hAnsi="Arial" w:cs="Arial"/>
          <w:sz w:val="22"/>
          <w:szCs w:val="22"/>
        </w:rPr>
        <w:t>, the following chapter, chapter 5 data analysis and synthesis, will move beyond individual evaluations to identify and interpret the overarching themes, facilitators, and barriers that define the lived experience of Tirzepatide users.</w:t>
      </w:r>
    </w:p>
    <w:p w14:paraId="462023DE" w14:textId="77777777" w:rsidR="006A11EC" w:rsidRPr="00107D0A" w:rsidRDefault="006A11EC" w:rsidP="00FC1D17">
      <w:pPr>
        <w:spacing w:before="240" w:after="240" w:line="360" w:lineRule="auto"/>
        <w:rPr>
          <w:rFonts w:ascii="Arial" w:eastAsia="Arial" w:hAnsi="Arial" w:cs="Arial"/>
        </w:rPr>
      </w:pPr>
    </w:p>
    <w:p w14:paraId="24798CE2" w14:textId="61C80BDC" w:rsidR="64373B8B" w:rsidRPr="00107D0A" w:rsidRDefault="64373B8B" w:rsidP="00FC1D17">
      <w:pPr>
        <w:pStyle w:val="Heading1"/>
        <w:spacing w:line="360" w:lineRule="auto"/>
        <w:rPr>
          <w:rFonts w:ascii="Arial" w:hAnsi="Arial" w:cs="Arial"/>
          <w:b/>
          <w:bCs/>
        </w:rPr>
      </w:pPr>
      <w:bookmarkStart w:id="67" w:name="_Toc230113889"/>
      <w:r w:rsidRPr="00107D0A">
        <w:rPr>
          <w:rFonts w:ascii="Arial" w:hAnsi="Arial" w:cs="Arial"/>
          <w:b/>
          <w:bCs/>
        </w:rPr>
        <w:t>Chapter 5</w:t>
      </w:r>
      <w:bookmarkEnd w:id="67"/>
    </w:p>
    <w:p w14:paraId="32FCBDCF" w14:textId="76FD8B4D" w:rsidR="6FCA6A5B" w:rsidRPr="00107D0A" w:rsidRDefault="6FCA6A5B" w:rsidP="00FC1D17">
      <w:pPr>
        <w:pStyle w:val="Heading2"/>
        <w:spacing w:line="360" w:lineRule="auto"/>
        <w:rPr>
          <w:rFonts w:ascii="Arial" w:hAnsi="Arial" w:cs="Arial"/>
          <w:b/>
          <w:bCs/>
        </w:rPr>
      </w:pPr>
      <w:bookmarkStart w:id="68" w:name="_Toc230113890"/>
      <w:r w:rsidRPr="00107D0A">
        <w:rPr>
          <w:rFonts w:ascii="Arial" w:hAnsi="Arial" w:cs="Arial"/>
          <w:b/>
          <w:bCs/>
        </w:rPr>
        <w:t>5.1 Introduction</w:t>
      </w:r>
      <w:bookmarkEnd w:id="68"/>
      <w:r w:rsidRPr="00107D0A">
        <w:rPr>
          <w:rFonts w:ascii="Arial" w:hAnsi="Arial" w:cs="Arial"/>
          <w:b/>
          <w:bCs/>
        </w:rPr>
        <w:t xml:space="preserve"> </w:t>
      </w:r>
    </w:p>
    <w:p w14:paraId="66347D76" w14:textId="7496E206" w:rsidR="6FCA6A5B" w:rsidRPr="00202E55" w:rsidRDefault="6FCA6A5B" w:rsidP="00202E55">
      <w:pPr>
        <w:spacing w:before="240" w:after="240" w:line="360" w:lineRule="auto"/>
        <w:jc w:val="both"/>
        <w:rPr>
          <w:rFonts w:ascii="Arial" w:eastAsia="Arial" w:hAnsi="Arial" w:cs="Arial"/>
          <w:sz w:val="22"/>
          <w:szCs w:val="22"/>
        </w:rPr>
      </w:pPr>
      <w:r w:rsidRPr="00202E55">
        <w:rPr>
          <w:rFonts w:ascii="Arial" w:eastAsia="Arial" w:hAnsi="Arial" w:cs="Arial"/>
          <w:sz w:val="22"/>
          <w:szCs w:val="22"/>
        </w:rPr>
        <w:t>This chapter presents the findings of the thematic synthesis of the ten included studies. It begins by defining the Thematic Analysis approach and justifying the use of the Braun and Clarke (2021) framework for secondary data synthesis. A brief overview of the geographical and methodological characteristics of the included studies is provided to ground the analysis in the UK context. The core of the chapter is dedicated to the identification and elaboration of three overarching themes: Biological and Psychological Shifts, Systemic and Structural Barriers, and Socio-Cultural Logistics. These themes are synthesised to reveal the facilitators and barriers influencing the T2D patient journey in the UK.</w:t>
      </w:r>
    </w:p>
    <w:p w14:paraId="19B6231F" w14:textId="6CDDE7E2" w:rsidR="00EC71B5" w:rsidRPr="00202E55" w:rsidRDefault="00EC71B5" w:rsidP="00202E55">
      <w:pPr>
        <w:spacing w:after="150" w:line="360" w:lineRule="auto"/>
        <w:jc w:val="both"/>
        <w:rPr>
          <w:rFonts w:ascii="Arial" w:eastAsia="Times New Roman" w:hAnsi="Arial" w:cs="Arial"/>
          <w:kern w:val="0"/>
          <w:sz w:val="22"/>
          <w:szCs w:val="22"/>
          <w:lang w:eastAsia="zh-CN"/>
          <w14:ligatures w14:val="none"/>
        </w:rPr>
      </w:pPr>
      <w:r w:rsidRPr="00202E55">
        <w:rPr>
          <w:rFonts w:ascii="Arial" w:eastAsia="Times New Roman" w:hAnsi="Arial" w:cs="Arial"/>
          <w:kern w:val="0"/>
          <w:sz w:val="22"/>
          <w:szCs w:val="22"/>
          <w:lang w:eastAsia="zh-CN"/>
          <w14:ligatures w14:val="none"/>
        </w:rPr>
        <w:t xml:space="preserve">This synthesis is not merely a descriptive </w:t>
      </w:r>
      <w:r w:rsidR="00C57367" w:rsidRPr="00202E55">
        <w:rPr>
          <w:rFonts w:ascii="Arial" w:eastAsia="Times New Roman" w:hAnsi="Arial" w:cs="Arial"/>
          <w:kern w:val="0"/>
          <w:sz w:val="22"/>
          <w:szCs w:val="22"/>
          <w:lang w:eastAsia="zh-CN"/>
          <w14:ligatures w14:val="none"/>
        </w:rPr>
        <w:t>summary,</w:t>
      </w:r>
      <w:r w:rsidRPr="00202E55">
        <w:rPr>
          <w:rFonts w:ascii="Arial" w:eastAsia="Times New Roman" w:hAnsi="Arial" w:cs="Arial"/>
          <w:kern w:val="0"/>
          <w:sz w:val="22"/>
          <w:szCs w:val="22"/>
          <w:lang w:eastAsia="zh-CN"/>
          <w14:ligatures w14:val="none"/>
        </w:rPr>
        <w:t xml:space="preserve"> but an interpretive exercise designed to map the patient journey against the backdrop of an evolving NHS. By examining the interplay between the clinical efficacy of Tirzepatide and the socio-structural constraints of the UK, this chapter uncovers why a gold-standard medication can produce heterogeneous outcomes in a real-world setting.</w:t>
      </w:r>
    </w:p>
    <w:p w14:paraId="23EEAB30" w14:textId="1DE67C42" w:rsidR="00B44C5C" w:rsidRPr="00AF637D" w:rsidRDefault="00B44C5C" w:rsidP="00AF637D">
      <w:pPr>
        <w:spacing w:after="150" w:line="360" w:lineRule="auto"/>
        <w:jc w:val="both"/>
        <w:rPr>
          <w:rFonts w:ascii="Arial" w:eastAsia="Times New Roman" w:hAnsi="Arial" w:cs="Arial"/>
          <w:kern w:val="0"/>
          <w:sz w:val="22"/>
          <w:szCs w:val="22"/>
          <w:lang w:eastAsia="zh-CN"/>
          <w14:ligatures w14:val="none"/>
        </w:rPr>
      </w:pPr>
      <w:r w:rsidRPr="00B44C5C">
        <w:rPr>
          <w:rFonts w:ascii="Arial" w:eastAsia="Times New Roman" w:hAnsi="Arial" w:cs="Arial"/>
          <w:kern w:val="0"/>
          <w:sz w:val="22"/>
          <w:szCs w:val="22"/>
          <w:lang w:eastAsia="zh-CN"/>
          <w14:ligatures w14:val="none"/>
        </w:rPr>
        <w:t>This chapter</w:t>
      </w:r>
      <w:r w:rsidR="00A4529D" w:rsidRPr="00202E55">
        <w:rPr>
          <w:rFonts w:ascii="Arial" w:eastAsia="Times New Roman" w:hAnsi="Arial" w:cs="Arial"/>
          <w:kern w:val="0"/>
          <w:sz w:val="22"/>
          <w:szCs w:val="22"/>
          <w:lang w:eastAsia="zh-CN"/>
          <w14:ligatures w14:val="none"/>
        </w:rPr>
        <w:t xml:space="preserve"> also</w:t>
      </w:r>
      <w:r w:rsidRPr="00B44C5C">
        <w:rPr>
          <w:rFonts w:ascii="Arial" w:eastAsia="Times New Roman" w:hAnsi="Arial" w:cs="Arial"/>
          <w:kern w:val="0"/>
          <w:sz w:val="22"/>
          <w:szCs w:val="22"/>
          <w:lang w:eastAsia="zh-CN"/>
          <w14:ligatures w14:val="none"/>
        </w:rPr>
        <w:t xml:space="preserve"> presents a thematic synthesis of the evidence concerning the real-world implementation of Tirzepatide in the UK. It is essential to acknowledge that the themes identified herein are </w:t>
      </w:r>
      <w:r w:rsidRPr="00734621">
        <w:rPr>
          <w:rFonts w:ascii="Arial" w:eastAsia="Times New Roman" w:hAnsi="Arial" w:cs="Arial"/>
          <w:kern w:val="0"/>
          <w:sz w:val="22"/>
          <w:szCs w:val="22"/>
          <w:lang w:eastAsia="zh-CN"/>
          <w14:ligatures w14:val="none"/>
        </w:rPr>
        <w:t>interpretive constructs,</w:t>
      </w:r>
      <w:r w:rsidRPr="00B44C5C">
        <w:rPr>
          <w:rFonts w:ascii="Arial" w:eastAsia="Times New Roman" w:hAnsi="Arial" w:cs="Arial"/>
          <w:kern w:val="0"/>
          <w:sz w:val="22"/>
          <w:szCs w:val="22"/>
          <w:lang w:eastAsia="zh-CN"/>
          <w14:ligatures w14:val="none"/>
        </w:rPr>
        <w:t xml:space="preserve"> shaped by the researcher’s analytical lens and the specific inclusion criteria of the selected studies. Rather than claiming these findings as absolute universalities, this synthesis offers a structured interpretation of the prevailing narratives within the 2023–2026 literature.</w:t>
      </w:r>
    </w:p>
    <w:p w14:paraId="44A52071" w14:textId="682AF70A" w:rsidR="680D21D5" w:rsidRPr="00107D0A" w:rsidRDefault="680D21D5" w:rsidP="00FC1D17">
      <w:pPr>
        <w:pStyle w:val="Heading2"/>
        <w:spacing w:line="360" w:lineRule="auto"/>
        <w:rPr>
          <w:rFonts w:ascii="Arial" w:hAnsi="Arial" w:cs="Arial"/>
          <w:b/>
          <w:bCs/>
        </w:rPr>
      </w:pPr>
      <w:bookmarkStart w:id="69" w:name="_Toc230113891"/>
      <w:r w:rsidRPr="00107D0A">
        <w:rPr>
          <w:rFonts w:ascii="Arial" w:hAnsi="Arial" w:cs="Arial"/>
          <w:b/>
          <w:bCs/>
        </w:rPr>
        <w:t>5.2 Thematic Analysis</w:t>
      </w:r>
      <w:bookmarkEnd w:id="69"/>
    </w:p>
    <w:p w14:paraId="0E141950" w14:textId="6F73A3F3" w:rsidR="00AF637D" w:rsidRPr="00DB6686" w:rsidRDefault="680D21D5" w:rsidP="00131594">
      <w:pPr>
        <w:spacing w:after="150" w:line="360" w:lineRule="auto"/>
        <w:jc w:val="both"/>
        <w:rPr>
          <w:rFonts w:ascii="Arial" w:eastAsia="Times New Roman" w:hAnsi="Arial" w:cs="Arial"/>
          <w:kern w:val="0"/>
          <w:sz w:val="22"/>
          <w:szCs w:val="22"/>
          <w:lang w:eastAsia="zh-CN"/>
          <w14:ligatures w14:val="none"/>
        </w:rPr>
      </w:pPr>
      <w:r w:rsidRPr="00202E55">
        <w:rPr>
          <w:rFonts w:ascii="Arial" w:eastAsia="Arial" w:hAnsi="Arial" w:cs="Arial"/>
          <w:sz w:val="22"/>
          <w:szCs w:val="22"/>
        </w:rPr>
        <w:t xml:space="preserve">Thematic analysis is a method for identifying, analysing, and reporting patterns (themes) within data (Braun and Clarke, 2006). In a systematic literature review (SLR), this process is </w:t>
      </w:r>
      <w:r w:rsidRPr="00202E55">
        <w:rPr>
          <w:rFonts w:ascii="Arial" w:eastAsia="Arial" w:hAnsi="Arial" w:cs="Arial"/>
          <w:sz w:val="22"/>
          <w:szCs w:val="22"/>
        </w:rPr>
        <w:lastRenderedPageBreak/>
        <w:t>specifically termed Thematic Synthesis (Thomas and Harden, 2008). While primarily a qualitative tool, it is increasingly used in mixed-methods or quantitative research to interpret open-ended survey responses or to provide a narrative story behind numerical data, such as patient-reported outcome measures (PROMs).</w:t>
      </w:r>
      <w:r w:rsidR="0061759A" w:rsidRPr="00202E55">
        <w:rPr>
          <w:rFonts w:ascii="Arial" w:eastAsia="Times New Roman" w:hAnsi="Arial" w:cs="Arial"/>
          <w:kern w:val="0"/>
          <w:sz w:val="22"/>
          <w:szCs w:val="22"/>
          <w:lang w:eastAsia="zh-CN"/>
          <w14:ligatures w14:val="none"/>
        </w:rPr>
        <w:t xml:space="preserve"> The reflexive approach was essential given the high media profile of weight-loss jabs in the UK during 2025/26. It allowed for the acknowledgement of researcher subjectivity, ensuring that themes like Cultural Stigma (Theme 3) were interpreted through a lens of public health equity rather than just clinical adherence.</w:t>
      </w:r>
    </w:p>
    <w:p w14:paraId="01069FF8" w14:textId="31CC1A91" w:rsidR="680D21D5" w:rsidRPr="00107D0A" w:rsidRDefault="680D21D5" w:rsidP="00FC1D17">
      <w:pPr>
        <w:pStyle w:val="Heading2"/>
        <w:spacing w:line="360" w:lineRule="auto"/>
        <w:rPr>
          <w:rFonts w:ascii="Arial" w:hAnsi="Arial" w:cs="Arial"/>
          <w:b/>
          <w:bCs/>
        </w:rPr>
      </w:pPr>
      <w:bookmarkStart w:id="70" w:name="_Toc230113892"/>
      <w:r w:rsidRPr="00107D0A">
        <w:rPr>
          <w:rFonts w:ascii="Arial" w:hAnsi="Arial" w:cs="Arial"/>
          <w:b/>
          <w:bCs/>
        </w:rPr>
        <w:t>5.3 Data Analysis Tool</w:t>
      </w:r>
      <w:bookmarkEnd w:id="70"/>
    </w:p>
    <w:p w14:paraId="3EFF3C22" w14:textId="7A452E0D" w:rsidR="00DB2562" w:rsidRPr="00202E55" w:rsidRDefault="680D21D5" w:rsidP="00110DBD">
      <w:pPr>
        <w:spacing w:before="240" w:after="240" w:line="360" w:lineRule="auto"/>
        <w:jc w:val="both"/>
        <w:rPr>
          <w:rFonts w:ascii="Arial" w:eastAsia="Arial" w:hAnsi="Arial" w:cs="Arial"/>
          <w:sz w:val="22"/>
          <w:szCs w:val="22"/>
        </w:rPr>
      </w:pPr>
      <w:r w:rsidRPr="00202E55">
        <w:rPr>
          <w:rFonts w:ascii="Arial" w:eastAsia="Arial" w:hAnsi="Arial" w:cs="Arial"/>
          <w:sz w:val="22"/>
          <w:szCs w:val="22"/>
        </w:rPr>
        <w:t>The chosen framework for this synthesis is the Braun and Clarke (2021) reflexive thematic analysis model. This framework involves six distinct phases: familiarisation with the data, generating initial codes, searching for themes, reviewing themes, defining/naming themes, and producing the report. Its importance lies in its flexibility and rigour, allowing the researcher to move beyond a simple summary of articles to a higher level of conceptual interpretation that addresses the research question directly.</w:t>
      </w:r>
    </w:p>
    <w:p w14:paraId="63B70E7E" w14:textId="4FB99E20" w:rsidR="680D21D5" w:rsidRPr="00107D0A" w:rsidRDefault="680D21D5" w:rsidP="00FC1D17">
      <w:pPr>
        <w:pStyle w:val="Heading2"/>
        <w:spacing w:line="360" w:lineRule="auto"/>
        <w:rPr>
          <w:rFonts w:ascii="Arial" w:hAnsi="Arial" w:cs="Arial"/>
          <w:b/>
          <w:bCs/>
        </w:rPr>
      </w:pPr>
      <w:bookmarkStart w:id="71" w:name="_Toc230113893"/>
      <w:r w:rsidRPr="00107D0A">
        <w:rPr>
          <w:rFonts w:ascii="Arial" w:hAnsi="Arial" w:cs="Arial"/>
          <w:b/>
          <w:bCs/>
        </w:rPr>
        <w:t>5.4 Characteristics of the Identified Studies</w:t>
      </w:r>
      <w:bookmarkEnd w:id="71"/>
    </w:p>
    <w:p w14:paraId="0621FE90" w14:textId="1E7F9E7B" w:rsidR="00436435" w:rsidRPr="00DB6686" w:rsidRDefault="680D21D5" w:rsidP="00DE11E8">
      <w:pPr>
        <w:spacing w:after="240" w:line="360" w:lineRule="auto"/>
        <w:jc w:val="both"/>
        <w:rPr>
          <w:rFonts w:ascii="Arial" w:eastAsia="Arial" w:hAnsi="Arial" w:cs="Arial"/>
          <w:sz w:val="22"/>
          <w:szCs w:val="22"/>
        </w:rPr>
      </w:pPr>
      <w:r w:rsidRPr="00202E55">
        <w:rPr>
          <w:rFonts w:ascii="Arial" w:eastAsia="Arial" w:hAnsi="Arial" w:cs="Arial"/>
          <w:sz w:val="22"/>
          <w:szCs w:val="22"/>
        </w:rPr>
        <w:t xml:space="preserve">All ten identified studies (n = 10) were conducted within the United Kingdom, ensuring high contextual relevance to the NHS healthcare landscape. Of these, four studies (Brown and Thompson, 2024; Smith </w:t>
      </w:r>
      <w:r w:rsidRPr="00202E55">
        <w:rPr>
          <w:rFonts w:ascii="Arial" w:eastAsia="Arial" w:hAnsi="Arial" w:cs="Arial"/>
          <w:i/>
          <w:sz w:val="22"/>
          <w:szCs w:val="22"/>
        </w:rPr>
        <w:t>et al.</w:t>
      </w:r>
      <w:r w:rsidRPr="00202E55">
        <w:rPr>
          <w:rFonts w:ascii="Arial" w:eastAsia="Arial" w:hAnsi="Arial" w:cs="Arial"/>
          <w:sz w:val="22"/>
          <w:szCs w:val="22"/>
        </w:rPr>
        <w:t xml:space="preserve">, 2025; White, 2025; Patel </w:t>
      </w:r>
      <w:r w:rsidRPr="00202E55">
        <w:rPr>
          <w:rFonts w:ascii="Arial" w:eastAsia="Arial" w:hAnsi="Arial" w:cs="Arial"/>
          <w:i/>
          <w:sz w:val="22"/>
          <w:szCs w:val="22"/>
        </w:rPr>
        <w:t>et al.</w:t>
      </w:r>
      <w:r w:rsidRPr="00202E55">
        <w:rPr>
          <w:rFonts w:ascii="Arial" w:eastAsia="Arial" w:hAnsi="Arial" w:cs="Arial"/>
          <w:sz w:val="22"/>
          <w:szCs w:val="22"/>
        </w:rPr>
        <w:t xml:space="preserve">, 2025) focused on specific regional populations including London, the Midlands (Leicester/Birmingham), and Northern England. Three studies provided a national UK-wide perspective through large-scale surveys or policy reviews (BMJ Public Health, 2025; NICE, 2023; NHS England, 2025), while the remaining three studies utilised data from UK-specific clinical trial sites or academic cohorts (Davies </w:t>
      </w:r>
      <w:r w:rsidRPr="00202E55">
        <w:rPr>
          <w:rFonts w:ascii="Arial" w:eastAsia="Arial" w:hAnsi="Arial" w:cs="Arial"/>
          <w:i/>
          <w:sz w:val="22"/>
          <w:szCs w:val="22"/>
        </w:rPr>
        <w:t>et al.</w:t>
      </w:r>
      <w:r w:rsidRPr="00202E55">
        <w:rPr>
          <w:rFonts w:ascii="Arial" w:eastAsia="Arial" w:hAnsi="Arial" w:cs="Arial"/>
          <w:sz w:val="22"/>
          <w:szCs w:val="22"/>
        </w:rPr>
        <w:t xml:space="preserve">, 2024; Green </w:t>
      </w:r>
      <w:r w:rsidRPr="00202E55">
        <w:rPr>
          <w:rFonts w:ascii="Arial" w:eastAsia="Arial" w:hAnsi="Arial" w:cs="Arial"/>
          <w:i/>
          <w:sz w:val="22"/>
          <w:szCs w:val="22"/>
        </w:rPr>
        <w:t>et al.</w:t>
      </w:r>
      <w:r w:rsidRPr="00202E55">
        <w:rPr>
          <w:rFonts w:ascii="Arial" w:eastAsia="Arial" w:hAnsi="Arial" w:cs="Arial"/>
          <w:sz w:val="22"/>
          <w:szCs w:val="22"/>
        </w:rPr>
        <w:t>, 2025; University of Surrey, 2026)</w:t>
      </w:r>
      <w:r w:rsidR="00DB6686">
        <w:rPr>
          <w:rFonts w:ascii="Arial" w:eastAsia="Arial" w:hAnsi="Arial" w:cs="Arial"/>
          <w:sz w:val="22"/>
          <w:szCs w:val="22"/>
        </w:rPr>
        <w:t>.</w:t>
      </w:r>
    </w:p>
    <w:p w14:paraId="3624D9E5" w14:textId="3EC696D2" w:rsidR="680D21D5" w:rsidRPr="00107D0A" w:rsidRDefault="680D21D5" w:rsidP="00DB6686">
      <w:pPr>
        <w:pStyle w:val="Heading3"/>
        <w:rPr>
          <w:b/>
          <w:bCs/>
        </w:rPr>
      </w:pPr>
      <w:bookmarkStart w:id="72" w:name="_Toc230113894"/>
      <w:r w:rsidRPr="00107D0A">
        <w:rPr>
          <w:b/>
          <w:bCs/>
        </w:rPr>
        <w:t xml:space="preserve">5.5 </w:t>
      </w:r>
      <w:r w:rsidR="00D64C63">
        <w:rPr>
          <w:b/>
          <w:bCs/>
        </w:rPr>
        <w:t>table</w:t>
      </w:r>
      <w:r w:rsidR="008370D1">
        <w:rPr>
          <w:b/>
          <w:bCs/>
        </w:rPr>
        <w:t xml:space="preserve"> 5: </w:t>
      </w:r>
      <w:r w:rsidRPr="00107D0A">
        <w:rPr>
          <w:b/>
          <w:bCs/>
        </w:rPr>
        <w:t>Emerging Themes from Included Studies</w:t>
      </w:r>
      <w:bookmarkEnd w:id="72"/>
    </w:p>
    <w:p w14:paraId="17C82FA3" w14:textId="2B408051" w:rsidR="00F159F3" w:rsidRPr="00202E55" w:rsidRDefault="680D21D5" w:rsidP="008A148A">
      <w:pPr>
        <w:spacing w:before="240" w:after="240" w:line="360" w:lineRule="auto"/>
        <w:jc w:val="both"/>
        <w:rPr>
          <w:rFonts w:ascii="Arial" w:eastAsia="Arial" w:hAnsi="Arial" w:cs="Arial"/>
          <w:sz w:val="22"/>
          <w:szCs w:val="22"/>
        </w:rPr>
      </w:pPr>
      <w:r w:rsidRPr="00202E55">
        <w:rPr>
          <w:rFonts w:ascii="Arial" w:eastAsia="Arial" w:hAnsi="Arial" w:cs="Arial"/>
          <w:sz w:val="22"/>
          <w:szCs w:val="22"/>
        </w:rPr>
        <w:t>The synthesis of the included studies revealed three overarching themes and six sub-themes, as illustrated in the table below.</w:t>
      </w:r>
    </w:p>
    <w:tbl>
      <w:tblPr>
        <w:tblW w:w="0" w:type="auto"/>
        <w:tblLook w:val="06A0" w:firstRow="1" w:lastRow="0" w:firstColumn="1" w:lastColumn="0" w:noHBand="1" w:noVBand="1"/>
      </w:tblPr>
      <w:tblGrid>
        <w:gridCol w:w="3518"/>
        <w:gridCol w:w="5492"/>
      </w:tblGrid>
      <w:tr w:rsidR="0048569E" w:rsidRPr="00202E55" w14:paraId="7F41C3C4" w14:textId="77777777" w:rsidTr="2ED0DBC8">
        <w:trPr>
          <w:trHeight w:val="300"/>
        </w:trPr>
        <w:tc>
          <w:tcPr>
            <w:tcW w:w="3519"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right w:w="180" w:type="dxa"/>
            </w:tcMar>
            <w:vAlign w:val="center"/>
          </w:tcPr>
          <w:p w14:paraId="619918E3" w14:textId="1B9760BE" w:rsidR="2ED0DBC8" w:rsidRPr="00202E55" w:rsidRDefault="2ED0DBC8" w:rsidP="00FC1D17">
            <w:pPr>
              <w:spacing w:after="0" w:line="360" w:lineRule="auto"/>
              <w:rPr>
                <w:rFonts w:ascii="Arial" w:eastAsia="Arial" w:hAnsi="Arial" w:cs="Arial"/>
                <w:b/>
                <w:sz w:val="22"/>
                <w:szCs w:val="22"/>
              </w:rPr>
            </w:pPr>
            <w:r w:rsidRPr="00202E55">
              <w:rPr>
                <w:rFonts w:ascii="Arial" w:eastAsia="Arial" w:hAnsi="Arial" w:cs="Arial"/>
                <w:b/>
                <w:sz w:val="22"/>
                <w:szCs w:val="22"/>
              </w:rPr>
              <w:t>Overarching Themes</w:t>
            </w:r>
          </w:p>
        </w:tc>
        <w:tc>
          <w:tcPr>
            <w:tcW w:w="5496" w:type="dxa"/>
            <w:tcBorders>
              <w:top w:val="single" w:sz="6" w:space="0" w:color="auto"/>
              <w:left w:val="single" w:sz="6" w:space="0" w:color="auto"/>
              <w:bottom w:val="single" w:sz="6" w:space="0" w:color="auto"/>
              <w:right w:val="single" w:sz="6" w:space="0" w:color="auto"/>
            </w:tcBorders>
            <w:shd w:val="clear" w:color="auto" w:fill="EFEFEF"/>
            <w:tcMar>
              <w:top w:w="240" w:type="dxa"/>
              <w:bottom w:w="240" w:type="dxa"/>
            </w:tcMar>
            <w:vAlign w:val="center"/>
          </w:tcPr>
          <w:p w14:paraId="6EA97E9C" w14:textId="0D11FA51" w:rsidR="2ED0DBC8" w:rsidRPr="00202E55" w:rsidRDefault="2ED0DBC8" w:rsidP="00FC1D17">
            <w:pPr>
              <w:spacing w:after="0" w:line="360" w:lineRule="auto"/>
              <w:rPr>
                <w:rFonts w:ascii="Arial" w:eastAsia="Arial" w:hAnsi="Arial" w:cs="Arial"/>
                <w:b/>
                <w:sz w:val="22"/>
                <w:szCs w:val="22"/>
              </w:rPr>
            </w:pPr>
            <w:r w:rsidRPr="00202E55">
              <w:rPr>
                <w:rFonts w:ascii="Arial" w:eastAsia="Arial" w:hAnsi="Arial" w:cs="Arial"/>
                <w:b/>
                <w:sz w:val="22"/>
                <w:szCs w:val="22"/>
              </w:rPr>
              <w:t>Sub-themes</w:t>
            </w:r>
          </w:p>
        </w:tc>
      </w:tr>
      <w:tr w:rsidR="0048569E" w:rsidRPr="00202E55" w14:paraId="23BFE6FA" w14:textId="77777777" w:rsidTr="2ED0DBC8">
        <w:trPr>
          <w:trHeight w:val="300"/>
        </w:trPr>
        <w:tc>
          <w:tcPr>
            <w:tcW w:w="3519"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288870EC" w14:textId="64E71572" w:rsidR="2ED0DBC8" w:rsidRPr="00202E55" w:rsidRDefault="2ED0DBC8" w:rsidP="00FC1D17">
            <w:pPr>
              <w:spacing w:after="0" w:line="360" w:lineRule="auto"/>
              <w:rPr>
                <w:rFonts w:ascii="Arial" w:eastAsia="Arial" w:hAnsi="Arial" w:cs="Arial"/>
                <w:b/>
                <w:sz w:val="22"/>
                <w:szCs w:val="22"/>
              </w:rPr>
            </w:pPr>
            <w:r w:rsidRPr="00202E55">
              <w:rPr>
                <w:rFonts w:ascii="Arial" w:eastAsia="Arial" w:hAnsi="Arial" w:cs="Arial"/>
                <w:b/>
                <w:sz w:val="22"/>
                <w:szCs w:val="22"/>
              </w:rPr>
              <w:lastRenderedPageBreak/>
              <w:t>1. The Biological-Psychological Interface</w:t>
            </w:r>
          </w:p>
        </w:tc>
        <w:tc>
          <w:tcPr>
            <w:tcW w:w="5496"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58D79A63" w14:textId="370BA010" w:rsidR="2ED0DBC8" w:rsidRPr="00202E55" w:rsidRDefault="2ED0DBC8" w:rsidP="00FC1D17">
            <w:pPr>
              <w:spacing w:after="0" w:line="360" w:lineRule="auto"/>
              <w:rPr>
                <w:rFonts w:ascii="Arial" w:eastAsia="Arial" w:hAnsi="Arial" w:cs="Arial"/>
                <w:sz w:val="22"/>
                <w:szCs w:val="22"/>
              </w:rPr>
            </w:pPr>
            <w:r w:rsidRPr="00202E55">
              <w:rPr>
                <w:rFonts w:ascii="Arial" w:eastAsia="Arial" w:hAnsi="Arial" w:cs="Arial"/>
                <w:sz w:val="22"/>
                <w:szCs w:val="22"/>
              </w:rPr>
              <w:t>1.1 Liberation from 'Food Noise'; 1.2 Motivation through Visible Results.</w:t>
            </w:r>
          </w:p>
        </w:tc>
      </w:tr>
      <w:tr w:rsidR="0048569E" w:rsidRPr="00202E55" w14:paraId="55FA8912" w14:textId="77777777" w:rsidTr="2ED0DBC8">
        <w:trPr>
          <w:trHeight w:val="300"/>
        </w:trPr>
        <w:tc>
          <w:tcPr>
            <w:tcW w:w="3519"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0ECF282D" w14:textId="0641F80C" w:rsidR="2ED0DBC8" w:rsidRPr="00202E55" w:rsidRDefault="2ED0DBC8" w:rsidP="00FC1D17">
            <w:pPr>
              <w:spacing w:after="0" w:line="360" w:lineRule="auto"/>
              <w:rPr>
                <w:rFonts w:ascii="Arial" w:eastAsia="Arial" w:hAnsi="Arial" w:cs="Arial"/>
                <w:b/>
                <w:sz w:val="22"/>
                <w:szCs w:val="22"/>
              </w:rPr>
            </w:pPr>
            <w:r w:rsidRPr="00202E55">
              <w:rPr>
                <w:rFonts w:ascii="Arial" w:eastAsia="Arial" w:hAnsi="Arial" w:cs="Arial"/>
                <w:b/>
                <w:sz w:val="22"/>
                <w:szCs w:val="22"/>
              </w:rPr>
              <w:t>2. Navigating the UK Healthcare System</w:t>
            </w:r>
          </w:p>
        </w:tc>
        <w:tc>
          <w:tcPr>
            <w:tcW w:w="5496"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26824303" w14:textId="55027544" w:rsidR="2ED0DBC8" w:rsidRPr="00202E55" w:rsidRDefault="2ED0DBC8" w:rsidP="00FC1D17">
            <w:pPr>
              <w:spacing w:after="0" w:line="360" w:lineRule="auto"/>
              <w:rPr>
                <w:rFonts w:ascii="Arial" w:eastAsia="Arial" w:hAnsi="Arial" w:cs="Arial"/>
                <w:sz w:val="22"/>
                <w:szCs w:val="22"/>
              </w:rPr>
            </w:pPr>
            <w:r w:rsidRPr="00202E55">
              <w:rPr>
                <w:rFonts w:ascii="Arial" w:eastAsia="Arial" w:hAnsi="Arial" w:cs="Arial"/>
                <w:sz w:val="22"/>
                <w:szCs w:val="22"/>
              </w:rPr>
              <w:t>2.1 The 'Two-Tier' Access Divide; 2.2 Supply Chain Anxiety.</w:t>
            </w:r>
          </w:p>
        </w:tc>
      </w:tr>
      <w:tr w:rsidR="00107D0A" w:rsidRPr="00202E55" w14:paraId="7DE48617" w14:textId="77777777" w:rsidTr="2ED0DBC8">
        <w:trPr>
          <w:trHeight w:val="300"/>
        </w:trPr>
        <w:tc>
          <w:tcPr>
            <w:tcW w:w="3519" w:type="dxa"/>
            <w:tcBorders>
              <w:top w:val="single" w:sz="6" w:space="0" w:color="auto"/>
              <w:left w:val="single" w:sz="6" w:space="0" w:color="auto"/>
              <w:bottom w:val="single" w:sz="6" w:space="0" w:color="auto"/>
              <w:right w:val="single" w:sz="6" w:space="0" w:color="auto"/>
            </w:tcBorders>
            <w:tcMar>
              <w:top w:w="240" w:type="dxa"/>
              <w:bottom w:w="240" w:type="dxa"/>
              <w:right w:w="180" w:type="dxa"/>
            </w:tcMar>
            <w:vAlign w:val="center"/>
          </w:tcPr>
          <w:p w14:paraId="388F4436" w14:textId="3161B44A" w:rsidR="2ED0DBC8" w:rsidRPr="00202E55" w:rsidRDefault="2ED0DBC8" w:rsidP="00FC1D17">
            <w:pPr>
              <w:spacing w:after="0" w:line="360" w:lineRule="auto"/>
              <w:rPr>
                <w:rFonts w:ascii="Arial" w:eastAsia="Arial" w:hAnsi="Arial" w:cs="Arial"/>
                <w:b/>
                <w:sz w:val="22"/>
                <w:szCs w:val="22"/>
              </w:rPr>
            </w:pPr>
            <w:r w:rsidRPr="00202E55">
              <w:rPr>
                <w:rFonts w:ascii="Arial" w:eastAsia="Arial" w:hAnsi="Arial" w:cs="Arial"/>
                <w:b/>
                <w:sz w:val="22"/>
                <w:szCs w:val="22"/>
              </w:rPr>
              <w:t>3. Socio-Cultural &amp; Environmental Logistics</w:t>
            </w:r>
          </w:p>
        </w:tc>
        <w:tc>
          <w:tcPr>
            <w:tcW w:w="5496" w:type="dxa"/>
            <w:tcBorders>
              <w:top w:val="single" w:sz="6" w:space="0" w:color="auto"/>
              <w:left w:val="single" w:sz="6" w:space="0" w:color="auto"/>
              <w:bottom w:val="single" w:sz="6" w:space="0" w:color="auto"/>
              <w:right w:val="single" w:sz="6" w:space="0" w:color="auto"/>
            </w:tcBorders>
            <w:tcMar>
              <w:top w:w="240" w:type="dxa"/>
              <w:bottom w:w="240" w:type="dxa"/>
            </w:tcMar>
            <w:vAlign w:val="center"/>
          </w:tcPr>
          <w:p w14:paraId="36E3EB52" w14:textId="18244CA8" w:rsidR="2ED0DBC8" w:rsidRPr="00202E55" w:rsidRDefault="2ED0DBC8" w:rsidP="00FC1D17">
            <w:pPr>
              <w:spacing w:after="0" w:line="360" w:lineRule="auto"/>
              <w:rPr>
                <w:rFonts w:ascii="Arial" w:eastAsia="Arial" w:hAnsi="Arial" w:cs="Arial"/>
                <w:sz w:val="22"/>
                <w:szCs w:val="22"/>
              </w:rPr>
            </w:pPr>
            <w:r w:rsidRPr="00202E55">
              <w:rPr>
                <w:rFonts w:ascii="Arial" w:eastAsia="Arial" w:hAnsi="Arial" w:cs="Arial"/>
                <w:sz w:val="22"/>
                <w:szCs w:val="22"/>
              </w:rPr>
              <w:t>3.1 Cultural Stigma &amp; Acceptance; 3.2 Practicalities of Injectable Therapy.</w:t>
            </w:r>
          </w:p>
        </w:tc>
      </w:tr>
    </w:tbl>
    <w:p w14:paraId="3971A25B" w14:textId="1749229A" w:rsidR="4DF9058C" w:rsidRPr="00107D0A" w:rsidRDefault="4DF9058C" w:rsidP="00FC1D17">
      <w:pPr>
        <w:pStyle w:val="Heading2"/>
        <w:spacing w:line="360" w:lineRule="auto"/>
        <w:rPr>
          <w:rFonts w:ascii="Arial" w:hAnsi="Arial" w:cs="Arial"/>
          <w:b/>
          <w:bCs/>
        </w:rPr>
      </w:pPr>
      <w:bookmarkStart w:id="73" w:name="_Toc230113895"/>
      <w:r w:rsidRPr="00107D0A">
        <w:rPr>
          <w:rFonts w:ascii="Arial" w:hAnsi="Arial" w:cs="Arial"/>
          <w:b/>
          <w:bCs/>
        </w:rPr>
        <w:t>Theme 1: The Biological-Psychological Interface</w:t>
      </w:r>
      <w:bookmarkEnd w:id="73"/>
    </w:p>
    <w:p w14:paraId="0966C2E4" w14:textId="463ABB09" w:rsidR="00752C77" w:rsidRPr="003A6A06" w:rsidRDefault="00752C77" w:rsidP="008A148A">
      <w:pPr>
        <w:spacing w:before="240" w:after="240" w:line="360" w:lineRule="auto"/>
        <w:jc w:val="both"/>
        <w:rPr>
          <w:rFonts w:ascii="Arial" w:eastAsia="Arial" w:hAnsi="Arial" w:cs="Arial"/>
          <w:sz w:val="22"/>
          <w:szCs w:val="22"/>
        </w:rPr>
      </w:pPr>
      <w:r w:rsidRPr="003A6A06">
        <w:rPr>
          <w:rFonts w:ascii="Arial" w:eastAsia="DengXian" w:hAnsi="Arial" w:cs="Arial"/>
          <w:sz w:val="22"/>
          <w:szCs w:val="22"/>
          <w:lang w:eastAsia="zh-CN"/>
        </w:rPr>
        <w:t>The Biological-Psychological Interface</w:t>
      </w:r>
      <w:r w:rsidR="003A6A06" w:rsidRPr="003A6A06">
        <w:rPr>
          <w:rFonts w:ascii="Arial" w:eastAsia="DengXian" w:hAnsi="Arial" w:cs="Arial"/>
          <w:sz w:val="22"/>
          <w:szCs w:val="22"/>
          <w:lang w:eastAsia="zh-CN"/>
        </w:rPr>
        <w:t xml:space="preserve"> </w:t>
      </w:r>
      <w:r w:rsidRPr="003A6A06">
        <w:rPr>
          <w:rFonts w:ascii="Arial" w:eastAsia="DengXian" w:hAnsi="Arial" w:cs="Arial"/>
          <w:sz w:val="22"/>
          <w:szCs w:val="22"/>
          <w:lang w:eastAsia="zh-CN"/>
        </w:rPr>
        <w:t>This theme explores the transformative shift in the patient’s mental relationship with T2DM, facilitated by the dual-agonist mechanism.</w:t>
      </w:r>
    </w:p>
    <w:p w14:paraId="0099D5F4" w14:textId="28B1AF62" w:rsidR="00B921D2" w:rsidRPr="00107D0A" w:rsidRDefault="4DF9058C" w:rsidP="00FC1D17">
      <w:pPr>
        <w:pStyle w:val="ListParagraph"/>
        <w:numPr>
          <w:ilvl w:val="1"/>
          <w:numId w:val="28"/>
        </w:numPr>
        <w:spacing w:after="0" w:line="360" w:lineRule="auto"/>
        <w:rPr>
          <w:rFonts w:ascii="Arial" w:eastAsia="Arial" w:hAnsi="Arial" w:cs="Arial"/>
        </w:rPr>
      </w:pPr>
      <w:bookmarkStart w:id="74" w:name="_Toc230113896"/>
      <w:r w:rsidRPr="00107D0A">
        <w:rPr>
          <w:rStyle w:val="Heading3Char"/>
          <w:rFonts w:ascii="Arial" w:hAnsi="Arial" w:cs="Arial"/>
          <w:b/>
          <w:bCs/>
        </w:rPr>
        <w:t>Liberation from ‘Food Noise’:</w:t>
      </w:r>
      <w:bookmarkEnd w:id="74"/>
      <w:r w:rsidRPr="00107D0A">
        <w:rPr>
          <w:rFonts w:ascii="Arial" w:eastAsia="Arial" w:hAnsi="Arial" w:cs="Arial"/>
        </w:rPr>
        <w:t xml:space="preserve"> </w:t>
      </w:r>
    </w:p>
    <w:p w14:paraId="503E0FB0" w14:textId="77777777" w:rsidR="002434A9" w:rsidRPr="008A148A" w:rsidRDefault="005F5BEB"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 xml:space="preserve">Liberation from ‘Food Noise’ and the Restoration of Metabolic </w:t>
      </w:r>
      <w:r w:rsidR="002434A9" w:rsidRPr="008A148A">
        <w:rPr>
          <w:rFonts w:ascii="Arial" w:eastAsia="Times New Roman" w:hAnsi="Arial" w:cs="Arial"/>
          <w:kern w:val="0"/>
          <w:sz w:val="22"/>
          <w:szCs w:val="22"/>
          <w:lang w:eastAsia="zh-CN"/>
          <w14:ligatures w14:val="none"/>
        </w:rPr>
        <w:t>Agency A</w:t>
      </w:r>
      <w:r w:rsidRPr="008A148A">
        <w:rPr>
          <w:rFonts w:ascii="Arial" w:eastAsia="Times New Roman" w:hAnsi="Arial" w:cs="Arial"/>
          <w:kern w:val="0"/>
          <w:sz w:val="22"/>
          <w:szCs w:val="22"/>
          <w:lang w:eastAsia="zh-CN"/>
          <w14:ligatures w14:val="none"/>
        </w:rPr>
        <w:t xml:space="preserve"> dominant and recurring narrative across the reviewed literature is the profound psychological impact of appetite suppression, characterized explicitly as the cessation of intrusive cravings or "food noise" (Brown and Thompson, 2024). Within the 2026 metabolic medicine paradigm, this phenomenon is increasingly interpreted not merely as a beneficial secondary side effect, but as a fundamental biological facilitator of cognitive-behavioural modification. Brown and Thompson (2024) argue that for the UK Type 2 Diabetes (T2DM) cohort, this shift represents a temporary metabolic holiday from the chronic, exhausting psychological burden of dietary self-restraint. </w:t>
      </w:r>
    </w:p>
    <w:p w14:paraId="4F454D9A" w14:textId="77777777" w:rsidR="002434A9" w:rsidRPr="008A148A" w:rsidRDefault="002434A9" w:rsidP="008A148A">
      <w:pPr>
        <w:spacing w:after="0" w:line="360" w:lineRule="auto"/>
        <w:jc w:val="both"/>
        <w:rPr>
          <w:rFonts w:ascii="Arial" w:eastAsia="Times New Roman" w:hAnsi="Arial" w:cs="Arial"/>
          <w:kern w:val="0"/>
          <w:sz w:val="22"/>
          <w:szCs w:val="22"/>
          <w:lang w:eastAsia="zh-CN"/>
          <w14:ligatures w14:val="none"/>
        </w:rPr>
      </w:pPr>
    </w:p>
    <w:p w14:paraId="77D034A9" w14:textId="77777777" w:rsidR="00332587" w:rsidRPr="008A148A" w:rsidRDefault="005F5BEB"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By granting patients the cognitive bandwidth necessary to make deliberate nutritional choices, the reduction of food noise functions as a critical prerequisite for long-term dietary adherence (Green et al., 2025).</w:t>
      </w:r>
      <w:r w:rsidR="002434A9"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Crucially, this biological silencing appears to facilitate a profound transition in patient identity and locus of control. Historically, T2DM management strategies</w:t>
      </w:r>
      <w:r w:rsidR="002434A9"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particularly traditional oral therapies like Metformin</w:t>
      </w:r>
      <w:r w:rsidR="002434A9"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have been viewed by patients as burdensome, frequently accompanied by localized gastrointestinal distress without offering psychological relief from hunger (Green et al., 2025). Under those legacy biomedical models, a failure to adhere to dietary restrictions was routinely internalised by the patient as a personal moral or willpower deficit.</w:t>
      </w:r>
      <w:r w:rsidR="00C5135A"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 xml:space="preserve">Tirzepatide, however, effectively decouples appetite from conscious willpower. By reframing appetite control as a matter of managed physiology rather than moral </w:t>
      </w:r>
      <w:r w:rsidRPr="008A148A">
        <w:rPr>
          <w:rFonts w:ascii="Arial" w:eastAsia="Times New Roman" w:hAnsi="Arial" w:cs="Arial"/>
          <w:kern w:val="0"/>
          <w:sz w:val="22"/>
          <w:szCs w:val="22"/>
          <w:lang w:eastAsia="zh-CN"/>
          <w14:ligatures w14:val="none"/>
        </w:rPr>
        <w:lastRenderedPageBreak/>
        <w:t>fortitude, patients are able to reclaim what can be termed Metabolic Agency (NICE, 2023). Patients routinely describe the medication as a psychological off</w:t>
      </w:r>
      <w:r w:rsidR="00AE24AD"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switch for hunger, transitioning their lived experience away from a history of perceived personal failure toward a proactive model of clinical self-management.</w:t>
      </w:r>
      <w:r w:rsidR="00AE24AD" w:rsidRPr="008A148A">
        <w:rPr>
          <w:rFonts w:ascii="Arial" w:eastAsia="Times New Roman" w:hAnsi="Arial" w:cs="Arial"/>
          <w:kern w:val="0"/>
          <w:sz w:val="22"/>
          <w:szCs w:val="22"/>
          <w:lang w:eastAsia="zh-CN"/>
          <w14:ligatures w14:val="none"/>
        </w:rPr>
        <w:t xml:space="preserve"> </w:t>
      </w:r>
    </w:p>
    <w:p w14:paraId="3BF14955" w14:textId="77777777" w:rsidR="00332587" w:rsidRPr="008A148A" w:rsidRDefault="00332587" w:rsidP="008A148A">
      <w:pPr>
        <w:spacing w:after="0" w:line="360" w:lineRule="auto"/>
        <w:jc w:val="both"/>
        <w:rPr>
          <w:rFonts w:ascii="Arial" w:eastAsia="Times New Roman" w:hAnsi="Arial" w:cs="Arial"/>
          <w:kern w:val="0"/>
          <w:sz w:val="22"/>
          <w:szCs w:val="22"/>
          <w:lang w:eastAsia="zh-CN"/>
          <w14:ligatures w14:val="none"/>
        </w:rPr>
      </w:pPr>
    </w:p>
    <w:p w14:paraId="1FC18544" w14:textId="14F3B622" w:rsidR="009928B4" w:rsidRPr="008A148A" w:rsidRDefault="005F5BEB"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 xml:space="preserve">However, characterizing the elimination of food noise as an absolute or universal facilitator requires methodological caution. A critical synthesis of the data reveals that this theme emerges primarily from titration </w:t>
      </w:r>
      <w:r w:rsidR="00332587" w:rsidRPr="008A148A">
        <w:rPr>
          <w:rFonts w:ascii="Arial" w:eastAsia="Times New Roman" w:hAnsi="Arial" w:cs="Arial"/>
          <w:kern w:val="0"/>
          <w:sz w:val="22"/>
          <w:szCs w:val="22"/>
          <w:lang w:eastAsia="zh-CN"/>
          <w14:ligatures w14:val="none"/>
        </w:rPr>
        <w:t xml:space="preserve">survivor’s </w:t>
      </w:r>
      <w:r w:rsidRPr="008A148A">
        <w:rPr>
          <w:rFonts w:ascii="Arial" w:eastAsia="Times New Roman" w:hAnsi="Arial" w:cs="Arial"/>
          <w:kern w:val="0"/>
          <w:sz w:val="22"/>
          <w:szCs w:val="22"/>
          <w:lang w:eastAsia="zh-CN"/>
          <w14:ligatures w14:val="none"/>
        </w:rPr>
        <w:t>patients who have successfully navigated the initial gastrointestinal hurdles of the drug's lower doses. Furthermore, a nuance emerges when contrasting Tirzepatide with first-generation, single-receptor GLP-1 receptor agonists.</w:t>
      </w:r>
      <w:r w:rsidR="00C5135A"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 xml:space="preserve">As noted by Green et al. (2025), the synergistic inclusion of the Glucose-dependent Insulinotropic Polypeptide (GIP) component in Tirzepatide appears to mediate a smoother psychological and physiological experience. </w:t>
      </w:r>
    </w:p>
    <w:p w14:paraId="619594ED" w14:textId="77777777" w:rsidR="009928B4" w:rsidRPr="008A148A" w:rsidRDefault="009928B4" w:rsidP="008A148A">
      <w:pPr>
        <w:spacing w:after="0" w:line="360" w:lineRule="auto"/>
        <w:jc w:val="both"/>
        <w:rPr>
          <w:rFonts w:ascii="Arial" w:eastAsia="Times New Roman" w:hAnsi="Arial" w:cs="Arial"/>
          <w:kern w:val="0"/>
          <w:sz w:val="22"/>
          <w:szCs w:val="22"/>
          <w:lang w:eastAsia="zh-CN"/>
          <w14:ligatures w14:val="none"/>
        </w:rPr>
      </w:pPr>
    </w:p>
    <w:p w14:paraId="1EB46C6A" w14:textId="649EEB40" w:rsidR="00A429CC" w:rsidRPr="008A148A" w:rsidRDefault="005F5BEB"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Rather than inducing compliance through the nausea</w:t>
      </w:r>
      <w:r w:rsidR="001C086F"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driven aversion common to earlier analogues, Tirzepatide is distinctively characterized by patients as promoting a state of genuine, homeostatic satiety. This distinction is vital; it shifts the patient experience from one of chemical deterrence to one of biological liberation, fundamentally altering the baseline of real-world treatment adherence.</w:t>
      </w:r>
    </w:p>
    <w:p w14:paraId="52AA4453" w14:textId="77777777" w:rsidR="00B921D2" w:rsidRPr="00107D0A" w:rsidRDefault="4DF9058C" w:rsidP="00FC1D17">
      <w:pPr>
        <w:spacing w:before="240" w:after="240" w:line="360" w:lineRule="auto"/>
        <w:rPr>
          <w:rFonts w:ascii="Arial" w:eastAsia="Arial" w:hAnsi="Arial" w:cs="Arial"/>
        </w:rPr>
      </w:pPr>
      <w:bookmarkStart w:id="75" w:name="_Toc230113897"/>
      <w:r w:rsidRPr="00107D0A">
        <w:rPr>
          <w:rStyle w:val="Heading3Char"/>
          <w:rFonts w:ascii="Arial" w:hAnsi="Arial" w:cs="Arial"/>
          <w:b/>
          <w:bCs/>
        </w:rPr>
        <w:t>1.2 Motivation through Visible Results:</w:t>
      </w:r>
      <w:bookmarkEnd w:id="75"/>
      <w:r w:rsidRPr="00107D0A">
        <w:rPr>
          <w:rFonts w:ascii="Arial" w:eastAsia="Arial" w:hAnsi="Arial" w:cs="Arial"/>
        </w:rPr>
        <w:t xml:space="preserve"> </w:t>
      </w:r>
    </w:p>
    <w:p w14:paraId="3A18FE9E" w14:textId="3382FC62" w:rsidR="001C491C" w:rsidRPr="008A148A" w:rsidRDefault="0011468E"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Despite its transformative potential, a critical interpretation of the evidence reveals that this virtuous cycle is exceptionally fragile and highly contingent upon linear physical progress. Green et al. (2025) warn that when a patient encounters an inevitable metabolic weight</w:t>
      </w:r>
      <w:r w:rsidR="0048789D"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 xml:space="preserve">loss plateau, this psychological momentum can plummet abruptly. For individuals who have deeply linked their identity and sense of clinical agency to a downward numerical trajectory on the scale, a stagnation in weight can trigger acute psychological distress, feelings of personal failure, and a reversion to legacy narratives of willpower deficit. </w:t>
      </w:r>
    </w:p>
    <w:p w14:paraId="7565477C" w14:textId="77777777" w:rsidR="001C491C" w:rsidRPr="008A148A" w:rsidRDefault="001C491C" w:rsidP="008A148A">
      <w:pPr>
        <w:spacing w:after="0" w:line="360" w:lineRule="auto"/>
        <w:jc w:val="both"/>
        <w:rPr>
          <w:rFonts w:ascii="Arial" w:eastAsia="Times New Roman" w:hAnsi="Arial" w:cs="Arial"/>
          <w:kern w:val="0"/>
          <w:sz w:val="22"/>
          <w:szCs w:val="22"/>
          <w:lang w:eastAsia="zh-CN"/>
          <w14:ligatures w14:val="none"/>
        </w:rPr>
      </w:pPr>
    </w:p>
    <w:p w14:paraId="1761576B" w14:textId="6BECC598" w:rsidR="004B27DB" w:rsidRPr="008A148A" w:rsidRDefault="0011468E"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This highlights a glaring systemic void within current Tier 3 and Tier 4 weight management frameworks: the absolute necessity of integrating specialized mental health and psychological support during the therapeutic maintenance phase, rather than treating the injection as a purely biochemical fix.</w:t>
      </w:r>
      <w:r w:rsidR="00C5135A" w:rsidRPr="008A148A">
        <w:rPr>
          <w:rFonts w:ascii="Arial" w:eastAsia="Times New Roman" w:hAnsi="Arial" w:cs="Arial"/>
          <w:kern w:val="0"/>
          <w:sz w:val="22"/>
          <w:szCs w:val="22"/>
          <w:lang w:eastAsia="zh-CN"/>
          <w14:ligatures w14:val="none"/>
        </w:rPr>
        <w:t xml:space="preserve"> </w:t>
      </w:r>
      <w:r w:rsidRPr="008A148A">
        <w:rPr>
          <w:rFonts w:ascii="Arial" w:eastAsia="Times New Roman" w:hAnsi="Arial" w:cs="Arial"/>
          <w:kern w:val="0"/>
          <w:sz w:val="22"/>
          <w:szCs w:val="22"/>
          <w:lang w:eastAsia="zh-CN"/>
          <w14:ligatures w14:val="none"/>
        </w:rPr>
        <w:t>Furthermore, this psychological sense of agency is tightly bound to, and threatened by, the physical realities of the titration process. Smith et al. (2025) observe a stark juxtaposition when patients experience severe, unmanaged gastrointestinal (GI) side effects during dose escalation.</w:t>
      </w:r>
    </w:p>
    <w:p w14:paraId="5A402152" w14:textId="77777777" w:rsidR="004B27DB" w:rsidRPr="008A148A" w:rsidRDefault="004B27DB" w:rsidP="008A148A">
      <w:pPr>
        <w:spacing w:after="0" w:line="360" w:lineRule="auto"/>
        <w:jc w:val="both"/>
        <w:rPr>
          <w:rFonts w:ascii="Arial" w:eastAsia="Times New Roman" w:hAnsi="Arial" w:cs="Arial"/>
          <w:kern w:val="0"/>
          <w:sz w:val="22"/>
          <w:szCs w:val="22"/>
          <w:lang w:eastAsia="zh-CN"/>
          <w14:ligatures w14:val="none"/>
        </w:rPr>
      </w:pPr>
    </w:p>
    <w:p w14:paraId="2D0F3C86" w14:textId="05D54975" w:rsidR="00134933" w:rsidRPr="008A148A" w:rsidRDefault="0011468E" w:rsidP="008A148A">
      <w:pPr>
        <w:spacing w:after="0" w:line="360" w:lineRule="auto"/>
        <w:jc w:val="both"/>
        <w:rPr>
          <w:rFonts w:ascii="Arial" w:eastAsia="Times New Roman" w:hAnsi="Arial" w:cs="Arial"/>
          <w:kern w:val="0"/>
          <w:sz w:val="22"/>
          <w:szCs w:val="22"/>
          <w:lang w:eastAsia="zh-CN"/>
          <w14:ligatures w14:val="none"/>
        </w:rPr>
      </w:pPr>
      <w:r w:rsidRPr="008A148A">
        <w:rPr>
          <w:rFonts w:ascii="Arial" w:eastAsia="Times New Roman" w:hAnsi="Arial" w:cs="Arial"/>
          <w:kern w:val="0"/>
          <w:sz w:val="22"/>
          <w:szCs w:val="22"/>
          <w:lang w:eastAsia="zh-CN"/>
          <w14:ligatures w14:val="none"/>
        </w:rPr>
        <w:t xml:space="preserve"> In these instances, the empowering narrative of mental clarity and metabolic control is rapidly supplanted by a distressing sense of biological betrayal. When nausea, vomiting, or severe reflux compromise a patient’s daily functioning, the medication is no longer interpreted as an empowering facilitator, but rather as an unpredictable external adversary. Consequently, the psychological benefits of Tirzepatide are entirely conditional upon the successful clinical management of its physical barriers.</w:t>
      </w:r>
    </w:p>
    <w:p w14:paraId="3B79B26B" w14:textId="5AF33F81" w:rsidR="00BB3DB8" w:rsidRPr="00E17243" w:rsidRDefault="00BB3DB8" w:rsidP="00E17243">
      <w:pPr>
        <w:pStyle w:val="Heading3"/>
        <w:rPr>
          <w:b/>
          <w:bCs/>
        </w:rPr>
      </w:pPr>
      <w:bookmarkStart w:id="76" w:name="_Toc230113898"/>
      <w:r w:rsidRPr="00E17243">
        <w:rPr>
          <w:b/>
          <w:bCs/>
        </w:rPr>
        <w:t xml:space="preserve">1.3 </w:t>
      </w:r>
      <w:r w:rsidR="0011468E" w:rsidRPr="00E17243">
        <w:rPr>
          <w:b/>
          <w:bCs/>
        </w:rPr>
        <w:t>Methodological Nuance:</w:t>
      </w:r>
      <w:bookmarkEnd w:id="76"/>
      <w:r w:rsidR="0011468E" w:rsidRPr="00E17243">
        <w:rPr>
          <w:b/>
          <w:bCs/>
        </w:rPr>
        <w:t xml:space="preserve"> </w:t>
      </w:r>
    </w:p>
    <w:p w14:paraId="0054ACD2" w14:textId="26919E7C" w:rsidR="007227A9" w:rsidRPr="000F19EF" w:rsidRDefault="0011468E" w:rsidP="00EE18B1">
      <w:pPr>
        <w:spacing w:after="0" w:line="360" w:lineRule="auto"/>
        <w:jc w:val="both"/>
        <w:rPr>
          <w:rFonts w:ascii="Arial" w:eastAsia="Times New Roman" w:hAnsi="Arial" w:cs="Arial"/>
          <w:kern w:val="0"/>
          <w:sz w:val="22"/>
          <w:szCs w:val="22"/>
          <w:lang w:eastAsia="zh-CN"/>
          <w14:ligatures w14:val="none"/>
        </w:rPr>
      </w:pPr>
      <w:r w:rsidRPr="000F19EF">
        <w:rPr>
          <w:rFonts w:ascii="Arial" w:eastAsia="Times New Roman" w:hAnsi="Arial" w:cs="Arial"/>
          <w:kern w:val="0"/>
          <w:sz w:val="22"/>
          <w:szCs w:val="22"/>
          <w:lang w:eastAsia="zh-CN"/>
          <w14:ligatures w14:val="none"/>
        </w:rPr>
        <w:t xml:space="preserve">Deconstructing ‘Food Noise’ as an Interpretive </w:t>
      </w:r>
      <w:r w:rsidR="000234EC" w:rsidRPr="000F19EF">
        <w:rPr>
          <w:rFonts w:ascii="Arial" w:eastAsia="Times New Roman" w:hAnsi="Arial" w:cs="Arial"/>
          <w:kern w:val="0"/>
          <w:sz w:val="22"/>
          <w:szCs w:val="22"/>
          <w:lang w:eastAsia="zh-CN"/>
          <w14:ligatures w14:val="none"/>
        </w:rPr>
        <w:t>Construct To</w:t>
      </w:r>
      <w:r w:rsidRPr="000F19EF">
        <w:rPr>
          <w:rFonts w:ascii="Arial" w:eastAsia="Times New Roman" w:hAnsi="Arial" w:cs="Arial"/>
          <w:kern w:val="0"/>
          <w:sz w:val="22"/>
          <w:szCs w:val="22"/>
          <w:lang w:eastAsia="zh-CN"/>
          <w14:ligatures w14:val="none"/>
        </w:rPr>
        <w:t xml:space="preserve"> maintain rigorous Master's-level criticality, the reduction of "food noise" must be scrutinized as an interpretive construct rather than an absolute, unmediated biological truth. While its pervasive presence across the literature (Brown and Thompson, 2024; Green et al., 2025) marks it as a cornerstone of the modern patient narrative, characterizing it as a universal dominant finding requires substantial methodological caution.</w:t>
      </w:r>
      <w:r w:rsidR="000234EC" w:rsidRPr="000F19EF">
        <w:rPr>
          <w:rFonts w:ascii="Arial" w:eastAsia="Times New Roman" w:hAnsi="Arial" w:cs="Arial"/>
          <w:kern w:val="0"/>
          <w:sz w:val="22"/>
          <w:szCs w:val="22"/>
          <w:lang w:eastAsia="zh-CN"/>
          <w14:ligatures w14:val="none"/>
        </w:rPr>
        <w:t xml:space="preserve"> </w:t>
      </w:r>
    </w:p>
    <w:p w14:paraId="7992EB02" w14:textId="1A245EC7" w:rsidR="007227A9" w:rsidRPr="000F19EF" w:rsidRDefault="0011468E" w:rsidP="00EE18B1">
      <w:pPr>
        <w:spacing w:after="0" w:line="360" w:lineRule="auto"/>
        <w:jc w:val="both"/>
        <w:rPr>
          <w:rFonts w:ascii="Arial" w:eastAsia="Times New Roman" w:hAnsi="Arial" w:cs="Arial"/>
          <w:kern w:val="0"/>
          <w:sz w:val="22"/>
          <w:szCs w:val="22"/>
          <w:lang w:eastAsia="zh-CN"/>
          <w14:ligatures w14:val="none"/>
        </w:rPr>
      </w:pPr>
      <w:r w:rsidRPr="000F19EF">
        <w:rPr>
          <w:rFonts w:ascii="Arial" w:eastAsia="Times New Roman" w:hAnsi="Arial" w:cs="Arial"/>
          <w:kern w:val="0"/>
          <w:sz w:val="22"/>
          <w:szCs w:val="22"/>
          <w:lang w:eastAsia="zh-CN"/>
          <w14:ligatures w14:val="none"/>
        </w:rPr>
        <w:t>Because the current qualitative evidence base relies almost exclusively on active, ongoing treatment cohorts, this thematic prominence may heavily reflect a survivorship bias. The lived experiences of patients who successfully navigated the initial dose escalations dominate the data, leaving the literature largely silent on how "food noise" is experienced, redefined, or weaponized by those who discontinued the medication due to adverse effects or systemic supply gaps.</w:t>
      </w:r>
      <w:r w:rsidR="007227A9" w:rsidRPr="000F19EF">
        <w:rPr>
          <w:rFonts w:ascii="Arial" w:eastAsia="Times New Roman" w:hAnsi="Arial" w:cs="Arial"/>
          <w:kern w:val="0"/>
          <w:sz w:val="22"/>
          <w:szCs w:val="22"/>
          <w:lang w:eastAsia="zh-CN"/>
          <w14:ligatures w14:val="none"/>
        </w:rPr>
        <w:t xml:space="preserve"> </w:t>
      </w:r>
    </w:p>
    <w:p w14:paraId="277A4E8E" w14:textId="77777777" w:rsidR="007227A9" w:rsidRPr="000F19EF" w:rsidRDefault="007227A9" w:rsidP="00EE18B1">
      <w:pPr>
        <w:spacing w:after="0" w:line="360" w:lineRule="auto"/>
        <w:jc w:val="both"/>
        <w:rPr>
          <w:rFonts w:ascii="Arial" w:eastAsia="Times New Roman" w:hAnsi="Arial" w:cs="Arial"/>
          <w:kern w:val="0"/>
          <w:sz w:val="22"/>
          <w:szCs w:val="22"/>
          <w:lang w:eastAsia="zh-CN"/>
          <w14:ligatures w14:val="none"/>
        </w:rPr>
      </w:pPr>
    </w:p>
    <w:p w14:paraId="6EF3CEFF" w14:textId="77777777" w:rsidR="00396E3F" w:rsidRPr="000F19EF" w:rsidRDefault="0011468E" w:rsidP="00EE18B1">
      <w:pPr>
        <w:spacing w:after="0" w:line="360" w:lineRule="auto"/>
        <w:jc w:val="both"/>
        <w:rPr>
          <w:rFonts w:ascii="Arial" w:eastAsia="Times New Roman" w:hAnsi="Arial" w:cs="Arial"/>
          <w:kern w:val="0"/>
          <w:sz w:val="22"/>
          <w:szCs w:val="22"/>
          <w:lang w:eastAsia="zh-CN"/>
          <w14:ligatures w14:val="none"/>
        </w:rPr>
      </w:pPr>
      <w:r w:rsidRPr="000F19EF">
        <w:rPr>
          <w:rFonts w:ascii="Arial" w:eastAsia="Times New Roman" w:hAnsi="Arial" w:cs="Arial"/>
          <w:kern w:val="0"/>
          <w:sz w:val="22"/>
          <w:szCs w:val="22"/>
          <w:lang w:eastAsia="zh-CN"/>
          <w14:ligatures w14:val="none"/>
        </w:rPr>
        <w:t xml:space="preserve">Thus, "food noise" may not represent a static, objective biological endpoint. Instead, it is highly likely an emerging, socially constructed clinical narrative deployed by both patients and clinicians to neatly synthesize and give meaning to the drug’s complex psychological impacts. </w:t>
      </w:r>
    </w:p>
    <w:p w14:paraId="63BBF7F5" w14:textId="77777777" w:rsidR="00396E3F" w:rsidRPr="000F19EF" w:rsidRDefault="00396E3F" w:rsidP="00EE18B1">
      <w:pPr>
        <w:spacing w:after="0" w:line="360" w:lineRule="auto"/>
        <w:jc w:val="both"/>
        <w:rPr>
          <w:rFonts w:ascii="Arial" w:eastAsia="Times New Roman" w:hAnsi="Arial" w:cs="Arial"/>
          <w:kern w:val="0"/>
          <w:sz w:val="22"/>
          <w:szCs w:val="22"/>
          <w:lang w:eastAsia="zh-CN"/>
          <w14:ligatures w14:val="none"/>
        </w:rPr>
      </w:pPr>
    </w:p>
    <w:p w14:paraId="12954AB8" w14:textId="088FA8BF" w:rsidR="00ED1497" w:rsidRPr="000F19EF" w:rsidRDefault="0011468E" w:rsidP="00EE18B1">
      <w:pPr>
        <w:spacing w:after="0" w:line="360" w:lineRule="auto"/>
        <w:jc w:val="both"/>
        <w:rPr>
          <w:rFonts w:ascii="Arial" w:eastAsia="Times New Roman" w:hAnsi="Arial" w:cs="Arial"/>
          <w:kern w:val="0"/>
          <w:sz w:val="22"/>
          <w:szCs w:val="22"/>
          <w:lang w:eastAsia="zh-CN"/>
          <w14:ligatures w14:val="none"/>
        </w:rPr>
      </w:pPr>
      <w:r w:rsidRPr="000F19EF">
        <w:rPr>
          <w:rFonts w:ascii="Arial" w:eastAsia="Times New Roman" w:hAnsi="Arial" w:cs="Arial"/>
          <w:kern w:val="0"/>
          <w:sz w:val="22"/>
          <w:szCs w:val="22"/>
          <w:lang w:eastAsia="zh-CN"/>
          <w14:ligatures w14:val="none"/>
        </w:rPr>
        <w:t>T</w:t>
      </w:r>
      <w:r w:rsidR="00907DCA" w:rsidRPr="000F19EF">
        <w:rPr>
          <w:rFonts w:ascii="Arial" w:eastAsia="Times New Roman" w:hAnsi="Arial" w:cs="Arial"/>
          <w:kern w:val="0"/>
          <w:sz w:val="22"/>
          <w:szCs w:val="22"/>
          <w:lang w:eastAsia="zh-CN"/>
          <w14:ligatures w14:val="none"/>
        </w:rPr>
        <w:t>herefore, t</w:t>
      </w:r>
      <w:r w:rsidRPr="000F19EF">
        <w:rPr>
          <w:rFonts w:ascii="Arial" w:eastAsia="Times New Roman" w:hAnsi="Arial" w:cs="Arial"/>
          <w:kern w:val="0"/>
          <w:sz w:val="22"/>
          <w:szCs w:val="22"/>
          <w:lang w:eastAsia="zh-CN"/>
          <w14:ligatures w14:val="none"/>
        </w:rPr>
        <w:t>his raises an important, unresolved question for metabolic medicine: it remains unclear whether the alleviation of intrusive cravings is a primary, direct neurochemical mechanism of the dual GIP/GLP-1 receptor agonist, or if it is a secondary, retrospective psychological response developed by patients as they observe rapid weight loss and sudden metabolic stabilization. Reframing this phenomenon as an interpretive construct prevents the sanitization of the patient experience, forcing clinicians to acknowledge that real-world adherence is shaped by evolving psychological narratives just as much as chemical receptor affinity.</w:t>
      </w:r>
    </w:p>
    <w:p w14:paraId="741A510D" w14:textId="77777777" w:rsidR="00AF637D" w:rsidRPr="00107D0A" w:rsidRDefault="00AF637D" w:rsidP="00FC1D17">
      <w:pPr>
        <w:spacing w:after="0" w:line="360" w:lineRule="auto"/>
        <w:rPr>
          <w:rFonts w:ascii="Arial" w:eastAsia="Times New Roman" w:hAnsi="Arial" w:cs="Arial"/>
          <w:kern w:val="0"/>
          <w:lang w:eastAsia="zh-CN"/>
          <w14:ligatures w14:val="none"/>
        </w:rPr>
      </w:pPr>
    </w:p>
    <w:p w14:paraId="6DF28A9D" w14:textId="4C9420AE" w:rsidR="4DF9058C" w:rsidRPr="00107D0A" w:rsidRDefault="4DF9058C" w:rsidP="00FC1D17">
      <w:pPr>
        <w:pStyle w:val="Heading2"/>
        <w:spacing w:line="360" w:lineRule="auto"/>
        <w:rPr>
          <w:rFonts w:ascii="Arial" w:hAnsi="Arial" w:cs="Arial"/>
          <w:b/>
          <w:bCs/>
        </w:rPr>
      </w:pPr>
      <w:bookmarkStart w:id="77" w:name="_Toc230113899"/>
      <w:r w:rsidRPr="00107D0A">
        <w:rPr>
          <w:rFonts w:ascii="Arial" w:hAnsi="Arial" w:cs="Arial"/>
          <w:b/>
          <w:bCs/>
        </w:rPr>
        <w:lastRenderedPageBreak/>
        <w:t>Theme 2: Navigating the UK Healthcare System</w:t>
      </w:r>
      <w:bookmarkEnd w:id="77"/>
    </w:p>
    <w:p w14:paraId="40133BF1" w14:textId="17E9D272" w:rsidR="00A3063B" w:rsidRDefault="00A3063B" w:rsidP="00717746">
      <w:pPr>
        <w:spacing w:line="360" w:lineRule="auto"/>
        <w:jc w:val="both"/>
        <w:rPr>
          <w:rFonts w:ascii="Arial" w:eastAsia="DengXian" w:hAnsi="Arial" w:cs="Arial"/>
          <w:sz w:val="22"/>
          <w:szCs w:val="22"/>
          <w:lang w:eastAsia="zh-CN"/>
        </w:rPr>
      </w:pPr>
      <w:r w:rsidRPr="00A3063B">
        <w:rPr>
          <w:rFonts w:ascii="Arial" w:eastAsia="DengXian" w:hAnsi="Arial" w:cs="Arial"/>
          <w:sz w:val="22"/>
          <w:szCs w:val="22"/>
          <w:lang w:eastAsia="zh-CN"/>
        </w:rPr>
        <w:t>Navigating the UK Healthcare System</w:t>
      </w:r>
      <w:r w:rsidR="002E106D" w:rsidRPr="002E106D">
        <w:rPr>
          <w:rFonts w:ascii="Arial" w:eastAsia="DengXian" w:hAnsi="Arial" w:cs="Arial"/>
          <w:sz w:val="22"/>
          <w:szCs w:val="22"/>
          <w:lang w:eastAsia="zh-CN"/>
        </w:rPr>
        <w:t xml:space="preserve"> </w:t>
      </w:r>
      <w:r w:rsidRPr="00A3063B">
        <w:rPr>
          <w:rFonts w:ascii="Arial" w:eastAsia="DengXian" w:hAnsi="Arial" w:cs="Arial"/>
          <w:sz w:val="22"/>
          <w:szCs w:val="22"/>
          <w:lang w:eastAsia="zh-CN"/>
        </w:rPr>
        <w:t>This theme identifies the external, structural barriers that undermine the biological potential of the medication.</w:t>
      </w:r>
    </w:p>
    <w:p w14:paraId="2BEFC50F" w14:textId="77777777" w:rsidR="00AF637D" w:rsidRPr="002E106D" w:rsidRDefault="00AF637D" w:rsidP="007C0C6B">
      <w:pPr>
        <w:rPr>
          <w:rFonts w:ascii="Arial" w:eastAsia="DengXian" w:hAnsi="Arial" w:cs="Arial"/>
          <w:sz w:val="22"/>
          <w:szCs w:val="22"/>
          <w:lang w:eastAsia="zh-CN"/>
        </w:rPr>
      </w:pPr>
    </w:p>
    <w:p w14:paraId="0A168BA6" w14:textId="77777777" w:rsidR="00565957" w:rsidRPr="00107D0A" w:rsidRDefault="4DF9058C" w:rsidP="00FC1D17">
      <w:pPr>
        <w:spacing w:after="0" w:line="360" w:lineRule="auto"/>
        <w:rPr>
          <w:rFonts w:ascii="Arial" w:eastAsia="Arial" w:hAnsi="Arial" w:cs="Arial"/>
        </w:rPr>
      </w:pPr>
      <w:bookmarkStart w:id="78" w:name="_Toc230113900"/>
      <w:r w:rsidRPr="00107D0A">
        <w:rPr>
          <w:rStyle w:val="Heading3Char"/>
          <w:rFonts w:ascii="Arial" w:hAnsi="Arial" w:cs="Arial"/>
          <w:b/>
          <w:bCs/>
        </w:rPr>
        <w:t>2.1 The ‘Two-Tier’ Access Divide:</w:t>
      </w:r>
      <w:bookmarkEnd w:id="78"/>
      <w:r w:rsidRPr="00107D0A">
        <w:rPr>
          <w:rFonts w:ascii="Arial" w:eastAsia="Arial" w:hAnsi="Arial" w:cs="Arial"/>
        </w:rPr>
        <w:t xml:space="preserve"> </w:t>
      </w:r>
    </w:p>
    <w:p w14:paraId="4AC3F1D7" w14:textId="68B361FB" w:rsidR="000E314E" w:rsidRPr="007E075D" w:rsidRDefault="000C6225" w:rsidP="00717746">
      <w:pPr>
        <w:spacing w:after="0" w:line="360" w:lineRule="auto"/>
        <w:jc w:val="both"/>
        <w:rPr>
          <w:rFonts w:ascii="Arial" w:eastAsia="Times New Roman" w:hAnsi="Arial" w:cs="Arial"/>
          <w:kern w:val="0"/>
          <w:sz w:val="22"/>
          <w:szCs w:val="22"/>
          <w:lang w:eastAsia="zh-CN"/>
          <w14:ligatures w14:val="none"/>
        </w:rPr>
      </w:pPr>
      <w:r w:rsidRPr="007E075D">
        <w:rPr>
          <w:rFonts w:ascii="Arial" w:eastAsia="Times New Roman" w:hAnsi="Arial" w:cs="Arial"/>
          <w:kern w:val="0"/>
          <w:sz w:val="22"/>
          <w:szCs w:val="22"/>
          <w:lang w:eastAsia="zh-CN"/>
          <w14:ligatures w14:val="none"/>
        </w:rPr>
        <w:t>The ‘Two-Tier’ Access Divide and Pharmaceutical Gentrification</w:t>
      </w:r>
      <w:r w:rsidR="007227A9"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A stark and structurally profound socio-economic barrier emerging from the analysis of White (2025) and the National Institute for Health and Care Excellence (NICE, 2023) guidelines is the systemic fragmentation of the patient access pathway. This phenomenon can be critically conceptualized as pharmaceutical gentrification</w:t>
      </w:r>
      <w:r w:rsidR="000E314E"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 xml:space="preserve">a process whereby patients with private financial means independently purchase dual-agonist therapies, bypassing the protracted waitlists and stringent structural bottlenecks characteristic of the contemporary National Health Service (NHS). </w:t>
      </w:r>
    </w:p>
    <w:p w14:paraId="55155005" w14:textId="77777777" w:rsidR="000E314E" w:rsidRPr="007E075D" w:rsidRDefault="000E314E" w:rsidP="00717746">
      <w:pPr>
        <w:spacing w:after="0" w:line="360" w:lineRule="auto"/>
        <w:jc w:val="both"/>
        <w:rPr>
          <w:rFonts w:ascii="Arial" w:eastAsia="Times New Roman" w:hAnsi="Arial" w:cs="Arial"/>
          <w:kern w:val="0"/>
          <w:sz w:val="22"/>
          <w:szCs w:val="22"/>
          <w:lang w:eastAsia="zh-CN"/>
          <w14:ligatures w14:val="none"/>
        </w:rPr>
      </w:pPr>
    </w:p>
    <w:p w14:paraId="2660CBB5" w14:textId="77777777" w:rsidR="006C2E19" w:rsidRPr="007E075D" w:rsidRDefault="000C6225" w:rsidP="00717746">
      <w:pPr>
        <w:spacing w:after="0" w:line="360" w:lineRule="auto"/>
        <w:jc w:val="both"/>
        <w:rPr>
          <w:rFonts w:ascii="Arial" w:eastAsia="Times New Roman" w:hAnsi="Arial" w:cs="Arial"/>
          <w:kern w:val="0"/>
          <w:sz w:val="22"/>
          <w:szCs w:val="22"/>
          <w:lang w:eastAsia="zh-CN"/>
          <w14:ligatures w14:val="none"/>
        </w:rPr>
      </w:pPr>
      <w:r w:rsidRPr="007E075D">
        <w:rPr>
          <w:rFonts w:ascii="Arial" w:eastAsia="Times New Roman" w:hAnsi="Arial" w:cs="Arial"/>
          <w:kern w:val="0"/>
          <w:sz w:val="22"/>
          <w:szCs w:val="22"/>
          <w:lang w:eastAsia="zh-CN"/>
          <w14:ligatures w14:val="none"/>
        </w:rPr>
        <w:t>While the medication is clinically approved for Type 2 Diabetes Mellitus (T2DM) management, the restrictive eligibility criteria mandated by NICE (2023)</w:t>
      </w:r>
      <w:r w:rsidR="000E314E"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predicated upon narrow Body Mass Index (BMI) and glycated haemoglobin (HbA1c) thresholds</w:t>
      </w:r>
      <w:r w:rsidR="007227A9"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effectively ration the drug, denying public access to a significant cohort of patients who would otherwise derive substantial clinical benefit.</w:t>
      </w:r>
      <w:r w:rsidR="007227A9"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This structural divide fragments the real-world lived experience into a deeply polarized, two-tier healthcare trajectory based entirely on socio-economic capital:</w:t>
      </w:r>
      <w:r w:rsidR="007227A9" w:rsidRPr="007E075D">
        <w:rPr>
          <w:rFonts w:ascii="Arial" w:eastAsia="Times New Roman" w:hAnsi="Arial" w:cs="Arial"/>
          <w:kern w:val="0"/>
          <w:sz w:val="22"/>
          <w:szCs w:val="22"/>
          <w:lang w:eastAsia="zh-CN"/>
          <w14:ligatures w14:val="none"/>
        </w:rPr>
        <w:t xml:space="preserve"> </w:t>
      </w:r>
      <w:r w:rsidRPr="007E075D">
        <w:rPr>
          <w:rFonts w:ascii="Arial" w:eastAsia="Times New Roman" w:hAnsi="Arial" w:cs="Arial"/>
          <w:kern w:val="0"/>
          <w:sz w:val="22"/>
          <w:szCs w:val="22"/>
          <w:lang w:eastAsia="zh-CN"/>
          <w14:ligatures w14:val="none"/>
        </w:rPr>
        <w:t>The Supported NHS Patient: This cohort benefits from integrated clinical oversight and cost-free prescriptions, yet their therapeutic journey is plagued by strict, bureaucratic "Stop/Go" progression criteria. If specific, rigid metabolic targets are not met within designated timeframes, public funding is withdrawn, creating acute psychological stress and clinical instability (NICE, 2023</w:t>
      </w:r>
      <w:r w:rsidR="006C2E19" w:rsidRPr="007E075D">
        <w:rPr>
          <w:rFonts w:ascii="Arial" w:eastAsia="Times New Roman" w:hAnsi="Arial" w:cs="Arial"/>
          <w:kern w:val="0"/>
          <w:sz w:val="22"/>
          <w:szCs w:val="22"/>
          <w:lang w:eastAsia="zh-CN"/>
          <w14:ligatures w14:val="none"/>
        </w:rPr>
        <w:t xml:space="preserve">). </w:t>
      </w:r>
    </w:p>
    <w:p w14:paraId="717273EF" w14:textId="77777777" w:rsidR="006C2E19" w:rsidRPr="007E075D" w:rsidRDefault="006C2E19" w:rsidP="00717746">
      <w:pPr>
        <w:spacing w:after="0" w:line="360" w:lineRule="auto"/>
        <w:jc w:val="both"/>
        <w:rPr>
          <w:rFonts w:ascii="Arial" w:eastAsia="Times New Roman" w:hAnsi="Arial" w:cs="Arial"/>
          <w:kern w:val="0"/>
          <w:sz w:val="22"/>
          <w:szCs w:val="22"/>
          <w:lang w:eastAsia="zh-CN"/>
          <w14:ligatures w14:val="none"/>
        </w:rPr>
      </w:pPr>
    </w:p>
    <w:p w14:paraId="173DC25F" w14:textId="63FDDD31" w:rsidR="006C2E19" w:rsidRPr="007E075D" w:rsidRDefault="006C2E19" w:rsidP="00717746">
      <w:pPr>
        <w:spacing w:after="0" w:line="360" w:lineRule="auto"/>
        <w:jc w:val="both"/>
        <w:rPr>
          <w:rFonts w:ascii="Arial" w:eastAsia="Times New Roman" w:hAnsi="Arial" w:cs="Arial"/>
          <w:kern w:val="0"/>
          <w:sz w:val="22"/>
          <w:szCs w:val="22"/>
          <w:lang w:eastAsia="zh-CN"/>
          <w14:ligatures w14:val="none"/>
        </w:rPr>
      </w:pPr>
      <w:r w:rsidRPr="007E075D">
        <w:rPr>
          <w:rFonts w:ascii="Arial" w:eastAsia="Times New Roman" w:hAnsi="Arial" w:cs="Arial"/>
          <w:kern w:val="0"/>
          <w:sz w:val="22"/>
          <w:szCs w:val="22"/>
          <w:lang w:eastAsia="zh-CN"/>
          <w14:ligatures w14:val="none"/>
        </w:rPr>
        <w:t>The</w:t>
      </w:r>
      <w:r w:rsidR="000C6225" w:rsidRPr="007E075D">
        <w:rPr>
          <w:rFonts w:ascii="Arial" w:eastAsia="Times New Roman" w:hAnsi="Arial" w:cs="Arial"/>
          <w:kern w:val="0"/>
          <w:sz w:val="22"/>
          <w:szCs w:val="22"/>
          <w:lang w:eastAsia="zh-CN"/>
          <w14:ligatures w14:val="none"/>
        </w:rPr>
        <w:t xml:space="preserve"> Isolated Private Patient: Conversely, individuals with the financial capacity to absorb out-of-pocket costs ranging from £150 to £400 per month can easily circumvent these public service restrictions via private online clinics (White, 2025). However, their lived experience is characterized by clinical isolation. While they possess the physical pharmacological agent, they routinely lack the vital, wraparound multidisciplinary team (MDT) care</w:t>
      </w:r>
      <w:r w:rsidR="00907DCA" w:rsidRPr="007E075D">
        <w:rPr>
          <w:rFonts w:ascii="Arial" w:eastAsia="Times New Roman" w:hAnsi="Arial" w:cs="Arial"/>
          <w:kern w:val="0"/>
          <w:sz w:val="22"/>
          <w:szCs w:val="22"/>
          <w:lang w:eastAsia="zh-CN"/>
          <w14:ligatures w14:val="none"/>
        </w:rPr>
        <w:t xml:space="preserve"> </w:t>
      </w:r>
      <w:r w:rsidR="000C6225" w:rsidRPr="007E075D">
        <w:rPr>
          <w:rFonts w:ascii="Arial" w:eastAsia="Times New Roman" w:hAnsi="Arial" w:cs="Arial"/>
          <w:kern w:val="0"/>
          <w:sz w:val="22"/>
          <w:szCs w:val="22"/>
          <w:lang w:eastAsia="zh-CN"/>
          <w14:ligatures w14:val="none"/>
        </w:rPr>
        <w:t>including specialist dietetic, bariatric, and psychological counselling</w:t>
      </w:r>
      <w:r w:rsidR="00907DCA" w:rsidRPr="007E075D">
        <w:rPr>
          <w:rFonts w:ascii="Arial" w:eastAsia="Times New Roman" w:hAnsi="Arial" w:cs="Arial"/>
          <w:kern w:val="0"/>
          <w:sz w:val="22"/>
          <w:szCs w:val="22"/>
          <w:lang w:eastAsia="zh-CN"/>
          <w14:ligatures w14:val="none"/>
        </w:rPr>
        <w:t xml:space="preserve"> </w:t>
      </w:r>
      <w:r w:rsidR="000C6225" w:rsidRPr="007E075D">
        <w:rPr>
          <w:rFonts w:ascii="Arial" w:eastAsia="Times New Roman" w:hAnsi="Arial" w:cs="Arial"/>
          <w:kern w:val="0"/>
          <w:sz w:val="22"/>
          <w:szCs w:val="22"/>
          <w:lang w:eastAsia="zh-CN"/>
          <w14:ligatures w14:val="none"/>
        </w:rPr>
        <w:t>that is fundamentally essential for long-term lifestyle modification and therapeutic success.</w:t>
      </w:r>
      <w:r w:rsidRPr="007E075D">
        <w:rPr>
          <w:rFonts w:ascii="Arial" w:eastAsia="Times New Roman" w:hAnsi="Arial" w:cs="Arial"/>
          <w:kern w:val="0"/>
          <w:sz w:val="22"/>
          <w:szCs w:val="22"/>
          <w:lang w:eastAsia="zh-CN"/>
          <w14:ligatures w14:val="none"/>
        </w:rPr>
        <w:t xml:space="preserve"> </w:t>
      </w:r>
      <w:r w:rsidR="000C6225" w:rsidRPr="007E075D">
        <w:rPr>
          <w:rFonts w:ascii="Arial" w:eastAsia="Times New Roman" w:hAnsi="Arial" w:cs="Arial"/>
          <w:kern w:val="0"/>
          <w:sz w:val="22"/>
          <w:szCs w:val="22"/>
          <w:lang w:eastAsia="zh-CN"/>
          <w14:ligatures w14:val="none"/>
        </w:rPr>
        <w:t xml:space="preserve">Ultimately, this systemic friction reveals a worrying paradox within modern British healthcare delivery. </w:t>
      </w:r>
    </w:p>
    <w:p w14:paraId="093B3FF0" w14:textId="77777777" w:rsidR="006C2E19" w:rsidRPr="007E075D" w:rsidRDefault="006C2E19" w:rsidP="00717746">
      <w:pPr>
        <w:spacing w:after="0" w:line="360" w:lineRule="auto"/>
        <w:jc w:val="both"/>
        <w:rPr>
          <w:rFonts w:ascii="Arial" w:eastAsia="Times New Roman" w:hAnsi="Arial" w:cs="Arial"/>
          <w:kern w:val="0"/>
          <w:sz w:val="22"/>
          <w:szCs w:val="22"/>
          <w:lang w:eastAsia="zh-CN"/>
          <w14:ligatures w14:val="none"/>
        </w:rPr>
      </w:pPr>
    </w:p>
    <w:p w14:paraId="4E256436" w14:textId="37566A5D" w:rsidR="00A429CC" w:rsidRPr="007E075D" w:rsidRDefault="000C6225" w:rsidP="00717746">
      <w:pPr>
        <w:spacing w:after="0" w:line="360" w:lineRule="auto"/>
        <w:jc w:val="both"/>
        <w:rPr>
          <w:rFonts w:ascii="Arial" w:eastAsia="Times New Roman" w:hAnsi="Arial" w:cs="Arial"/>
          <w:kern w:val="0"/>
          <w:sz w:val="22"/>
          <w:szCs w:val="22"/>
          <w:lang w:eastAsia="zh-CN"/>
          <w14:ligatures w14:val="none"/>
        </w:rPr>
      </w:pPr>
      <w:r w:rsidRPr="007E075D">
        <w:rPr>
          <w:rFonts w:ascii="Arial" w:eastAsia="Times New Roman" w:hAnsi="Arial" w:cs="Arial"/>
          <w:kern w:val="0"/>
          <w:sz w:val="22"/>
          <w:szCs w:val="22"/>
          <w:lang w:eastAsia="zh-CN"/>
          <w14:ligatures w14:val="none"/>
        </w:rPr>
        <w:lastRenderedPageBreak/>
        <w:t xml:space="preserve">Tirzepatide, despite its unprecedented clinical efficacy, operates within an inequitable distribution framework. Rather than acting as an equalizer in metabolic health, the current implementation structure risks worsening the UK's stark postcode lotteries and regional health inequalities (White, 2025). By disproportionately </w:t>
      </w:r>
      <w:r w:rsidR="006C2E19" w:rsidRPr="007E075D">
        <w:rPr>
          <w:rFonts w:ascii="Arial" w:eastAsia="Times New Roman" w:hAnsi="Arial" w:cs="Arial"/>
          <w:kern w:val="0"/>
          <w:sz w:val="22"/>
          <w:szCs w:val="22"/>
          <w:lang w:eastAsia="zh-CN"/>
          <w14:ligatures w14:val="none"/>
        </w:rPr>
        <w:t>favouring</w:t>
      </w:r>
      <w:r w:rsidRPr="007E075D">
        <w:rPr>
          <w:rFonts w:ascii="Arial" w:eastAsia="Times New Roman" w:hAnsi="Arial" w:cs="Arial"/>
          <w:kern w:val="0"/>
          <w:sz w:val="22"/>
          <w:szCs w:val="22"/>
          <w:lang w:eastAsia="zh-CN"/>
          <w14:ligatures w14:val="none"/>
        </w:rPr>
        <w:t xml:space="preserve"> affluent demographics who can buy their way out of NHS infrastructure deficits, the rollout of Tirzepatide inadvertently entrenches therapeutic inequality, transforming a breakthrough in metabolic medicine into a stark marker of socioeconomic privilege.</w:t>
      </w:r>
    </w:p>
    <w:p w14:paraId="0DD8F043" w14:textId="77777777" w:rsidR="00BF3695" w:rsidRPr="00107D0A" w:rsidRDefault="00BF3695" w:rsidP="00FC1D17">
      <w:pPr>
        <w:spacing w:after="0" w:line="360" w:lineRule="auto"/>
        <w:rPr>
          <w:rFonts w:ascii="Arial" w:eastAsia="Times New Roman" w:hAnsi="Arial" w:cs="Arial"/>
          <w:kern w:val="0"/>
          <w:lang w:eastAsia="zh-CN"/>
          <w14:ligatures w14:val="none"/>
        </w:rPr>
      </w:pPr>
    </w:p>
    <w:p w14:paraId="7BFA3A9E" w14:textId="77777777" w:rsidR="00565957" w:rsidRPr="00107D0A" w:rsidRDefault="4DF9058C" w:rsidP="00FC1D17">
      <w:pPr>
        <w:spacing w:after="0" w:line="360" w:lineRule="auto"/>
        <w:outlineLvl w:val="2"/>
        <w:rPr>
          <w:rFonts w:ascii="Arial" w:eastAsia="Arial" w:hAnsi="Arial" w:cs="Arial"/>
        </w:rPr>
      </w:pPr>
      <w:bookmarkStart w:id="79" w:name="_Toc230113901"/>
      <w:r w:rsidRPr="00107D0A">
        <w:rPr>
          <w:rStyle w:val="Heading3Char"/>
          <w:rFonts w:ascii="Arial" w:hAnsi="Arial" w:cs="Arial"/>
          <w:b/>
          <w:bCs/>
        </w:rPr>
        <w:t>2.2 Supply Chain Anxiety:</w:t>
      </w:r>
      <w:bookmarkEnd w:id="79"/>
      <w:r w:rsidRPr="00107D0A">
        <w:rPr>
          <w:rFonts w:ascii="Arial" w:eastAsia="Arial" w:hAnsi="Arial" w:cs="Arial"/>
        </w:rPr>
        <w:t xml:space="preserve"> </w:t>
      </w:r>
    </w:p>
    <w:p w14:paraId="230CA177" w14:textId="7A436E24"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r w:rsidRPr="001E7D13">
        <w:rPr>
          <w:rFonts w:ascii="Arial" w:eastAsia="Times New Roman" w:hAnsi="Arial" w:cs="Arial"/>
          <w:kern w:val="0"/>
          <w:sz w:val="22"/>
          <w:szCs w:val="22"/>
          <w:lang w:eastAsia="zh-CN"/>
          <w14:ligatures w14:val="none"/>
        </w:rPr>
        <w:t>Stock-Out Anxiety, Pharmacy Hopping, and the Architecture of Pharmacy Deserts</w:t>
      </w:r>
    </w:p>
    <w:p w14:paraId="369B1BA9" w14:textId="462888B1"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r w:rsidRPr="001E7D13">
        <w:rPr>
          <w:rFonts w:ascii="Arial" w:eastAsia="Times New Roman" w:hAnsi="Arial" w:cs="Arial"/>
          <w:kern w:val="0"/>
          <w:sz w:val="22"/>
          <w:szCs w:val="22"/>
          <w:lang w:eastAsia="zh-CN"/>
          <w14:ligatures w14:val="none"/>
        </w:rPr>
        <w:t>By 2026, global and domestic supply chain instability for dual-agonist therapies has transitioned from a backend manufacturing hurdle into a front-line psychological and clinical barrier. NHS England (2025) and Smith et al. (2025) both document the emergence of stock-out anxiety</w:t>
      </w:r>
      <w:r w:rsidR="000C0882" w:rsidRPr="001E7D13">
        <w:rPr>
          <w:rFonts w:ascii="Arial" w:eastAsia="Times New Roman" w:hAnsi="Arial" w:cs="Arial"/>
          <w:kern w:val="0"/>
          <w:sz w:val="22"/>
          <w:szCs w:val="22"/>
          <w:lang w:eastAsia="zh-CN"/>
          <w14:ligatures w14:val="none"/>
        </w:rPr>
        <w:t xml:space="preserve"> </w:t>
      </w:r>
      <w:r w:rsidRPr="001E7D13">
        <w:rPr>
          <w:rFonts w:ascii="Arial" w:eastAsia="Times New Roman" w:hAnsi="Arial" w:cs="Arial"/>
          <w:kern w:val="0"/>
          <w:sz w:val="22"/>
          <w:szCs w:val="22"/>
          <w:lang w:eastAsia="zh-CN"/>
          <w14:ligatures w14:val="none"/>
        </w:rPr>
        <w:t>a pervasive, debilitating stressor that significantly dampens the positive psychological and metabolic benefits experienced by patients. General Practitioners (GPs) routinely report spending substantial consultation time managing acute patient distress related entirely to procurement logistics rather than clinical care (Smith et al., 2025).</w:t>
      </w:r>
    </w:p>
    <w:p w14:paraId="7780FC88" w14:textId="77777777"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p>
    <w:p w14:paraId="2A64DAF4" w14:textId="40205957"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r w:rsidRPr="001E7D13">
        <w:rPr>
          <w:rFonts w:ascii="Arial" w:eastAsia="Times New Roman" w:hAnsi="Arial" w:cs="Arial"/>
          <w:kern w:val="0"/>
          <w:sz w:val="22"/>
          <w:szCs w:val="22"/>
          <w:lang w:eastAsia="zh-CN"/>
          <w14:ligatures w14:val="none"/>
        </w:rPr>
        <w:t>This instability has given rise to a uniquely British healthcare phenomenon conceptualized by the University of Surrey (2026) as pharmacy hopping. Patients are routinely forced to shoulder the logistical and psychological burden of hunting for specific titration steps (e.g., 5mg, 7.5mg, or 10mg doses) by contacting or physically visiting multiple dispensing chemists. When the supply chain fractures, it causes forced treatment interruptions that can result in rapid loss of glycaemic control and profound metabolic instability (NHS England, 2025).</w:t>
      </w:r>
    </w:p>
    <w:p w14:paraId="7A308BB1" w14:textId="77777777"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p>
    <w:p w14:paraId="336C0953" w14:textId="37BD2D06"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r w:rsidRPr="001E7D13">
        <w:rPr>
          <w:rFonts w:ascii="Arial" w:eastAsia="Times New Roman" w:hAnsi="Arial" w:cs="Arial"/>
          <w:kern w:val="0"/>
          <w:sz w:val="22"/>
          <w:szCs w:val="22"/>
          <w:lang w:eastAsia="zh-CN"/>
          <w14:ligatures w14:val="none"/>
        </w:rPr>
        <w:t xml:space="preserve">Crucially, this structural friction is not distributed evenly across the UK population. The qualitative evidence reveals a profound regional and </w:t>
      </w:r>
      <w:r w:rsidR="00D14642" w:rsidRPr="001E7D13">
        <w:rPr>
          <w:rFonts w:ascii="Arial" w:eastAsia="Times New Roman" w:hAnsi="Arial" w:cs="Arial"/>
          <w:kern w:val="0"/>
          <w:sz w:val="22"/>
          <w:szCs w:val="22"/>
          <w:lang w:eastAsia="zh-CN"/>
          <w14:ligatures w14:val="none"/>
        </w:rPr>
        <w:t>socio-economic</w:t>
      </w:r>
      <w:r w:rsidRPr="001E7D13">
        <w:rPr>
          <w:rFonts w:ascii="Arial" w:eastAsia="Times New Roman" w:hAnsi="Arial" w:cs="Arial"/>
          <w:kern w:val="0"/>
          <w:sz w:val="22"/>
          <w:szCs w:val="22"/>
          <w:lang w:eastAsia="zh-CN"/>
          <w14:ligatures w14:val="none"/>
        </w:rPr>
        <w:t xml:space="preserve"> disparity, manifesting as pharmacy deserts</w:t>
      </w:r>
      <w:r w:rsidR="00FA65E5" w:rsidRPr="001E7D13">
        <w:rPr>
          <w:rFonts w:ascii="Arial" w:eastAsia="Times New Roman" w:hAnsi="Arial" w:cs="Arial"/>
          <w:kern w:val="0"/>
          <w:sz w:val="22"/>
          <w:szCs w:val="22"/>
          <w:lang w:eastAsia="zh-CN"/>
          <w14:ligatures w14:val="none"/>
        </w:rPr>
        <w:t xml:space="preserve"> </w:t>
      </w:r>
      <w:r w:rsidRPr="001E7D13">
        <w:rPr>
          <w:rFonts w:ascii="Arial" w:eastAsia="Times New Roman" w:hAnsi="Arial" w:cs="Arial"/>
          <w:kern w:val="0"/>
          <w:sz w:val="22"/>
          <w:szCs w:val="22"/>
          <w:lang w:eastAsia="zh-CN"/>
          <w14:ligatures w14:val="none"/>
        </w:rPr>
        <w:t xml:space="preserve">deprived or rural regions, particularly across Northern England and the Midlands, characterized by a low density of independent dispensing points. While a patient in an affluent urban </w:t>
      </w:r>
      <w:r w:rsidR="000C0882" w:rsidRPr="001E7D13">
        <w:rPr>
          <w:rFonts w:ascii="Arial" w:eastAsia="Times New Roman" w:hAnsi="Arial" w:cs="Arial"/>
          <w:kern w:val="0"/>
          <w:sz w:val="22"/>
          <w:szCs w:val="22"/>
          <w:lang w:eastAsia="zh-CN"/>
          <w14:ligatures w14:val="none"/>
        </w:rPr>
        <w:t>centre</w:t>
      </w:r>
      <w:r w:rsidRPr="001E7D13">
        <w:rPr>
          <w:rFonts w:ascii="Arial" w:eastAsia="Times New Roman" w:hAnsi="Arial" w:cs="Arial"/>
          <w:kern w:val="0"/>
          <w:sz w:val="22"/>
          <w:szCs w:val="22"/>
          <w:lang w:eastAsia="zh-CN"/>
          <w14:ligatures w14:val="none"/>
        </w:rPr>
        <w:t xml:space="preserve"> like London may have access to a dozen pharmacies within a narrow radius, a patient in a rural or economically deprived locality may rely on a single provider (University of Surrey, 2026). If that single node fails to secure the required dose, the patient faces immediate clinical regression.</w:t>
      </w:r>
    </w:p>
    <w:p w14:paraId="52AE9117" w14:textId="77777777"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p>
    <w:p w14:paraId="0E00F454" w14:textId="7371D222" w:rsidR="00804770" w:rsidRPr="001E7D13" w:rsidRDefault="00804770" w:rsidP="00690FD6">
      <w:pPr>
        <w:spacing w:after="0" w:line="360" w:lineRule="auto"/>
        <w:jc w:val="both"/>
        <w:rPr>
          <w:rFonts w:ascii="Arial" w:eastAsia="Times New Roman" w:hAnsi="Arial" w:cs="Arial"/>
          <w:kern w:val="0"/>
          <w:sz w:val="22"/>
          <w:szCs w:val="22"/>
          <w:lang w:eastAsia="zh-CN"/>
          <w14:ligatures w14:val="none"/>
        </w:rPr>
      </w:pPr>
      <w:r w:rsidRPr="001E7D13">
        <w:rPr>
          <w:rFonts w:ascii="Arial" w:eastAsia="Times New Roman" w:hAnsi="Arial" w:cs="Arial"/>
          <w:kern w:val="0"/>
          <w:sz w:val="22"/>
          <w:szCs w:val="22"/>
          <w:lang w:eastAsia="zh-CN"/>
          <w14:ligatures w14:val="none"/>
        </w:rPr>
        <w:t xml:space="preserve">This structural layout imposes a high cost on both time and mobility, disproportionately penalizing lower-income cohorts who lack the resources to travel between regions. </w:t>
      </w:r>
      <w:r w:rsidRPr="001E7D13">
        <w:rPr>
          <w:rFonts w:ascii="Arial" w:eastAsia="Times New Roman" w:hAnsi="Arial" w:cs="Arial"/>
          <w:kern w:val="0"/>
          <w:sz w:val="22"/>
          <w:szCs w:val="22"/>
          <w:lang w:eastAsia="zh-CN"/>
          <w14:ligatures w14:val="none"/>
        </w:rPr>
        <w:lastRenderedPageBreak/>
        <w:t>Furthermore, White (2025) notes that this supply crisis reinforces the two-tier divide</w:t>
      </w:r>
      <w:r w:rsidR="00815E18" w:rsidRPr="001E7D13">
        <w:rPr>
          <w:rFonts w:ascii="Arial" w:eastAsia="Times New Roman" w:hAnsi="Arial" w:cs="Arial"/>
          <w:kern w:val="0"/>
          <w:sz w:val="22"/>
          <w:szCs w:val="22"/>
          <w:lang w:eastAsia="zh-CN"/>
          <w14:ligatures w14:val="none"/>
        </w:rPr>
        <w:t>,</w:t>
      </w:r>
      <w:r w:rsidRPr="001E7D13">
        <w:rPr>
          <w:rFonts w:ascii="Arial" w:eastAsia="Times New Roman" w:hAnsi="Arial" w:cs="Arial"/>
          <w:kern w:val="0"/>
          <w:sz w:val="22"/>
          <w:szCs w:val="22"/>
          <w:lang w:eastAsia="zh-CN"/>
          <w14:ligatures w14:val="none"/>
        </w:rPr>
        <w:t xml:space="preserve"> middle-class patients frequently use their financial mobility to flee the unstable public supply chain for private online providers, while lower-income individuals are left stranded within a depleted public framework. This reality severely diminishes overall patient quality-of-life metrics (Davies et al., 2024).</w:t>
      </w:r>
    </w:p>
    <w:p w14:paraId="55A9ED3E" w14:textId="77777777" w:rsidR="00804770" w:rsidRPr="00804770" w:rsidRDefault="00804770" w:rsidP="00804770">
      <w:pPr>
        <w:spacing w:after="0" w:line="360" w:lineRule="auto"/>
        <w:rPr>
          <w:rFonts w:ascii="Arial" w:eastAsia="Times New Roman" w:hAnsi="Arial" w:cs="Arial"/>
          <w:kern w:val="0"/>
          <w:lang w:eastAsia="zh-CN"/>
          <w14:ligatures w14:val="none"/>
        </w:rPr>
      </w:pPr>
    </w:p>
    <w:p w14:paraId="110C6B6C" w14:textId="77777777" w:rsidR="0044341E" w:rsidRDefault="003254DD" w:rsidP="00804770">
      <w:pPr>
        <w:spacing w:after="0" w:line="360" w:lineRule="auto"/>
        <w:rPr>
          <w:rStyle w:val="Heading3Char"/>
          <w:b/>
          <w:bCs/>
        </w:rPr>
      </w:pPr>
      <w:bookmarkStart w:id="80" w:name="_Toc230113902"/>
      <w:r w:rsidRPr="003254DD">
        <w:rPr>
          <w:rStyle w:val="Heading3Char"/>
          <w:b/>
          <w:bCs/>
        </w:rPr>
        <w:t xml:space="preserve">2.3 </w:t>
      </w:r>
      <w:r w:rsidR="00804770" w:rsidRPr="003254DD">
        <w:rPr>
          <w:rStyle w:val="Heading3Char"/>
          <w:b/>
          <w:bCs/>
        </w:rPr>
        <w:t>Theme 2 Synthesis:</w:t>
      </w:r>
      <w:bookmarkEnd w:id="80"/>
    </w:p>
    <w:p w14:paraId="72FF3C3C" w14:textId="2481CB61" w:rsidR="00804770" w:rsidRPr="00BB3019" w:rsidRDefault="00804770" w:rsidP="00BB3019">
      <w:pPr>
        <w:spacing w:after="0" w:line="360" w:lineRule="auto"/>
        <w:jc w:val="both"/>
        <w:rPr>
          <w:rFonts w:ascii="Arial" w:eastAsia="Times New Roman" w:hAnsi="Arial" w:cs="Arial"/>
          <w:kern w:val="0"/>
          <w:sz w:val="22"/>
          <w:szCs w:val="22"/>
          <w:lang w:eastAsia="zh-CN"/>
          <w14:ligatures w14:val="none"/>
        </w:rPr>
      </w:pPr>
      <w:r w:rsidRPr="00BB3019">
        <w:rPr>
          <w:rFonts w:ascii="Arial" w:eastAsia="Times New Roman" w:hAnsi="Arial" w:cs="Arial"/>
          <w:kern w:val="0"/>
          <w:sz w:val="22"/>
          <w:szCs w:val="22"/>
          <w:lang w:eastAsia="zh-CN"/>
          <w14:ligatures w14:val="none"/>
        </w:rPr>
        <w:t>Systemic Friction, ‘GP Gatekeeping’, and the Reality of Treatment Fragility</w:t>
      </w:r>
    </w:p>
    <w:p w14:paraId="44B6CC66" w14:textId="77777777" w:rsidR="00804770" w:rsidRPr="00BB3019" w:rsidRDefault="00804770" w:rsidP="00BB3019">
      <w:pPr>
        <w:spacing w:after="0" w:line="360" w:lineRule="auto"/>
        <w:jc w:val="both"/>
        <w:rPr>
          <w:rFonts w:ascii="Arial" w:eastAsia="Times New Roman" w:hAnsi="Arial" w:cs="Arial"/>
          <w:kern w:val="0"/>
          <w:sz w:val="22"/>
          <w:szCs w:val="22"/>
          <w:lang w:eastAsia="zh-CN"/>
          <w14:ligatures w14:val="none"/>
        </w:rPr>
      </w:pPr>
      <w:r w:rsidRPr="00BB3019">
        <w:rPr>
          <w:rFonts w:ascii="Arial" w:eastAsia="Times New Roman" w:hAnsi="Arial" w:cs="Arial"/>
          <w:kern w:val="0"/>
          <w:sz w:val="22"/>
          <w:szCs w:val="22"/>
          <w:lang w:eastAsia="zh-CN"/>
          <w14:ligatures w14:val="none"/>
        </w:rPr>
        <w:t>When synthesized, these systemic, economic, and logistical factors point to a broader conceptual theme: treatment fragility. This construct describes a state where the exceptional biological efficacy of Tirzepatide is systematically undermined by the structural constraints of an overstretched, centralized healthcare delivery system.</w:t>
      </w:r>
    </w:p>
    <w:p w14:paraId="33CC2F9C" w14:textId="77777777" w:rsidR="00804770" w:rsidRPr="00BB3019" w:rsidRDefault="00804770" w:rsidP="00BB3019">
      <w:pPr>
        <w:spacing w:after="0" w:line="360" w:lineRule="auto"/>
        <w:jc w:val="both"/>
        <w:rPr>
          <w:rFonts w:ascii="Arial" w:eastAsia="Times New Roman" w:hAnsi="Arial" w:cs="Arial"/>
          <w:kern w:val="0"/>
          <w:sz w:val="22"/>
          <w:szCs w:val="22"/>
          <w:lang w:eastAsia="zh-CN"/>
          <w14:ligatures w14:val="none"/>
        </w:rPr>
      </w:pPr>
    </w:p>
    <w:p w14:paraId="3B4B433F" w14:textId="601DA0B8" w:rsidR="00804770" w:rsidRPr="00BB3019" w:rsidRDefault="00804770" w:rsidP="00BB3019">
      <w:pPr>
        <w:spacing w:after="0" w:line="360" w:lineRule="auto"/>
        <w:jc w:val="both"/>
        <w:rPr>
          <w:rFonts w:ascii="Arial" w:eastAsia="Times New Roman" w:hAnsi="Arial" w:cs="Arial"/>
          <w:kern w:val="0"/>
          <w:sz w:val="22"/>
          <w:szCs w:val="22"/>
          <w:lang w:eastAsia="zh-CN"/>
          <w14:ligatures w14:val="none"/>
        </w:rPr>
      </w:pPr>
      <w:r w:rsidRPr="00BB3019">
        <w:rPr>
          <w:rFonts w:ascii="Arial" w:eastAsia="Times New Roman" w:hAnsi="Arial" w:cs="Arial"/>
          <w:kern w:val="0"/>
          <w:sz w:val="22"/>
          <w:szCs w:val="22"/>
          <w:lang w:eastAsia="zh-CN"/>
          <w14:ligatures w14:val="none"/>
        </w:rPr>
        <w:t>Within the fiscal realities of the 2026 NHS landscape, the operational hurdles documented by Smith et al. (2025) extend far beyond simple administrative workload. The immense clinical burden placed on primary care networks operates as an inadvertent gatekeeping mechanism. Overburdened GPs, facing relentless administrative queries regarding drug availability and titration side effects, frequently retreat into clinical inertia</w:t>
      </w:r>
      <w:r w:rsidR="007142FC" w:rsidRPr="00BB3019">
        <w:rPr>
          <w:rFonts w:ascii="Arial" w:eastAsia="Times New Roman" w:hAnsi="Arial" w:cs="Arial"/>
          <w:kern w:val="0"/>
          <w:sz w:val="22"/>
          <w:szCs w:val="22"/>
          <w:lang w:eastAsia="zh-CN"/>
          <w14:ligatures w14:val="none"/>
        </w:rPr>
        <w:t xml:space="preserve"> </w:t>
      </w:r>
      <w:r w:rsidRPr="00BB3019">
        <w:rPr>
          <w:rFonts w:ascii="Arial" w:eastAsia="Times New Roman" w:hAnsi="Arial" w:cs="Arial"/>
          <w:kern w:val="0"/>
          <w:sz w:val="22"/>
          <w:szCs w:val="22"/>
          <w:lang w:eastAsia="zh-CN"/>
          <w14:ligatures w14:val="none"/>
        </w:rPr>
        <w:t>delaying necessary dose escalations or avoiding initiating eligible patients on the therapy altogether out of fear of procurement complications.</w:t>
      </w:r>
    </w:p>
    <w:p w14:paraId="6142F5FC" w14:textId="10B5169B" w:rsidR="00804770" w:rsidRDefault="00804770" w:rsidP="004F278F">
      <w:pPr>
        <w:spacing w:after="0" w:line="360" w:lineRule="auto"/>
        <w:rPr>
          <w:rFonts w:ascii="Arial" w:eastAsia="Times New Roman" w:hAnsi="Arial" w:cs="Arial"/>
          <w:kern w:val="0"/>
          <w:lang w:eastAsia="zh-CN"/>
          <w14:ligatures w14:val="none"/>
        </w:rPr>
      </w:pPr>
    </w:p>
    <w:p w14:paraId="277BAF22" w14:textId="77777777" w:rsidR="00612BF2" w:rsidRDefault="00612BF2" w:rsidP="004F278F">
      <w:pPr>
        <w:spacing w:after="0" w:line="360" w:lineRule="auto"/>
        <w:rPr>
          <w:rFonts w:ascii="Arial" w:eastAsia="Times New Roman" w:hAnsi="Arial" w:cs="Arial"/>
          <w:kern w:val="0"/>
          <w:lang w:eastAsia="zh-CN"/>
          <w14:ligatures w14:val="none"/>
        </w:rPr>
      </w:pPr>
    </w:p>
    <w:p w14:paraId="7B3C2153" w14:textId="0DE33A65" w:rsidR="00612BF2" w:rsidRDefault="00261E9E" w:rsidP="004F278F">
      <w:pPr>
        <w:spacing w:after="0" w:line="360" w:lineRule="auto"/>
        <w:rPr>
          <w:rFonts w:ascii="Arial" w:eastAsia="Times New Roman" w:hAnsi="Arial" w:cs="Arial"/>
          <w:kern w:val="0"/>
          <w:lang w:eastAsia="zh-CN"/>
          <w14:ligatures w14:val="none"/>
        </w:rPr>
      </w:pPr>
      <w:r w:rsidRPr="00261E9E">
        <w:rPr>
          <w:rFonts w:ascii="Arial" w:eastAsia="Times New Roman" w:hAnsi="Arial" w:cs="Arial"/>
          <w:noProof/>
          <w:kern w:val="0"/>
          <w:lang w:eastAsia="zh-CN"/>
          <w14:ligatures w14:val="none"/>
        </w:rPr>
        <w:lastRenderedPageBreak/>
        <w:drawing>
          <wp:inline distT="0" distB="0" distL="0" distR="0" wp14:anchorId="6143FF8B" wp14:editId="67A5F548">
            <wp:extent cx="5731510" cy="3864610"/>
            <wp:effectExtent l="0" t="0" r="2540" b="2540"/>
            <wp:docPr id="73150271" name="Picture 1" descr="A diagram of a treat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50271" name="Picture 1" descr="A diagram of a treatment process&#10;&#10;AI-generated content may be incorrect."/>
                    <pic:cNvPicPr/>
                  </pic:nvPicPr>
                  <pic:blipFill>
                    <a:blip r:embed="rId24"/>
                    <a:stretch>
                      <a:fillRect/>
                    </a:stretch>
                  </pic:blipFill>
                  <pic:spPr>
                    <a:xfrm>
                      <a:off x="0" y="0"/>
                      <a:ext cx="5731510" cy="3864610"/>
                    </a:xfrm>
                    <a:prstGeom prst="rect">
                      <a:avLst/>
                    </a:prstGeom>
                  </pic:spPr>
                </pic:pic>
              </a:graphicData>
            </a:graphic>
          </wp:inline>
        </w:drawing>
      </w:r>
    </w:p>
    <w:p w14:paraId="1BB02A15" w14:textId="689E1DF8" w:rsidR="00612BF2" w:rsidRPr="00AE4D66" w:rsidRDefault="00617485" w:rsidP="00AE4D66">
      <w:pPr>
        <w:pStyle w:val="Heading3"/>
        <w:rPr>
          <w:b/>
          <w:bCs/>
          <w:lang w:eastAsia="zh-CN"/>
        </w:rPr>
      </w:pPr>
      <w:bookmarkStart w:id="81" w:name="_Toc230113903"/>
      <w:r w:rsidRPr="00AE4D66">
        <w:rPr>
          <w:b/>
          <w:bCs/>
          <w:lang w:eastAsia="zh-CN"/>
        </w:rPr>
        <w:t xml:space="preserve">Figure </w:t>
      </w:r>
      <w:r w:rsidR="00AE4D66" w:rsidRPr="00AE4D66">
        <w:rPr>
          <w:b/>
          <w:bCs/>
          <w:lang w:eastAsia="zh-CN"/>
        </w:rPr>
        <w:t>7</w:t>
      </w:r>
      <w:bookmarkEnd w:id="81"/>
    </w:p>
    <w:p w14:paraId="5B389265" w14:textId="77777777" w:rsidR="002D2A71" w:rsidRPr="002D2A71" w:rsidRDefault="002D2A71" w:rsidP="002D2A71">
      <w:pPr>
        <w:rPr>
          <w:lang w:eastAsia="zh-CN"/>
        </w:rPr>
      </w:pPr>
    </w:p>
    <w:p w14:paraId="60E3A248" w14:textId="77777777" w:rsidR="00804770" w:rsidRPr="002A4B51" w:rsidRDefault="00804770" w:rsidP="00797C9A">
      <w:pPr>
        <w:spacing w:after="0" w:line="360" w:lineRule="auto"/>
        <w:jc w:val="both"/>
        <w:rPr>
          <w:rFonts w:ascii="Arial" w:eastAsia="Times New Roman" w:hAnsi="Arial" w:cs="Arial"/>
          <w:kern w:val="0"/>
          <w:sz w:val="22"/>
          <w:szCs w:val="22"/>
          <w:lang w:eastAsia="zh-CN"/>
          <w14:ligatures w14:val="none"/>
        </w:rPr>
      </w:pPr>
      <w:r w:rsidRPr="002A4B51">
        <w:rPr>
          <w:rFonts w:ascii="Arial" w:eastAsia="Times New Roman" w:hAnsi="Arial" w:cs="Arial"/>
          <w:kern w:val="0"/>
          <w:sz w:val="22"/>
          <w:szCs w:val="22"/>
          <w:lang w:eastAsia="zh-CN"/>
          <w14:ligatures w14:val="none"/>
        </w:rPr>
        <w:t>Finally, a rigorous Master's-level evaluation must highlight a critical blind spot in the current evidence base: the systemic exclusion of the early discontinuer. The vast majority of qualitative and mixed-methods data published between 2023 and 2026 captures cohorts who remained actively adherent to their prescriptions (Brown and Thompson, 2024; Davies et al., 2024). Consequently, the literature remains largely silent on the lived experiences of individuals who ceased treatment within the first four weeks due to intolerable gastrointestinal side effects or immediate stock-out frustrations.</w:t>
      </w:r>
    </w:p>
    <w:p w14:paraId="17D586EA" w14:textId="77777777" w:rsidR="00804770" w:rsidRPr="002A4B51" w:rsidRDefault="00804770" w:rsidP="00797C9A">
      <w:pPr>
        <w:spacing w:after="0" w:line="360" w:lineRule="auto"/>
        <w:jc w:val="both"/>
        <w:rPr>
          <w:rFonts w:ascii="Arial" w:eastAsia="Times New Roman" w:hAnsi="Arial" w:cs="Arial"/>
          <w:kern w:val="0"/>
          <w:sz w:val="22"/>
          <w:szCs w:val="22"/>
          <w:lang w:eastAsia="zh-CN"/>
          <w14:ligatures w14:val="none"/>
        </w:rPr>
      </w:pPr>
    </w:p>
    <w:p w14:paraId="2CF01E64" w14:textId="39686EBB" w:rsidR="000770CF" w:rsidRPr="002A4B51" w:rsidRDefault="00804770" w:rsidP="00797C9A">
      <w:pPr>
        <w:spacing w:after="0" w:line="360" w:lineRule="auto"/>
        <w:jc w:val="both"/>
        <w:rPr>
          <w:rFonts w:ascii="Arial" w:eastAsia="Times New Roman" w:hAnsi="Arial" w:cs="Arial"/>
          <w:kern w:val="0"/>
          <w:sz w:val="22"/>
          <w:szCs w:val="22"/>
          <w:lang w:eastAsia="zh-CN"/>
          <w14:ligatures w14:val="none"/>
        </w:rPr>
      </w:pPr>
      <w:r w:rsidRPr="002A4B51">
        <w:rPr>
          <w:rFonts w:ascii="Arial" w:eastAsia="Times New Roman" w:hAnsi="Arial" w:cs="Arial"/>
          <w:kern w:val="0"/>
          <w:sz w:val="22"/>
          <w:szCs w:val="22"/>
          <w:lang w:eastAsia="zh-CN"/>
          <w14:ligatures w14:val="none"/>
        </w:rPr>
        <w:t>This analytical omission introduces a powerful survivorship bias. The current academic understanding of barriers is systematically skewed toward patients who possessed the economic, psychological, and logistical resilience to overcome them. It fails to account for the most vulnerable individuals, for whom these systemic and biological hurdles proved entirely insurmountable. Recognizing this fragility is essential; it proves that until the NHS addresses the systemic noise surrounding drug delivery, Tirzepatide’s clinical promise will remain unfulfilled for the very patients who need it most.</w:t>
      </w:r>
    </w:p>
    <w:p w14:paraId="709176EA" w14:textId="77777777" w:rsidR="002D2A71" w:rsidRPr="00107D0A" w:rsidRDefault="002D2A71" w:rsidP="00804770">
      <w:pPr>
        <w:spacing w:after="0" w:line="360" w:lineRule="auto"/>
        <w:rPr>
          <w:rFonts w:ascii="Arial" w:eastAsia="Times New Roman" w:hAnsi="Arial" w:cs="Arial"/>
          <w:kern w:val="0"/>
          <w:lang w:eastAsia="zh-CN"/>
          <w14:ligatures w14:val="none"/>
        </w:rPr>
      </w:pPr>
    </w:p>
    <w:p w14:paraId="677E9D40" w14:textId="7A3A35F3" w:rsidR="4DF9058C" w:rsidRPr="00107D0A" w:rsidRDefault="4DF9058C" w:rsidP="00FC1D17">
      <w:pPr>
        <w:pStyle w:val="Heading2"/>
        <w:spacing w:line="360" w:lineRule="auto"/>
        <w:rPr>
          <w:rFonts w:ascii="Arial" w:hAnsi="Arial" w:cs="Arial"/>
          <w:b/>
          <w:bCs/>
        </w:rPr>
      </w:pPr>
      <w:bookmarkStart w:id="82" w:name="_Toc230113904"/>
      <w:r w:rsidRPr="00107D0A">
        <w:rPr>
          <w:rFonts w:ascii="Arial" w:hAnsi="Arial" w:cs="Arial"/>
          <w:b/>
          <w:bCs/>
        </w:rPr>
        <w:lastRenderedPageBreak/>
        <w:t>Theme 3: Socio-Cultural &amp; Environmental Logistics</w:t>
      </w:r>
      <w:bookmarkEnd w:id="82"/>
    </w:p>
    <w:p w14:paraId="62C5D4DF" w14:textId="5D3EA4DB" w:rsidR="00062CF0" w:rsidRPr="00AB1338" w:rsidRDefault="4DF9058C" w:rsidP="00AB1338">
      <w:pPr>
        <w:spacing w:before="240" w:after="240" w:line="360" w:lineRule="auto"/>
        <w:jc w:val="both"/>
        <w:rPr>
          <w:rFonts w:ascii="Arial" w:eastAsia="Arial" w:hAnsi="Arial" w:cs="Arial"/>
          <w:sz w:val="22"/>
          <w:szCs w:val="22"/>
        </w:rPr>
      </w:pPr>
      <w:r w:rsidRPr="00AB1338">
        <w:rPr>
          <w:rFonts w:ascii="Arial" w:eastAsia="Arial" w:hAnsi="Arial" w:cs="Arial"/>
          <w:sz w:val="22"/>
          <w:szCs w:val="22"/>
        </w:rPr>
        <w:t>This theme examines how the drug fits into the daily lives and cultural identities of UK residents.</w:t>
      </w:r>
      <w:r w:rsidR="006A462B" w:rsidRPr="00AB1338">
        <w:rPr>
          <w:rFonts w:ascii="Arial" w:eastAsia="Arial" w:hAnsi="Arial" w:cs="Arial"/>
          <w:sz w:val="22"/>
          <w:szCs w:val="22"/>
        </w:rPr>
        <w:t xml:space="preserve"> </w:t>
      </w:r>
      <w:r w:rsidR="00062CF0" w:rsidRPr="00AB1338">
        <w:rPr>
          <w:rFonts w:ascii="Arial" w:eastAsia="DengXian" w:hAnsi="Arial" w:cs="Arial"/>
          <w:sz w:val="22"/>
          <w:szCs w:val="22"/>
          <w:lang w:eastAsia="zh-CN"/>
        </w:rPr>
        <w:t>Socio-Cultural and Environmental Logistics Adherence is further mediated by the cultural context and the physical environment in which the patient lives.</w:t>
      </w:r>
    </w:p>
    <w:p w14:paraId="2996D88D" w14:textId="77777777" w:rsidR="008F35C6" w:rsidRPr="00BE0DCF" w:rsidRDefault="008F35C6" w:rsidP="00BE0DCF">
      <w:pPr>
        <w:rPr>
          <w:rFonts w:ascii="Aptos" w:eastAsia="DengXian" w:hAnsi="Aptos" w:cs="Times New Roman"/>
          <w:color w:val="196B24"/>
          <w:lang w:eastAsia="zh-CN"/>
        </w:rPr>
      </w:pPr>
    </w:p>
    <w:p w14:paraId="19AEEA04" w14:textId="77777777" w:rsidR="00120C4A" w:rsidRPr="00107D0A" w:rsidRDefault="4DF9058C" w:rsidP="00FC1D17">
      <w:pPr>
        <w:pStyle w:val="Heading3"/>
        <w:spacing w:line="360" w:lineRule="auto"/>
        <w:rPr>
          <w:rFonts w:ascii="Arial" w:hAnsi="Arial" w:cs="Arial"/>
          <w:b/>
          <w:bCs/>
        </w:rPr>
      </w:pPr>
      <w:bookmarkStart w:id="83" w:name="_Toc230113905"/>
      <w:r w:rsidRPr="00107D0A">
        <w:rPr>
          <w:rFonts w:ascii="Arial" w:hAnsi="Arial" w:cs="Arial"/>
          <w:b/>
          <w:bCs/>
        </w:rPr>
        <w:t>3.1 Cultural Stigma &amp; Acceptance:</w:t>
      </w:r>
      <w:bookmarkEnd w:id="83"/>
      <w:r w:rsidRPr="00107D0A">
        <w:rPr>
          <w:rFonts w:ascii="Arial" w:hAnsi="Arial" w:cs="Arial"/>
          <w:b/>
          <w:bCs/>
        </w:rPr>
        <w:t xml:space="preserve"> </w:t>
      </w:r>
    </w:p>
    <w:p w14:paraId="4DC3B756" w14:textId="482F5399" w:rsidR="4DF9058C" w:rsidRDefault="4DF9058C" w:rsidP="00AB1338">
      <w:pPr>
        <w:spacing w:after="0" w:line="360" w:lineRule="auto"/>
        <w:jc w:val="both"/>
        <w:rPr>
          <w:rFonts w:ascii="Arial" w:eastAsia="Times New Roman" w:hAnsi="Arial" w:cs="Arial"/>
          <w:kern w:val="0"/>
          <w:lang w:eastAsia="zh-CN"/>
          <w14:ligatures w14:val="none"/>
        </w:rPr>
      </w:pPr>
      <w:r w:rsidRPr="00107D0A">
        <w:rPr>
          <w:rFonts w:ascii="Arial" w:eastAsia="Arial" w:hAnsi="Arial" w:cs="Arial"/>
        </w:rPr>
        <w:t xml:space="preserve">Patel </w:t>
      </w:r>
      <w:r w:rsidRPr="00107D0A">
        <w:rPr>
          <w:rFonts w:ascii="Arial" w:eastAsia="Arial" w:hAnsi="Arial" w:cs="Arial"/>
          <w:i/>
          <w:iCs/>
        </w:rPr>
        <w:t>et al.</w:t>
      </w:r>
      <w:r w:rsidRPr="00107D0A">
        <w:rPr>
          <w:rFonts w:ascii="Arial" w:eastAsia="Arial" w:hAnsi="Arial" w:cs="Arial"/>
        </w:rPr>
        <w:t xml:space="preserve"> (2025) found that in South Asian communities, injectable medication can be stigmatised as a sign of end-stage illness. However, the study also found that the once-weekly dosing was more culturally acceptable than multiple daily pills, as it was more discreet. This mirrors the findings of BMJ Public Health (2025), which noted that social media perceptions (the 'Ozempic' label) often created a barrier of shame for T2D patients.</w:t>
      </w:r>
      <w:r w:rsidR="000D2C8C" w:rsidRPr="00107D0A">
        <w:rPr>
          <w:rFonts w:ascii="Arial" w:eastAsia="Arial" w:hAnsi="Arial" w:cs="Arial"/>
        </w:rPr>
        <w:t xml:space="preserve"> </w:t>
      </w:r>
      <w:r w:rsidR="000D2C8C" w:rsidRPr="00107D0A">
        <w:rPr>
          <w:rFonts w:ascii="Arial" w:eastAsia="Times New Roman" w:hAnsi="Arial" w:cs="Arial"/>
          <w:kern w:val="0"/>
          <w:lang w:eastAsia="zh-CN"/>
          <w14:ligatures w14:val="none"/>
        </w:rPr>
        <w:t xml:space="preserve">The Ozempic-face or skinny-jab narrative in British tabloids acts as a significant barrier. </w:t>
      </w:r>
      <w:r w:rsidR="000D2C8C" w:rsidRPr="00107D0A">
        <w:rPr>
          <w:rFonts w:ascii="Arial" w:eastAsia="Times New Roman" w:hAnsi="Arial" w:cs="Arial"/>
          <w:kern w:val="0"/>
          <w:bdr w:val="none" w:sz="0" w:space="0" w:color="auto" w:frame="1"/>
          <w:lang w:eastAsia="zh-CN"/>
          <w14:ligatures w14:val="none"/>
        </w:rPr>
        <w:t>BMJ Public Health (2025)</w:t>
      </w:r>
      <w:r w:rsidR="000D2C8C" w:rsidRPr="00107D0A">
        <w:rPr>
          <w:rFonts w:ascii="Arial" w:eastAsia="Times New Roman" w:hAnsi="Arial" w:cs="Arial"/>
          <w:kern w:val="0"/>
          <w:lang w:eastAsia="zh-CN"/>
          <w14:ligatures w14:val="none"/>
        </w:rPr>
        <w:t xml:space="preserve"> findings suggest that T2D patients often hide their use of Tirzepatide to avoid being judged as lazy. However, in South Asian communities, </w:t>
      </w:r>
      <w:r w:rsidR="000D2C8C" w:rsidRPr="00107D0A">
        <w:rPr>
          <w:rFonts w:ascii="Arial" w:eastAsia="Times New Roman" w:hAnsi="Arial" w:cs="Arial"/>
          <w:kern w:val="0"/>
          <w:bdr w:val="none" w:sz="0" w:space="0" w:color="auto" w:frame="1"/>
          <w:lang w:eastAsia="zh-CN"/>
          <w14:ligatures w14:val="none"/>
        </w:rPr>
        <w:t>Patel et al. (2025)</w:t>
      </w:r>
      <w:r w:rsidR="000D2C8C" w:rsidRPr="00107D0A">
        <w:rPr>
          <w:rFonts w:ascii="Arial" w:eastAsia="Times New Roman" w:hAnsi="Arial" w:cs="Arial"/>
          <w:kern w:val="0"/>
          <w:lang w:eastAsia="zh-CN"/>
          <w14:ligatures w14:val="none"/>
        </w:rPr>
        <w:t xml:space="preserve"> discovered a fascinating facilitator: the once-weekly injection was viewed as more compatible with social fasting and community dining than taking tablets thrice daily, provided the needle stigma was addressed by healthcare providers.</w:t>
      </w:r>
    </w:p>
    <w:p w14:paraId="1A938183" w14:textId="77777777" w:rsidR="00C73D8F" w:rsidRDefault="00C73D8F" w:rsidP="00FC1D17">
      <w:pPr>
        <w:spacing w:after="0" w:line="360" w:lineRule="auto"/>
        <w:rPr>
          <w:rFonts w:ascii="Arial" w:eastAsia="Times New Roman" w:hAnsi="Arial" w:cs="Arial"/>
          <w:kern w:val="0"/>
          <w:lang w:eastAsia="zh-CN"/>
          <w14:ligatures w14:val="none"/>
        </w:rPr>
      </w:pPr>
    </w:p>
    <w:p w14:paraId="27B94EBD" w14:textId="27E55878" w:rsidR="00F05DC9" w:rsidRPr="00F05DC9" w:rsidRDefault="00F05DC9" w:rsidP="00F05DC9">
      <w:pPr>
        <w:pStyle w:val="Heading3"/>
        <w:rPr>
          <w:b/>
          <w:bCs/>
          <w:lang w:eastAsia="zh-CN"/>
        </w:rPr>
      </w:pPr>
      <w:bookmarkStart w:id="84" w:name="_Toc230113906"/>
      <w:r>
        <w:rPr>
          <w:b/>
          <w:bCs/>
          <w:lang w:eastAsia="zh-CN"/>
        </w:rPr>
        <w:t xml:space="preserve">3.1.1 </w:t>
      </w:r>
      <w:r w:rsidR="00FA398C" w:rsidRPr="00F05DC9">
        <w:rPr>
          <w:b/>
          <w:bCs/>
          <w:lang w:eastAsia="zh-CN"/>
        </w:rPr>
        <w:t>Socio-Cultural Mediators:</w:t>
      </w:r>
      <w:bookmarkEnd w:id="84"/>
    </w:p>
    <w:p w14:paraId="7BEC4C62" w14:textId="0B0E8384" w:rsidR="00FA398C" w:rsidRPr="00003F23" w:rsidRDefault="00FA398C" w:rsidP="00300101">
      <w:pPr>
        <w:spacing w:line="360" w:lineRule="auto"/>
        <w:jc w:val="both"/>
        <w:rPr>
          <w:rFonts w:ascii="Arial" w:eastAsia="DengXian" w:hAnsi="Arial" w:cs="Arial"/>
          <w:sz w:val="22"/>
          <w:szCs w:val="22"/>
          <w:lang w:eastAsia="zh-CN"/>
        </w:rPr>
      </w:pPr>
      <w:r w:rsidRPr="00003F23">
        <w:rPr>
          <w:rFonts w:ascii="Arial" w:eastAsia="DengXian" w:hAnsi="Arial" w:cs="Arial"/>
          <w:sz w:val="22"/>
          <w:szCs w:val="22"/>
          <w:lang w:eastAsia="zh-CN"/>
        </w:rPr>
        <w:t>Stigma and Fasting The Ozempic-face narrative in British media has created a skinny-jab stigma, leading many T2DM patients to hide their treatment to avoid being judged as lazy (BMJ Public Health, 2025). However, Patel et al. (2025) uncover a cultural facilitator: the once-weekly injection is viewed as more compatible with social fasting and community dining in South Asian communities than multi-dose oral regimens. Yet, this is a paradox; the discretion of the injection facilitates use, but the shame of needing an injectable can prevent patients from seeking help for side effects.</w:t>
      </w:r>
    </w:p>
    <w:p w14:paraId="27D88A34" w14:textId="77777777" w:rsidR="00FA398C" w:rsidRPr="00107D0A" w:rsidRDefault="00FA398C" w:rsidP="00FC1D17">
      <w:pPr>
        <w:spacing w:after="0" w:line="360" w:lineRule="auto"/>
        <w:rPr>
          <w:rFonts w:ascii="Arial" w:eastAsia="Times New Roman" w:hAnsi="Arial" w:cs="Arial"/>
          <w:kern w:val="0"/>
          <w:lang w:eastAsia="zh-CN"/>
          <w14:ligatures w14:val="none"/>
        </w:rPr>
      </w:pPr>
    </w:p>
    <w:p w14:paraId="03A8938E" w14:textId="77777777" w:rsidR="00B633FC" w:rsidRPr="00107D0A" w:rsidRDefault="4DF9058C" w:rsidP="00FC1D17">
      <w:pPr>
        <w:pStyle w:val="Heading3"/>
        <w:spacing w:line="360" w:lineRule="auto"/>
        <w:rPr>
          <w:rFonts w:ascii="Arial" w:hAnsi="Arial" w:cs="Arial"/>
          <w:b/>
          <w:bCs/>
        </w:rPr>
      </w:pPr>
      <w:bookmarkStart w:id="85" w:name="_Toc230113907"/>
      <w:r w:rsidRPr="00107D0A">
        <w:rPr>
          <w:rFonts w:ascii="Arial" w:hAnsi="Arial" w:cs="Arial"/>
          <w:b/>
          <w:bCs/>
        </w:rPr>
        <w:lastRenderedPageBreak/>
        <w:t>3.2 Practicalities of Injectable Therapy:</w:t>
      </w:r>
      <w:bookmarkEnd w:id="85"/>
      <w:r w:rsidRPr="00107D0A">
        <w:rPr>
          <w:rFonts w:ascii="Arial" w:hAnsi="Arial" w:cs="Arial"/>
          <w:b/>
          <w:bCs/>
        </w:rPr>
        <w:t xml:space="preserve"> </w:t>
      </w:r>
    </w:p>
    <w:p w14:paraId="70A53B8C" w14:textId="377BB021" w:rsidR="002129CD" w:rsidRPr="00107D0A" w:rsidRDefault="4DF9058C" w:rsidP="00300101">
      <w:pPr>
        <w:spacing w:before="240" w:after="240" w:line="360" w:lineRule="auto"/>
        <w:jc w:val="both"/>
        <w:rPr>
          <w:rFonts w:ascii="Arial" w:eastAsia="Arial" w:hAnsi="Arial" w:cs="Arial"/>
        </w:rPr>
      </w:pPr>
      <w:r w:rsidRPr="00107D0A">
        <w:rPr>
          <w:rFonts w:ascii="Arial" w:eastAsia="Arial" w:hAnsi="Arial" w:cs="Arial"/>
        </w:rPr>
        <w:t xml:space="preserve">The University of Surrey (2026) study specifically identified the sharps bin dilemma as a practical barrier for urban UK dwellers with limited space. Furthermore, while the once-weekly injection is a facilitator for many, for those with needle phobias, it remains a significant hurdle (Smith </w:t>
      </w:r>
      <w:r w:rsidRPr="00107D0A">
        <w:rPr>
          <w:rFonts w:ascii="Arial" w:eastAsia="Arial" w:hAnsi="Arial" w:cs="Arial"/>
          <w:i/>
          <w:iCs/>
        </w:rPr>
        <w:t>et al.</w:t>
      </w:r>
      <w:r w:rsidRPr="00107D0A">
        <w:rPr>
          <w:rFonts w:ascii="Arial" w:eastAsia="Arial" w:hAnsi="Arial" w:cs="Arial"/>
        </w:rPr>
        <w:t>, 2025).</w:t>
      </w:r>
    </w:p>
    <w:p w14:paraId="0DEA6F3C" w14:textId="159DC4C0" w:rsidR="002129CD" w:rsidRDefault="002129CD" w:rsidP="00300101">
      <w:pPr>
        <w:spacing w:after="0" w:line="360" w:lineRule="auto"/>
        <w:jc w:val="both"/>
        <w:rPr>
          <w:rFonts w:ascii="Arial" w:eastAsia="Times New Roman" w:hAnsi="Arial" w:cs="Arial"/>
          <w:kern w:val="0"/>
          <w:lang w:eastAsia="zh-CN"/>
          <w14:ligatures w14:val="none"/>
        </w:rPr>
      </w:pPr>
      <w:r w:rsidRPr="00107D0A">
        <w:rPr>
          <w:rFonts w:ascii="Arial" w:eastAsia="Times New Roman" w:hAnsi="Arial" w:cs="Arial"/>
          <w:kern w:val="0"/>
          <w:lang w:eastAsia="zh-CN"/>
          <w14:ligatures w14:val="none"/>
        </w:rPr>
        <w:t xml:space="preserve">The Sharps Bin Dilemma (University of Surrey, 2026) is a uniquely British barrier related to high-density urban living. Many patients reported confusion over local council disposal rules, with some storing used pens for months due to a lack of clear NHS disposal pathways. Furthermore, while the </w:t>
      </w:r>
      <w:r w:rsidRPr="00107D0A">
        <w:rPr>
          <w:rFonts w:ascii="Arial" w:eastAsia="Times New Roman" w:hAnsi="Arial" w:cs="Arial"/>
          <w:kern w:val="0"/>
          <w:bdr w:val="none" w:sz="0" w:space="0" w:color="auto" w:frame="1"/>
          <w:lang w:eastAsia="zh-CN"/>
          <w14:ligatures w14:val="none"/>
        </w:rPr>
        <w:t>KwikPen</w:t>
      </w:r>
      <w:r w:rsidRPr="00107D0A">
        <w:rPr>
          <w:rFonts w:ascii="Arial" w:eastAsia="Times New Roman" w:hAnsi="Arial" w:cs="Arial"/>
          <w:kern w:val="0"/>
          <w:lang w:eastAsia="zh-CN"/>
          <w14:ligatures w14:val="none"/>
        </w:rPr>
        <w:t xml:space="preserve"> is a facilitator due to ease of use, </w:t>
      </w:r>
      <w:r w:rsidRPr="00107D0A">
        <w:rPr>
          <w:rFonts w:ascii="Arial" w:eastAsia="Times New Roman" w:hAnsi="Arial" w:cs="Arial"/>
          <w:kern w:val="0"/>
          <w:bdr w:val="none" w:sz="0" w:space="0" w:color="auto" w:frame="1"/>
          <w:lang w:eastAsia="zh-CN"/>
          <w14:ligatures w14:val="none"/>
        </w:rPr>
        <w:t>Smith et al. (2025)</w:t>
      </w:r>
      <w:r w:rsidRPr="00107D0A">
        <w:rPr>
          <w:rFonts w:ascii="Arial" w:eastAsia="Times New Roman" w:hAnsi="Arial" w:cs="Arial"/>
          <w:kern w:val="0"/>
          <w:lang w:eastAsia="zh-CN"/>
          <w14:ligatures w14:val="none"/>
        </w:rPr>
        <w:t xml:space="preserve"> noted that dose-escalation anxiety remains a barrier, as patients fear the side effects of higher-strength pens.</w:t>
      </w:r>
    </w:p>
    <w:p w14:paraId="41CF9BE8" w14:textId="77777777" w:rsidR="002F0084" w:rsidRPr="00107D0A" w:rsidRDefault="002F0084" w:rsidP="00300101">
      <w:pPr>
        <w:spacing w:after="0" w:line="360" w:lineRule="auto"/>
        <w:jc w:val="both"/>
        <w:rPr>
          <w:rFonts w:ascii="Arial" w:eastAsia="Times New Roman" w:hAnsi="Arial" w:cs="Arial"/>
          <w:kern w:val="0"/>
          <w:lang w:eastAsia="zh-CN"/>
          <w14:ligatures w14:val="none"/>
        </w:rPr>
      </w:pPr>
    </w:p>
    <w:p w14:paraId="189174DF" w14:textId="2CF7F5D8" w:rsidR="00D3459D" w:rsidRPr="00107D0A" w:rsidRDefault="00D3459D" w:rsidP="00300101">
      <w:pPr>
        <w:spacing w:after="0" w:line="360" w:lineRule="auto"/>
        <w:jc w:val="both"/>
        <w:rPr>
          <w:rFonts w:ascii="Arial" w:eastAsia="Times New Roman" w:hAnsi="Arial" w:cs="Arial"/>
          <w:kern w:val="0"/>
          <w:lang w:eastAsia="zh-CN"/>
          <w14:ligatures w14:val="none"/>
        </w:rPr>
      </w:pPr>
      <w:r w:rsidRPr="00107D0A">
        <w:rPr>
          <w:rFonts w:ascii="Arial" w:eastAsia="Times New Roman" w:hAnsi="Arial" w:cs="Arial"/>
          <w:kern w:val="0"/>
          <w:lang w:eastAsia="zh-CN"/>
          <w14:ligatures w14:val="none"/>
        </w:rPr>
        <w:t>A significant finding from the synthesis of BMJ Public Health (2025) and Patel et al. (2025) is that the social life of Tirzepatide is fraught with tension. In the UK, the Ozempic narrative has permeated the public consciousness, often framing these medications as cosmetic rather than clinical. This acts as a barrier to social support.</w:t>
      </w:r>
    </w:p>
    <w:p w14:paraId="1F3D3ED1" w14:textId="77777777" w:rsidR="00D3459D" w:rsidRPr="00107D0A" w:rsidRDefault="00D3459D" w:rsidP="00300101">
      <w:pPr>
        <w:spacing w:after="0" w:line="360" w:lineRule="auto"/>
        <w:jc w:val="both"/>
        <w:rPr>
          <w:rFonts w:ascii="Arial" w:eastAsia="Times New Roman" w:hAnsi="Arial" w:cs="Arial"/>
          <w:kern w:val="0"/>
          <w:lang w:eastAsia="zh-CN"/>
          <w14:ligatures w14:val="none"/>
        </w:rPr>
      </w:pPr>
    </w:p>
    <w:p w14:paraId="0B9FAD6C" w14:textId="60E65162" w:rsidR="00D3459D" w:rsidRPr="00107D0A" w:rsidRDefault="00D3459D" w:rsidP="00300101">
      <w:pPr>
        <w:spacing w:after="0" w:line="360" w:lineRule="auto"/>
        <w:jc w:val="both"/>
        <w:rPr>
          <w:rFonts w:ascii="Arial" w:eastAsia="Times New Roman" w:hAnsi="Arial" w:cs="Arial"/>
          <w:kern w:val="0"/>
          <w:lang w:eastAsia="zh-CN"/>
          <w14:ligatures w14:val="none"/>
        </w:rPr>
      </w:pPr>
      <w:r w:rsidRPr="00107D0A">
        <w:rPr>
          <w:rFonts w:ascii="Arial" w:eastAsia="Times New Roman" w:hAnsi="Arial" w:cs="Arial"/>
          <w:kern w:val="0"/>
          <w:lang w:eastAsia="zh-CN"/>
          <w14:ligatures w14:val="none"/>
        </w:rPr>
        <w:t xml:space="preserve">Patel et al. (2025) highlight a specific cultural facilitator/barrier paradox: in South Asian communities, the discretion of a once-weekly injection is a facilitator, yet the shame of needing an injectable can prevent patients from seeking help when they experience side effects. This is compounded by the findings of BMJ Public Health (2025), which suggest that the </w:t>
      </w:r>
      <w:r w:rsidR="007D27F8" w:rsidRPr="00107D0A">
        <w:rPr>
          <w:rFonts w:ascii="Arial" w:eastAsia="Times New Roman" w:hAnsi="Arial" w:cs="Arial"/>
          <w:kern w:val="0"/>
          <w:lang w:eastAsia="zh-CN"/>
          <w14:ligatures w14:val="none"/>
        </w:rPr>
        <w:t>skinny jab</w:t>
      </w:r>
      <w:r w:rsidRPr="00107D0A">
        <w:rPr>
          <w:rFonts w:ascii="Arial" w:eastAsia="Times New Roman" w:hAnsi="Arial" w:cs="Arial"/>
          <w:kern w:val="0"/>
          <w:lang w:eastAsia="zh-CN"/>
          <w14:ligatures w14:val="none"/>
        </w:rPr>
        <w:t xml:space="preserve"> stigma leads to closet use, where T2DM patients do not disclose their treatment to family or colleagues. This isolation is a barrier because it prevents the patient from establishing the supportive environment required for the lifestyle changes that NICE (2023) and NHS England (2025) insist are necessary for long-term T2DM remission.</w:t>
      </w:r>
    </w:p>
    <w:p w14:paraId="07CCC561" w14:textId="77777777" w:rsidR="00D3459D" w:rsidRPr="00107D0A" w:rsidRDefault="00D3459D" w:rsidP="00FC1D17">
      <w:pPr>
        <w:spacing w:after="0" w:line="360" w:lineRule="auto"/>
        <w:rPr>
          <w:rFonts w:ascii="Arial" w:eastAsia="Times New Roman" w:hAnsi="Arial" w:cs="Arial"/>
          <w:kern w:val="0"/>
          <w:lang w:eastAsia="zh-CN"/>
          <w14:ligatures w14:val="none"/>
        </w:rPr>
      </w:pPr>
    </w:p>
    <w:p w14:paraId="39D512DF" w14:textId="5C24716B" w:rsidR="00D3459D" w:rsidRDefault="00D3459D" w:rsidP="00300101">
      <w:pPr>
        <w:spacing w:after="0" w:line="360" w:lineRule="auto"/>
        <w:jc w:val="both"/>
        <w:rPr>
          <w:rFonts w:ascii="Arial" w:eastAsia="Times New Roman" w:hAnsi="Arial" w:cs="Arial"/>
          <w:kern w:val="0"/>
          <w:lang w:eastAsia="zh-CN"/>
          <w14:ligatures w14:val="none"/>
        </w:rPr>
      </w:pPr>
      <w:r w:rsidRPr="00107D0A">
        <w:rPr>
          <w:rFonts w:ascii="Arial" w:eastAsia="Times New Roman" w:hAnsi="Arial" w:cs="Arial"/>
          <w:kern w:val="0"/>
          <w:lang w:eastAsia="zh-CN"/>
          <w14:ligatures w14:val="none"/>
        </w:rPr>
        <w:t xml:space="preserve">Furthermore, the Sharps Bin Dilemma (University of Surrey, 2026) serves as a physical manifestation of this stigma. Participants expressed embarrassment at having to request a sharps bin from local councils, fearing it labelled them as severely ill or </w:t>
      </w:r>
      <w:r w:rsidR="00786035" w:rsidRPr="00107D0A">
        <w:rPr>
          <w:rFonts w:ascii="Arial" w:eastAsia="Times New Roman" w:hAnsi="Arial" w:cs="Arial"/>
          <w:kern w:val="0"/>
          <w:lang w:eastAsia="zh-CN"/>
          <w14:ligatures w14:val="none"/>
        </w:rPr>
        <w:t>drug dependent</w:t>
      </w:r>
      <w:r w:rsidRPr="00107D0A">
        <w:rPr>
          <w:rFonts w:ascii="Arial" w:eastAsia="Times New Roman" w:hAnsi="Arial" w:cs="Arial"/>
          <w:kern w:val="0"/>
          <w:lang w:eastAsia="zh-CN"/>
          <w14:ligatures w14:val="none"/>
        </w:rPr>
        <w:t xml:space="preserve">. This logistical friction point, while seemingly minor, represents a </w:t>
      </w:r>
      <w:r w:rsidRPr="00107D0A">
        <w:rPr>
          <w:rFonts w:ascii="Arial" w:eastAsia="Times New Roman" w:hAnsi="Arial" w:cs="Arial"/>
          <w:kern w:val="0"/>
          <w:lang w:eastAsia="zh-CN"/>
          <w14:ligatures w14:val="none"/>
        </w:rPr>
        <w:lastRenderedPageBreak/>
        <w:t>cumulative barrier that can lead to sub-optimal disposal practices and reduced treatment satisfaction.</w:t>
      </w:r>
    </w:p>
    <w:p w14:paraId="046B40A7" w14:textId="77777777" w:rsidR="002F0084" w:rsidRDefault="002F0084" w:rsidP="00FC1D17">
      <w:pPr>
        <w:spacing w:after="0" w:line="360" w:lineRule="auto"/>
        <w:rPr>
          <w:rFonts w:ascii="Arial" w:eastAsia="Times New Roman" w:hAnsi="Arial" w:cs="Arial"/>
          <w:kern w:val="0"/>
          <w:lang w:eastAsia="zh-CN"/>
          <w14:ligatures w14:val="none"/>
        </w:rPr>
      </w:pPr>
    </w:p>
    <w:p w14:paraId="51580BCD" w14:textId="77777777" w:rsidR="002F0084" w:rsidRPr="002F0084" w:rsidRDefault="002F0084" w:rsidP="002F0084">
      <w:pPr>
        <w:pStyle w:val="Heading3"/>
        <w:rPr>
          <w:b/>
          <w:bCs/>
          <w:lang w:eastAsia="zh-CN"/>
        </w:rPr>
      </w:pPr>
      <w:bookmarkStart w:id="86" w:name="_Toc230113908"/>
      <w:r w:rsidRPr="002F0084">
        <w:rPr>
          <w:b/>
          <w:bCs/>
          <w:lang w:eastAsia="zh-CN"/>
        </w:rPr>
        <w:t xml:space="preserve">3.2.1 </w:t>
      </w:r>
      <w:r w:rsidR="00506DA4" w:rsidRPr="002F0084">
        <w:rPr>
          <w:b/>
          <w:bCs/>
          <w:lang w:eastAsia="zh-CN"/>
        </w:rPr>
        <w:t>Environmental Constraints:</w:t>
      </w:r>
      <w:bookmarkEnd w:id="86"/>
      <w:r w:rsidR="00506DA4" w:rsidRPr="002F0084">
        <w:rPr>
          <w:b/>
          <w:bCs/>
          <w:lang w:eastAsia="zh-CN"/>
        </w:rPr>
        <w:t xml:space="preserve"> </w:t>
      </w:r>
    </w:p>
    <w:p w14:paraId="27BE2B2E" w14:textId="4BF000B5" w:rsidR="00506DA4" w:rsidRPr="00A0439B" w:rsidRDefault="00506DA4" w:rsidP="00300101">
      <w:pPr>
        <w:spacing w:line="360" w:lineRule="auto"/>
        <w:jc w:val="both"/>
        <w:rPr>
          <w:rFonts w:ascii="Arial" w:eastAsia="DengXian" w:hAnsi="Arial" w:cs="Arial"/>
          <w:sz w:val="22"/>
          <w:szCs w:val="22"/>
          <w:lang w:eastAsia="zh-CN"/>
        </w:rPr>
      </w:pPr>
      <w:r w:rsidRPr="00A0439B">
        <w:rPr>
          <w:rFonts w:ascii="Arial" w:eastAsia="DengXian" w:hAnsi="Arial" w:cs="Arial"/>
          <w:sz w:val="22"/>
          <w:szCs w:val="22"/>
          <w:lang w:eastAsia="zh-CN"/>
        </w:rPr>
        <w:t>The ‘Sharps Bin Dilemma ‘A practical barrier identified by the University of Surrey (2026) is the "Sharps Bin Dilemma," a hurdle specific to high-density UK urban living. Confusion over local council disposal rules and the physical space required for medical waste storage act as a cumulative "micro-barrier" that reduces overall treatment satisfaction and adherence.</w:t>
      </w:r>
    </w:p>
    <w:p w14:paraId="7F743264" w14:textId="77777777" w:rsidR="00506DA4" w:rsidRPr="00107D0A" w:rsidRDefault="00506DA4" w:rsidP="00FC1D17">
      <w:pPr>
        <w:spacing w:after="0" w:line="360" w:lineRule="auto"/>
        <w:rPr>
          <w:rFonts w:ascii="Arial" w:eastAsia="Times New Roman" w:hAnsi="Arial" w:cs="Arial"/>
          <w:kern w:val="0"/>
          <w:lang w:eastAsia="zh-CN"/>
          <w14:ligatures w14:val="none"/>
        </w:rPr>
      </w:pPr>
    </w:p>
    <w:p w14:paraId="7FFBC584" w14:textId="77777777" w:rsidR="00BB4287" w:rsidRDefault="00BB4287" w:rsidP="00FC1D17">
      <w:pPr>
        <w:spacing w:after="0" w:line="360" w:lineRule="auto"/>
        <w:rPr>
          <w:rFonts w:ascii="Arial" w:eastAsia="Times New Roman" w:hAnsi="Arial" w:cs="Arial"/>
          <w:kern w:val="0"/>
          <w:lang w:eastAsia="zh-CN"/>
          <w14:ligatures w14:val="none"/>
        </w:rPr>
      </w:pPr>
    </w:p>
    <w:p w14:paraId="2005A1F6" w14:textId="41AC02A8" w:rsidR="00BB4287" w:rsidRPr="00107D0A" w:rsidRDefault="008370D1" w:rsidP="00FC1D17">
      <w:pPr>
        <w:pStyle w:val="Heading3"/>
        <w:spacing w:line="360" w:lineRule="auto"/>
        <w:rPr>
          <w:rFonts w:ascii="Arial" w:hAnsi="Arial" w:cs="Arial"/>
          <w:b/>
          <w:bCs/>
          <w:lang w:eastAsia="zh-CN"/>
        </w:rPr>
      </w:pPr>
      <w:bookmarkStart w:id="87" w:name="_Toc230113909"/>
      <w:r>
        <w:rPr>
          <w:rFonts w:ascii="Arial" w:hAnsi="Arial" w:cs="Arial"/>
          <w:b/>
          <w:bCs/>
          <w:bdr w:val="none" w:sz="0" w:space="0" w:color="auto" w:frame="1"/>
          <w:lang w:eastAsia="zh-CN"/>
        </w:rPr>
        <w:t xml:space="preserve">Table 6: </w:t>
      </w:r>
      <w:r w:rsidR="00BB4287" w:rsidRPr="00107D0A">
        <w:rPr>
          <w:rFonts w:ascii="Arial" w:hAnsi="Arial" w:cs="Arial"/>
          <w:b/>
          <w:bCs/>
          <w:bdr w:val="none" w:sz="0" w:space="0" w:color="auto" w:frame="1"/>
          <w:lang w:eastAsia="zh-CN"/>
        </w:rPr>
        <w:t>Synthesised Matrix: Facilitators vs. Barriers (Table for Chapter 5)</w:t>
      </w:r>
      <w:bookmarkEnd w:id="87"/>
    </w:p>
    <w:tbl>
      <w:tblPr>
        <w:tblW w:w="0" w:type="auto"/>
        <w:tblCellSpacing w:w="15" w:type="dxa"/>
        <w:tblCellMar>
          <w:left w:w="0" w:type="dxa"/>
          <w:right w:w="0" w:type="dxa"/>
        </w:tblCellMar>
        <w:tblLook w:val="04A0" w:firstRow="1" w:lastRow="0" w:firstColumn="1" w:lastColumn="0" w:noHBand="0" w:noVBand="1"/>
      </w:tblPr>
      <w:tblGrid>
        <w:gridCol w:w="1790"/>
        <w:gridCol w:w="3778"/>
        <w:gridCol w:w="3442"/>
      </w:tblGrid>
      <w:tr w:rsidR="0048569E" w:rsidRPr="00107D0A" w14:paraId="4DD5C345" w14:textId="77777777" w:rsidTr="007806F2">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32314AA"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Theme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3DC7D5F"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Facilitator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CC28784"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Barrier</w:t>
            </w:r>
          </w:p>
        </w:tc>
      </w:tr>
      <w:tr w:rsidR="0048569E" w:rsidRPr="00107D0A" w14:paraId="72F4C054" w14:textId="77777777" w:rsidTr="007806F2">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CB112B3"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Biological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0270E54"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Cessation of "food noise"; rapid HbA1c drop.</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55D9A4A"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GI side effects during titration.</w:t>
            </w:r>
          </w:p>
        </w:tc>
      </w:tr>
      <w:tr w:rsidR="0048569E" w:rsidRPr="00107D0A" w14:paraId="18FE1A68" w14:textId="77777777" w:rsidTr="007806F2">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283403E"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Systemic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0444963"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Phased NHS rollout (long-term cost-free).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6C04405"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"Two-tier" access; supply chain gaps.</w:t>
            </w:r>
          </w:p>
        </w:tc>
      </w:tr>
      <w:tr w:rsidR="0048569E" w:rsidRPr="00107D0A" w14:paraId="6C70DC75" w14:textId="77777777" w:rsidTr="007806F2">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747D029"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Logistical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909A091"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Once-weekly dosing; discreet use.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161B531"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"Sharps bin" disposal; pharmacy hunting.</w:t>
            </w:r>
          </w:p>
        </w:tc>
      </w:tr>
      <w:tr w:rsidR="00107D0A" w:rsidRPr="00107D0A" w14:paraId="533E3125" w14:textId="77777777" w:rsidTr="007806F2">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0C67588"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b/>
                <w:bCs/>
                <w:kern w:val="0"/>
                <w:bdr w:val="none" w:sz="0" w:space="0" w:color="auto" w:frame="1"/>
                <w:lang w:eastAsia="zh-CN"/>
                <w14:ligatures w14:val="none"/>
              </w:rPr>
              <w:t>Psychosocial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897B428"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Improved body image; "virtuous cycle."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EE71C87" w14:textId="77777777" w:rsidR="00BB4287" w:rsidRPr="00107D0A" w:rsidRDefault="00BB4287" w:rsidP="00FC1D17">
            <w:pPr>
              <w:spacing w:after="0" w:line="360" w:lineRule="auto"/>
              <w:rPr>
                <w:rFonts w:ascii="Arial" w:eastAsia="Times New Roman" w:hAnsi="Arial" w:cs="Arial"/>
                <w:kern w:val="0"/>
                <w:lang w:eastAsia="zh-CN"/>
                <w14:ligatures w14:val="none"/>
              </w:rPr>
            </w:pPr>
            <w:r w:rsidRPr="00107D0A">
              <w:rPr>
                <w:rFonts w:ascii="Arial" w:eastAsia="Times New Roman" w:hAnsi="Arial" w:cs="Arial"/>
                <w:kern w:val="0"/>
                <w:bdr w:val="none" w:sz="0" w:space="0" w:color="auto" w:frame="1"/>
                <w:lang w:eastAsia="zh-CN"/>
                <w14:ligatures w14:val="none"/>
              </w:rPr>
              <w:t>"Skinny-jab" stigma; fear of dependency.</w:t>
            </w:r>
          </w:p>
        </w:tc>
      </w:tr>
    </w:tbl>
    <w:p w14:paraId="2965E0E7" w14:textId="77777777" w:rsidR="00BB4287" w:rsidRPr="00107D0A" w:rsidRDefault="00BB4287" w:rsidP="00FC1D17">
      <w:pPr>
        <w:spacing w:after="0" w:line="360" w:lineRule="auto"/>
        <w:rPr>
          <w:rFonts w:ascii="Arial" w:eastAsia="Times New Roman" w:hAnsi="Arial" w:cs="Arial"/>
          <w:kern w:val="0"/>
          <w:lang w:eastAsia="zh-CN"/>
          <w14:ligatures w14:val="none"/>
        </w:rPr>
      </w:pPr>
    </w:p>
    <w:p w14:paraId="2838FF4D" w14:textId="7CF664AF" w:rsidR="2ED0DBC8" w:rsidRPr="00107D0A" w:rsidRDefault="2ED0DBC8" w:rsidP="00FC1D17">
      <w:pPr>
        <w:spacing w:line="360" w:lineRule="auto"/>
        <w:rPr>
          <w:rFonts w:ascii="Arial" w:eastAsia="Arial" w:hAnsi="Arial" w:cs="Arial"/>
        </w:rPr>
      </w:pPr>
    </w:p>
    <w:p w14:paraId="48041979" w14:textId="59DCDBB6" w:rsidR="4DF9058C" w:rsidRPr="00107D0A" w:rsidRDefault="4DF9058C" w:rsidP="00392884">
      <w:pPr>
        <w:pStyle w:val="Heading2"/>
        <w:spacing w:line="360" w:lineRule="auto"/>
        <w:jc w:val="both"/>
        <w:rPr>
          <w:rFonts w:ascii="Arial" w:hAnsi="Arial" w:cs="Arial"/>
          <w:b/>
          <w:bCs/>
        </w:rPr>
      </w:pPr>
      <w:bookmarkStart w:id="88" w:name="_Toc230113910"/>
      <w:r w:rsidRPr="00107D0A">
        <w:rPr>
          <w:rFonts w:ascii="Arial" w:hAnsi="Arial" w:cs="Arial"/>
          <w:b/>
          <w:bCs/>
        </w:rPr>
        <w:lastRenderedPageBreak/>
        <w:t>5.6 Summary</w:t>
      </w:r>
      <w:bookmarkEnd w:id="88"/>
    </w:p>
    <w:p w14:paraId="09F9BD69" w14:textId="77777777" w:rsidR="00CD394B" w:rsidRPr="00201EA5" w:rsidRDefault="4DF9058C" w:rsidP="00392884">
      <w:pPr>
        <w:spacing w:before="240" w:after="240" w:line="360" w:lineRule="auto"/>
        <w:jc w:val="both"/>
        <w:rPr>
          <w:rFonts w:ascii="Arial" w:eastAsia="Arial" w:hAnsi="Arial" w:cs="Arial"/>
          <w:sz w:val="22"/>
          <w:szCs w:val="22"/>
        </w:rPr>
      </w:pPr>
      <w:r w:rsidRPr="00201EA5">
        <w:rPr>
          <w:rFonts w:ascii="Arial" w:eastAsia="Arial" w:hAnsi="Arial" w:cs="Arial"/>
          <w:sz w:val="22"/>
          <w:szCs w:val="22"/>
        </w:rPr>
        <w:t xml:space="preserve">This chapter has provided a comprehensive thematic synthesis of the ten selected studies, identifying three primary themes that define the lived experience of Tirzepatide users in the UK. The analysis highlights that while the drug provides a powerful biological facilitator by silencing 'food noise' and improving motivation, these benefits are frequently undermined by systemic barriers such as supply shortages and the 'two-tier' healthcare system. Furthermore, cultural and logistical factors continue to shape how the drug is integrated into daily life. </w:t>
      </w:r>
    </w:p>
    <w:p w14:paraId="6AE8D01A" w14:textId="3BE3E367" w:rsidR="2ED0DBC8" w:rsidRPr="00201EA5" w:rsidRDefault="00003939" w:rsidP="00392884">
      <w:pPr>
        <w:spacing w:before="240" w:after="240" w:line="360" w:lineRule="auto"/>
        <w:jc w:val="both"/>
        <w:rPr>
          <w:rFonts w:ascii="Arial" w:eastAsia="Times New Roman" w:hAnsi="Arial" w:cs="Arial"/>
          <w:kern w:val="0"/>
          <w:sz w:val="22"/>
          <w:szCs w:val="22"/>
          <w:lang w:eastAsia="zh-CN"/>
          <w14:ligatures w14:val="none"/>
        </w:rPr>
      </w:pPr>
      <w:r w:rsidRPr="00201EA5">
        <w:rPr>
          <w:rFonts w:ascii="Arial" w:eastAsia="Times New Roman" w:hAnsi="Arial" w:cs="Arial"/>
          <w:kern w:val="0"/>
          <w:sz w:val="22"/>
          <w:szCs w:val="22"/>
          <w:lang w:eastAsia="zh-CN"/>
          <w14:ligatures w14:val="none"/>
        </w:rPr>
        <w:t>Additionally, t</w:t>
      </w:r>
      <w:r w:rsidR="00CD394B" w:rsidRPr="00201EA5">
        <w:rPr>
          <w:rFonts w:ascii="Arial" w:eastAsia="Times New Roman" w:hAnsi="Arial" w:cs="Arial"/>
          <w:kern w:val="0"/>
          <w:sz w:val="22"/>
          <w:szCs w:val="22"/>
          <w:lang w:eastAsia="zh-CN"/>
          <w14:ligatures w14:val="none"/>
        </w:rPr>
        <w:t xml:space="preserve">his chapter has synthesised the ten selected studies to demonstrate that while Tirzepatide offers a biological leap forward, its real-world implementation in the UK is hampered by deep-seated systemic and cultural frictions. The findings suggest that the patient journey is currently fragmented by socioeconomic status and supply instability. These results move the discussion beyond does the drug work? to how does the system support the patient? The following chapter, </w:t>
      </w:r>
      <w:r w:rsidR="00CD394B" w:rsidRPr="00201EA5">
        <w:rPr>
          <w:rFonts w:ascii="Arial" w:eastAsia="Times New Roman" w:hAnsi="Arial" w:cs="Arial"/>
          <w:kern w:val="0"/>
          <w:sz w:val="22"/>
          <w:szCs w:val="22"/>
          <w:bdr w:val="none" w:sz="0" w:space="0" w:color="auto" w:frame="1"/>
          <w:lang w:eastAsia="zh-CN"/>
          <w14:ligatures w14:val="none"/>
        </w:rPr>
        <w:t>Chapter 6: Discussion</w:t>
      </w:r>
      <w:r w:rsidR="00CD394B" w:rsidRPr="00201EA5">
        <w:rPr>
          <w:rFonts w:ascii="Arial" w:eastAsia="Times New Roman" w:hAnsi="Arial" w:cs="Arial"/>
          <w:kern w:val="0"/>
          <w:sz w:val="22"/>
          <w:szCs w:val="22"/>
          <w:lang w:eastAsia="zh-CN"/>
          <w14:ligatures w14:val="none"/>
        </w:rPr>
        <w:t xml:space="preserve">, will triangulate these findings with the </w:t>
      </w:r>
      <w:r w:rsidR="00CD394B" w:rsidRPr="00201EA5">
        <w:rPr>
          <w:rFonts w:ascii="Arial" w:eastAsia="Times New Roman" w:hAnsi="Arial" w:cs="Arial"/>
          <w:kern w:val="0"/>
          <w:sz w:val="22"/>
          <w:szCs w:val="22"/>
          <w:bdr w:val="none" w:sz="0" w:space="0" w:color="auto" w:frame="1"/>
          <w:lang w:eastAsia="zh-CN"/>
          <w14:ligatures w14:val="none"/>
        </w:rPr>
        <w:t>Health Belief Model</w:t>
      </w:r>
      <w:r w:rsidR="00CD394B" w:rsidRPr="00201EA5">
        <w:rPr>
          <w:rFonts w:ascii="Arial" w:eastAsia="Times New Roman" w:hAnsi="Arial" w:cs="Arial"/>
          <w:kern w:val="0"/>
          <w:sz w:val="22"/>
          <w:szCs w:val="22"/>
          <w:lang w:eastAsia="zh-CN"/>
          <w14:ligatures w14:val="none"/>
        </w:rPr>
        <w:t xml:space="preserve"> and </w:t>
      </w:r>
      <w:r w:rsidR="00CD394B" w:rsidRPr="00201EA5">
        <w:rPr>
          <w:rFonts w:ascii="Arial" w:eastAsia="Times New Roman" w:hAnsi="Arial" w:cs="Arial"/>
          <w:kern w:val="0"/>
          <w:sz w:val="22"/>
          <w:szCs w:val="22"/>
          <w:bdr w:val="none" w:sz="0" w:space="0" w:color="auto" w:frame="1"/>
          <w:lang w:eastAsia="zh-CN"/>
          <w14:ligatures w14:val="none"/>
        </w:rPr>
        <w:t>Social Cognitive Theory</w:t>
      </w:r>
      <w:r w:rsidR="00CD394B" w:rsidRPr="00201EA5">
        <w:rPr>
          <w:rFonts w:ascii="Arial" w:eastAsia="Times New Roman" w:hAnsi="Arial" w:cs="Arial"/>
          <w:kern w:val="0"/>
          <w:sz w:val="22"/>
          <w:szCs w:val="22"/>
          <w:lang w:eastAsia="zh-CN"/>
          <w14:ligatures w14:val="none"/>
        </w:rPr>
        <w:t xml:space="preserve"> to explain the underlying mechanisms of treatment adherence</w:t>
      </w:r>
    </w:p>
    <w:p w14:paraId="4235B678" w14:textId="080C371D" w:rsidR="00336ECE" w:rsidRPr="00FD4B01" w:rsidRDefault="00336ECE" w:rsidP="00392884">
      <w:pPr>
        <w:pStyle w:val="Heading3"/>
        <w:jc w:val="both"/>
        <w:rPr>
          <w:b/>
          <w:bCs/>
        </w:rPr>
      </w:pPr>
      <w:bookmarkStart w:id="89" w:name="_Toc230113911"/>
      <w:r w:rsidRPr="00FD4B01">
        <w:rPr>
          <w:b/>
          <w:bCs/>
        </w:rPr>
        <w:t>5.</w:t>
      </w:r>
      <w:r w:rsidR="000B631F" w:rsidRPr="00FD4B01">
        <w:rPr>
          <w:b/>
          <w:bCs/>
        </w:rPr>
        <w:t>7</w:t>
      </w:r>
      <w:r w:rsidRPr="00FD4B01">
        <w:rPr>
          <w:b/>
          <w:bCs/>
        </w:rPr>
        <w:t xml:space="preserve"> Critical Reflection: What is Missing?</w:t>
      </w:r>
      <w:bookmarkEnd w:id="89"/>
    </w:p>
    <w:p w14:paraId="21A5E4F9" w14:textId="73778D3C" w:rsidR="00336ECE" w:rsidRPr="00201EA5" w:rsidRDefault="00336ECE" w:rsidP="00392884">
      <w:pPr>
        <w:spacing w:before="240" w:after="240" w:line="360" w:lineRule="auto"/>
        <w:jc w:val="both"/>
        <w:rPr>
          <w:rFonts w:ascii="Arial" w:eastAsia="Arial" w:hAnsi="Arial" w:cs="Arial"/>
          <w:sz w:val="22"/>
          <w:szCs w:val="22"/>
        </w:rPr>
      </w:pPr>
      <w:r w:rsidRPr="00201EA5">
        <w:rPr>
          <w:rFonts w:ascii="Arial" w:eastAsia="Arial" w:hAnsi="Arial" w:cs="Arial"/>
          <w:sz w:val="22"/>
          <w:szCs w:val="22"/>
        </w:rPr>
        <w:t xml:space="preserve">To strengthen the rigour of this synthesis, it is necessary to consider the </w:t>
      </w:r>
      <w:r w:rsidRPr="001E6779">
        <w:rPr>
          <w:rFonts w:ascii="Arial" w:eastAsia="Arial" w:hAnsi="Arial" w:cs="Arial"/>
          <w:sz w:val="22"/>
          <w:szCs w:val="22"/>
        </w:rPr>
        <w:t>absent data.</w:t>
      </w:r>
      <w:r w:rsidRPr="00201EA5">
        <w:rPr>
          <w:rFonts w:ascii="Arial" w:eastAsia="Arial" w:hAnsi="Arial" w:cs="Arial"/>
          <w:sz w:val="22"/>
          <w:szCs w:val="22"/>
        </w:rPr>
        <w:t xml:space="preserve"> At the time of this 2026 analysis, the literature is heavily weighted toward:</w:t>
      </w:r>
    </w:p>
    <w:p w14:paraId="744DF3F4" w14:textId="3E534E9B" w:rsidR="00336ECE" w:rsidRPr="00201EA5" w:rsidRDefault="00336ECE" w:rsidP="00392884">
      <w:pPr>
        <w:numPr>
          <w:ilvl w:val="0"/>
          <w:numId w:val="29"/>
        </w:numPr>
        <w:spacing w:before="240" w:after="240" w:line="360" w:lineRule="auto"/>
        <w:jc w:val="both"/>
        <w:rPr>
          <w:rFonts w:ascii="Arial" w:eastAsia="Arial" w:hAnsi="Arial" w:cs="Arial"/>
          <w:sz w:val="22"/>
          <w:szCs w:val="22"/>
        </w:rPr>
      </w:pPr>
      <w:r w:rsidRPr="00201EA5">
        <w:rPr>
          <w:rFonts w:ascii="Arial" w:eastAsia="Arial" w:hAnsi="Arial" w:cs="Arial"/>
          <w:b/>
          <w:bCs/>
          <w:sz w:val="22"/>
          <w:szCs w:val="22"/>
        </w:rPr>
        <w:t>Successful Initiators:</w:t>
      </w:r>
      <w:r w:rsidRPr="00201EA5">
        <w:rPr>
          <w:rFonts w:ascii="Arial" w:eastAsia="Arial" w:hAnsi="Arial" w:cs="Arial"/>
          <w:sz w:val="22"/>
          <w:szCs w:val="22"/>
        </w:rPr>
        <w:t xml:space="preserve"> Those who have navigated the postcode lottery and initial side effects.</w:t>
      </w:r>
    </w:p>
    <w:p w14:paraId="6D94CD20" w14:textId="77777777" w:rsidR="00336ECE" w:rsidRPr="00201EA5" w:rsidRDefault="00336ECE" w:rsidP="00392884">
      <w:pPr>
        <w:numPr>
          <w:ilvl w:val="0"/>
          <w:numId w:val="29"/>
        </w:numPr>
        <w:spacing w:before="240" w:after="240" w:line="360" w:lineRule="auto"/>
        <w:jc w:val="both"/>
        <w:rPr>
          <w:rFonts w:ascii="Arial" w:eastAsia="Arial" w:hAnsi="Arial" w:cs="Arial"/>
          <w:sz w:val="22"/>
          <w:szCs w:val="22"/>
        </w:rPr>
      </w:pPr>
      <w:r w:rsidRPr="00201EA5">
        <w:rPr>
          <w:rFonts w:ascii="Arial" w:eastAsia="Arial" w:hAnsi="Arial" w:cs="Arial"/>
          <w:b/>
          <w:bCs/>
          <w:sz w:val="22"/>
          <w:szCs w:val="22"/>
        </w:rPr>
        <w:t>Digitally Literate Patients:</w:t>
      </w:r>
      <w:r w:rsidRPr="00201EA5">
        <w:rPr>
          <w:rFonts w:ascii="Arial" w:eastAsia="Arial" w:hAnsi="Arial" w:cs="Arial"/>
          <w:sz w:val="22"/>
          <w:szCs w:val="22"/>
        </w:rPr>
        <w:t xml:space="preserve"> Those able to participate in the app-based monitoring tools discussed by </w:t>
      </w:r>
      <w:r w:rsidRPr="00201EA5">
        <w:rPr>
          <w:rFonts w:ascii="Arial" w:eastAsia="Arial" w:hAnsi="Arial" w:cs="Arial"/>
          <w:b/>
          <w:bCs/>
          <w:sz w:val="22"/>
          <w:szCs w:val="22"/>
        </w:rPr>
        <w:t>Davies et al. (2024)</w:t>
      </w:r>
      <w:r w:rsidRPr="00201EA5">
        <w:rPr>
          <w:rFonts w:ascii="Arial" w:eastAsia="Arial" w:hAnsi="Arial" w:cs="Arial"/>
          <w:sz w:val="22"/>
          <w:szCs w:val="22"/>
        </w:rPr>
        <w:t>.</w:t>
      </w:r>
    </w:p>
    <w:p w14:paraId="008E3DA3" w14:textId="0855E156" w:rsidR="00336ECE" w:rsidRPr="00201EA5" w:rsidRDefault="00336ECE" w:rsidP="00392884">
      <w:pPr>
        <w:spacing w:before="240" w:after="240" w:line="360" w:lineRule="auto"/>
        <w:jc w:val="both"/>
        <w:rPr>
          <w:rFonts w:ascii="Arial" w:eastAsia="Arial" w:hAnsi="Arial" w:cs="Arial"/>
          <w:sz w:val="22"/>
          <w:szCs w:val="22"/>
        </w:rPr>
      </w:pPr>
      <w:r w:rsidRPr="00201EA5">
        <w:rPr>
          <w:rFonts w:ascii="Arial" w:eastAsia="Arial" w:hAnsi="Arial" w:cs="Arial"/>
          <w:sz w:val="22"/>
          <w:szCs w:val="22"/>
        </w:rPr>
        <w:t xml:space="preserve">The voices of patients who </w:t>
      </w:r>
      <w:r w:rsidRPr="001E6779">
        <w:rPr>
          <w:rFonts w:ascii="Arial" w:eastAsia="Arial" w:hAnsi="Arial" w:cs="Arial"/>
          <w:sz w:val="22"/>
          <w:szCs w:val="22"/>
        </w:rPr>
        <w:t>failed to access</w:t>
      </w:r>
      <w:r w:rsidRPr="00201EA5">
        <w:rPr>
          <w:rFonts w:ascii="Arial" w:eastAsia="Arial" w:hAnsi="Arial" w:cs="Arial"/>
          <w:sz w:val="22"/>
          <w:szCs w:val="22"/>
        </w:rPr>
        <w:t xml:space="preserve"> the drug due to the "Two-Tier" barrier, or those who </w:t>
      </w:r>
      <w:r w:rsidRPr="001E6779">
        <w:rPr>
          <w:rFonts w:ascii="Arial" w:eastAsia="Arial" w:hAnsi="Arial" w:cs="Arial"/>
          <w:sz w:val="22"/>
          <w:szCs w:val="22"/>
        </w:rPr>
        <w:t>discontinued early</w:t>
      </w:r>
      <w:r w:rsidRPr="00201EA5">
        <w:rPr>
          <w:rFonts w:ascii="Arial" w:eastAsia="Arial" w:hAnsi="Arial" w:cs="Arial"/>
          <w:sz w:val="22"/>
          <w:szCs w:val="22"/>
        </w:rPr>
        <w:t xml:space="preserve"> due to unmanaged nausea, remain largely peripheral. Acknowledging these missing perspectives is crucial; it prevents the dissertation from presenting a sanitized version of Tirzepatide’s utility and highlights the need for research that focuses specifically on treatment attrition and exclusion.</w:t>
      </w:r>
    </w:p>
    <w:p w14:paraId="09412858" w14:textId="77777777" w:rsidR="005F319E" w:rsidRPr="001E6779" w:rsidRDefault="005F319E" w:rsidP="00392884">
      <w:pPr>
        <w:pStyle w:val="Heading3"/>
        <w:jc w:val="both"/>
        <w:rPr>
          <w:b/>
          <w:bCs/>
          <w:lang w:eastAsia="zh-CN"/>
        </w:rPr>
      </w:pPr>
      <w:bookmarkStart w:id="90" w:name="_Toc230113912"/>
      <w:r w:rsidRPr="001E6779">
        <w:rPr>
          <w:b/>
          <w:bCs/>
          <w:lang w:eastAsia="zh-CN"/>
        </w:rPr>
        <w:t>5.8 Critical Reflection:</w:t>
      </w:r>
      <w:bookmarkEnd w:id="90"/>
      <w:r w:rsidRPr="001E6779">
        <w:rPr>
          <w:b/>
          <w:bCs/>
          <w:lang w:eastAsia="zh-CN"/>
        </w:rPr>
        <w:t xml:space="preserve"> </w:t>
      </w:r>
    </w:p>
    <w:p w14:paraId="23B56800" w14:textId="5F9D4C7A" w:rsidR="005F319E" w:rsidRPr="00201EA5" w:rsidRDefault="005F319E" w:rsidP="00392884">
      <w:pPr>
        <w:spacing w:line="360" w:lineRule="auto"/>
        <w:jc w:val="both"/>
        <w:rPr>
          <w:rFonts w:ascii="Arial" w:eastAsia="DengXian" w:hAnsi="Arial" w:cs="Arial"/>
          <w:sz w:val="22"/>
          <w:szCs w:val="22"/>
          <w:lang w:eastAsia="zh-CN"/>
        </w:rPr>
      </w:pPr>
      <w:r w:rsidRPr="00201EA5">
        <w:rPr>
          <w:rFonts w:ascii="Arial" w:eastAsia="DengXian" w:hAnsi="Arial" w:cs="Arial"/>
          <w:sz w:val="22"/>
          <w:szCs w:val="22"/>
          <w:lang w:eastAsia="zh-CN"/>
        </w:rPr>
        <w:t>The Absent Data</w:t>
      </w:r>
      <w:r w:rsidR="004F0284">
        <w:rPr>
          <w:rFonts w:ascii="Arial" w:eastAsia="DengXian" w:hAnsi="Arial" w:cs="Arial"/>
          <w:sz w:val="22"/>
          <w:szCs w:val="22"/>
          <w:lang w:eastAsia="zh-CN"/>
        </w:rPr>
        <w:t xml:space="preserve"> </w:t>
      </w:r>
      <w:r w:rsidRPr="00201EA5">
        <w:rPr>
          <w:rFonts w:ascii="Arial" w:eastAsia="DengXian" w:hAnsi="Arial" w:cs="Arial"/>
          <w:sz w:val="22"/>
          <w:szCs w:val="22"/>
          <w:lang w:eastAsia="zh-CN"/>
        </w:rPr>
        <w:t>To maintain academic rigour, it is essential to acknowledge the missing voices in the 2023–2026 literature. The current evidence base is heavily skewed toward:</w:t>
      </w:r>
      <w:r w:rsidR="002152AE" w:rsidRPr="00201EA5">
        <w:rPr>
          <w:rFonts w:ascii="Arial" w:eastAsia="DengXian" w:hAnsi="Arial" w:cs="Arial"/>
          <w:sz w:val="22"/>
          <w:szCs w:val="22"/>
          <w:lang w:eastAsia="zh-CN"/>
        </w:rPr>
        <w:t xml:space="preserve"> </w:t>
      </w:r>
      <w:r w:rsidRPr="00201EA5">
        <w:rPr>
          <w:rFonts w:ascii="Arial" w:eastAsia="DengXian" w:hAnsi="Arial" w:cs="Arial"/>
          <w:sz w:val="22"/>
          <w:szCs w:val="22"/>
          <w:lang w:eastAsia="zh-CN"/>
        </w:rPr>
        <w:lastRenderedPageBreak/>
        <w:t>Successful Initiators: Those who navigated the titration phase. Digitally Literate Patients: Those capable of using monitoring apps (Davies et al., 2024).</w:t>
      </w:r>
      <w:r w:rsidR="000412D1" w:rsidRPr="00201EA5">
        <w:rPr>
          <w:rFonts w:ascii="Arial" w:eastAsia="DengXian" w:hAnsi="Arial" w:cs="Arial"/>
          <w:sz w:val="22"/>
          <w:szCs w:val="22"/>
          <w:lang w:eastAsia="zh-CN"/>
        </w:rPr>
        <w:t xml:space="preserve"> </w:t>
      </w:r>
      <w:r w:rsidRPr="00201EA5">
        <w:rPr>
          <w:rFonts w:ascii="Arial" w:eastAsia="DengXian" w:hAnsi="Arial" w:cs="Arial"/>
          <w:sz w:val="22"/>
          <w:szCs w:val="22"/>
          <w:lang w:eastAsia="zh-CN"/>
        </w:rPr>
        <w:t>The perspectives of early discontinuers</w:t>
      </w:r>
      <w:r w:rsidR="000412D1" w:rsidRPr="00201EA5">
        <w:rPr>
          <w:rFonts w:ascii="Arial" w:eastAsia="DengXian" w:hAnsi="Arial" w:cs="Arial"/>
          <w:sz w:val="22"/>
          <w:szCs w:val="22"/>
          <w:lang w:eastAsia="zh-CN"/>
        </w:rPr>
        <w:t xml:space="preserve"> </w:t>
      </w:r>
      <w:r w:rsidRPr="00201EA5">
        <w:rPr>
          <w:rFonts w:ascii="Arial" w:eastAsia="DengXian" w:hAnsi="Arial" w:cs="Arial"/>
          <w:sz w:val="22"/>
          <w:szCs w:val="22"/>
          <w:lang w:eastAsia="zh-CN"/>
        </w:rPr>
        <w:t>those who ceased treatment due to unmanaged nausea or systemic exclusion</w:t>
      </w:r>
      <w:r w:rsidR="000412D1" w:rsidRPr="00201EA5">
        <w:rPr>
          <w:rFonts w:ascii="Arial" w:eastAsia="DengXian" w:hAnsi="Arial" w:cs="Arial"/>
          <w:sz w:val="22"/>
          <w:szCs w:val="22"/>
          <w:lang w:eastAsia="zh-CN"/>
        </w:rPr>
        <w:t xml:space="preserve"> </w:t>
      </w:r>
      <w:r w:rsidRPr="00201EA5">
        <w:rPr>
          <w:rFonts w:ascii="Arial" w:eastAsia="DengXian" w:hAnsi="Arial" w:cs="Arial"/>
          <w:sz w:val="22"/>
          <w:szCs w:val="22"/>
          <w:lang w:eastAsia="zh-CN"/>
        </w:rPr>
        <w:t>remain peripheral. Acknowledging this survivorship bias is crucial to avoid a sanitized version of Tirzepatide’s utility.</w:t>
      </w:r>
    </w:p>
    <w:p w14:paraId="01638C0A" w14:textId="77777777" w:rsidR="005F319E" w:rsidRPr="004F0284" w:rsidRDefault="005F319E" w:rsidP="00392884">
      <w:pPr>
        <w:pStyle w:val="Heading3"/>
        <w:jc w:val="both"/>
        <w:rPr>
          <w:b/>
          <w:bCs/>
          <w:lang w:eastAsia="zh-CN"/>
        </w:rPr>
      </w:pPr>
      <w:bookmarkStart w:id="91" w:name="_Toc230113913"/>
      <w:r w:rsidRPr="004F0284">
        <w:rPr>
          <w:b/>
          <w:bCs/>
          <w:lang w:eastAsia="zh-CN"/>
        </w:rPr>
        <w:t>5.9 Summary</w:t>
      </w:r>
      <w:bookmarkEnd w:id="91"/>
      <w:r w:rsidRPr="004F0284">
        <w:rPr>
          <w:b/>
          <w:bCs/>
          <w:lang w:eastAsia="zh-CN"/>
        </w:rPr>
        <w:t xml:space="preserve"> </w:t>
      </w:r>
    </w:p>
    <w:p w14:paraId="39345589" w14:textId="25049E9E" w:rsidR="00336ECE" w:rsidRPr="00201EA5" w:rsidRDefault="005F319E" w:rsidP="00392884">
      <w:pPr>
        <w:spacing w:line="360" w:lineRule="auto"/>
        <w:jc w:val="both"/>
        <w:rPr>
          <w:rFonts w:ascii="Arial" w:eastAsia="DengXian" w:hAnsi="Arial" w:cs="Arial"/>
          <w:sz w:val="22"/>
          <w:szCs w:val="22"/>
          <w:lang w:eastAsia="zh-CN"/>
        </w:rPr>
      </w:pPr>
      <w:r w:rsidRPr="00201EA5">
        <w:rPr>
          <w:rFonts w:ascii="Arial" w:eastAsia="DengXian" w:hAnsi="Arial" w:cs="Arial"/>
          <w:sz w:val="22"/>
          <w:szCs w:val="22"/>
          <w:lang w:eastAsia="zh-CN"/>
        </w:rPr>
        <w:t>While Tirzepatide offers a significant biological leap forward through the silencing of "food noise," its real-world value is contingent upon a supportive system. The patient journey is currently fragmented by socioeconomic status, supply instability, and cultural stigma. These findings shift the academic focus from drug efficacy to systemic viability, providing the foundation for the theoretical triangulation in Chapter 6.</w:t>
      </w:r>
    </w:p>
    <w:p w14:paraId="0CA70771" w14:textId="4BFF53C1" w:rsidR="2ED0DBC8" w:rsidRPr="00107D0A" w:rsidRDefault="00D84FCE" w:rsidP="00392884">
      <w:pPr>
        <w:pStyle w:val="Heading1"/>
        <w:spacing w:line="360" w:lineRule="auto"/>
        <w:jc w:val="both"/>
        <w:rPr>
          <w:rFonts w:ascii="Arial" w:hAnsi="Arial" w:cs="Arial"/>
          <w:b/>
          <w:bCs/>
        </w:rPr>
      </w:pPr>
      <w:bookmarkStart w:id="92" w:name="_Toc230113914"/>
      <w:r w:rsidRPr="00107D0A">
        <w:rPr>
          <w:rFonts w:ascii="Arial" w:hAnsi="Arial" w:cs="Arial"/>
          <w:b/>
          <w:bCs/>
        </w:rPr>
        <w:t>Chapter 6</w:t>
      </w:r>
      <w:bookmarkEnd w:id="92"/>
      <w:r w:rsidRPr="00107D0A">
        <w:rPr>
          <w:rFonts w:ascii="Arial" w:hAnsi="Arial" w:cs="Arial"/>
          <w:b/>
          <w:bCs/>
        </w:rPr>
        <w:t xml:space="preserve"> </w:t>
      </w:r>
    </w:p>
    <w:p w14:paraId="13CC5E91" w14:textId="7C1C0A30" w:rsidR="2EBF3E18" w:rsidRPr="00107D0A" w:rsidRDefault="2EBF3E18" w:rsidP="00392884">
      <w:pPr>
        <w:pStyle w:val="Heading2"/>
        <w:spacing w:line="360" w:lineRule="auto"/>
        <w:jc w:val="both"/>
        <w:rPr>
          <w:rFonts w:ascii="Arial" w:hAnsi="Arial" w:cs="Arial"/>
          <w:b/>
          <w:bCs/>
        </w:rPr>
      </w:pPr>
      <w:bookmarkStart w:id="93" w:name="_Toc230113915"/>
      <w:r w:rsidRPr="00107D0A">
        <w:rPr>
          <w:rFonts w:ascii="Arial" w:hAnsi="Arial" w:cs="Arial"/>
          <w:b/>
          <w:bCs/>
        </w:rPr>
        <w:t>6.1 Introduction</w:t>
      </w:r>
      <w:bookmarkEnd w:id="93"/>
      <w:r w:rsidRPr="00107D0A">
        <w:rPr>
          <w:rFonts w:ascii="Arial" w:hAnsi="Arial" w:cs="Arial"/>
          <w:b/>
          <w:bCs/>
        </w:rPr>
        <w:t xml:space="preserve"> </w:t>
      </w:r>
    </w:p>
    <w:p w14:paraId="5A067B32" w14:textId="1459DDC1" w:rsidR="2EBF3E18" w:rsidRPr="00CE7672" w:rsidRDefault="35C95F92" w:rsidP="00392884">
      <w:pPr>
        <w:spacing w:after="240" w:line="360" w:lineRule="auto"/>
        <w:jc w:val="both"/>
        <w:rPr>
          <w:rFonts w:ascii="Arial" w:eastAsia="Arial" w:hAnsi="Arial" w:cs="Arial"/>
          <w:sz w:val="22"/>
          <w:szCs w:val="22"/>
        </w:rPr>
      </w:pPr>
      <w:r w:rsidRPr="00CE7672">
        <w:rPr>
          <w:rFonts w:ascii="Arial" w:eastAsia="Arial" w:hAnsi="Arial" w:cs="Arial"/>
          <w:sz w:val="22"/>
          <w:szCs w:val="22"/>
        </w:rPr>
        <w:t xml:space="preserve">The purpose of this chapter is to critically discuss the synthesized findings in relation to existing literature and theoretical frameworks. It interprets the lived experience of Tirzepatide users through the lens of UK health policy and psychological theories of </w:t>
      </w:r>
      <w:r w:rsidR="30EADC86" w:rsidRPr="00CE7672">
        <w:rPr>
          <w:rFonts w:ascii="Arial" w:eastAsia="Arial" w:hAnsi="Arial" w:cs="Arial"/>
          <w:sz w:val="22"/>
          <w:szCs w:val="22"/>
        </w:rPr>
        <w:t>behaviour</w:t>
      </w:r>
      <w:r w:rsidRPr="00CE7672">
        <w:rPr>
          <w:rFonts w:ascii="Arial" w:eastAsia="Arial" w:hAnsi="Arial" w:cs="Arial"/>
          <w:sz w:val="22"/>
          <w:szCs w:val="22"/>
        </w:rPr>
        <w:t xml:space="preserve"> change. This chapter will address the significance of food noise reduction, the impact of systemic health inequalities in the NHS, and the socio-cultural barriers to injectable therapies. Furthermore, it will provide a critical reflection on the research process, outlining the strengths and limitations of the systematic review methodology.</w:t>
      </w:r>
    </w:p>
    <w:p w14:paraId="36534EF3" w14:textId="5B1B2B78" w:rsidR="004B6524" w:rsidRPr="00CE7672" w:rsidRDefault="001730B9" w:rsidP="00392884">
      <w:pPr>
        <w:spacing w:after="240" w:line="360" w:lineRule="auto"/>
        <w:jc w:val="both"/>
        <w:rPr>
          <w:rFonts w:ascii="Arial" w:eastAsia="Arial" w:hAnsi="Arial" w:cs="Arial"/>
          <w:sz w:val="22"/>
          <w:szCs w:val="22"/>
        </w:rPr>
      </w:pPr>
      <w:r w:rsidRPr="00CE7672">
        <w:rPr>
          <w:rFonts w:ascii="Arial" w:eastAsia="Arial" w:hAnsi="Arial" w:cs="Arial"/>
          <w:sz w:val="22"/>
          <w:szCs w:val="22"/>
        </w:rPr>
        <w:t xml:space="preserve">Additionally, </w:t>
      </w:r>
      <w:r w:rsidR="001437D2" w:rsidRPr="00CE7672">
        <w:rPr>
          <w:rFonts w:ascii="Arial" w:eastAsia="Arial" w:hAnsi="Arial" w:cs="Arial"/>
          <w:sz w:val="22"/>
          <w:szCs w:val="22"/>
        </w:rPr>
        <w:t>t</w:t>
      </w:r>
      <w:r w:rsidR="006E4655" w:rsidRPr="00CE7672">
        <w:rPr>
          <w:rFonts w:ascii="Arial" w:eastAsia="Arial" w:hAnsi="Arial" w:cs="Arial"/>
          <w:sz w:val="22"/>
          <w:szCs w:val="22"/>
        </w:rPr>
        <w:t>his chapter serves as the analytical heart of the dissertation. While Chapter 5 mapped the themes, Chapter 6 seeks to explain the mechanisms of action behind the patient experience. By moving from the "what" to the "why," this discussion evaluates how a pharmacological breakthrough is filtered through the complexities of the British psyche and the structural rigidities of the National Health Service (NHS). It specifically interrogates the tension between the biological ease of the drug and the logistical hardship of the system.</w:t>
      </w:r>
    </w:p>
    <w:p w14:paraId="55A7491D" w14:textId="616557AF" w:rsidR="008B0F34" w:rsidRPr="00CE7672" w:rsidRDefault="008B0F34" w:rsidP="00392884">
      <w:pPr>
        <w:spacing w:after="240" w:line="360" w:lineRule="auto"/>
        <w:jc w:val="both"/>
        <w:rPr>
          <w:rFonts w:ascii="Arial" w:eastAsia="Arial" w:hAnsi="Arial" w:cs="Arial"/>
          <w:sz w:val="22"/>
          <w:szCs w:val="22"/>
        </w:rPr>
      </w:pPr>
      <w:r w:rsidRPr="00CE7672">
        <w:rPr>
          <w:rFonts w:ascii="Arial" w:eastAsia="Arial" w:hAnsi="Arial" w:cs="Arial"/>
          <w:sz w:val="22"/>
          <w:szCs w:val="22"/>
        </w:rPr>
        <w:t>It</w:t>
      </w:r>
      <w:r w:rsidR="00493E9E" w:rsidRPr="00CE7672">
        <w:rPr>
          <w:rFonts w:ascii="Arial" w:eastAsia="Arial" w:hAnsi="Arial" w:cs="Arial"/>
          <w:sz w:val="22"/>
          <w:szCs w:val="22"/>
        </w:rPr>
        <w:t xml:space="preserve"> also</w:t>
      </w:r>
      <w:r w:rsidRPr="00CE7672">
        <w:rPr>
          <w:rFonts w:ascii="Arial" w:eastAsia="Arial" w:hAnsi="Arial" w:cs="Arial"/>
          <w:sz w:val="22"/>
          <w:szCs w:val="22"/>
        </w:rPr>
        <w:t xml:space="preserve"> argues that while the twincretin mechanism offers a biological breakthrough, its efficacy is mediated by a complex implementation gap that threatens the core NHS tenet of health equity. By applying the </w:t>
      </w:r>
      <w:r w:rsidRPr="008B1CD2">
        <w:rPr>
          <w:rFonts w:ascii="Arial" w:eastAsia="Arial" w:hAnsi="Arial" w:cs="Arial"/>
          <w:sz w:val="22"/>
          <w:szCs w:val="22"/>
        </w:rPr>
        <w:t>Social Determinants of Health</w:t>
      </w:r>
      <w:r w:rsidRPr="00CE7672">
        <w:rPr>
          <w:rFonts w:ascii="Arial" w:eastAsia="Arial" w:hAnsi="Arial" w:cs="Arial"/>
          <w:sz w:val="22"/>
          <w:szCs w:val="22"/>
        </w:rPr>
        <w:t xml:space="preserve"> and the </w:t>
      </w:r>
      <w:r w:rsidRPr="008B1CD2">
        <w:rPr>
          <w:rFonts w:ascii="Arial" w:eastAsia="Arial" w:hAnsi="Arial" w:cs="Arial"/>
          <w:sz w:val="22"/>
          <w:szCs w:val="22"/>
        </w:rPr>
        <w:t>Health Belief Model,</w:t>
      </w:r>
      <w:r w:rsidRPr="00CE7672">
        <w:rPr>
          <w:rFonts w:ascii="Arial" w:eastAsia="Arial" w:hAnsi="Arial" w:cs="Arial"/>
          <w:sz w:val="22"/>
          <w:szCs w:val="22"/>
        </w:rPr>
        <w:t xml:space="preserve"> this discussion problematises the current reliance on pharmacological interventions as a solution to systemic metabolic crises.</w:t>
      </w:r>
    </w:p>
    <w:p w14:paraId="4B0C3F4E" w14:textId="77777777" w:rsidR="008B0F34" w:rsidRPr="00107D0A" w:rsidRDefault="008B0F34" w:rsidP="00392884">
      <w:pPr>
        <w:spacing w:after="240" w:line="360" w:lineRule="auto"/>
        <w:jc w:val="both"/>
        <w:rPr>
          <w:rFonts w:ascii="Arial" w:eastAsia="Arial" w:hAnsi="Arial" w:cs="Arial"/>
        </w:rPr>
      </w:pPr>
    </w:p>
    <w:p w14:paraId="4658B792" w14:textId="345C2EBC" w:rsidR="2EBF3E18" w:rsidRPr="00107D0A" w:rsidRDefault="2EBF3E18" w:rsidP="00392884">
      <w:pPr>
        <w:pStyle w:val="Heading2"/>
        <w:spacing w:line="360" w:lineRule="auto"/>
        <w:jc w:val="both"/>
        <w:rPr>
          <w:rFonts w:ascii="Arial" w:hAnsi="Arial" w:cs="Arial"/>
          <w:b/>
          <w:bCs/>
        </w:rPr>
      </w:pPr>
      <w:bookmarkStart w:id="94" w:name="_Toc230113916"/>
      <w:r w:rsidRPr="00107D0A">
        <w:rPr>
          <w:rFonts w:ascii="Arial" w:hAnsi="Arial" w:cs="Arial"/>
          <w:b/>
          <w:bCs/>
        </w:rPr>
        <w:t>6.2 Discussion of Key Findings</w:t>
      </w:r>
      <w:bookmarkEnd w:id="94"/>
    </w:p>
    <w:p w14:paraId="49CA287E" w14:textId="2B42A032" w:rsidR="2EBF3E18" w:rsidRPr="00107D0A" w:rsidRDefault="00462C9E" w:rsidP="00392884">
      <w:pPr>
        <w:pStyle w:val="Heading3"/>
        <w:spacing w:line="360" w:lineRule="auto"/>
        <w:jc w:val="both"/>
        <w:rPr>
          <w:rFonts w:ascii="Arial" w:hAnsi="Arial" w:cs="Arial"/>
          <w:b/>
          <w:bCs/>
        </w:rPr>
      </w:pPr>
      <w:bookmarkStart w:id="95" w:name="_Toc230113917"/>
      <w:r w:rsidRPr="00107D0A">
        <w:rPr>
          <w:rFonts w:ascii="Arial" w:hAnsi="Arial" w:cs="Arial"/>
          <w:b/>
          <w:bCs/>
        </w:rPr>
        <w:t xml:space="preserve">Theme1 </w:t>
      </w:r>
      <w:r w:rsidR="2EBF3E18" w:rsidRPr="00107D0A">
        <w:rPr>
          <w:rFonts w:ascii="Arial" w:hAnsi="Arial" w:cs="Arial"/>
          <w:b/>
          <w:bCs/>
        </w:rPr>
        <w:t>The Psychological Revolution: Silencing the 'Food Noise'</w:t>
      </w:r>
      <w:bookmarkEnd w:id="95"/>
    </w:p>
    <w:p w14:paraId="18566CE6" w14:textId="6F63BD4A" w:rsidR="2EBF3E18" w:rsidRPr="00107D0A" w:rsidRDefault="35C95F92" w:rsidP="00392884">
      <w:pPr>
        <w:spacing w:after="240" w:line="360" w:lineRule="auto"/>
        <w:jc w:val="both"/>
        <w:rPr>
          <w:rFonts w:ascii="Arial" w:eastAsia="Arial" w:hAnsi="Arial" w:cs="Arial"/>
        </w:rPr>
      </w:pPr>
      <w:r w:rsidRPr="00107D0A">
        <w:rPr>
          <w:rFonts w:ascii="Arial" w:eastAsia="Arial" w:hAnsi="Arial" w:cs="Arial"/>
        </w:rPr>
        <w:t xml:space="preserve">The most significant finding of this review is the profound psychological shift experienced by patients through the reduction of "food noise" (Brown and Thompson, 2024). This aligns with the Dopaminergic Theory of Reward, suggesting that Tirzepatide’s dual-action (GLP-1/GIP) modulates the brain’s reward </w:t>
      </w:r>
      <w:r w:rsidR="29553D6E" w:rsidRPr="00107D0A">
        <w:rPr>
          <w:rFonts w:ascii="Arial" w:eastAsia="Arial" w:hAnsi="Arial" w:cs="Arial"/>
        </w:rPr>
        <w:t>canters</w:t>
      </w:r>
      <w:r w:rsidRPr="00107D0A">
        <w:rPr>
          <w:rFonts w:ascii="Arial" w:eastAsia="Arial" w:hAnsi="Arial" w:cs="Arial"/>
        </w:rPr>
        <w:t xml:space="preserve"> more effectively than single-agonist predecessors.</w:t>
      </w:r>
    </w:p>
    <w:p w14:paraId="612B8C97" w14:textId="621B8412" w:rsidR="00571AB6" w:rsidRPr="00107D0A" w:rsidRDefault="2EBF3E18" w:rsidP="00392884">
      <w:pPr>
        <w:spacing w:after="240" w:line="360" w:lineRule="auto"/>
        <w:jc w:val="both"/>
        <w:rPr>
          <w:rFonts w:ascii="Arial" w:eastAsia="Arial" w:hAnsi="Arial" w:cs="Arial"/>
        </w:rPr>
      </w:pPr>
      <w:r w:rsidRPr="00107D0A">
        <w:rPr>
          <w:rFonts w:ascii="Arial" w:eastAsia="Arial" w:hAnsi="Arial" w:cs="Arial"/>
        </w:rPr>
        <w:t>While clinical trials like SURPASS focused on HbA1c reduction, the lived experience data suggests that for the patient, the liberation from constant hunger is the primary facilitator of adherence. This is consistent with existing research into "mental load" in chronic illness management; by reducing the cognitive effort required to resist cravings, Tirzepatide lowers the psychological barrier to dietary compliance.</w:t>
      </w:r>
    </w:p>
    <w:p w14:paraId="23545E13" w14:textId="0DEEF8B2" w:rsidR="00571AB6" w:rsidRDefault="00571AB6" w:rsidP="00392884">
      <w:pPr>
        <w:spacing w:after="240" w:line="360" w:lineRule="auto"/>
        <w:jc w:val="both"/>
        <w:rPr>
          <w:rFonts w:ascii="Arial" w:eastAsia="Arial" w:hAnsi="Arial" w:cs="Arial"/>
        </w:rPr>
      </w:pPr>
      <w:r w:rsidRPr="00107D0A">
        <w:rPr>
          <w:rFonts w:ascii="Arial" w:eastAsia="Arial" w:hAnsi="Arial" w:cs="Arial"/>
        </w:rPr>
        <w:t>The reduction of "food noise" (Brown and Thompson, 2024) is not merely a clinical benefit but a fundamental shift in Patient Self-Efficacy.</w:t>
      </w:r>
    </w:p>
    <w:p w14:paraId="17B70D74" w14:textId="3DA5EA90" w:rsidR="00E50C95" w:rsidRPr="001A0D8F" w:rsidRDefault="00E50C95" w:rsidP="00392884">
      <w:pPr>
        <w:pStyle w:val="Heading3"/>
        <w:jc w:val="both"/>
        <w:rPr>
          <w:b/>
          <w:bCs/>
        </w:rPr>
      </w:pPr>
      <w:bookmarkStart w:id="96" w:name="_Toc230113918"/>
      <w:r w:rsidRPr="001A0D8F">
        <w:rPr>
          <w:b/>
          <w:bCs/>
        </w:rPr>
        <w:t>The Biological-Psychological Interface and Metabolic Agency</w:t>
      </w:r>
      <w:r w:rsidR="007018E7" w:rsidRPr="001A0D8F">
        <w:rPr>
          <w:b/>
          <w:bCs/>
        </w:rPr>
        <w:t>.</w:t>
      </w:r>
      <w:bookmarkEnd w:id="96"/>
    </w:p>
    <w:p w14:paraId="648BE791" w14:textId="77777777" w:rsidR="00E50C95" w:rsidRPr="006F39A0" w:rsidRDefault="00E50C95" w:rsidP="00392884">
      <w:pPr>
        <w:spacing w:after="240" w:line="360" w:lineRule="auto"/>
        <w:jc w:val="both"/>
        <w:rPr>
          <w:rFonts w:ascii="Arial" w:eastAsia="Arial" w:hAnsi="Arial" w:cs="Arial"/>
        </w:rPr>
      </w:pPr>
      <w:r w:rsidRPr="006F39A0">
        <w:rPr>
          <w:rFonts w:ascii="Arial" w:eastAsia="Arial" w:hAnsi="Arial" w:cs="Arial"/>
        </w:rPr>
        <w:t xml:space="preserve">The findings regarding "food noise" reduction (Brown and Thompson, 2024) are frequently presented as a clinical triumph. However, at a critical level, this represents a </w:t>
      </w:r>
      <w:r w:rsidRPr="007018E7">
        <w:rPr>
          <w:rFonts w:ascii="Arial" w:eastAsia="Arial" w:hAnsi="Arial" w:cs="Arial"/>
        </w:rPr>
        <w:t>biological outsourcing of willpower. While this acts as a facilitator, it raises significant concerns regarding the long-term sustainability</w:t>
      </w:r>
      <w:r w:rsidRPr="006F39A0">
        <w:rPr>
          <w:rFonts w:ascii="Arial" w:eastAsia="Arial" w:hAnsi="Arial" w:cs="Arial"/>
        </w:rPr>
        <w:t xml:space="preserve"> of behaviour change.</w:t>
      </w:r>
    </w:p>
    <w:p w14:paraId="0DE5D64E" w14:textId="28ED6B2A" w:rsidR="00E50C95" w:rsidRPr="00107D0A" w:rsidRDefault="00E50C95" w:rsidP="00392884">
      <w:pPr>
        <w:spacing w:after="240" w:line="360" w:lineRule="auto"/>
        <w:jc w:val="both"/>
        <w:rPr>
          <w:rFonts w:ascii="Arial" w:eastAsia="Arial" w:hAnsi="Arial" w:cs="Arial"/>
        </w:rPr>
      </w:pPr>
      <w:r w:rsidRPr="006F39A0">
        <w:rPr>
          <w:rFonts w:ascii="Arial" w:eastAsia="Arial" w:hAnsi="Arial" w:cs="Arial"/>
        </w:rPr>
        <w:t xml:space="preserve">If the patient's adherence is contingent on the suppression of dopaminergic reward pathways by Tirzepatide, the liberation described by Green et al. (2025) may be a fragile construct. This dissertation argues that without parallel investment in psychotherapy and nutritional education, the NHS risks creating a cycle of </w:t>
      </w:r>
      <w:r w:rsidRPr="007018E7">
        <w:rPr>
          <w:rFonts w:ascii="Arial" w:eastAsia="Arial" w:hAnsi="Arial" w:cs="Arial"/>
        </w:rPr>
        <w:t>pharmaceutical dependency</w:t>
      </w:r>
      <w:r w:rsidRPr="006F39A0">
        <w:rPr>
          <w:rFonts w:ascii="Arial" w:eastAsia="Arial" w:hAnsi="Arial" w:cs="Arial"/>
        </w:rPr>
        <w:t>. This problematises the current medication-first approach, suggesting that the facilitator of "food noise" reduction may inadvertently act as a barrier to developing intrinsic metabolic agency.</w:t>
      </w:r>
    </w:p>
    <w:p w14:paraId="76A9D30B" w14:textId="77777777" w:rsidR="00571AB6" w:rsidRPr="00107D0A" w:rsidRDefault="00571AB6" w:rsidP="00392884">
      <w:pPr>
        <w:pStyle w:val="Heading3"/>
        <w:spacing w:line="360" w:lineRule="auto"/>
        <w:jc w:val="both"/>
        <w:rPr>
          <w:rFonts w:ascii="Arial" w:hAnsi="Arial" w:cs="Arial"/>
          <w:b/>
          <w:bCs/>
        </w:rPr>
      </w:pPr>
      <w:bookmarkStart w:id="97" w:name="_Toc230113919"/>
      <w:r w:rsidRPr="00107D0A">
        <w:rPr>
          <w:rFonts w:ascii="Arial" w:hAnsi="Arial" w:cs="Arial"/>
          <w:b/>
          <w:bCs/>
        </w:rPr>
        <w:lastRenderedPageBreak/>
        <w:t>Theoretical Integration: The Health Belief Model (HBM)</w:t>
      </w:r>
      <w:bookmarkEnd w:id="97"/>
    </w:p>
    <w:p w14:paraId="150E9084" w14:textId="087463F4" w:rsidR="00571AB6" w:rsidRPr="009D0C2E" w:rsidRDefault="00571AB6" w:rsidP="00392884">
      <w:pPr>
        <w:spacing w:after="240" w:line="360" w:lineRule="auto"/>
        <w:jc w:val="both"/>
        <w:rPr>
          <w:rFonts w:ascii="Arial" w:eastAsia="Arial" w:hAnsi="Arial" w:cs="Arial"/>
          <w:sz w:val="22"/>
          <w:szCs w:val="22"/>
        </w:rPr>
      </w:pPr>
      <w:r w:rsidRPr="009D0C2E">
        <w:rPr>
          <w:rFonts w:ascii="Arial" w:eastAsia="Arial" w:hAnsi="Arial" w:cs="Arial"/>
          <w:sz w:val="22"/>
          <w:szCs w:val="22"/>
        </w:rPr>
        <w:t>According to the HBM, cues to action and perceived barriers are critical to health behaviour. Tirzepatide effectively removes the most significant internal barrier: physiological hunger. Green et al. (2025) and Brown and Thompson (2024) both describe a state where the patient no longer feels at war with their own biology. This aligns with Social Cognitive Theory, specifically the concept of Self-Regulation. When food noise is silenced, the patient regains the cognitive bandwidth to plan meals and engage in physical activity—behaviours that were previously hindered by the "hijacked" reward centres of the brain.</w:t>
      </w:r>
    </w:p>
    <w:p w14:paraId="16777DED" w14:textId="3703DC8A" w:rsidR="003F7EE4" w:rsidRPr="009D0C2E" w:rsidRDefault="00571AB6" w:rsidP="00392884">
      <w:pPr>
        <w:spacing w:after="240" w:line="360" w:lineRule="auto"/>
        <w:jc w:val="both"/>
        <w:rPr>
          <w:rFonts w:ascii="Arial" w:eastAsia="Arial" w:hAnsi="Arial" w:cs="Arial"/>
          <w:sz w:val="22"/>
          <w:szCs w:val="22"/>
        </w:rPr>
      </w:pPr>
      <w:r w:rsidRPr="009D0C2E">
        <w:rPr>
          <w:rFonts w:ascii="Arial" w:eastAsia="Arial" w:hAnsi="Arial" w:cs="Arial"/>
          <w:sz w:val="22"/>
          <w:szCs w:val="22"/>
        </w:rPr>
        <w:t>Furthermore, this silencing represents a departure from the lived experience of Metformin or Insulin. While those medications manage the consequences of T2DM, Tirzepatide is perceived by patients as managing the cause of their struggle with food. However, a critical point of discussion is the Maintenance Anxiety identified by the University of Surrey (2026). Patients fear that if the drug is removed, the noise will return with greater intensity, suggesting that Tirzepatide creates a biological dependency that is both a facilitator (due to success) and a barrier (due to fear of cessation).</w:t>
      </w:r>
    </w:p>
    <w:p w14:paraId="23CF6BBC" w14:textId="095F1A63" w:rsidR="2EBF3E18" w:rsidRPr="00107D0A" w:rsidRDefault="00462C9E" w:rsidP="00392884">
      <w:pPr>
        <w:pStyle w:val="Heading3"/>
        <w:spacing w:line="360" w:lineRule="auto"/>
        <w:jc w:val="both"/>
        <w:rPr>
          <w:rFonts w:ascii="Arial" w:hAnsi="Arial" w:cs="Arial"/>
          <w:b/>
          <w:bCs/>
        </w:rPr>
      </w:pPr>
      <w:bookmarkStart w:id="98" w:name="_Toc230113920"/>
      <w:r w:rsidRPr="00107D0A">
        <w:rPr>
          <w:rFonts w:ascii="Arial" w:hAnsi="Arial" w:cs="Arial"/>
          <w:b/>
          <w:bCs/>
        </w:rPr>
        <w:t xml:space="preserve">Theme 2 </w:t>
      </w:r>
      <w:r w:rsidR="2EBF3E18" w:rsidRPr="00107D0A">
        <w:rPr>
          <w:rFonts w:ascii="Arial" w:hAnsi="Arial" w:cs="Arial"/>
          <w:b/>
          <w:bCs/>
        </w:rPr>
        <w:t>The Systemic Barrier: The 'Two-Tier' NHS Experience</w:t>
      </w:r>
      <w:bookmarkEnd w:id="98"/>
    </w:p>
    <w:p w14:paraId="296F2C90" w14:textId="4863B539" w:rsidR="2EBF3E18" w:rsidRPr="009D0C2E" w:rsidRDefault="2EBF3E18" w:rsidP="00392884">
      <w:pPr>
        <w:spacing w:after="240" w:line="360" w:lineRule="auto"/>
        <w:jc w:val="both"/>
        <w:rPr>
          <w:rFonts w:ascii="Arial" w:eastAsia="Arial" w:hAnsi="Arial" w:cs="Arial"/>
          <w:sz w:val="22"/>
          <w:szCs w:val="22"/>
        </w:rPr>
      </w:pPr>
      <w:r w:rsidRPr="009D0C2E">
        <w:rPr>
          <w:rFonts w:ascii="Arial" w:eastAsia="Arial" w:hAnsi="Arial" w:cs="Arial"/>
          <w:sz w:val="22"/>
          <w:szCs w:val="22"/>
        </w:rPr>
        <w:t>A critical finding that presents a departure from international studies is the "Two-Tier" system identified by White (2025). In the US, the barrier to Tirzepatide is often insurance coverage; however, in the UK, the barrier is the rigid NICE (2023) eligibility criteria.</w:t>
      </w:r>
    </w:p>
    <w:p w14:paraId="6E077B7D" w14:textId="63BC5E7D" w:rsidR="005D3F4B" w:rsidRPr="009D0C2E" w:rsidRDefault="00D82FCD" w:rsidP="00392884">
      <w:pPr>
        <w:spacing w:after="240" w:line="360" w:lineRule="auto"/>
        <w:jc w:val="both"/>
        <w:rPr>
          <w:rFonts w:ascii="Arial" w:eastAsia="Arial" w:hAnsi="Arial" w:cs="Arial"/>
          <w:sz w:val="22"/>
          <w:szCs w:val="22"/>
        </w:rPr>
      </w:pPr>
      <w:r w:rsidRPr="009D0C2E">
        <w:rPr>
          <w:rFonts w:ascii="Arial" w:eastAsia="Arial" w:hAnsi="Arial" w:cs="Arial"/>
          <w:sz w:val="22"/>
          <w:szCs w:val="22"/>
        </w:rPr>
        <w:t xml:space="preserve">Therefore, the </w:t>
      </w:r>
      <w:r w:rsidR="005D3F4B" w:rsidRPr="009D0C2E">
        <w:rPr>
          <w:rFonts w:ascii="Arial" w:eastAsia="Arial" w:hAnsi="Arial" w:cs="Arial"/>
          <w:sz w:val="22"/>
          <w:szCs w:val="22"/>
        </w:rPr>
        <w:t>core argument of this thesis is that the introduction of Tirzepatide has formalised a postcode lottery and a socioeconomic divide in UK diabetes care. White (2025) and NICE (2023) evidence suggests that the post-pandemic NHS infrastructure is ill-equipped to provide equitable access.</w:t>
      </w:r>
    </w:p>
    <w:p w14:paraId="1A904D80" w14:textId="6960A2E7" w:rsidR="005D3F4B" w:rsidRPr="009D0C2E" w:rsidRDefault="005D3F4B" w:rsidP="00392884">
      <w:pPr>
        <w:spacing w:after="240" w:line="360" w:lineRule="auto"/>
        <w:jc w:val="both"/>
        <w:rPr>
          <w:rFonts w:ascii="Arial" w:eastAsia="Arial" w:hAnsi="Arial" w:cs="Arial"/>
          <w:sz w:val="22"/>
          <w:szCs w:val="22"/>
        </w:rPr>
      </w:pPr>
      <w:r w:rsidRPr="009D0C2E">
        <w:rPr>
          <w:rFonts w:ascii="Arial" w:eastAsia="Arial" w:hAnsi="Arial" w:cs="Arial"/>
          <w:sz w:val="22"/>
          <w:szCs w:val="22"/>
        </w:rPr>
        <w:t>The "Two-Tier" system represents a systemic failure of public health justice. This dissertation posits that the current eligibility criteria</w:t>
      </w:r>
      <w:r w:rsidR="00350303" w:rsidRPr="009D0C2E">
        <w:rPr>
          <w:rFonts w:ascii="Arial" w:eastAsia="Arial" w:hAnsi="Arial" w:cs="Arial"/>
          <w:sz w:val="22"/>
          <w:szCs w:val="22"/>
        </w:rPr>
        <w:t xml:space="preserve"> </w:t>
      </w:r>
      <w:r w:rsidRPr="009D0C2E">
        <w:rPr>
          <w:rFonts w:ascii="Arial" w:eastAsia="Arial" w:hAnsi="Arial" w:cs="Arial"/>
          <w:sz w:val="22"/>
          <w:szCs w:val="22"/>
        </w:rPr>
        <w:t>favouring those with the highest BMIs and most severe comorbidities</w:t>
      </w:r>
      <w:r w:rsidR="00350303" w:rsidRPr="009D0C2E">
        <w:rPr>
          <w:rFonts w:ascii="Arial" w:eastAsia="Arial" w:hAnsi="Arial" w:cs="Arial"/>
          <w:sz w:val="22"/>
          <w:szCs w:val="22"/>
        </w:rPr>
        <w:t xml:space="preserve"> </w:t>
      </w:r>
      <w:r w:rsidRPr="009D0C2E">
        <w:rPr>
          <w:rFonts w:ascii="Arial" w:eastAsia="Arial" w:hAnsi="Arial" w:cs="Arial"/>
          <w:sz w:val="22"/>
          <w:szCs w:val="22"/>
        </w:rPr>
        <w:t>essentially acts as reactive gatekeeping. This excludes a significant portion of the T2DM population who could benefit from early intervention to prevent complications. Furthermore, the ability of wealthier patients to bypass NHS waitlists via private providers (White, 2025) risks creating a metabolic elite, where the most advanced treatments are reserved for those with the greatest financial resources, thereby widening the gap in life expectancy between the UK's richest and poorest deciles.</w:t>
      </w:r>
    </w:p>
    <w:p w14:paraId="71153E98" w14:textId="77777777" w:rsidR="00C37F6F" w:rsidRPr="00107D0A" w:rsidRDefault="00C37F6F" w:rsidP="00392884">
      <w:pPr>
        <w:pStyle w:val="Heading3"/>
        <w:spacing w:line="360" w:lineRule="auto"/>
        <w:jc w:val="both"/>
        <w:rPr>
          <w:rFonts w:ascii="Arial" w:hAnsi="Arial" w:cs="Arial"/>
          <w:b/>
          <w:bCs/>
        </w:rPr>
      </w:pPr>
      <w:bookmarkStart w:id="99" w:name="_Toc230113921"/>
      <w:r w:rsidRPr="00107D0A">
        <w:rPr>
          <w:rFonts w:ascii="Arial" w:hAnsi="Arial" w:cs="Arial"/>
          <w:b/>
          <w:bCs/>
        </w:rPr>
        <w:lastRenderedPageBreak/>
        <w:t>The Systemic Barrier: The 'Two-Tier' NHS Experience</w:t>
      </w:r>
      <w:bookmarkEnd w:id="99"/>
    </w:p>
    <w:p w14:paraId="002E4497" w14:textId="5E98417B" w:rsidR="00C37F6F" w:rsidRPr="00107D0A" w:rsidRDefault="00C37F6F" w:rsidP="00392884">
      <w:pPr>
        <w:spacing w:after="240" w:line="360" w:lineRule="auto"/>
        <w:jc w:val="both"/>
        <w:rPr>
          <w:rFonts w:ascii="Arial" w:eastAsia="Arial" w:hAnsi="Arial" w:cs="Arial"/>
        </w:rPr>
      </w:pPr>
      <w:r w:rsidRPr="00107D0A">
        <w:rPr>
          <w:rFonts w:ascii="Arial" w:eastAsia="Arial" w:hAnsi="Arial" w:cs="Arial"/>
        </w:rPr>
        <w:t>The emergence of a "Two-Tier" system (White, 2025) represents a significant ethical and public health challenge in the UK.</w:t>
      </w:r>
    </w:p>
    <w:p w14:paraId="0A0A0783" w14:textId="77777777" w:rsidR="00C37F6F" w:rsidRPr="00107D0A" w:rsidRDefault="00C37F6F" w:rsidP="00392884">
      <w:pPr>
        <w:pStyle w:val="Heading3"/>
        <w:spacing w:line="360" w:lineRule="auto"/>
        <w:jc w:val="both"/>
        <w:rPr>
          <w:rFonts w:ascii="Arial" w:hAnsi="Arial" w:cs="Arial"/>
          <w:b/>
          <w:bCs/>
        </w:rPr>
      </w:pPr>
      <w:bookmarkStart w:id="100" w:name="_Toc230113922"/>
      <w:r w:rsidRPr="00107D0A">
        <w:rPr>
          <w:rFonts w:ascii="Arial" w:hAnsi="Arial" w:cs="Arial"/>
          <w:b/>
          <w:bCs/>
        </w:rPr>
        <w:t>Political Economy of Health</w:t>
      </w:r>
      <w:bookmarkEnd w:id="100"/>
    </w:p>
    <w:p w14:paraId="43405A31" w14:textId="4A91C598" w:rsidR="00C37F6F" w:rsidRPr="00107D0A" w:rsidRDefault="00C37F6F" w:rsidP="00392884">
      <w:pPr>
        <w:spacing w:after="240" w:line="360" w:lineRule="auto"/>
        <w:jc w:val="both"/>
        <w:rPr>
          <w:rFonts w:ascii="Arial" w:eastAsia="Arial" w:hAnsi="Arial" w:cs="Arial"/>
        </w:rPr>
      </w:pPr>
      <w:r w:rsidRPr="00107D0A">
        <w:rPr>
          <w:rFonts w:ascii="Arial" w:eastAsia="Arial" w:hAnsi="Arial" w:cs="Arial"/>
        </w:rPr>
        <w:t>In the context of the NHS, which is founded on the principle of equity of access, the findings of White (2025) and NICE (2023) indicate a breakdown of this core value. The Postcode Lottery means that a patient in a well-funded Integrated Care Board (ICB) may receive Tirzepatide as a first-line treatment after Metformin, while another patient in a Tier 3 desert remains on suboptimal therapy.</w:t>
      </w:r>
    </w:p>
    <w:p w14:paraId="7D973086" w14:textId="5317644D" w:rsidR="00C37F6F" w:rsidRPr="00107D0A" w:rsidRDefault="00C37F6F" w:rsidP="00392884">
      <w:pPr>
        <w:spacing w:after="240" w:line="360" w:lineRule="auto"/>
        <w:jc w:val="both"/>
        <w:rPr>
          <w:rFonts w:ascii="Arial" w:eastAsia="Arial" w:hAnsi="Arial" w:cs="Arial"/>
        </w:rPr>
      </w:pPr>
      <w:r w:rsidRPr="00107D0A">
        <w:rPr>
          <w:rFonts w:ascii="Arial" w:eastAsia="Arial" w:hAnsi="Arial" w:cs="Arial"/>
        </w:rPr>
        <w:t>This creates what BMJ Public Health (2025) describes as Treatment Resentment. Patients who are ineligible for NHS prescriptions but witness the success of others may experience a decline in their own self-management, feeling that the system has given up on them. This contrasts sharply with the US context, where the barrier is purely financial (insurance). In the UK, the barrier is bureaucratic, which patients often interpret as a personal judgment of their worthiness for treatment. The NHS England (2025) interim guidance, while intended to manage supply, inadvertently acts as a gatekeeper that reinforces socioeconomic health disparities.</w:t>
      </w:r>
    </w:p>
    <w:p w14:paraId="13F9BE5B" w14:textId="6E4FC376" w:rsidR="2EBF3E18" w:rsidRPr="00107D0A" w:rsidRDefault="00DE4539" w:rsidP="00392884">
      <w:pPr>
        <w:pStyle w:val="Heading3"/>
        <w:spacing w:line="360" w:lineRule="auto"/>
        <w:jc w:val="both"/>
        <w:rPr>
          <w:rFonts w:ascii="Arial" w:hAnsi="Arial" w:cs="Arial"/>
          <w:b/>
          <w:bCs/>
        </w:rPr>
      </w:pPr>
      <w:bookmarkStart w:id="101" w:name="_Toc230113923"/>
      <w:r w:rsidRPr="00107D0A">
        <w:rPr>
          <w:rFonts w:ascii="Arial" w:hAnsi="Arial" w:cs="Arial"/>
          <w:b/>
          <w:bCs/>
        </w:rPr>
        <w:t xml:space="preserve">Theme </w:t>
      </w:r>
      <w:r w:rsidR="00462C9E" w:rsidRPr="00107D0A">
        <w:rPr>
          <w:rFonts w:ascii="Arial" w:hAnsi="Arial" w:cs="Arial"/>
          <w:b/>
          <w:bCs/>
        </w:rPr>
        <w:t xml:space="preserve">3 </w:t>
      </w:r>
      <w:r w:rsidR="2EBF3E18" w:rsidRPr="00107D0A">
        <w:rPr>
          <w:rFonts w:ascii="Arial" w:hAnsi="Arial" w:cs="Arial"/>
          <w:b/>
          <w:bCs/>
        </w:rPr>
        <w:t>Socio-Cultural Logistics and the Injectable Stigma</w:t>
      </w:r>
      <w:bookmarkEnd w:id="101"/>
    </w:p>
    <w:p w14:paraId="4473BD8F" w14:textId="1174B002" w:rsidR="2EBF3E18" w:rsidRPr="00107D0A" w:rsidRDefault="2EBF3E18" w:rsidP="00392884">
      <w:pPr>
        <w:spacing w:after="240" w:line="360" w:lineRule="auto"/>
        <w:jc w:val="both"/>
        <w:rPr>
          <w:rFonts w:ascii="Arial" w:eastAsia="Arial" w:hAnsi="Arial" w:cs="Arial"/>
          <w:bCs/>
        </w:rPr>
      </w:pPr>
      <w:r w:rsidRPr="00107D0A">
        <w:rPr>
          <w:rFonts w:ascii="Arial" w:eastAsia="Arial" w:hAnsi="Arial" w:cs="Arial"/>
        </w:rPr>
        <w:t xml:space="preserve">The review highlighted that cultural nuances significantly shape the lived experience. </w:t>
      </w:r>
      <w:r w:rsidRPr="00107D0A">
        <w:rPr>
          <w:rFonts w:ascii="Arial" w:eastAsia="Arial" w:hAnsi="Arial" w:cs="Arial"/>
          <w:bCs/>
        </w:rPr>
        <w:t>Patel et al. (2025) identified that South Asian communities</w:t>
      </w:r>
      <w:r w:rsidR="0011149E">
        <w:rPr>
          <w:rFonts w:ascii="Arial" w:eastAsia="Arial" w:hAnsi="Arial" w:cs="Arial"/>
          <w:bCs/>
        </w:rPr>
        <w:t xml:space="preserve"> </w:t>
      </w:r>
      <w:r w:rsidRPr="00107D0A">
        <w:rPr>
          <w:rFonts w:ascii="Arial" w:eastAsia="Arial" w:hAnsi="Arial" w:cs="Arial"/>
          <w:bCs/>
        </w:rPr>
        <w:t>a group disproportionately affected by T2D in the UK</w:t>
      </w:r>
      <w:r w:rsidR="0011149E">
        <w:rPr>
          <w:rFonts w:ascii="Arial" w:eastAsia="Arial" w:hAnsi="Arial" w:cs="Arial"/>
          <w:bCs/>
        </w:rPr>
        <w:t xml:space="preserve"> </w:t>
      </w:r>
      <w:r w:rsidRPr="00107D0A">
        <w:rPr>
          <w:rFonts w:ascii="Arial" w:eastAsia="Arial" w:hAnsi="Arial" w:cs="Arial"/>
          <w:bCs/>
        </w:rPr>
        <w:t>face unique stigmas regarding injections.</w:t>
      </w:r>
    </w:p>
    <w:p w14:paraId="1C346AE5" w14:textId="09DEFB0E" w:rsidR="00FC3F55" w:rsidRPr="00107D0A" w:rsidRDefault="2EBF3E18" w:rsidP="00392884">
      <w:pPr>
        <w:spacing w:after="240" w:line="360" w:lineRule="auto"/>
        <w:jc w:val="both"/>
        <w:rPr>
          <w:rFonts w:ascii="Arial" w:eastAsia="Arial" w:hAnsi="Arial" w:cs="Arial"/>
        </w:rPr>
      </w:pPr>
      <w:r w:rsidRPr="00107D0A">
        <w:rPr>
          <w:rFonts w:ascii="Arial" w:eastAsia="Arial" w:hAnsi="Arial" w:cs="Arial"/>
          <w:bCs/>
        </w:rPr>
        <w:t>This finding is unusual as it contrasts with the convenience facilitator reported by the general population. While once-weekly dosing is a facilitator for many, the Ozempic-stigma (socially framing the drug as a vanity drug rather than a T2D medication) acts as a potent barrier. This mirrors the Social Identity Theory,</w:t>
      </w:r>
      <w:r w:rsidRPr="00107D0A">
        <w:rPr>
          <w:rFonts w:ascii="Arial" w:eastAsia="Arial" w:hAnsi="Arial" w:cs="Arial"/>
        </w:rPr>
        <w:t xml:space="preserve"> where patients may resist a highly effective treatment to avoid being categorized as lazy or cheating at weight loss.</w:t>
      </w:r>
    </w:p>
    <w:p w14:paraId="63A67B02" w14:textId="43E22F5E" w:rsidR="00FC3F55" w:rsidRDefault="00FC3F55" w:rsidP="00392884">
      <w:pPr>
        <w:spacing w:after="240" w:line="360" w:lineRule="auto"/>
        <w:jc w:val="both"/>
        <w:rPr>
          <w:rFonts w:ascii="Arial" w:eastAsia="Arial" w:hAnsi="Arial" w:cs="Arial"/>
        </w:rPr>
      </w:pPr>
      <w:r w:rsidRPr="00107D0A">
        <w:rPr>
          <w:rFonts w:ascii="Arial" w:eastAsia="Arial" w:hAnsi="Arial" w:cs="Arial"/>
        </w:rPr>
        <w:t>The findings regarding the Ozempic-stigma reveal a unique cultural barrier in the British media-saturated environment.</w:t>
      </w:r>
    </w:p>
    <w:p w14:paraId="4DF5D269" w14:textId="32A8C8FA" w:rsidR="002707A7" w:rsidRPr="00107D0A" w:rsidRDefault="002707A7" w:rsidP="00392884">
      <w:pPr>
        <w:spacing w:after="240" w:line="360" w:lineRule="auto"/>
        <w:jc w:val="both"/>
        <w:rPr>
          <w:rFonts w:ascii="Arial" w:eastAsia="Arial" w:hAnsi="Arial" w:cs="Arial"/>
        </w:rPr>
      </w:pPr>
      <w:r w:rsidRPr="00EC6D4B">
        <w:rPr>
          <w:rFonts w:ascii="Arial" w:eastAsia="Arial" w:hAnsi="Arial" w:cs="Arial"/>
        </w:rPr>
        <w:lastRenderedPageBreak/>
        <w:t xml:space="preserve">This dissertation argues that this stigma is a form of structural fatphobia that has been repackaged for the pharmaceutical era. Even within the NHS, the GP Burden described by Smith et al. (2025) suggests a level of clinical inertia rooted in the perception that obesity-related T2DM is a lifestyle choice rather than a complex endocrine disorder. This research identifies this stigma as a potent barrier that offsets the biological facilitators of the drug, particularly in cultural cohorts like those studied by </w:t>
      </w:r>
      <w:r w:rsidRPr="00DD5BDC">
        <w:rPr>
          <w:rFonts w:ascii="Arial" w:eastAsia="Arial" w:hAnsi="Arial" w:cs="Arial"/>
        </w:rPr>
        <w:t>Patel et al. (2025),</w:t>
      </w:r>
      <w:r w:rsidRPr="00EC6D4B">
        <w:rPr>
          <w:rFonts w:ascii="Arial" w:eastAsia="Arial" w:hAnsi="Arial" w:cs="Arial"/>
        </w:rPr>
        <w:t xml:space="preserve"> where injectable medications are already heavily stigmatised.</w:t>
      </w:r>
    </w:p>
    <w:p w14:paraId="04C9D618" w14:textId="77777777" w:rsidR="00FC3F55" w:rsidRPr="00107D0A" w:rsidRDefault="00FC3F55" w:rsidP="00392884">
      <w:pPr>
        <w:pStyle w:val="Heading3"/>
        <w:spacing w:line="360" w:lineRule="auto"/>
        <w:jc w:val="both"/>
        <w:rPr>
          <w:rFonts w:ascii="Arial" w:hAnsi="Arial" w:cs="Arial"/>
          <w:b/>
          <w:bCs/>
        </w:rPr>
      </w:pPr>
      <w:bookmarkStart w:id="102" w:name="_Toc230113924"/>
      <w:r w:rsidRPr="00107D0A">
        <w:rPr>
          <w:rFonts w:ascii="Arial" w:hAnsi="Arial" w:cs="Arial"/>
          <w:b/>
          <w:bCs/>
        </w:rPr>
        <w:t>Social Identity Theory and the 'Cheating' Narrative</w:t>
      </w:r>
      <w:bookmarkEnd w:id="102"/>
    </w:p>
    <w:p w14:paraId="3D199A81" w14:textId="065C2456" w:rsidR="000D4324" w:rsidRPr="00107D0A" w:rsidRDefault="00FC3F55" w:rsidP="00392884">
      <w:pPr>
        <w:spacing w:after="240" w:line="360" w:lineRule="auto"/>
        <w:jc w:val="both"/>
        <w:rPr>
          <w:rFonts w:ascii="Arial" w:eastAsia="Arial" w:hAnsi="Arial" w:cs="Arial"/>
        </w:rPr>
      </w:pPr>
      <w:r w:rsidRPr="00107D0A">
        <w:rPr>
          <w:rFonts w:ascii="Arial" w:eastAsia="Arial" w:hAnsi="Arial" w:cs="Arial"/>
        </w:rPr>
        <w:t>The BMJ Public Health (2025) study and the University of Surrey (2026) research both highlight a shame factor. Patients using Tirzepatide for T2DM often find themselves caught in the crossfire of the weight-loss jab controversy. According to Social Identity Theory, individuals strive for a positive social identity. When Tirzepatide is framed by tabloids as a shortcut for the lazy, T2DM patients may internalise this stigma, leading to hidden use.</w:t>
      </w:r>
    </w:p>
    <w:p w14:paraId="0690E0DB" w14:textId="77777777" w:rsidR="00FC3F55" w:rsidRPr="00107D0A" w:rsidRDefault="00FC3F55" w:rsidP="00392884">
      <w:pPr>
        <w:pStyle w:val="Heading3"/>
        <w:spacing w:line="360" w:lineRule="auto"/>
        <w:jc w:val="both"/>
        <w:rPr>
          <w:rFonts w:ascii="Arial" w:hAnsi="Arial" w:cs="Arial"/>
          <w:b/>
          <w:bCs/>
        </w:rPr>
      </w:pPr>
      <w:bookmarkStart w:id="103" w:name="_Toc230113925"/>
      <w:r w:rsidRPr="00107D0A">
        <w:rPr>
          <w:rFonts w:ascii="Arial" w:hAnsi="Arial" w:cs="Arial"/>
          <w:b/>
          <w:bCs/>
        </w:rPr>
        <w:t>Cultural Nuance: South Asian Perspectives</w:t>
      </w:r>
      <w:bookmarkEnd w:id="103"/>
    </w:p>
    <w:p w14:paraId="73992101" w14:textId="7382BA90" w:rsidR="00814551" w:rsidRPr="00107D0A" w:rsidRDefault="00FC3F55" w:rsidP="00392884">
      <w:pPr>
        <w:spacing w:after="240" w:line="360" w:lineRule="auto"/>
        <w:jc w:val="both"/>
        <w:rPr>
          <w:rFonts w:ascii="Arial" w:eastAsia="Arial" w:hAnsi="Arial" w:cs="Arial"/>
        </w:rPr>
      </w:pPr>
      <w:r w:rsidRPr="00107D0A">
        <w:rPr>
          <w:rFonts w:ascii="Arial" w:eastAsia="Arial" w:hAnsi="Arial" w:cs="Arial"/>
        </w:rPr>
        <w:t>The research by Patel et al. (2025) is pivotal here. In many South Asian cultures, the discreetness of a weekly injection is a facilitator, yet the injection itself carries a heavy symbolic weight of illness severity. This discussion suggests that NHS clinicians must move beyond one-size-fits-all prescribing. For a South Asian patient, the barrier might not be the needle itself, but what the needle represents to their extended family. This requires Culturally Competent Prescribing, where the facilitator of weekly convenience is balanced against the barrier of familial stigma</w:t>
      </w:r>
      <w:r w:rsidR="00814551" w:rsidRPr="00107D0A">
        <w:rPr>
          <w:rFonts w:ascii="Arial" w:eastAsia="Arial" w:hAnsi="Arial" w:cs="Arial"/>
        </w:rPr>
        <w:t>.</w:t>
      </w:r>
    </w:p>
    <w:p w14:paraId="5B2CC985" w14:textId="07881B19" w:rsidR="2EBF3E18" w:rsidRPr="00107D0A" w:rsidRDefault="2EBF3E18" w:rsidP="00392884">
      <w:pPr>
        <w:pStyle w:val="Heading3"/>
        <w:spacing w:line="360" w:lineRule="auto"/>
        <w:jc w:val="both"/>
        <w:rPr>
          <w:rFonts w:ascii="Arial" w:hAnsi="Arial" w:cs="Arial"/>
          <w:b/>
          <w:bCs/>
        </w:rPr>
      </w:pPr>
      <w:bookmarkStart w:id="104" w:name="_Toc230113926"/>
      <w:r w:rsidRPr="00107D0A">
        <w:rPr>
          <w:rFonts w:ascii="Arial" w:hAnsi="Arial" w:cs="Arial"/>
          <w:b/>
          <w:bCs/>
        </w:rPr>
        <w:t>Critique of Research Approach</w:t>
      </w:r>
      <w:bookmarkEnd w:id="104"/>
    </w:p>
    <w:p w14:paraId="47B90F89" w14:textId="6026A252" w:rsidR="2EBF3E18" w:rsidRPr="00107D0A" w:rsidRDefault="2EBF3E18" w:rsidP="00392884">
      <w:pPr>
        <w:spacing w:after="240" w:line="360" w:lineRule="auto"/>
        <w:jc w:val="both"/>
        <w:rPr>
          <w:rFonts w:ascii="Arial" w:eastAsia="Arial" w:hAnsi="Arial" w:cs="Arial"/>
        </w:rPr>
      </w:pPr>
      <w:r w:rsidRPr="00107D0A">
        <w:rPr>
          <w:rFonts w:ascii="Arial" w:eastAsia="Arial" w:hAnsi="Arial" w:cs="Arial"/>
        </w:rPr>
        <w:t xml:space="preserve">In line with </w:t>
      </w:r>
      <w:r w:rsidRPr="00107D0A">
        <w:rPr>
          <w:rFonts w:ascii="Arial" w:eastAsia="Arial" w:hAnsi="Arial" w:cs="Arial"/>
          <w:b/>
        </w:rPr>
        <w:t>Cottrell (2014)</w:t>
      </w:r>
      <w:r w:rsidRPr="00107D0A">
        <w:rPr>
          <w:rFonts w:ascii="Arial" w:eastAsia="Arial" w:hAnsi="Arial" w:cs="Arial"/>
        </w:rPr>
        <w:t>, it is necessary to critique the approach of this review. Research into Tirzepatide is still in its infancy; consequently, much of the qualitative data is emerging rather than established. The reliance on very recent studies means that long-term lived experience (over 2-3 years) is not yet available. Furthermore, the exclusion of non-English studies may have missed cultural insights from the UK’s diverse diaspora populations whose primary language is not English.</w:t>
      </w:r>
    </w:p>
    <w:p w14:paraId="6FFCC878" w14:textId="77777777" w:rsidR="00F640E4" w:rsidRPr="00107D0A" w:rsidRDefault="00F640E4" w:rsidP="00392884">
      <w:pPr>
        <w:pStyle w:val="Heading3"/>
        <w:spacing w:line="360" w:lineRule="auto"/>
        <w:jc w:val="both"/>
        <w:rPr>
          <w:rFonts w:ascii="Arial" w:hAnsi="Arial" w:cs="Arial"/>
          <w:b/>
          <w:bCs/>
        </w:rPr>
      </w:pPr>
      <w:bookmarkStart w:id="105" w:name="_Toc230113927"/>
      <w:r w:rsidRPr="00107D0A">
        <w:rPr>
          <w:rFonts w:ascii="Arial" w:hAnsi="Arial" w:cs="Arial"/>
          <w:b/>
          <w:bCs/>
        </w:rPr>
        <w:lastRenderedPageBreak/>
        <w:t>Critical Appraisal of the Evidence Base</w:t>
      </w:r>
      <w:bookmarkEnd w:id="105"/>
    </w:p>
    <w:p w14:paraId="51082AD3" w14:textId="283E9DC2" w:rsidR="00F640E4" w:rsidRPr="00107D0A" w:rsidRDefault="00F640E4" w:rsidP="00392884">
      <w:pPr>
        <w:spacing w:after="240" w:line="360" w:lineRule="auto"/>
        <w:jc w:val="both"/>
        <w:rPr>
          <w:rFonts w:ascii="Arial" w:eastAsia="Arial" w:hAnsi="Arial" w:cs="Arial"/>
        </w:rPr>
      </w:pPr>
      <w:r w:rsidRPr="00107D0A">
        <w:rPr>
          <w:rFonts w:ascii="Arial" w:eastAsia="Arial" w:hAnsi="Arial" w:cs="Arial"/>
        </w:rPr>
        <w:t xml:space="preserve">A significant limitation discussed in this review is the Recency Bias. Because Tirzepatide is a breakthrough medication, the included studies (e.g., Green et al., 2025; Smith et al., 2025) are predominantly positive. There is a honeymoon phase in current qualitative literature where the rapid weight loss overshadows the long-term logistical and psychological burdens. As a researcher, I must remain </w:t>
      </w:r>
      <w:r w:rsidR="00553D05" w:rsidRPr="00107D0A">
        <w:rPr>
          <w:rFonts w:ascii="Arial" w:eastAsia="Arial" w:hAnsi="Arial" w:cs="Arial"/>
        </w:rPr>
        <w:t>sceptical</w:t>
      </w:r>
      <w:r w:rsidRPr="00107D0A">
        <w:rPr>
          <w:rFonts w:ascii="Arial" w:eastAsia="Arial" w:hAnsi="Arial" w:cs="Arial"/>
        </w:rPr>
        <w:t xml:space="preserve">: </w:t>
      </w:r>
      <w:r w:rsidR="00BA6720">
        <w:rPr>
          <w:rFonts w:ascii="Arial" w:eastAsia="Arial" w:hAnsi="Arial" w:cs="Arial"/>
        </w:rPr>
        <w:t>A</w:t>
      </w:r>
      <w:r w:rsidR="003818A8">
        <w:rPr>
          <w:rFonts w:ascii="Arial" w:eastAsia="Arial" w:hAnsi="Arial" w:cs="Arial"/>
        </w:rPr>
        <w:t xml:space="preserve">m </w:t>
      </w:r>
      <w:r w:rsidR="00BA6720">
        <w:rPr>
          <w:rFonts w:ascii="Arial" w:eastAsia="Arial" w:hAnsi="Arial" w:cs="Arial"/>
        </w:rPr>
        <w:t>I</w:t>
      </w:r>
      <w:r w:rsidRPr="00107D0A">
        <w:rPr>
          <w:rFonts w:ascii="Arial" w:eastAsia="Arial" w:hAnsi="Arial" w:cs="Arial"/>
        </w:rPr>
        <w:t xml:space="preserve">  seeing the true lived experience, or merely the initial success experience?</w:t>
      </w:r>
    </w:p>
    <w:p w14:paraId="7297FAC1" w14:textId="25103582" w:rsidR="002472F6" w:rsidRPr="00471BB0" w:rsidRDefault="00F640E4" w:rsidP="00392884">
      <w:pPr>
        <w:spacing w:after="240" w:line="360" w:lineRule="auto"/>
        <w:jc w:val="both"/>
        <w:rPr>
          <w:rFonts w:ascii="Arial" w:eastAsia="Arial" w:hAnsi="Arial" w:cs="Arial"/>
        </w:rPr>
      </w:pPr>
      <w:r w:rsidRPr="00107D0A">
        <w:rPr>
          <w:rFonts w:ascii="Arial" w:eastAsia="Arial" w:hAnsi="Arial" w:cs="Arial"/>
        </w:rPr>
        <w:t xml:space="preserve">Furthermore, </w:t>
      </w:r>
      <w:r w:rsidR="002472F6" w:rsidRPr="00DA20E4">
        <w:rPr>
          <w:rFonts w:ascii="Arial" w:hAnsi="Arial" w:cs="Arial"/>
        </w:rPr>
        <w:t xml:space="preserve">Applying </w:t>
      </w:r>
      <w:r w:rsidR="002472F6" w:rsidRPr="00471BB0">
        <w:rPr>
          <w:rFonts w:ascii="Arial" w:hAnsi="Arial" w:cs="Arial"/>
        </w:rPr>
        <w:t>Cottrell’s (2014)</w:t>
      </w:r>
      <w:r w:rsidR="002472F6" w:rsidRPr="00DA20E4">
        <w:rPr>
          <w:rFonts w:ascii="Arial" w:hAnsi="Arial" w:cs="Arial"/>
        </w:rPr>
        <w:t xml:space="preserve"> framework for critical thinking, it is necessary to acknowledge that the current evidence base for Tirzepatide in the UK is heavily skewed by </w:t>
      </w:r>
      <w:r w:rsidR="002472F6" w:rsidRPr="00471BB0">
        <w:rPr>
          <w:rFonts w:ascii="Arial" w:hAnsi="Arial" w:cs="Arial"/>
        </w:rPr>
        <w:t>innovation bias.</w:t>
      </w:r>
      <w:r w:rsidR="002472F6" w:rsidRPr="00DA20E4">
        <w:rPr>
          <w:rFonts w:ascii="Arial" w:hAnsi="Arial" w:cs="Arial"/>
        </w:rPr>
        <w:t xml:space="preserve"> As the drug is in its early rollout phase, published literature (such as the SURPASS trials and early qualitative cohorts) tends to highlight rapid successes.</w:t>
      </w:r>
    </w:p>
    <w:p w14:paraId="4B7BBBEB" w14:textId="77777777" w:rsidR="002472F6" w:rsidRPr="00DA20E4" w:rsidRDefault="002472F6" w:rsidP="00392884">
      <w:pPr>
        <w:pStyle w:val="NormalWeb"/>
        <w:spacing w:line="360" w:lineRule="auto"/>
        <w:jc w:val="both"/>
        <w:rPr>
          <w:rFonts w:ascii="Arial" w:hAnsi="Arial" w:cs="Arial"/>
        </w:rPr>
      </w:pPr>
      <w:r w:rsidRPr="00DA20E4">
        <w:rPr>
          <w:rFonts w:ascii="Arial" w:hAnsi="Arial" w:cs="Arial"/>
        </w:rPr>
        <w:t xml:space="preserve">This dissertation critiques the lack of </w:t>
      </w:r>
      <w:r w:rsidRPr="00471BB0">
        <w:rPr>
          <w:rFonts w:ascii="Arial" w:hAnsi="Arial" w:cs="Arial"/>
        </w:rPr>
        <w:t>long-term attrition data.</w:t>
      </w:r>
      <w:r w:rsidRPr="00DA20E4">
        <w:rPr>
          <w:rFonts w:ascii="Arial" w:hAnsi="Arial" w:cs="Arial"/>
        </w:rPr>
        <w:t xml:space="preserve"> It is argued that current studies fail to capture the failed patient journey those who discontinue due to severe GI distress or who regain weight despite the drug. By strictly focusing on UK-based studies, this review sought to maintain contextual fidelity, yet it acknowledges that the reliance on recent publications may have resulted in an under-representation of the </w:t>
      </w:r>
      <w:r w:rsidRPr="00471BB0">
        <w:rPr>
          <w:rFonts w:ascii="Arial" w:hAnsi="Arial" w:cs="Arial"/>
        </w:rPr>
        <w:t>long-term metabolic rebound</w:t>
      </w:r>
      <w:r w:rsidRPr="00DA20E4">
        <w:rPr>
          <w:rFonts w:ascii="Arial" w:hAnsi="Arial" w:cs="Arial"/>
        </w:rPr>
        <w:t xml:space="preserve"> that often follows the cessation of GLP-1/GIP therapies.</w:t>
      </w:r>
    </w:p>
    <w:p w14:paraId="018177E4" w14:textId="77777777" w:rsidR="002472F6" w:rsidRPr="002707A7" w:rsidRDefault="002472F6" w:rsidP="00392884">
      <w:pPr>
        <w:spacing w:after="240" w:line="360" w:lineRule="auto"/>
        <w:jc w:val="both"/>
        <w:rPr>
          <w:rFonts w:ascii="Arial" w:eastAsia="Arial" w:hAnsi="Arial" w:cs="Arial"/>
        </w:rPr>
      </w:pPr>
    </w:p>
    <w:p w14:paraId="08FA09FB" w14:textId="5F3B3437" w:rsidR="00521CBD" w:rsidRPr="00DA20E4" w:rsidRDefault="2EBF3E18" w:rsidP="00392884">
      <w:pPr>
        <w:pStyle w:val="Heading2"/>
        <w:spacing w:line="360" w:lineRule="auto"/>
        <w:jc w:val="both"/>
        <w:rPr>
          <w:rFonts w:ascii="Arial" w:hAnsi="Arial" w:cs="Arial"/>
          <w:b/>
          <w:bCs/>
        </w:rPr>
      </w:pPr>
      <w:bookmarkStart w:id="106" w:name="_Toc230113928"/>
      <w:r w:rsidRPr="00107D0A">
        <w:rPr>
          <w:rFonts w:ascii="Arial" w:hAnsi="Arial" w:cs="Arial"/>
          <w:b/>
          <w:bCs/>
        </w:rPr>
        <w:t>6.3 Strengths and Limitations</w:t>
      </w:r>
      <w:bookmarkEnd w:id="106"/>
    </w:p>
    <w:p w14:paraId="76BE7778" w14:textId="4C80941A" w:rsidR="2EBF3E18" w:rsidRPr="00107D0A" w:rsidRDefault="2EBF3E18" w:rsidP="00392884">
      <w:pPr>
        <w:spacing w:after="240" w:line="360" w:lineRule="auto"/>
        <w:jc w:val="both"/>
        <w:rPr>
          <w:rFonts w:ascii="Arial" w:eastAsia="Arial" w:hAnsi="Arial" w:cs="Arial"/>
        </w:rPr>
      </w:pPr>
      <w:r w:rsidRPr="00107D0A">
        <w:rPr>
          <w:rFonts w:ascii="Arial" w:eastAsia="Arial" w:hAnsi="Arial" w:cs="Arial"/>
          <w:b/>
        </w:rPr>
        <w:t>Strengths:</w:t>
      </w:r>
    </w:p>
    <w:p w14:paraId="2D4B312D" w14:textId="1F442C9F" w:rsidR="2EBF3E18" w:rsidRPr="00107D0A" w:rsidRDefault="2EBF3E18" w:rsidP="00392884">
      <w:pPr>
        <w:pStyle w:val="ListParagraph"/>
        <w:numPr>
          <w:ilvl w:val="0"/>
          <w:numId w:val="6"/>
        </w:numPr>
        <w:spacing w:before="240" w:after="240" w:line="360" w:lineRule="auto"/>
        <w:jc w:val="both"/>
        <w:rPr>
          <w:rFonts w:ascii="Arial" w:eastAsia="Arial" w:hAnsi="Arial" w:cs="Arial"/>
        </w:rPr>
      </w:pPr>
      <w:r w:rsidRPr="00107D0A">
        <w:rPr>
          <w:rFonts w:ascii="Arial" w:eastAsia="Arial" w:hAnsi="Arial" w:cs="Arial"/>
          <w:b/>
        </w:rPr>
        <w:t>UK-Specific Focus:</w:t>
      </w:r>
      <w:r w:rsidRPr="00107D0A">
        <w:rPr>
          <w:rFonts w:ascii="Arial" w:eastAsia="Arial" w:hAnsi="Arial" w:cs="Arial"/>
        </w:rPr>
        <w:t xml:space="preserve"> By strictly excluding international data, this review provides a highly relevant analysis of the NHS context, which is often missing in broader reviews.</w:t>
      </w:r>
    </w:p>
    <w:p w14:paraId="3021A0E6" w14:textId="0F2394CB" w:rsidR="009D7AE4" w:rsidRPr="00107D0A" w:rsidRDefault="2EBF3E18" w:rsidP="00392884">
      <w:pPr>
        <w:pStyle w:val="ListParagraph"/>
        <w:numPr>
          <w:ilvl w:val="0"/>
          <w:numId w:val="6"/>
        </w:numPr>
        <w:spacing w:before="240" w:after="240" w:line="360" w:lineRule="auto"/>
        <w:jc w:val="both"/>
        <w:rPr>
          <w:rFonts w:ascii="Arial" w:eastAsia="Arial" w:hAnsi="Arial" w:cs="Arial"/>
        </w:rPr>
      </w:pPr>
      <w:r w:rsidRPr="00107D0A">
        <w:rPr>
          <w:rFonts w:ascii="Arial" w:eastAsia="Arial" w:hAnsi="Arial" w:cs="Arial"/>
          <w:b/>
        </w:rPr>
        <w:t>Methodological Rigour:</w:t>
      </w:r>
      <w:r w:rsidRPr="00107D0A">
        <w:rPr>
          <w:rFonts w:ascii="Arial" w:eastAsia="Arial" w:hAnsi="Arial" w:cs="Arial"/>
        </w:rPr>
        <w:t xml:space="preserve"> The use of the </w:t>
      </w:r>
      <w:r w:rsidRPr="00107D0A">
        <w:rPr>
          <w:rFonts w:ascii="Arial" w:eastAsia="Arial" w:hAnsi="Arial" w:cs="Arial"/>
          <w:bCs/>
        </w:rPr>
        <w:t>CASP tool and PEO framework</w:t>
      </w:r>
      <w:r w:rsidRPr="00107D0A">
        <w:rPr>
          <w:rFonts w:ascii="Arial" w:eastAsia="Arial" w:hAnsi="Arial" w:cs="Arial"/>
        </w:rPr>
        <w:t xml:space="preserve"> ensured that only high-quality, relevant qualitative evidence was synthesized.</w:t>
      </w:r>
    </w:p>
    <w:p w14:paraId="7F9F5870" w14:textId="2BF8F760" w:rsidR="009D7AE4" w:rsidRPr="00107D0A" w:rsidRDefault="009D7AE4" w:rsidP="00392884">
      <w:pPr>
        <w:pStyle w:val="ListParagraph"/>
        <w:numPr>
          <w:ilvl w:val="0"/>
          <w:numId w:val="6"/>
        </w:numPr>
        <w:spacing w:before="240" w:after="240" w:line="360" w:lineRule="auto"/>
        <w:jc w:val="both"/>
        <w:rPr>
          <w:rFonts w:ascii="Arial" w:eastAsia="Arial" w:hAnsi="Arial" w:cs="Arial"/>
        </w:rPr>
      </w:pPr>
      <w:r w:rsidRPr="00107D0A">
        <w:rPr>
          <w:rFonts w:ascii="Arial" w:eastAsia="Arial" w:hAnsi="Arial" w:cs="Arial"/>
          <w:b/>
          <w:bCs/>
        </w:rPr>
        <w:t>Contextual Fidelity:</w:t>
      </w:r>
      <w:r w:rsidRPr="00107D0A">
        <w:rPr>
          <w:rFonts w:ascii="Arial" w:eastAsia="Arial" w:hAnsi="Arial" w:cs="Arial"/>
        </w:rPr>
        <w:t xml:space="preserve"> By focusing purely on the UK (NICE, NHSE, UK-based cohorts), this review avoids the generalisability trap where US-based insurance issues are conflated with UK-based access issues.</w:t>
      </w:r>
    </w:p>
    <w:p w14:paraId="17294D05" w14:textId="1F10B0A2" w:rsidR="009D7AE4" w:rsidRPr="00107D0A" w:rsidRDefault="009D7AE4" w:rsidP="00392884">
      <w:pPr>
        <w:pStyle w:val="ListParagraph"/>
        <w:numPr>
          <w:ilvl w:val="0"/>
          <w:numId w:val="6"/>
        </w:numPr>
        <w:spacing w:before="240" w:after="240" w:line="360" w:lineRule="auto"/>
        <w:jc w:val="both"/>
        <w:rPr>
          <w:rFonts w:ascii="Arial" w:eastAsia="Arial" w:hAnsi="Arial" w:cs="Arial"/>
        </w:rPr>
      </w:pPr>
      <w:r w:rsidRPr="00107D0A">
        <w:rPr>
          <w:rFonts w:ascii="Arial" w:eastAsia="Arial" w:hAnsi="Arial" w:cs="Arial"/>
          <w:b/>
          <w:bCs/>
        </w:rPr>
        <w:lastRenderedPageBreak/>
        <w:t>Timeliness:</w:t>
      </w:r>
      <w:r w:rsidRPr="00107D0A">
        <w:rPr>
          <w:rFonts w:ascii="Arial" w:eastAsia="Arial" w:hAnsi="Arial" w:cs="Arial"/>
        </w:rPr>
        <w:t xml:space="preserve"> Using 2024-2026 data ensures that the discussion reflects the current supply chain crisis and the actual KwikPen delivery system used in the UK.</w:t>
      </w:r>
    </w:p>
    <w:p w14:paraId="6EAAC52F" w14:textId="7BD66738" w:rsidR="2EBF3E18" w:rsidRPr="00107D0A" w:rsidRDefault="2EBF3E18" w:rsidP="00392884">
      <w:pPr>
        <w:spacing w:after="240" w:line="360" w:lineRule="auto"/>
        <w:jc w:val="both"/>
        <w:rPr>
          <w:rFonts w:ascii="Arial" w:eastAsia="Arial" w:hAnsi="Arial" w:cs="Arial"/>
        </w:rPr>
      </w:pPr>
      <w:r w:rsidRPr="00107D0A">
        <w:rPr>
          <w:rFonts w:ascii="Arial" w:eastAsia="Arial" w:hAnsi="Arial" w:cs="Arial"/>
          <w:b/>
        </w:rPr>
        <w:t>Limitations:</w:t>
      </w:r>
    </w:p>
    <w:p w14:paraId="0434A61C" w14:textId="35F7A3C4" w:rsidR="2EBF3E18" w:rsidRPr="00107D0A" w:rsidRDefault="2EBF3E18" w:rsidP="00392884">
      <w:pPr>
        <w:pStyle w:val="ListParagraph"/>
        <w:numPr>
          <w:ilvl w:val="0"/>
          <w:numId w:val="5"/>
        </w:numPr>
        <w:spacing w:before="240" w:after="240" w:line="360" w:lineRule="auto"/>
        <w:jc w:val="both"/>
        <w:rPr>
          <w:rFonts w:ascii="Arial" w:eastAsia="Arial" w:hAnsi="Arial" w:cs="Arial"/>
        </w:rPr>
      </w:pPr>
      <w:r w:rsidRPr="00107D0A">
        <w:rPr>
          <w:rFonts w:ascii="Arial" w:eastAsia="Arial" w:hAnsi="Arial" w:cs="Arial"/>
          <w:b/>
        </w:rPr>
        <w:t>Publication Bias:</w:t>
      </w:r>
      <w:r w:rsidRPr="00107D0A">
        <w:rPr>
          <w:rFonts w:ascii="Arial" w:eastAsia="Arial" w:hAnsi="Arial" w:cs="Arial"/>
        </w:rPr>
        <w:t xml:space="preserve"> As Tirzepatide is a breakthrough drug, there is a risk that journals primarily publish positive patient experiences, potentially under-reporting the lived reality of severe side effects or treatment failure.</w:t>
      </w:r>
    </w:p>
    <w:p w14:paraId="44A0AB48" w14:textId="036FD265" w:rsidR="2EBF3E18" w:rsidRPr="00107D0A" w:rsidRDefault="35C95F92" w:rsidP="00392884">
      <w:pPr>
        <w:pStyle w:val="ListParagraph"/>
        <w:numPr>
          <w:ilvl w:val="0"/>
          <w:numId w:val="5"/>
        </w:numPr>
        <w:spacing w:before="240" w:after="240" w:line="360" w:lineRule="auto"/>
        <w:jc w:val="both"/>
        <w:rPr>
          <w:rFonts w:ascii="Arial" w:eastAsia="Arial" w:hAnsi="Arial" w:cs="Arial"/>
        </w:rPr>
      </w:pPr>
      <w:r w:rsidRPr="00107D0A">
        <w:rPr>
          <w:rFonts w:ascii="Arial" w:eastAsia="Arial" w:hAnsi="Arial" w:cs="Arial"/>
          <w:b/>
        </w:rPr>
        <w:t>Sample Size:</w:t>
      </w:r>
      <w:r w:rsidRPr="00107D0A">
        <w:rPr>
          <w:rFonts w:ascii="Arial" w:eastAsia="Arial" w:hAnsi="Arial" w:cs="Arial"/>
        </w:rPr>
        <w:t xml:space="preserve"> The total number of participants across the 10 studies is relatively small (n &lt; 1,500), limiting the generali</w:t>
      </w:r>
      <w:r w:rsidR="1E3DBE02" w:rsidRPr="00107D0A">
        <w:rPr>
          <w:rFonts w:ascii="Arial" w:eastAsia="Arial" w:hAnsi="Arial" w:cs="Arial"/>
        </w:rPr>
        <w:t>s</w:t>
      </w:r>
      <w:r w:rsidRPr="00107D0A">
        <w:rPr>
          <w:rFonts w:ascii="Arial" w:eastAsia="Arial" w:hAnsi="Arial" w:cs="Arial"/>
        </w:rPr>
        <w:t>ability of the findings to the entire UK T2D population.</w:t>
      </w:r>
    </w:p>
    <w:p w14:paraId="46795A70" w14:textId="482CBBFC" w:rsidR="008D5067" w:rsidRPr="00107D0A" w:rsidRDefault="008D5067" w:rsidP="00392884">
      <w:pPr>
        <w:pStyle w:val="ListParagraph"/>
        <w:numPr>
          <w:ilvl w:val="0"/>
          <w:numId w:val="5"/>
        </w:numPr>
        <w:spacing w:before="240" w:after="240" w:line="360" w:lineRule="auto"/>
        <w:jc w:val="both"/>
        <w:rPr>
          <w:rFonts w:ascii="Arial" w:eastAsia="Arial" w:hAnsi="Arial" w:cs="Arial"/>
        </w:rPr>
      </w:pPr>
      <w:r w:rsidRPr="00DA20E4">
        <w:rPr>
          <w:rFonts w:ascii="Arial" w:eastAsia="Arial" w:hAnsi="Arial" w:cs="Arial"/>
          <w:b/>
          <w:bCs/>
        </w:rPr>
        <w:t>The Digital Divide:</w:t>
      </w:r>
      <w:r w:rsidRPr="00107D0A">
        <w:rPr>
          <w:rFonts w:ascii="Arial" w:eastAsia="Arial" w:hAnsi="Arial" w:cs="Arial"/>
        </w:rPr>
        <w:t xml:space="preserve"> Many of the studies (e.g., University of Surrey, 2026) recruited via online portals. This may have excluded older T2DM patients or those with lower digital literacy, who likely face the greatest barriers to navigating pharmacy-hopping and titration.</w:t>
      </w:r>
    </w:p>
    <w:p w14:paraId="798011AD" w14:textId="0EE9DC3F" w:rsidR="008D5067" w:rsidRPr="00E52613" w:rsidRDefault="008D5067" w:rsidP="00392884">
      <w:pPr>
        <w:pStyle w:val="ListParagraph"/>
        <w:numPr>
          <w:ilvl w:val="0"/>
          <w:numId w:val="5"/>
        </w:numPr>
        <w:spacing w:before="240" w:after="240" w:line="360" w:lineRule="auto"/>
        <w:jc w:val="both"/>
        <w:rPr>
          <w:rFonts w:ascii="Arial" w:eastAsia="Arial" w:hAnsi="Arial" w:cs="Arial"/>
        </w:rPr>
      </w:pPr>
      <w:r w:rsidRPr="00DA20E4">
        <w:rPr>
          <w:rFonts w:ascii="Arial" w:eastAsia="Arial" w:hAnsi="Arial" w:cs="Arial"/>
          <w:b/>
          <w:bCs/>
        </w:rPr>
        <w:t>Lack of Comparative Qualitative Data:</w:t>
      </w:r>
      <w:r w:rsidRPr="00107D0A">
        <w:rPr>
          <w:rFonts w:ascii="Arial" w:eastAsia="Arial" w:hAnsi="Arial" w:cs="Arial"/>
        </w:rPr>
        <w:t xml:space="preserve"> There is a lack of research comparing the lived experience of Tirzepatide directly against the new oral GLP-1s, which might soon remove the injection barrier altogether.</w:t>
      </w:r>
    </w:p>
    <w:p w14:paraId="5A58509A" w14:textId="297F5175" w:rsidR="59B1C66E" w:rsidRPr="00C00731" w:rsidRDefault="2EBF3E18" w:rsidP="00392884">
      <w:pPr>
        <w:pStyle w:val="Heading2"/>
        <w:spacing w:line="360" w:lineRule="auto"/>
        <w:jc w:val="both"/>
        <w:rPr>
          <w:rFonts w:ascii="Arial" w:hAnsi="Arial" w:cs="Arial"/>
          <w:b/>
          <w:bCs/>
        </w:rPr>
      </w:pPr>
      <w:bookmarkStart w:id="107" w:name="_Toc230113929"/>
      <w:r w:rsidRPr="00107D0A">
        <w:rPr>
          <w:rFonts w:ascii="Arial" w:hAnsi="Arial" w:cs="Arial"/>
          <w:b/>
          <w:bCs/>
        </w:rPr>
        <w:t>6.4 Chapter Summary</w:t>
      </w:r>
      <w:bookmarkEnd w:id="107"/>
      <w:r w:rsidRPr="00107D0A">
        <w:rPr>
          <w:rFonts w:ascii="Arial" w:eastAsia="Arial" w:hAnsi="Arial" w:cs="Arial"/>
        </w:rPr>
        <w:t xml:space="preserve"> </w:t>
      </w:r>
    </w:p>
    <w:p w14:paraId="0FD5D7FA" w14:textId="206C9C45" w:rsidR="008E10C3" w:rsidRPr="003D0195" w:rsidRDefault="008E10C3" w:rsidP="00392884">
      <w:pPr>
        <w:spacing w:after="240" w:line="360" w:lineRule="auto"/>
        <w:jc w:val="both"/>
        <w:rPr>
          <w:rFonts w:ascii="Arial" w:eastAsia="Arial" w:hAnsi="Arial" w:cs="Arial"/>
          <w:sz w:val="22"/>
          <w:szCs w:val="22"/>
        </w:rPr>
      </w:pPr>
      <w:r w:rsidRPr="003D0195">
        <w:rPr>
          <w:rFonts w:ascii="Arial" w:eastAsia="Arial" w:hAnsi="Arial" w:cs="Arial"/>
          <w:sz w:val="22"/>
          <w:szCs w:val="22"/>
        </w:rPr>
        <w:t xml:space="preserve">This discussion has challenged the notion of Tirzepatide as a magic bullet, arguing instead that its success is a systemic contingency. </w:t>
      </w:r>
      <w:r w:rsidR="00AB63BB" w:rsidRPr="003D0195">
        <w:rPr>
          <w:rFonts w:ascii="Arial" w:eastAsia="Arial" w:hAnsi="Arial" w:cs="Arial"/>
          <w:sz w:val="22"/>
          <w:szCs w:val="22"/>
        </w:rPr>
        <w:t>Therefore, it</w:t>
      </w:r>
      <w:r w:rsidRPr="003D0195">
        <w:rPr>
          <w:rFonts w:ascii="Arial" w:eastAsia="Arial" w:hAnsi="Arial" w:cs="Arial"/>
          <w:sz w:val="22"/>
          <w:szCs w:val="22"/>
        </w:rPr>
        <w:t xml:space="preserve"> </w:t>
      </w:r>
      <w:r w:rsidR="00AB63BB" w:rsidRPr="003D0195">
        <w:rPr>
          <w:rFonts w:ascii="Arial" w:eastAsia="Arial" w:hAnsi="Arial" w:cs="Arial"/>
          <w:sz w:val="22"/>
          <w:szCs w:val="22"/>
        </w:rPr>
        <w:t>has</w:t>
      </w:r>
      <w:r w:rsidRPr="003D0195">
        <w:rPr>
          <w:rFonts w:ascii="Arial" w:eastAsia="Arial" w:hAnsi="Arial" w:cs="Arial"/>
          <w:sz w:val="22"/>
          <w:szCs w:val="22"/>
        </w:rPr>
        <w:t xml:space="preserve"> moved from observing facilitators like food noise reduction to questioning the long-term psychological implications of such biological interventions.</w:t>
      </w:r>
      <w:r w:rsidR="00C75D2B" w:rsidRPr="003D0195">
        <w:rPr>
          <w:rFonts w:ascii="Arial" w:eastAsia="Arial" w:hAnsi="Arial" w:cs="Arial"/>
          <w:sz w:val="22"/>
          <w:szCs w:val="22"/>
        </w:rPr>
        <w:t xml:space="preserve"> Additionally, </w:t>
      </w:r>
      <w:r w:rsidR="00CD7F16" w:rsidRPr="003D0195">
        <w:rPr>
          <w:rFonts w:ascii="Arial" w:eastAsia="Arial" w:hAnsi="Arial" w:cs="Arial"/>
          <w:sz w:val="22"/>
          <w:szCs w:val="22"/>
        </w:rPr>
        <w:t>it</w:t>
      </w:r>
      <w:r w:rsidRPr="003D0195">
        <w:rPr>
          <w:rFonts w:ascii="Arial" w:eastAsia="Arial" w:hAnsi="Arial" w:cs="Arial"/>
          <w:sz w:val="22"/>
          <w:szCs w:val="22"/>
        </w:rPr>
        <w:t xml:space="preserve"> </w:t>
      </w:r>
      <w:r w:rsidR="0062158A" w:rsidRPr="003D0195">
        <w:rPr>
          <w:rFonts w:ascii="Arial" w:eastAsia="Arial" w:hAnsi="Arial" w:cs="Arial"/>
          <w:sz w:val="22"/>
          <w:szCs w:val="22"/>
        </w:rPr>
        <w:t>has</w:t>
      </w:r>
      <w:r w:rsidRPr="003D0195">
        <w:rPr>
          <w:rFonts w:ascii="Arial" w:eastAsia="Arial" w:hAnsi="Arial" w:cs="Arial"/>
          <w:sz w:val="22"/>
          <w:szCs w:val="22"/>
        </w:rPr>
        <w:t xml:space="preserve"> identified that the primary barriers are not just biological side effects, but </w:t>
      </w:r>
      <w:r w:rsidRPr="003D0195">
        <w:rPr>
          <w:rFonts w:ascii="Arial" w:eastAsia="Arial" w:hAnsi="Arial" w:cs="Arial"/>
          <w:b/>
          <w:bCs/>
          <w:sz w:val="22"/>
          <w:szCs w:val="22"/>
        </w:rPr>
        <w:t>structural inequities</w:t>
      </w:r>
      <w:r w:rsidRPr="003D0195">
        <w:rPr>
          <w:rFonts w:ascii="Arial" w:eastAsia="Arial" w:hAnsi="Arial" w:cs="Arial"/>
          <w:sz w:val="22"/>
          <w:szCs w:val="22"/>
        </w:rPr>
        <w:t xml:space="preserve"> and </w:t>
      </w:r>
      <w:r w:rsidRPr="003D0195">
        <w:rPr>
          <w:rFonts w:ascii="Arial" w:eastAsia="Arial" w:hAnsi="Arial" w:cs="Arial"/>
          <w:b/>
          <w:bCs/>
          <w:sz w:val="22"/>
          <w:szCs w:val="22"/>
        </w:rPr>
        <w:t>socio-cultural stigmas</w:t>
      </w:r>
      <w:r w:rsidRPr="003D0195">
        <w:rPr>
          <w:rFonts w:ascii="Arial" w:eastAsia="Arial" w:hAnsi="Arial" w:cs="Arial"/>
          <w:sz w:val="22"/>
          <w:szCs w:val="22"/>
        </w:rPr>
        <w:t xml:space="preserve"> that the current NHS framework is not yet equipped to handle. Ultimately, this chapter argues that for Tirzepatide to achieve its public health potential, the UK must shift from a prescription-centric model to a system-centric model of metabolic support.</w:t>
      </w:r>
    </w:p>
    <w:p w14:paraId="39F272AB" w14:textId="187BE1EF" w:rsidR="0071245D" w:rsidRDefault="00A23F8D" w:rsidP="00392884">
      <w:pPr>
        <w:spacing w:after="240" w:line="360" w:lineRule="auto"/>
        <w:jc w:val="both"/>
        <w:rPr>
          <w:rFonts w:ascii="Arial" w:eastAsia="Arial" w:hAnsi="Arial" w:cs="Arial"/>
          <w:sz w:val="22"/>
          <w:szCs w:val="22"/>
        </w:rPr>
      </w:pPr>
      <w:r w:rsidRPr="003D0195">
        <w:rPr>
          <w:rFonts w:ascii="Arial" w:eastAsia="Arial" w:hAnsi="Arial" w:cs="Arial"/>
          <w:sz w:val="22"/>
          <w:szCs w:val="22"/>
        </w:rPr>
        <w:t xml:space="preserve">In conclusion, this chapter has demonstrated that the facilitators and barriers of Tirzepatide are not merely </w:t>
      </w:r>
      <w:r w:rsidR="00F757C8" w:rsidRPr="003D0195">
        <w:rPr>
          <w:rFonts w:ascii="Arial" w:eastAsia="Arial" w:hAnsi="Arial" w:cs="Arial"/>
          <w:sz w:val="22"/>
          <w:szCs w:val="22"/>
        </w:rPr>
        <w:t>biological but</w:t>
      </w:r>
      <w:r w:rsidRPr="003D0195">
        <w:rPr>
          <w:rFonts w:ascii="Arial" w:eastAsia="Arial" w:hAnsi="Arial" w:cs="Arial"/>
          <w:sz w:val="22"/>
          <w:szCs w:val="22"/>
        </w:rPr>
        <w:t xml:space="preserve"> are deeply embedded in the UK's social and systemic fabric. </w:t>
      </w:r>
      <w:r w:rsidR="00D93A45" w:rsidRPr="003D0195">
        <w:rPr>
          <w:rFonts w:ascii="Arial" w:eastAsia="Arial" w:hAnsi="Arial" w:cs="Arial"/>
          <w:sz w:val="22"/>
          <w:szCs w:val="22"/>
        </w:rPr>
        <w:t>A</w:t>
      </w:r>
      <w:r w:rsidRPr="003D0195">
        <w:rPr>
          <w:rFonts w:ascii="Arial" w:eastAsia="Arial" w:hAnsi="Arial" w:cs="Arial"/>
          <w:sz w:val="22"/>
          <w:szCs w:val="22"/>
        </w:rPr>
        <w:t xml:space="preserve"> Triple-A framework</w:t>
      </w:r>
      <w:r w:rsidR="00D93A45" w:rsidRPr="003D0195">
        <w:rPr>
          <w:rFonts w:ascii="Arial" w:eastAsia="Arial" w:hAnsi="Arial" w:cs="Arial"/>
          <w:sz w:val="22"/>
          <w:szCs w:val="22"/>
        </w:rPr>
        <w:t xml:space="preserve"> </w:t>
      </w:r>
      <w:r w:rsidR="007742DF" w:rsidRPr="003D0195">
        <w:rPr>
          <w:rFonts w:ascii="Arial" w:eastAsia="Arial" w:hAnsi="Arial" w:cs="Arial"/>
          <w:sz w:val="22"/>
          <w:szCs w:val="22"/>
        </w:rPr>
        <w:t>has</w:t>
      </w:r>
      <w:r w:rsidR="00D93A45" w:rsidRPr="003D0195">
        <w:rPr>
          <w:rFonts w:ascii="Arial" w:eastAsia="Arial" w:hAnsi="Arial" w:cs="Arial"/>
          <w:sz w:val="22"/>
          <w:szCs w:val="22"/>
        </w:rPr>
        <w:t xml:space="preserve"> </w:t>
      </w:r>
      <w:r w:rsidR="007742DF" w:rsidRPr="003D0195">
        <w:rPr>
          <w:rFonts w:ascii="Arial" w:eastAsia="Arial" w:hAnsi="Arial" w:cs="Arial"/>
          <w:sz w:val="22"/>
          <w:szCs w:val="22"/>
        </w:rPr>
        <w:t xml:space="preserve">been </w:t>
      </w:r>
      <w:r w:rsidR="00D93A45" w:rsidRPr="003D0195">
        <w:rPr>
          <w:rFonts w:ascii="Arial" w:eastAsia="Arial" w:hAnsi="Arial" w:cs="Arial"/>
          <w:sz w:val="22"/>
          <w:szCs w:val="22"/>
        </w:rPr>
        <w:t>identified</w:t>
      </w:r>
      <w:r w:rsidRPr="003D0195">
        <w:rPr>
          <w:rFonts w:ascii="Arial" w:eastAsia="Arial" w:hAnsi="Arial" w:cs="Arial"/>
          <w:sz w:val="22"/>
          <w:szCs w:val="22"/>
        </w:rPr>
        <w:t xml:space="preserve"> of barriers: Access (the two-tier system), Anxiety (supply chain), and Aversion (cultural stigma). While the medication provides the biological silence needed for health, the system provides the noise that threatens adherence. This </w:t>
      </w:r>
      <w:r w:rsidRPr="003D0195">
        <w:rPr>
          <w:rFonts w:ascii="Arial" w:eastAsia="Arial" w:hAnsi="Arial" w:cs="Arial"/>
          <w:sz w:val="22"/>
          <w:szCs w:val="22"/>
        </w:rPr>
        <w:lastRenderedPageBreak/>
        <w:t>discussion serves as a call to action for the NHS to integrate psychological and cultural support into the metabolic pathway.</w:t>
      </w:r>
      <w:r w:rsidR="00256603" w:rsidRPr="003D0195">
        <w:rPr>
          <w:rFonts w:ascii="Arial" w:eastAsia="Arial" w:hAnsi="Arial" w:cs="Arial"/>
          <w:sz w:val="22"/>
          <w:szCs w:val="22"/>
        </w:rPr>
        <w:t xml:space="preserve"> The next chapter will conclude the review and offer recommendations for future practice and research.</w:t>
      </w:r>
    </w:p>
    <w:p w14:paraId="3CD936D6" w14:textId="77777777" w:rsidR="005A7662" w:rsidRPr="005A7662" w:rsidRDefault="005A7662" w:rsidP="00392884">
      <w:pPr>
        <w:spacing w:after="240" w:line="360" w:lineRule="auto"/>
        <w:jc w:val="both"/>
        <w:rPr>
          <w:rFonts w:ascii="Arial" w:eastAsia="Arial" w:hAnsi="Arial" w:cs="Arial"/>
          <w:sz w:val="22"/>
          <w:szCs w:val="22"/>
        </w:rPr>
      </w:pPr>
    </w:p>
    <w:p w14:paraId="0B38DDA2" w14:textId="6D0A43C0" w:rsidR="0A7E2F2A" w:rsidRPr="00107D0A" w:rsidRDefault="0A7E2F2A" w:rsidP="007961DC">
      <w:pPr>
        <w:pStyle w:val="Heading1"/>
        <w:spacing w:line="360" w:lineRule="auto"/>
        <w:rPr>
          <w:rFonts w:ascii="Arial" w:hAnsi="Arial" w:cs="Arial"/>
          <w:b/>
          <w:bCs/>
        </w:rPr>
      </w:pPr>
      <w:bookmarkStart w:id="108" w:name="_Toc230113930"/>
      <w:r w:rsidRPr="00107D0A">
        <w:rPr>
          <w:rFonts w:ascii="Arial" w:hAnsi="Arial" w:cs="Arial"/>
          <w:b/>
          <w:bCs/>
        </w:rPr>
        <w:t>CHAPTER 7: RECOMMENDATIONS AND CONCLUSION</w:t>
      </w:r>
      <w:bookmarkEnd w:id="108"/>
    </w:p>
    <w:p w14:paraId="2D247F63" w14:textId="16F6E0E5" w:rsidR="004703C7" w:rsidRPr="00F936D7" w:rsidRDefault="0A7E2F2A" w:rsidP="00392884">
      <w:pPr>
        <w:pStyle w:val="Heading2"/>
        <w:spacing w:line="360" w:lineRule="auto"/>
        <w:jc w:val="both"/>
        <w:rPr>
          <w:rFonts w:ascii="Arial" w:hAnsi="Arial" w:cs="Arial"/>
          <w:b/>
          <w:bCs/>
        </w:rPr>
      </w:pPr>
      <w:bookmarkStart w:id="109" w:name="_Toc230113931"/>
      <w:r w:rsidRPr="00107D0A">
        <w:rPr>
          <w:rFonts w:ascii="Arial" w:hAnsi="Arial" w:cs="Arial"/>
          <w:b/>
          <w:bCs/>
        </w:rPr>
        <w:t>7.1 Introduction</w:t>
      </w:r>
      <w:bookmarkEnd w:id="109"/>
      <w:r w:rsidRPr="00107D0A">
        <w:rPr>
          <w:rFonts w:ascii="Arial" w:hAnsi="Arial" w:cs="Arial"/>
          <w:b/>
          <w:bCs/>
        </w:rPr>
        <w:t xml:space="preserve"> </w:t>
      </w:r>
    </w:p>
    <w:p w14:paraId="2F63470F" w14:textId="77777777"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This chapter synthesises the findings discussed throughout this thesis to provide a strategic roadmap for the future of T2DM management in the United Kingdom. At the Master’s level of inquiry, it is insufficient to merely restate results; therefore, this section evaluates the implications of these findings through a critical lens, addressing how identified barriers and facilitators necessitate a paradigm shift in clinical delivery.</w:t>
      </w:r>
    </w:p>
    <w:p w14:paraId="0EA9D17C" w14:textId="77777777"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The chapter outlines rigorous recommendations for NHS practice, proposes longitudinal avenues for research to address the gaps identified in the 2026 landscape, and offers a critical reflection on the methodological limitations inherent in studying a rapidly evolving pharmacological field. It concludes by answering the central research question, arguing that the real-world utility of Tirzepatide is determined not by its molecular structure alone, but by the systemic ecosystem in which it is deployed.</w:t>
      </w:r>
    </w:p>
    <w:p w14:paraId="23D63D04" w14:textId="7F43C40A" w:rsidR="00D9452F" w:rsidRPr="000E6614" w:rsidRDefault="00D9452F" w:rsidP="00392884">
      <w:pPr>
        <w:pStyle w:val="Heading2"/>
        <w:jc w:val="both"/>
        <w:rPr>
          <w:b/>
          <w:bCs/>
          <w:lang w:eastAsia="zh-CN"/>
        </w:rPr>
      </w:pPr>
      <w:bookmarkStart w:id="110" w:name="_Toc230113932"/>
      <w:r w:rsidRPr="000E6614">
        <w:rPr>
          <w:b/>
          <w:bCs/>
          <w:lang w:eastAsia="zh-CN"/>
        </w:rPr>
        <w:t>7.2 Implications of Findings: The Biopsychosocial Shift</w:t>
      </w:r>
      <w:r w:rsidR="000E6614" w:rsidRPr="000E6614">
        <w:rPr>
          <w:b/>
          <w:bCs/>
          <w:lang w:eastAsia="zh-CN"/>
        </w:rPr>
        <w:t>.</w:t>
      </w:r>
      <w:bookmarkEnd w:id="110"/>
    </w:p>
    <w:p w14:paraId="6CEF9A6B" w14:textId="43DF491B"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The overarching implication of this research is that the clinical gold standard status of Tirzepatide (NICE, 2023) is not an inherent guarantee of individual success. Instead, success is contingent upon structured, multi-disciplinary intervention.</w:t>
      </w:r>
    </w:p>
    <w:p w14:paraId="3F03DE27" w14:textId="77777777" w:rsidR="00D9452F" w:rsidRPr="000E6614" w:rsidRDefault="00D9452F" w:rsidP="00392884">
      <w:pPr>
        <w:pStyle w:val="Heading3"/>
        <w:jc w:val="both"/>
        <w:rPr>
          <w:b/>
          <w:bCs/>
          <w:lang w:eastAsia="zh-CN"/>
        </w:rPr>
      </w:pPr>
      <w:bookmarkStart w:id="111" w:name="_Toc230113933"/>
      <w:r w:rsidRPr="000E6614">
        <w:rPr>
          <w:b/>
          <w:bCs/>
          <w:lang w:eastAsia="zh-CN"/>
        </w:rPr>
        <w:t>7.2.1 From Biomedical to Biopsychosocial Models</w:t>
      </w:r>
      <w:bookmarkEnd w:id="111"/>
    </w:p>
    <w:p w14:paraId="126E4B92" w14:textId="7C6DE560"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 xml:space="preserve">Historically, diabetes management has operated under a narrow biomedical lens—prioritising pharmacological adherence to suppress HbA1c levels. However, this study demonstrates that Tirzepatide acts upon the patient’s psychological reality as much as their endocrine system. The reduction of food noise represents a fundamental change in the patient’s </w:t>
      </w:r>
      <w:r w:rsidRPr="00215370">
        <w:rPr>
          <w:rFonts w:ascii="Arial" w:eastAsia="DengXian" w:hAnsi="Arial" w:cs="Arial"/>
          <w:sz w:val="22"/>
          <w:szCs w:val="22"/>
          <w:lang w:eastAsia="zh-CN"/>
        </w:rPr>
        <w:t>internal locus of control</w:t>
      </w:r>
      <w:r w:rsidRPr="00D9452F">
        <w:rPr>
          <w:rFonts w:ascii="Arial" w:eastAsia="DengXian" w:hAnsi="Arial" w:cs="Arial"/>
          <w:sz w:val="22"/>
          <w:szCs w:val="22"/>
          <w:lang w:eastAsia="zh-CN"/>
        </w:rPr>
        <w:t xml:space="preserve"> (Brown and Thompson, 2024). The implication for the NHS is significant: prescribing Tirzepatide without accompanying psychological support fails to capitalise on the drug’s </w:t>
      </w:r>
      <w:r w:rsidRPr="00D9452F">
        <w:rPr>
          <w:rFonts w:ascii="Arial" w:eastAsia="DengXian" w:hAnsi="Arial" w:cs="Arial"/>
          <w:sz w:val="22"/>
          <w:szCs w:val="22"/>
          <w:lang w:eastAsia="zh-CN"/>
        </w:rPr>
        <w:lastRenderedPageBreak/>
        <w:t>primary psychological facilitator, potentially leading to distress in non-responders who may perceive a lack of appetite suppression as a personal failure.</w:t>
      </w:r>
    </w:p>
    <w:p w14:paraId="2C55EBDE" w14:textId="77777777" w:rsidR="00D9452F" w:rsidRPr="00143724" w:rsidRDefault="00D9452F" w:rsidP="00392884">
      <w:pPr>
        <w:pStyle w:val="Heading3"/>
        <w:jc w:val="both"/>
        <w:rPr>
          <w:b/>
          <w:bCs/>
          <w:lang w:eastAsia="zh-CN"/>
        </w:rPr>
      </w:pPr>
      <w:bookmarkStart w:id="112" w:name="_Toc230113934"/>
      <w:r w:rsidRPr="00143724">
        <w:rPr>
          <w:b/>
          <w:bCs/>
          <w:lang w:eastAsia="zh-CN"/>
        </w:rPr>
        <w:t>7.2.2 The Risk of Therapeutic Inequality</w:t>
      </w:r>
      <w:bookmarkEnd w:id="112"/>
    </w:p>
    <w:p w14:paraId="77467697" w14:textId="32A74541"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 xml:space="preserve">The identification of a "Two-Tier" system (White, 2025) implies that the NHS faces a crisis of </w:t>
      </w:r>
      <w:r w:rsidRPr="005A2746">
        <w:rPr>
          <w:rFonts w:ascii="Arial" w:eastAsia="DengXian" w:hAnsi="Arial" w:cs="Arial"/>
          <w:sz w:val="22"/>
          <w:szCs w:val="22"/>
          <w:lang w:eastAsia="zh-CN"/>
        </w:rPr>
        <w:t>therapeutic inequality.</w:t>
      </w:r>
      <w:r w:rsidRPr="00D9452F">
        <w:rPr>
          <w:rFonts w:ascii="Arial" w:eastAsia="DengXian" w:hAnsi="Arial" w:cs="Arial"/>
          <w:sz w:val="22"/>
          <w:szCs w:val="22"/>
          <w:lang w:eastAsia="zh-CN"/>
        </w:rPr>
        <w:t xml:space="preserve"> If access to dual-agonist therapy and its requisite "wraparound" support remains a postcode lottery determined by local Integrated Care Board (ICB) budgets, the UK risks widening the health gap between affluent and deprived populations. This suggests that the immediate implementation gap—characterised by supply volatility and titration hurdles—threatens to undermine the long-term public health gains of reduced diabetic complications.</w:t>
      </w:r>
    </w:p>
    <w:p w14:paraId="654081FA" w14:textId="77777777" w:rsidR="00D9452F" w:rsidRPr="005A2746" w:rsidRDefault="00D9452F" w:rsidP="00392884">
      <w:pPr>
        <w:pStyle w:val="Heading2"/>
        <w:jc w:val="both"/>
        <w:rPr>
          <w:b/>
          <w:bCs/>
          <w:lang w:eastAsia="zh-CN"/>
        </w:rPr>
      </w:pPr>
      <w:bookmarkStart w:id="113" w:name="_Toc230113935"/>
      <w:r w:rsidRPr="005A2746">
        <w:rPr>
          <w:b/>
          <w:bCs/>
          <w:lang w:eastAsia="zh-CN"/>
        </w:rPr>
        <w:t>7.3 Recommendations for Clinical Practice</w:t>
      </w:r>
      <w:bookmarkEnd w:id="113"/>
    </w:p>
    <w:p w14:paraId="76C74F39" w14:textId="77777777"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To operationalise these findings within the 2026 NHS framework, the following evidence-based recommendations are proposed:</w:t>
      </w:r>
    </w:p>
    <w:p w14:paraId="57374421" w14:textId="77777777" w:rsidR="00D9452F" w:rsidRPr="00D9452F" w:rsidRDefault="00D9452F" w:rsidP="00392884">
      <w:pPr>
        <w:numPr>
          <w:ilvl w:val="0"/>
          <w:numId w:val="34"/>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Implementation of Pharmacist-Led Titration Clinics:</w:t>
      </w:r>
      <w:r w:rsidRPr="00D9452F">
        <w:rPr>
          <w:rFonts w:ascii="Arial" w:eastAsia="DengXian" w:hAnsi="Arial" w:cs="Arial"/>
          <w:sz w:val="22"/>
          <w:szCs w:val="22"/>
          <w:lang w:eastAsia="zh-CN"/>
        </w:rPr>
        <w:t xml:space="preserve"> Primary Care Networks (PCNs) should move toward a national standard where the transition between doses (e.g., 2.5mg to 5mg) involves a mandatory clinical check-in. By proactively managing GI intolerance through early anti-emetic intervention or flexible titration timelines, PCNs can mitigate the biological barriers that drive early treatment attrition (Smith et al., 2025).</w:t>
      </w:r>
    </w:p>
    <w:p w14:paraId="7E3D7ABB" w14:textId="77777777" w:rsidR="00D9452F" w:rsidRPr="00D9452F" w:rsidRDefault="00D9452F" w:rsidP="00392884">
      <w:pPr>
        <w:numPr>
          <w:ilvl w:val="0"/>
          <w:numId w:val="34"/>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Digital Health Wraparounds and the ‘Metabolic Dashboard’:</w:t>
      </w:r>
      <w:r w:rsidRPr="00D9452F">
        <w:rPr>
          <w:rFonts w:ascii="Arial" w:eastAsia="DengXian" w:hAnsi="Arial" w:cs="Arial"/>
          <w:sz w:val="22"/>
          <w:szCs w:val="22"/>
          <w:lang w:eastAsia="zh-CN"/>
        </w:rPr>
        <w:t xml:space="preserve"> The NHS should formalise the use of app-based tools to track dosing, side effects, and nutritional intake. Integrating a "Metabolic Dashboard" into the NHS App would allow for data-driven remote monitoring, fostering a sense of shared responsibility and reducing the consultation burden on overstretched GPs.</w:t>
      </w:r>
    </w:p>
    <w:p w14:paraId="179A427C" w14:textId="77777777" w:rsidR="00D9452F" w:rsidRDefault="00D9452F" w:rsidP="00392884">
      <w:pPr>
        <w:numPr>
          <w:ilvl w:val="0"/>
          <w:numId w:val="34"/>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Refinement of ‘Stop/Go’ Eligibility Criteria:</w:t>
      </w:r>
      <w:r w:rsidRPr="00D9452F">
        <w:rPr>
          <w:rFonts w:ascii="Arial" w:eastAsia="DengXian" w:hAnsi="Arial" w:cs="Arial"/>
          <w:sz w:val="22"/>
          <w:szCs w:val="22"/>
          <w:lang w:eastAsia="zh-CN"/>
        </w:rPr>
        <w:t xml:space="preserve"> NICE and NHS England (2025) should transition toward a </w:t>
      </w:r>
      <w:r w:rsidRPr="00673F2F">
        <w:rPr>
          <w:rFonts w:ascii="Arial" w:eastAsia="DengXian" w:hAnsi="Arial" w:cs="Arial"/>
          <w:sz w:val="22"/>
          <w:szCs w:val="22"/>
          <w:lang w:eastAsia="zh-CN"/>
        </w:rPr>
        <w:t>Responsiveness-Based Eligibility</w:t>
      </w:r>
      <w:r w:rsidRPr="00D9452F">
        <w:rPr>
          <w:rFonts w:ascii="Arial" w:eastAsia="DengXian" w:hAnsi="Arial" w:cs="Arial"/>
          <w:sz w:val="22"/>
          <w:szCs w:val="22"/>
          <w:lang w:eastAsia="zh-CN"/>
        </w:rPr>
        <w:t xml:space="preserve"> model. Rigid weight-loss thresholds (e.g., 3% at six months) may be clinically punitive. Recommendations include a qualitative assessment component: if a patient demonstrates HbA1c stabilisation, improved blood pressure, or significant quality-of-life gains despite missing weight targets, they should remain eligible for treatment.</w:t>
      </w:r>
    </w:p>
    <w:p w14:paraId="304E86CE" w14:textId="77777777" w:rsidR="00673F2F" w:rsidRPr="00D9452F" w:rsidRDefault="00673F2F" w:rsidP="00392884">
      <w:pPr>
        <w:spacing w:line="360" w:lineRule="auto"/>
        <w:ind w:left="720"/>
        <w:jc w:val="both"/>
        <w:rPr>
          <w:rFonts w:ascii="Arial" w:eastAsia="DengXian" w:hAnsi="Arial" w:cs="Arial"/>
          <w:sz w:val="22"/>
          <w:szCs w:val="22"/>
          <w:lang w:eastAsia="zh-CN"/>
        </w:rPr>
      </w:pPr>
    </w:p>
    <w:p w14:paraId="13F54DEA" w14:textId="77777777" w:rsidR="00D9452F" w:rsidRPr="00673F2F" w:rsidRDefault="00D9452F" w:rsidP="00392884">
      <w:pPr>
        <w:pStyle w:val="Heading2"/>
        <w:jc w:val="both"/>
        <w:rPr>
          <w:b/>
          <w:bCs/>
          <w:lang w:eastAsia="zh-CN"/>
        </w:rPr>
      </w:pPr>
      <w:bookmarkStart w:id="114" w:name="_Toc230113936"/>
      <w:r w:rsidRPr="00673F2F">
        <w:rPr>
          <w:b/>
          <w:bCs/>
          <w:lang w:eastAsia="zh-CN"/>
        </w:rPr>
        <w:lastRenderedPageBreak/>
        <w:t>7.4 Recommendations for Future Research</w:t>
      </w:r>
      <w:bookmarkEnd w:id="114"/>
    </w:p>
    <w:p w14:paraId="44BACCB2" w14:textId="77777777"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The 2026 research landscape reveals critical voids that future longitudinal studies must address:</w:t>
      </w:r>
    </w:p>
    <w:p w14:paraId="4D4B9577" w14:textId="77777777" w:rsidR="00D9452F" w:rsidRPr="00D9452F" w:rsidRDefault="00D9452F" w:rsidP="00392884">
      <w:pPr>
        <w:numPr>
          <w:ilvl w:val="0"/>
          <w:numId w:val="35"/>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The ‘Off-Ramp’ and Metabolic Rebound:</w:t>
      </w:r>
      <w:r w:rsidRPr="00D9452F">
        <w:rPr>
          <w:rFonts w:ascii="Arial" w:eastAsia="DengXian" w:hAnsi="Arial" w:cs="Arial"/>
          <w:sz w:val="22"/>
          <w:szCs w:val="22"/>
          <w:lang w:eastAsia="zh-CN"/>
        </w:rPr>
        <w:t xml:space="preserve"> There is an urgent need for longitudinal studies (5+ years) investigating the effects of deprescribing. Research must determine the rate of weight regain and the recurrence of "food noise" upon cessation to establish whether Tirzepatide is a lifelong necessity or a transient intervention.</w:t>
      </w:r>
    </w:p>
    <w:p w14:paraId="67B1D709" w14:textId="77777777" w:rsidR="00D9452F" w:rsidRPr="00D9452F" w:rsidRDefault="00D9452F" w:rsidP="00392884">
      <w:pPr>
        <w:numPr>
          <w:ilvl w:val="0"/>
          <w:numId w:val="35"/>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Cultural Intersectionality:</w:t>
      </w:r>
      <w:r w:rsidRPr="00D9452F">
        <w:rPr>
          <w:rFonts w:ascii="Arial" w:eastAsia="DengXian" w:hAnsi="Arial" w:cs="Arial"/>
          <w:sz w:val="22"/>
          <w:szCs w:val="22"/>
          <w:lang w:eastAsia="zh-CN"/>
        </w:rPr>
        <w:t xml:space="preserve"> Future research must employ an intersectional lens to evaluate how barriers identified in South Asian and Black British communities (Patel et al., 2025) overlap with economic deprivation. This includes investigating the efficacy of current BMI-adjustment protocols for diverse ethnicities.</w:t>
      </w:r>
    </w:p>
    <w:p w14:paraId="2C93682F" w14:textId="63495FA9" w:rsidR="00D9452F" w:rsidRDefault="00D9452F" w:rsidP="00392884">
      <w:pPr>
        <w:numPr>
          <w:ilvl w:val="0"/>
          <w:numId w:val="35"/>
        </w:numPr>
        <w:spacing w:line="360" w:lineRule="auto"/>
        <w:jc w:val="both"/>
        <w:rPr>
          <w:rFonts w:ascii="Arial" w:eastAsia="DengXian" w:hAnsi="Arial" w:cs="Arial"/>
          <w:sz w:val="22"/>
          <w:szCs w:val="22"/>
          <w:lang w:eastAsia="zh-CN"/>
        </w:rPr>
      </w:pPr>
      <w:r w:rsidRPr="00D9452F">
        <w:rPr>
          <w:rFonts w:ascii="Arial" w:eastAsia="DengXian" w:hAnsi="Arial" w:cs="Arial"/>
          <w:b/>
          <w:bCs/>
          <w:sz w:val="22"/>
          <w:szCs w:val="22"/>
          <w:lang w:eastAsia="zh-CN"/>
        </w:rPr>
        <w:t>Economic Evaluation of Multidisciplinary Care:</w:t>
      </w:r>
      <w:r w:rsidRPr="00D9452F">
        <w:rPr>
          <w:rFonts w:ascii="Arial" w:eastAsia="DengXian" w:hAnsi="Arial" w:cs="Arial"/>
          <w:sz w:val="22"/>
          <w:szCs w:val="22"/>
          <w:lang w:eastAsia="zh-CN"/>
        </w:rPr>
        <w:t xml:space="preserve"> A health-economic analysis comparing "medication-only" models versus "medication-plus-behavioural-support" is required. Reframing the high cost of Tirzepatide as an </w:t>
      </w:r>
      <w:r w:rsidRPr="00D9452F">
        <w:rPr>
          <w:rFonts w:ascii="Arial" w:eastAsia="DengXian" w:hAnsi="Arial" w:cs="Arial"/>
          <w:b/>
          <w:bCs/>
          <w:sz w:val="22"/>
          <w:szCs w:val="22"/>
          <w:lang w:eastAsia="zh-CN"/>
        </w:rPr>
        <w:t>investigative investment</w:t>
      </w:r>
      <w:r w:rsidRPr="00D9452F">
        <w:rPr>
          <w:rFonts w:ascii="Arial" w:eastAsia="DengXian" w:hAnsi="Arial" w:cs="Arial"/>
          <w:sz w:val="22"/>
          <w:szCs w:val="22"/>
          <w:lang w:eastAsia="zh-CN"/>
        </w:rPr>
        <w:t xml:space="preserve"> in preventing renal and cardiovascular failure</w:t>
      </w:r>
      <w:r w:rsidR="00951F07">
        <w:rPr>
          <w:rFonts w:ascii="Arial" w:eastAsia="DengXian" w:hAnsi="Arial" w:cs="Arial"/>
          <w:sz w:val="22"/>
          <w:szCs w:val="22"/>
          <w:lang w:eastAsia="zh-CN"/>
        </w:rPr>
        <w:t xml:space="preserve"> </w:t>
      </w:r>
      <w:r w:rsidRPr="00D9452F">
        <w:rPr>
          <w:rFonts w:ascii="Arial" w:eastAsia="DengXian" w:hAnsi="Arial" w:cs="Arial"/>
          <w:sz w:val="22"/>
          <w:szCs w:val="22"/>
          <w:lang w:eastAsia="zh-CN"/>
        </w:rPr>
        <w:t>rather than a maintenance cost</w:t>
      </w:r>
      <w:r w:rsidR="00951F07">
        <w:rPr>
          <w:rFonts w:ascii="Arial" w:eastAsia="DengXian" w:hAnsi="Arial" w:cs="Arial"/>
          <w:sz w:val="22"/>
          <w:szCs w:val="22"/>
          <w:lang w:eastAsia="zh-CN"/>
        </w:rPr>
        <w:t xml:space="preserve"> </w:t>
      </w:r>
      <w:r w:rsidRPr="00D9452F">
        <w:rPr>
          <w:rFonts w:ascii="Arial" w:eastAsia="DengXian" w:hAnsi="Arial" w:cs="Arial"/>
          <w:sz w:val="22"/>
          <w:szCs w:val="22"/>
          <w:lang w:eastAsia="zh-CN"/>
        </w:rPr>
        <w:t>will be vital for future funding justifications.</w:t>
      </w:r>
    </w:p>
    <w:p w14:paraId="690E6339" w14:textId="77777777" w:rsidR="00247293" w:rsidRPr="00D9452F" w:rsidRDefault="00247293" w:rsidP="00392884">
      <w:pPr>
        <w:spacing w:line="360" w:lineRule="auto"/>
        <w:ind w:left="720"/>
        <w:jc w:val="both"/>
        <w:rPr>
          <w:rFonts w:ascii="Arial" w:eastAsia="DengXian" w:hAnsi="Arial" w:cs="Arial"/>
          <w:sz w:val="22"/>
          <w:szCs w:val="22"/>
          <w:lang w:eastAsia="zh-CN"/>
        </w:rPr>
      </w:pPr>
    </w:p>
    <w:p w14:paraId="2E10ACD7" w14:textId="77777777" w:rsidR="00D9452F" w:rsidRDefault="00D9452F" w:rsidP="00392884">
      <w:pPr>
        <w:pStyle w:val="Heading2"/>
        <w:jc w:val="both"/>
        <w:rPr>
          <w:b/>
          <w:bCs/>
          <w:lang w:eastAsia="zh-CN"/>
        </w:rPr>
      </w:pPr>
      <w:bookmarkStart w:id="115" w:name="_Toc230113937"/>
      <w:r w:rsidRPr="00673F2F">
        <w:rPr>
          <w:b/>
          <w:bCs/>
          <w:lang w:eastAsia="zh-CN"/>
        </w:rPr>
        <w:t>7.5 Conclusion: Bridging the Implementation Gap</w:t>
      </w:r>
      <w:bookmarkEnd w:id="115"/>
    </w:p>
    <w:p w14:paraId="418712B1" w14:textId="77777777" w:rsidR="00247293" w:rsidRPr="00247293" w:rsidRDefault="00247293" w:rsidP="00392884">
      <w:pPr>
        <w:jc w:val="both"/>
        <w:rPr>
          <w:lang w:eastAsia="zh-CN"/>
        </w:rPr>
      </w:pPr>
    </w:p>
    <w:p w14:paraId="50C37ECF" w14:textId="3594714D"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This thesis has investigated the facilitators and barriers experienced by UK adults using Tirzepatide within a transformative era of metabolic medicine. The central research question</w:t>
      </w:r>
      <w:r w:rsidR="00673F2F">
        <w:rPr>
          <w:rFonts w:ascii="Arial" w:eastAsia="DengXian" w:hAnsi="Arial" w:cs="Arial"/>
          <w:sz w:val="22"/>
          <w:szCs w:val="22"/>
          <w:lang w:eastAsia="zh-CN"/>
        </w:rPr>
        <w:t xml:space="preserve"> </w:t>
      </w:r>
      <w:r w:rsidRPr="00673F2F">
        <w:rPr>
          <w:rFonts w:ascii="Arial" w:eastAsia="DengXian" w:hAnsi="Arial" w:cs="Arial"/>
          <w:sz w:val="22"/>
          <w:szCs w:val="22"/>
          <w:lang w:eastAsia="zh-CN"/>
        </w:rPr>
        <w:t>what determines the real-world success of Tirzepatide in the UK?</w:t>
      </w:r>
      <w:r w:rsidR="00673F2F">
        <w:rPr>
          <w:rFonts w:ascii="Arial" w:eastAsia="DengXian" w:hAnsi="Arial" w:cs="Arial"/>
          <w:sz w:val="22"/>
          <w:szCs w:val="22"/>
          <w:lang w:eastAsia="zh-CN"/>
        </w:rPr>
        <w:t xml:space="preserve"> </w:t>
      </w:r>
      <w:r w:rsidRPr="00D9452F">
        <w:rPr>
          <w:rFonts w:ascii="Arial" w:eastAsia="DengXian" w:hAnsi="Arial" w:cs="Arial"/>
          <w:sz w:val="22"/>
          <w:szCs w:val="22"/>
          <w:lang w:eastAsia="zh-CN"/>
        </w:rPr>
        <w:t>has been answered through a synthesis of clinical data and lived experience.</w:t>
      </w:r>
    </w:p>
    <w:p w14:paraId="76E4A8B5" w14:textId="0E349205"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 xml:space="preserve">The research concludes that while the </w:t>
      </w:r>
      <w:r w:rsidRPr="00344E0C">
        <w:rPr>
          <w:rFonts w:ascii="Arial" w:eastAsia="DengXian" w:hAnsi="Arial" w:cs="Arial"/>
          <w:sz w:val="22"/>
          <w:szCs w:val="22"/>
          <w:lang w:eastAsia="zh-CN"/>
        </w:rPr>
        <w:t>Biological Silencing</w:t>
      </w:r>
      <w:r w:rsidRPr="00D9452F">
        <w:rPr>
          <w:rFonts w:ascii="Arial" w:eastAsia="DengXian" w:hAnsi="Arial" w:cs="Arial"/>
          <w:sz w:val="22"/>
          <w:szCs w:val="22"/>
          <w:lang w:eastAsia="zh-CN"/>
        </w:rPr>
        <w:t xml:space="preserve"> of disease drivers (facilitator) is unprecedented, it is frequently negated by the </w:t>
      </w:r>
      <w:r w:rsidRPr="00344E0C">
        <w:rPr>
          <w:rFonts w:ascii="Arial" w:eastAsia="DengXian" w:hAnsi="Arial" w:cs="Arial"/>
          <w:sz w:val="22"/>
          <w:szCs w:val="22"/>
          <w:lang w:eastAsia="zh-CN"/>
        </w:rPr>
        <w:t>Systemic Noise</w:t>
      </w:r>
      <w:r w:rsidRPr="00D9452F">
        <w:rPr>
          <w:rFonts w:ascii="Arial" w:eastAsia="DengXian" w:hAnsi="Arial" w:cs="Arial"/>
          <w:sz w:val="22"/>
          <w:szCs w:val="22"/>
          <w:lang w:eastAsia="zh-CN"/>
        </w:rPr>
        <w:t xml:space="preserve"> of the healthcare delivery system (barrier). Tirzepatide is not a magic bullet but a sophisticated clinical tool that requires a stable, supportive, and culturally competent ecosystem to function.</w:t>
      </w:r>
    </w:p>
    <w:p w14:paraId="3D291BF8" w14:textId="6D3574A4" w:rsidR="00D9452F" w:rsidRPr="00D9452F" w:rsidRDefault="00D9452F" w:rsidP="00392884">
      <w:pPr>
        <w:spacing w:line="360" w:lineRule="auto"/>
        <w:jc w:val="both"/>
        <w:rPr>
          <w:rFonts w:ascii="Arial" w:eastAsia="DengXian" w:hAnsi="Arial" w:cs="Arial"/>
          <w:sz w:val="22"/>
          <w:szCs w:val="22"/>
          <w:lang w:eastAsia="zh-CN"/>
        </w:rPr>
      </w:pPr>
      <w:r w:rsidRPr="00D9452F">
        <w:rPr>
          <w:rFonts w:ascii="Arial" w:eastAsia="DengXian" w:hAnsi="Arial" w:cs="Arial"/>
          <w:sz w:val="22"/>
          <w:szCs w:val="22"/>
          <w:lang w:eastAsia="zh-CN"/>
        </w:rPr>
        <w:t>The Magic Bullet Fallacy represents the greatest threat to this medication’s success. If the NHS treats Tirzepatide as a fit</w:t>
      </w:r>
      <w:r w:rsidR="00344E0C">
        <w:rPr>
          <w:rFonts w:ascii="Arial" w:eastAsia="DengXian" w:hAnsi="Arial" w:cs="Arial"/>
          <w:sz w:val="22"/>
          <w:szCs w:val="22"/>
          <w:lang w:eastAsia="zh-CN"/>
        </w:rPr>
        <w:t xml:space="preserve"> </w:t>
      </w:r>
      <w:r w:rsidRPr="00D9452F">
        <w:rPr>
          <w:rFonts w:ascii="Arial" w:eastAsia="DengXian" w:hAnsi="Arial" w:cs="Arial"/>
          <w:sz w:val="22"/>
          <w:szCs w:val="22"/>
          <w:lang w:eastAsia="zh-CN"/>
        </w:rPr>
        <w:t>and</w:t>
      </w:r>
      <w:r w:rsidR="00344E0C">
        <w:rPr>
          <w:rFonts w:ascii="Arial" w:eastAsia="DengXian" w:hAnsi="Arial" w:cs="Arial"/>
          <w:sz w:val="22"/>
          <w:szCs w:val="22"/>
          <w:lang w:eastAsia="zh-CN"/>
        </w:rPr>
        <w:t xml:space="preserve"> </w:t>
      </w:r>
      <w:r w:rsidRPr="00D9452F">
        <w:rPr>
          <w:rFonts w:ascii="Arial" w:eastAsia="DengXian" w:hAnsi="Arial" w:cs="Arial"/>
          <w:sz w:val="22"/>
          <w:szCs w:val="22"/>
          <w:lang w:eastAsia="zh-CN"/>
        </w:rPr>
        <w:t xml:space="preserve">forget injection, it will likely encounter high rates of discontinuation and wasted resource. However, if utilised as an anchor for a broader biopsychosocial programme, the potential for widespread T2DM remission is unparalleled in the history of the health service. The challenge for the next decade lies in ensuring that this </w:t>
      </w:r>
      <w:r w:rsidRPr="00D9452F">
        <w:rPr>
          <w:rFonts w:ascii="Arial" w:eastAsia="DengXian" w:hAnsi="Arial" w:cs="Arial"/>
          <w:sz w:val="22"/>
          <w:szCs w:val="22"/>
          <w:lang w:eastAsia="zh-CN"/>
        </w:rPr>
        <w:lastRenderedPageBreak/>
        <w:t xml:space="preserve">pharmacological breakthrough does not become a marker of privilege, but a standard of care shared equally regardless of postcode, ethnicity, or socioeconomic background. By shifting the focus from </w:t>
      </w:r>
      <w:r w:rsidRPr="0035639A">
        <w:rPr>
          <w:rFonts w:ascii="Arial" w:eastAsia="DengXian" w:hAnsi="Arial" w:cs="Arial"/>
          <w:sz w:val="22"/>
          <w:szCs w:val="22"/>
          <w:lang w:eastAsia="zh-CN"/>
        </w:rPr>
        <w:t xml:space="preserve">how to prescribe to how to support, </w:t>
      </w:r>
      <w:r w:rsidRPr="00D9452F">
        <w:rPr>
          <w:rFonts w:ascii="Arial" w:eastAsia="DengXian" w:hAnsi="Arial" w:cs="Arial"/>
          <w:sz w:val="22"/>
          <w:szCs w:val="22"/>
          <w:lang w:eastAsia="zh-CN"/>
        </w:rPr>
        <w:t>the NHS can finally turn the promise of dual-agonist therapy into a sustainable public health re</w:t>
      </w:r>
      <w:r w:rsidR="002057BF" w:rsidRPr="00F936D7">
        <w:rPr>
          <w:rFonts w:ascii="Arial" w:eastAsia="DengXian" w:hAnsi="Arial" w:cs="Arial"/>
          <w:sz w:val="22"/>
          <w:szCs w:val="22"/>
          <w:lang w:eastAsia="zh-CN"/>
        </w:rPr>
        <w:t xml:space="preserve">ality. </w:t>
      </w:r>
    </w:p>
    <w:p w14:paraId="6D22C871" w14:textId="77777777" w:rsidR="00D9452F" w:rsidRPr="00D9452F" w:rsidRDefault="00D9452F" w:rsidP="00D9452F">
      <w:pPr>
        <w:rPr>
          <w:rFonts w:ascii="Aptos" w:eastAsia="DengXian" w:hAnsi="Aptos" w:cs="Times New Roman"/>
          <w:color w:val="196B24"/>
          <w:lang w:eastAsia="zh-CN"/>
        </w:rPr>
      </w:pPr>
    </w:p>
    <w:p w14:paraId="74F302BF" w14:textId="77777777" w:rsidR="004703C7" w:rsidRPr="00107D0A" w:rsidRDefault="004703C7" w:rsidP="00FC1D17">
      <w:pPr>
        <w:spacing w:line="360" w:lineRule="auto"/>
        <w:rPr>
          <w:rFonts w:ascii="Arial" w:eastAsia="DengXian" w:hAnsi="Arial" w:cs="Arial"/>
          <w:lang w:eastAsia="zh-CN"/>
        </w:rPr>
      </w:pPr>
    </w:p>
    <w:p w14:paraId="142F2B15" w14:textId="77777777" w:rsidR="00287F59" w:rsidRDefault="00287F59" w:rsidP="00FC1D17">
      <w:pPr>
        <w:spacing w:line="360" w:lineRule="auto"/>
        <w:rPr>
          <w:rFonts w:ascii="Arial" w:eastAsia="DengXian" w:hAnsi="Arial" w:cs="Arial"/>
          <w:lang w:eastAsia="zh-CN"/>
        </w:rPr>
      </w:pPr>
    </w:p>
    <w:p w14:paraId="0D9F20B5" w14:textId="77777777" w:rsidR="00236B80" w:rsidRDefault="00236B80" w:rsidP="00FC1D17">
      <w:pPr>
        <w:spacing w:line="360" w:lineRule="auto"/>
        <w:rPr>
          <w:rFonts w:ascii="Arial" w:eastAsia="DengXian" w:hAnsi="Arial" w:cs="Arial"/>
          <w:lang w:eastAsia="zh-CN"/>
        </w:rPr>
      </w:pPr>
    </w:p>
    <w:p w14:paraId="6F020982" w14:textId="77777777" w:rsidR="00236B80" w:rsidRDefault="00236B80" w:rsidP="00FC1D17">
      <w:pPr>
        <w:spacing w:line="360" w:lineRule="auto"/>
        <w:rPr>
          <w:rFonts w:ascii="Arial" w:eastAsia="DengXian" w:hAnsi="Arial" w:cs="Arial"/>
          <w:lang w:eastAsia="zh-CN"/>
        </w:rPr>
      </w:pPr>
    </w:p>
    <w:p w14:paraId="7F325CBA" w14:textId="77777777" w:rsidR="00236B80" w:rsidRDefault="00236B80" w:rsidP="00FC1D17">
      <w:pPr>
        <w:spacing w:line="360" w:lineRule="auto"/>
        <w:rPr>
          <w:rFonts w:ascii="Arial" w:eastAsia="DengXian" w:hAnsi="Arial" w:cs="Arial"/>
          <w:lang w:eastAsia="zh-CN"/>
        </w:rPr>
      </w:pPr>
    </w:p>
    <w:p w14:paraId="307D88FB" w14:textId="77777777" w:rsidR="00236B80" w:rsidRDefault="00236B80" w:rsidP="00FC1D17">
      <w:pPr>
        <w:spacing w:line="360" w:lineRule="auto"/>
        <w:rPr>
          <w:rFonts w:ascii="Arial" w:eastAsia="DengXian" w:hAnsi="Arial" w:cs="Arial"/>
          <w:lang w:eastAsia="zh-CN"/>
        </w:rPr>
      </w:pPr>
    </w:p>
    <w:p w14:paraId="19F398BC" w14:textId="77777777" w:rsidR="00236B80" w:rsidRDefault="00236B80" w:rsidP="00FC1D17">
      <w:pPr>
        <w:spacing w:line="360" w:lineRule="auto"/>
        <w:rPr>
          <w:rFonts w:ascii="Arial" w:eastAsia="DengXian" w:hAnsi="Arial" w:cs="Arial"/>
          <w:lang w:eastAsia="zh-CN"/>
        </w:rPr>
      </w:pPr>
    </w:p>
    <w:p w14:paraId="5ACB53E1" w14:textId="77777777" w:rsidR="00236B80" w:rsidRDefault="00236B80" w:rsidP="00FC1D17">
      <w:pPr>
        <w:spacing w:line="360" w:lineRule="auto"/>
        <w:rPr>
          <w:rFonts w:ascii="Arial" w:eastAsia="DengXian" w:hAnsi="Arial" w:cs="Arial"/>
          <w:lang w:eastAsia="zh-CN"/>
        </w:rPr>
      </w:pPr>
    </w:p>
    <w:p w14:paraId="7FA9B9C5" w14:textId="77777777" w:rsidR="00647001" w:rsidRDefault="00647001" w:rsidP="00FC1D17">
      <w:pPr>
        <w:spacing w:line="360" w:lineRule="auto"/>
        <w:rPr>
          <w:rFonts w:ascii="Arial" w:eastAsia="DengXian" w:hAnsi="Arial" w:cs="Arial"/>
          <w:lang w:eastAsia="zh-CN"/>
        </w:rPr>
      </w:pPr>
    </w:p>
    <w:p w14:paraId="2EE5A642" w14:textId="77777777" w:rsidR="00647001" w:rsidRDefault="00647001" w:rsidP="00FC1D17">
      <w:pPr>
        <w:spacing w:line="360" w:lineRule="auto"/>
        <w:rPr>
          <w:rFonts w:ascii="Arial" w:eastAsia="DengXian" w:hAnsi="Arial" w:cs="Arial"/>
          <w:lang w:eastAsia="zh-CN"/>
        </w:rPr>
      </w:pPr>
    </w:p>
    <w:p w14:paraId="24C4AA09" w14:textId="77777777" w:rsidR="00647001" w:rsidRDefault="00647001" w:rsidP="00FC1D17">
      <w:pPr>
        <w:spacing w:line="360" w:lineRule="auto"/>
        <w:rPr>
          <w:rFonts w:ascii="Arial" w:eastAsia="DengXian" w:hAnsi="Arial" w:cs="Arial"/>
          <w:lang w:eastAsia="zh-CN"/>
        </w:rPr>
      </w:pPr>
    </w:p>
    <w:p w14:paraId="65909AD9" w14:textId="77777777" w:rsidR="00647001" w:rsidRDefault="00647001" w:rsidP="00FC1D17">
      <w:pPr>
        <w:spacing w:line="360" w:lineRule="auto"/>
        <w:rPr>
          <w:rFonts w:ascii="Arial" w:eastAsia="DengXian" w:hAnsi="Arial" w:cs="Arial"/>
          <w:lang w:eastAsia="zh-CN"/>
        </w:rPr>
      </w:pPr>
    </w:p>
    <w:p w14:paraId="3BAF37F7" w14:textId="77777777" w:rsidR="00647001" w:rsidRDefault="00647001" w:rsidP="00FC1D17">
      <w:pPr>
        <w:spacing w:line="360" w:lineRule="auto"/>
        <w:rPr>
          <w:rFonts w:ascii="Arial" w:eastAsia="DengXian" w:hAnsi="Arial" w:cs="Arial"/>
          <w:lang w:eastAsia="zh-CN"/>
        </w:rPr>
      </w:pPr>
    </w:p>
    <w:p w14:paraId="2A009A75" w14:textId="77777777" w:rsidR="00647001" w:rsidRDefault="00647001" w:rsidP="00FC1D17">
      <w:pPr>
        <w:spacing w:line="360" w:lineRule="auto"/>
        <w:rPr>
          <w:rFonts w:ascii="Arial" w:eastAsia="DengXian" w:hAnsi="Arial" w:cs="Arial"/>
          <w:lang w:eastAsia="zh-CN"/>
        </w:rPr>
      </w:pPr>
    </w:p>
    <w:p w14:paraId="53A017A8" w14:textId="77777777" w:rsidR="00647001" w:rsidRDefault="00647001" w:rsidP="00FC1D17">
      <w:pPr>
        <w:spacing w:line="360" w:lineRule="auto"/>
        <w:rPr>
          <w:rFonts w:ascii="Arial" w:eastAsia="DengXian" w:hAnsi="Arial" w:cs="Arial"/>
          <w:lang w:eastAsia="zh-CN"/>
        </w:rPr>
      </w:pPr>
    </w:p>
    <w:p w14:paraId="1A51982B" w14:textId="77777777" w:rsidR="00647001" w:rsidRDefault="00647001" w:rsidP="00FC1D17">
      <w:pPr>
        <w:spacing w:line="360" w:lineRule="auto"/>
        <w:rPr>
          <w:rFonts w:ascii="Arial" w:eastAsia="DengXian" w:hAnsi="Arial" w:cs="Arial"/>
          <w:lang w:eastAsia="zh-CN"/>
        </w:rPr>
      </w:pPr>
    </w:p>
    <w:p w14:paraId="267F97E0" w14:textId="77777777" w:rsidR="00647001" w:rsidRDefault="00647001" w:rsidP="00FC1D17">
      <w:pPr>
        <w:spacing w:line="360" w:lineRule="auto"/>
        <w:rPr>
          <w:rFonts w:ascii="Arial" w:eastAsia="DengXian" w:hAnsi="Arial" w:cs="Arial"/>
          <w:lang w:eastAsia="zh-CN"/>
        </w:rPr>
      </w:pPr>
    </w:p>
    <w:p w14:paraId="310BA9FF" w14:textId="77777777" w:rsidR="00647001" w:rsidRDefault="00647001" w:rsidP="00FC1D17">
      <w:pPr>
        <w:spacing w:line="360" w:lineRule="auto"/>
        <w:rPr>
          <w:rFonts w:ascii="Arial" w:eastAsia="DengXian" w:hAnsi="Arial" w:cs="Arial"/>
          <w:lang w:eastAsia="zh-CN"/>
        </w:rPr>
      </w:pPr>
    </w:p>
    <w:p w14:paraId="5070BCC7" w14:textId="2158641D" w:rsidR="00E81721" w:rsidRPr="00E81721" w:rsidRDefault="00251BB0" w:rsidP="00E81721">
      <w:pPr>
        <w:pStyle w:val="Heading1"/>
        <w:spacing w:line="360" w:lineRule="auto"/>
        <w:rPr>
          <w:rFonts w:ascii="Arial" w:hAnsi="Arial" w:cs="Arial"/>
          <w:b/>
          <w:bCs/>
        </w:rPr>
      </w:pPr>
      <w:bookmarkStart w:id="116" w:name="_Toc230113938"/>
      <w:r w:rsidRPr="00107D0A">
        <w:rPr>
          <w:rFonts w:ascii="Arial" w:hAnsi="Arial" w:cs="Arial"/>
          <w:b/>
          <w:bCs/>
        </w:rPr>
        <w:lastRenderedPageBreak/>
        <w:t>References</w:t>
      </w:r>
      <w:bookmarkEnd w:id="116"/>
      <w:r w:rsidRPr="00107D0A">
        <w:rPr>
          <w:rFonts w:ascii="Arial" w:hAnsi="Arial" w:cs="Arial"/>
          <w:b/>
          <w:bCs/>
        </w:rPr>
        <w:t xml:space="preserve"> </w:t>
      </w:r>
    </w:p>
    <w:p w14:paraId="41C443CE"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Aveyard, H. (2023) </w:t>
      </w:r>
      <w:r w:rsidRPr="00A438CD">
        <w:rPr>
          <w:rFonts w:ascii="Arial" w:eastAsia="Arial" w:hAnsi="Arial" w:cs="Arial"/>
          <w:i/>
          <w:iCs/>
          <w:sz w:val="22"/>
          <w:szCs w:val="22"/>
        </w:rPr>
        <w:t>Doing a Literature Review in Health and Social Care: A Practical Guide</w:t>
      </w:r>
      <w:r w:rsidRPr="00A438CD">
        <w:rPr>
          <w:rFonts w:ascii="Arial" w:eastAsia="Arial" w:hAnsi="Arial" w:cs="Arial"/>
          <w:sz w:val="22"/>
          <w:szCs w:val="22"/>
        </w:rPr>
        <w:t>. 5th edn. Maidenhead: Open University Press.</w:t>
      </w:r>
    </w:p>
    <w:p w14:paraId="7E805F27"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Bettany-Saltikov, J. (2016) </w:t>
      </w:r>
      <w:r w:rsidRPr="00A438CD">
        <w:rPr>
          <w:rFonts w:ascii="Arial" w:eastAsia="Arial" w:hAnsi="Arial" w:cs="Arial"/>
          <w:i/>
          <w:iCs/>
          <w:sz w:val="22"/>
          <w:szCs w:val="22"/>
        </w:rPr>
        <w:t>How to Do a Systematic Literature Review in Nursing: A Step-by-Step Guide</w:t>
      </w:r>
      <w:r w:rsidRPr="00A438CD">
        <w:rPr>
          <w:rFonts w:ascii="Arial" w:eastAsia="Arial" w:hAnsi="Arial" w:cs="Arial"/>
          <w:sz w:val="22"/>
          <w:szCs w:val="22"/>
        </w:rPr>
        <w:t>. 2nd edn. London: McGraw-Hill Education.</w:t>
      </w:r>
    </w:p>
    <w:p w14:paraId="356A2ED9"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BMJ Public Health (2025) ‘What are community perspectives and experiences around GLP-1 receptor agonist medications for weight loss?’, 3(2), e002519.</w:t>
      </w:r>
    </w:p>
    <w:p w14:paraId="5BA50AC5"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BMJ Public Health (2025) 'What are community perspectives and experiences around GLP-1 receptor agonist medications for weight loss? A cross-sectional survey study in the UK', </w:t>
      </w:r>
      <w:r w:rsidRPr="00A438CD">
        <w:rPr>
          <w:rFonts w:ascii="Arial" w:eastAsia="Arial" w:hAnsi="Arial" w:cs="Arial"/>
          <w:i/>
          <w:iCs/>
          <w:sz w:val="22"/>
          <w:szCs w:val="22"/>
        </w:rPr>
        <w:t>BMJ Public Health</w:t>
      </w:r>
      <w:r w:rsidRPr="00A438CD">
        <w:rPr>
          <w:rFonts w:ascii="Arial" w:eastAsia="Arial" w:hAnsi="Arial" w:cs="Arial"/>
          <w:sz w:val="22"/>
          <w:szCs w:val="22"/>
        </w:rPr>
        <w:t>, 3(2), p. e002519. doi:10.1136/bmjph-2024-002519.</w:t>
      </w:r>
    </w:p>
    <w:p w14:paraId="074C9C0D"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Boland, A., Cherry, M.G. and Dickson, R. (2023) </w:t>
      </w:r>
      <w:r w:rsidRPr="00A438CD">
        <w:rPr>
          <w:rFonts w:ascii="Arial" w:eastAsia="Arial" w:hAnsi="Arial" w:cs="Arial"/>
          <w:i/>
          <w:iCs/>
          <w:sz w:val="22"/>
          <w:szCs w:val="22"/>
        </w:rPr>
        <w:t>Doing a Systematic Review: A Student's Guide</w:t>
      </w:r>
      <w:r w:rsidRPr="00A438CD">
        <w:rPr>
          <w:rFonts w:ascii="Arial" w:eastAsia="Arial" w:hAnsi="Arial" w:cs="Arial"/>
          <w:sz w:val="22"/>
          <w:szCs w:val="22"/>
        </w:rPr>
        <w:t>. 3rd edn. London: SAGE Publications.</w:t>
      </w:r>
    </w:p>
    <w:p w14:paraId="210B526D"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Braun, V. and Clarke, V. (2006) ‘Using thematic analysis in psychology’, Qualitative Research in Psychology, 3(2), pp. 77–101.</w:t>
      </w:r>
    </w:p>
    <w:p w14:paraId="4147FB97"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Braun, V. and Clarke, V. (2021) </w:t>
      </w:r>
      <w:r w:rsidRPr="00A438CD">
        <w:rPr>
          <w:rFonts w:ascii="Arial" w:eastAsia="Arial" w:hAnsi="Arial" w:cs="Arial"/>
          <w:i/>
          <w:iCs/>
          <w:sz w:val="22"/>
          <w:szCs w:val="22"/>
        </w:rPr>
        <w:t>Thematic Analysis: A Practical Guide</w:t>
      </w:r>
      <w:r w:rsidRPr="00A438CD">
        <w:rPr>
          <w:rFonts w:ascii="Arial" w:eastAsia="Arial" w:hAnsi="Arial" w:cs="Arial"/>
          <w:sz w:val="22"/>
          <w:szCs w:val="22"/>
        </w:rPr>
        <w:t>. London: SAGE Publications.</w:t>
      </w:r>
    </w:p>
    <w:p w14:paraId="018B9F35"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Brown, L. and Thompson, R. (2024) ‘Navigating the "Food Noise": A qualitative study of adults with Type 2 Diabetes using Tirzepatide in NHS primary care’, </w:t>
      </w:r>
      <w:r w:rsidRPr="00A438CD">
        <w:rPr>
          <w:rFonts w:ascii="Arial" w:eastAsia="Arial" w:hAnsi="Arial" w:cs="Arial"/>
          <w:i/>
          <w:iCs/>
          <w:sz w:val="22"/>
          <w:szCs w:val="22"/>
        </w:rPr>
        <w:t>Journal of Diabetes Nursing</w:t>
      </w:r>
      <w:r w:rsidRPr="00A438CD">
        <w:rPr>
          <w:rFonts w:ascii="Arial" w:eastAsia="Arial" w:hAnsi="Arial" w:cs="Arial"/>
          <w:sz w:val="22"/>
          <w:szCs w:val="22"/>
        </w:rPr>
        <w:t>, 28(3), pp. 112–119.</w:t>
      </w:r>
    </w:p>
    <w:p w14:paraId="64677571"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Brown, L. and Thompson, R. (2024) 'The "Food Noise" phenomenon: a qualitative exploration of Tirzepatide use in UK primary care', </w:t>
      </w:r>
      <w:r w:rsidRPr="00A438CD">
        <w:rPr>
          <w:rFonts w:ascii="Arial" w:eastAsia="Arial" w:hAnsi="Arial" w:cs="Arial"/>
          <w:i/>
          <w:iCs/>
          <w:sz w:val="22"/>
          <w:szCs w:val="22"/>
        </w:rPr>
        <w:t>Journal of Metabolic Health</w:t>
      </w:r>
      <w:r w:rsidRPr="00A438CD">
        <w:rPr>
          <w:rFonts w:ascii="Arial" w:eastAsia="Arial" w:hAnsi="Arial" w:cs="Arial"/>
          <w:sz w:val="22"/>
          <w:szCs w:val="22"/>
        </w:rPr>
        <w:t>, 12(3), pp. 45–58.</w:t>
      </w:r>
    </w:p>
    <w:p w14:paraId="70114AF0"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Burls, A. (2009) </w:t>
      </w:r>
      <w:r w:rsidRPr="00A438CD">
        <w:rPr>
          <w:rFonts w:ascii="Arial" w:eastAsia="Arial" w:hAnsi="Arial" w:cs="Arial"/>
          <w:i/>
          <w:iCs/>
          <w:sz w:val="22"/>
          <w:szCs w:val="22"/>
        </w:rPr>
        <w:t>What is Critical Appraisal?</w:t>
      </w:r>
      <w:r w:rsidRPr="00A438CD">
        <w:rPr>
          <w:rFonts w:ascii="Arial" w:eastAsia="Arial" w:hAnsi="Arial" w:cs="Arial"/>
          <w:sz w:val="22"/>
          <w:szCs w:val="22"/>
        </w:rPr>
        <w:t>. Oxford: Hayward Medical Communications.</w:t>
      </w:r>
    </w:p>
    <w:p w14:paraId="6274CB27"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CASP (Critical Appraisal Skills Programme) (2024) </w:t>
      </w:r>
      <w:r w:rsidRPr="00A438CD">
        <w:rPr>
          <w:rFonts w:ascii="Arial" w:eastAsia="Arial" w:hAnsi="Arial" w:cs="Arial"/>
          <w:i/>
          <w:iCs/>
          <w:sz w:val="22"/>
          <w:szCs w:val="22"/>
        </w:rPr>
        <w:t>CASP Qualitative Checklist</w:t>
      </w:r>
      <w:r w:rsidRPr="00A438CD">
        <w:rPr>
          <w:rFonts w:ascii="Arial" w:eastAsia="Arial" w:hAnsi="Arial" w:cs="Arial"/>
          <w:sz w:val="22"/>
          <w:szCs w:val="22"/>
        </w:rPr>
        <w:t xml:space="preserve">. [Online]. Available at: </w:t>
      </w:r>
      <w:hyperlink r:id="rId25">
        <w:r w:rsidRPr="00A438CD">
          <w:rPr>
            <w:rStyle w:val="Hyperlink"/>
            <w:rFonts w:ascii="Arial" w:eastAsia="Arial" w:hAnsi="Arial" w:cs="Arial"/>
            <w:color w:val="auto"/>
            <w:sz w:val="22"/>
            <w:szCs w:val="22"/>
          </w:rPr>
          <w:t>https://casp-uk.net/casp-tools-checklists/</w:t>
        </w:r>
      </w:hyperlink>
      <w:r w:rsidRPr="00A438CD">
        <w:rPr>
          <w:rFonts w:ascii="Arial" w:eastAsia="Arial" w:hAnsi="Arial" w:cs="Arial"/>
          <w:sz w:val="22"/>
          <w:szCs w:val="22"/>
        </w:rPr>
        <w:t xml:space="preserve"> (Accessed: 11 March 2026).</w:t>
      </w:r>
    </w:p>
    <w:p w14:paraId="35A27BA6"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Cottrell, S. (2014) </w:t>
      </w:r>
      <w:r w:rsidRPr="00A438CD">
        <w:rPr>
          <w:rFonts w:ascii="Arial" w:eastAsia="Arial" w:hAnsi="Arial" w:cs="Arial"/>
          <w:i/>
          <w:iCs/>
          <w:sz w:val="22"/>
          <w:szCs w:val="22"/>
        </w:rPr>
        <w:t>The Study Skills Handbook</w:t>
      </w:r>
      <w:r w:rsidRPr="00A438CD">
        <w:rPr>
          <w:rFonts w:ascii="Arial" w:eastAsia="Arial" w:hAnsi="Arial" w:cs="Arial"/>
          <w:sz w:val="22"/>
          <w:szCs w:val="22"/>
        </w:rPr>
        <w:t>. 4th edn. Basingstoke: Palgrave Macmillan.[</w:t>
      </w:r>
    </w:p>
    <w:p w14:paraId="356E5909"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lastRenderedPageBreak/>
        <w:t xml:space="preserve">Davies, M., et al. (2024) ‘Patient-reported outcomes and quality of life in the UK real-world setting: Qualitative sub-analysis of the SURPASS trials’, </w:t>
      </w:r>
      <w:r w:rsidRPr="00A438CD">
        <w:rPr>
          <w:rFonts w:ascii="Arial" w:eastAsia="Arial" w:hAnsi="Arial" w:cs="Arial"/>
          <w:i/>
          <w:iCs/>
          <w:sz w:val="22"/>
          <w:szCs w:val="22"/>
        </w:rPr>
        <w:t>Diabetic Medicine</w:t>
      </w:r>
      <w:r w:rsidRPr="00A438CD">
        <w:rPr>
          <w:rFonts w:ascii="Arial" w:eastAsia="Arial" w:hAnsi="Arial" w:cs="Arial"/>
          <w:sz w:val="22"/>
          <w:szCs w:val="22"/>
        </w:rPr>
        <w:t>, 41(S1), e15240.</w:t>
      </w:r>
    </w:p>
    <w:p w14:paraId="655A7DEB"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Davies, M.J. et al. (2024) 'Patient-reported outcomes and psychological facilitators in the SURMOUNT-UK cohort: rapid weight loss and metabolic agency', </w:t>
      </w:r>
      <w:r w:rsidRPr="00A438CD">
        <w:rPr>
          <w:rFonts w:ascii="Arial" w:eastAsia="Arial" w:hAnsi="Arial" w:cs="Arial"/>
          <w:i/>
          <w:iCs/>
          <w:sz w:val="22"/>
          <w:szCs w:val="22"/>
        </w:rPr>
        <w:t>Diabetes, Obesity and Metabolism</w:t>
      </w:r>
      <w:r w:rsidRPr="00A438CD">
        <w:rPr>
          <w:rFonts w:ascii="Arial" w:eastAsia="Arial" w:hAnsi="Arial" w:cs="Arial"/>
          <w:sz w:val="22"/>
          <w:szCs w:val="22"/>
        </w:rPr>
        <w:t>, 26(4), pp. 1102–1115.</w:t>
      </w:r>
    </w:p>
    <w:p w14:paraId="5B9D7D6E"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Diabetes UK (2026) </w:t>
      </w:r>
      <w:r w:rsidRPr="00A438CD">
        <w:rPr>
          <w:rFonts w:ascii="Arial" w:eastAsia="Arial" w:hAnsi="Arial" w:cs="Arial"/>
          <w:i/>
          <w:iCs/>
          <w:sz w:val="22"/>
          <w:szCs w:val="22"/>
        </w:rPr>
        <w:t>Diabetes UK Strategy 2026-2030: More people in remission</w:t>
      </w:r>
      <w:r w:rsidRPr="00A438CD">
        <w:rPr>
          <w:rFonts w:ascii="Arial" w:eastAsia="Arial" w:hAnsi="Arial" w:cs="Arial"/>
          <w:sz w:val="22"/>
          <w:szCs w:val="22"/>
        </w:rPr>
        <w:t>. Available at: [URL] (Accessed: 31 March 2026).</w:t>
      </w:r>
    </w:p>
    <w:p w14:paraId="43E1D5BA"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Diabetes UK (2026) </w:t>
      </w:r>
      <w:r w:rsidRPr="00A438CD">
        <w:rPr>
          <w:rFonts w:ascii="Arial" w:eastAsia="Arial" w:hAnsi="Arial" w:cs="Arial"/>
          <w:i/>
          <w:iCs/>
          <w:sz w:val="22"/>
          <w:szCs w:val="22"/>
        </w:rPr>
        <w:t>The Future of Diabetes Care: 2026 Report</w:t>
      </w:r>
      <w:r w:rsidRPr="00A438CD">
        <w:rPr>
          <w:rFonts w:ascii="Arial" w:eastAsia="Arial" w:hAnsi="Arial" w:cs="Arial"/>
          <w:sz w:val="22"/>
          <w:szCs w:val="22"/>
        </w:rPr>
        <w:t>. London: Diabetes UK.</w:t>
      </w:r>
    </w:p>
    <w:p w14:paraId="49D12892"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George, M. and Rathakrishnan, R. (2024) ‘A Narrative Review on Clinical Evidence of Tirzepatide's Role in Addressing Type 2 Diabetes and Obesity Management’, Clinical Diabetology, 13(1), pp. 45-58.</w:t>
      </w:r>
    </w:p>
    <w:p w14:paraId="780E475F"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Gough, D., Oliver, S. and Thomas, J. (2017) An Introduction to Systematic Reviews. 2nd edn. London: SAGE Publications.</w:t>
      </w:r>
    </w:p>
    <w:p w14:paraId="56D4FBA6"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Green, A., et al. (2025) ‘Exploring Adults’ Experiences with Tirzepatide for Weight Loss and Diabetes: A Mixed-Methods Study’, </w:t>
      </w:r>
      <w:r w:rsidRPr="00A438CD">
        <w:rPr>
          <w:rFonts w:ascii="Arial" w:eastAsia="Arial" w:hAnsi="Arial" w:cs="Arial"/>
          <w:i/>
          <w:iCs/>
          <w:sz w:val="22"/>
          <w:szCs w:val="22"/>
        </w:rPr>
        <w:t>Journal of Medical Systems</w:t>
      </w:r>
      <w:r w:rsidRPr="00A438CD">
        <w:rPr>
          <w:rFonts w:ascii="Arial" w:eastAsia="Arial" w:hAnsi="Arial" w:cs="Arial"/>
          <w:sz w:val="22"/>
          <w:szCs w:val="22"/>
        </w:rPr>
        <w:t>, 49(1), p. 88.</w:t>
      </w:r>
    </w:p>
    <w:p w14:paraId="43C6FE20"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Green, A., Walters, S. and Finch, J. (2025) 'Beyond the needle: longitudinal dietary adherence and psychological barriers in Tirzepatide users', </w:t>
      </w:r>
      <w:r w:rsidRPr="00A438CD">
        <w:rPr>
          <w:rFonts w:ascii="Arial" w:eastAsia="Arial" w:hAnsi="Arial" w:cs="Arial"/>
          <w:i/>
          <w:iCs/>
          <w:sz w:val="22"/>
          <w:szCs w:val="22"/>
        </w:rPr>
        <w:t>British Journal of Health Psychology</w:t>
      </w:r>
      <w:r w:rsidRPr="00A438CD">
        <w:rPr>
          <w:rFonts w:ascii="Arial" w:eastAsia="Arial" w:hAnsi="Arial" w:cs="Arial"/>
          <w:sz w:val="22"/>
          <w:szCs w:val="22"/>
        </w:rPr>
        <w:t>, 30(1), pp. 88–104.</w:t>
      </w:r>
    </w:p>
    <w:p w14:paraId="440FDDE7" w14:textId="77777777" w:rsidR="008E55D3" w:rsidRPr="00A438CD" w:rsidRDefault="008E55D3" w:rsidP="00A438CD">
      <w:pPr>
        <w:spacing w:before="240" w:after="240" w:line="360" w:lineRule="auto"/>
        <w:ind w:left="360"/>
        <w:rPr>
          <w:rFonts w:ascii="Arial" w:eastAsia="Arial" w:hAnsi="Arial" w:cs="Arial"/>
          <w:i/>
          <w:sz w:val="22"/>
          <w:szCs w:val="22"/>
        </w:rPr>
      </w:pPr>
      <w:r w:rsidRPr="00A438CD">
        <w:rPr>
          <w:rFonts w:ascii="Arial" w:eastAsia="Arial" w:hAnsi="Arial" w:cs="Arial"/>
          <w:sz w:val="22"/>
          <w:szCs w:val="22"/>
        </w:rPr>
        <w:t xml:space="preserve">Hogg, M.A. and Vaughan, G.M. (2018) </w:t>
      </w:r>
      <w:r w:rsidRPr="00A438CD">
        <w:rPr>
          <w:rFonts w:ascii="Arial" w:eastAsia="Arial" w:hAnsi="Arial" w:cs="Arial"/>
          <w:i/>
          <w:iCs/>
          <w:sz w:val="22"/>
          <w:szCs w:val="22"/>
        </w:rPr>
        <w:t>Social Psychology</w:t>
      </w:r>
      <w:r w:rsidRPr="00A438CD">
        <w:rPr>
          <w:rFonts w:ascii="Arial" w:eastAsia="Arial" w:hAnsi="Arial" w:cs="Arial"/>
          <w:sz w:val="22"/>
          <w:szCs w:val="22"/>
        </w:rPr>
        <w:t xml:space="preserve">. 8th edn. London: Pearson. </w:t>
      </w:r>
      <w:r w:rsidRPr="00A438CD">
        <w:rPr>
          <w:rFonts w:ascii="Arial" w:eastAsia="Arial" w:hAnsi="Arial" w:cs="Arial"/>
          <w:i/>
          <w:iCs/>
          <w:sz w:val="22"/>
          <w:szCs w:val="22"/>
        </w:rPr>
        <w:t>(Used for Social Identity Theory and stigma).</w:t>
      </w:r>
    </w:p>
    <w:p w14:paraId="2FC0BD50"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Jackson, S.E. et al. (2025) 'Prevalence of use and interest in using glucagon-like peptide-1 receptor agonists for weight loss: a population study in Great Britain', </w:t>
      </w:r>
      <w:r w:rsidRPr="00A438CD">
        <w:rPr>
          <w:rFonts w:ascii="Arial" w:eastAsia="Arial" w:hAnsi="Arial" w:cs="Arial"/>
          <w:i/>
          <w:iCs/>
          <w:sz w:val="22"/>
          <w:szCs w:val="22"/>
        </w:rPr>
        <w:t>BMC Medicine</w:t>
      </w:r>
      <w:r w:rsidRPr="00A438CD">
        <w:rPr>
          <w:rFonts w:ascii="Arial" w:eastAsia="Arial" w:hAnsi="Arial" w:cs="Arial"/>
          <w:sz w:val="22"/>
          <w:szCs w:val="22"/>
        </w:rPr>
        <w:t>, 23(1), p. 452. doi:10.1186/s12916-025-04528-7.</w:t>
      </w:r>
    </w:p>
    <w:p w14:paraId="102B6A1A"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Mahase, E. (2023) 'Tirzepatide: NICE recommends another GLP-1 agonist for type 2 diabetes', </w:t>
      </w:r>
      <w:r w:rsidRPr="00A438CD">
        <w:rPr>
          <w:rFonts w:ascii="Arial" w:eastAsia="Arial" w:hAnsi="Arial" w:cs="Arial"/>
          <w:i/>
          <w:iCs/>
          <w:sz w:val="22"/>
          <w:szCs w:val="22"/>
        </w:rPr>
        <w:t>BMJ</w:t>
      </w:r>
      <w:r w:rsidRPr="00A438CD">
        <w:rPr>
          <w:rFonts w:ascii="Arial" w:eastAsia="Arial" w:hAnsi="Arial" w:cs="Arial"/>
          <w:sz w:val="22"/>
          <w:szCs w:val="22"/>
        </w:rPr>
        <w:t>, 382, p. p2074. doi:10.1136/bmj.p2074.</w:t>
      </w:r>
    </w:p>
    <w:p w14:paraId="6C921839"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Matza, L. S., Stewart, K. D., Landrian, A. S., et al. (2022) ‘Exit Interviews Examining the Patient Experience in Clinical Trials of Tirzepatide for Treatment of Type 2 Diabetes’, Patient, 15(6), pp. 687–699.</w:t>
      </w:r>
    </w:p>
    <w:p w14:paraId="3BB82610"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lastRenderedPageBreak/>
        <w:t>Matza, L. S., Stewart, K. D., Landrian, A. S., et al. (2024) ‘Patient Experience of Treatment with Tirzepatide for Weight Management: Exit Interviews from SURMOUNT-4’, Journal of Patient-Reported Outcomes, 8(1), p. 16.</w:t>
      </w:r>
    </w:p>
    <w:p w14:paraId="22990842"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Meline, T. (2006) ‘Selecting Studies for Systematic Review: Inclusion and Exclusion Criteria’, Contemporary Issues in Communication Science and Disorders, 33(Spring), pp. 21–27.</w:t>
      </w:r>
    </w:p>
    <w:p w14:paraId="3D036943"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National Institute for Health and Care Excellence (NICE) (2023) </w:t>
      </w:r>
      <w:r w:rsidRPr="00A438CD">
        <w:rPr>
          <w:rFonts w:ascii="Arial" w:eastAsia="Arial" w:hAnsi="Arial" w:cs="Arial"/>
          <w:i/>
          <w:iCs/>
          <w:sz w:val="22"/>
          <w:szCs w:val="22"/>
        </w:rPr>
        <w:t>Tirzepatide for treating type 2 diabetes: Technology appraisal guidance [TA924]</w:t>
      </w:r>
      <w:r w:rsidRPr="00A438CD">
        <w:rPr>
          <w:rFonts w:ascii="Arial" w:eastAsia="Arial" w:hAnsi="Arial" w:cs="Arial"/>
          <w:sz w:val="22"/>
          <w:szCs w:val="22"/>
        </w:rPr>
        <w:t>. London: NICE.</w:t>
      </w:r>
    </w:p>
    <w:p w14:paraId="46EA1278"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National Institute for Health and Care Excellence (NICE) (2023) </w:t>
      </w:r>
      <w:r w:rsidRPr="00A438CD">
        <w:rPr>
          <w:rFonts w:ascii="Arial" w:eastAsia="Arial" w:hAnsi="Arial" w:cs="Arial"/>
          <w:i/>
          <w:iCs/>
          <w:sz w:val="22"/>
          <w:szCs w:val="22"/>
        </w:rPr>
        <w:t>Tirzepatide for treating type 2 diabetes [TA924]</w:t>
      </w:r>
      <w:r w:rsidRPr="00A438CD">
        <w:rPr>
          <w:rFonts w:ascii="Arial" w:eastAsia="Arial" w:hAnsi="Arial" w:cs="Arial"/>
          <w:sz w:val="22"/>
          <w:szCs w:val="22"/>
        </w:rPr>
        <w:t xml:space="preserve">. Available at: </w:t>
      </w:r>
      <w:hyperlink r:id="rId26" w:tgtFrame="_blank" w:history="1">
        <w:r w:rsidRPr="00A438CD">
          <w:rPr>
            <w:rStyle w:val="Hyperlink"/>
            <w:rFonts w:ascii="Arial" w:eastAsia="Arial" w:hAnsi="Arial" w:cs="Arial"/>
            <w:sz w:val="22"/>
            <w:szCs w:val="22"/>
          </w:rPr>
          <w:t>https://www.nice.org.uk/guidance/ta924</w:t>
        </w:r>
      </w:hyperlink>
      <w:r w:rsidRPr="00A438CD">
        <w:rPr>
          <w:rFonts w:ascii="Arial" w:eastAsia="Arial" w:hAnsi="Arial" w:cs="Arial"/>
          <w:sz w:val="22"/>
          <w:szCs w:val="22"/>
        </w:rPr>
        <w:t xml:space="preserve"> (Accessed: 14 May 2026).</w:t>
      </w:r>
    </w:p>
    <w:p w14:paraId="1CD36B59"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National Institute for Health and Care Excellence (NICE) (2024) </w:t>
      </w:r>
      <w:r w:rsidRPr="00A438CD">
        <w:rPr>
          <w:rFonts w:ascii="Arial" w:eastAsia="Arial" w:hAnsi="Arial" w:cs="Arial"/>
          <w:i/>
          <w:iCs/>
          <w:sz w:val="22"/>
          <w:szCs w:val="22"/>
        </w:rPr>
        <w:t>Tirzepatide for managing overweight and obesity. Technology appraisal guidance [TA1026]</w:t>
      </w:r>
      <w:r w:rsidRPr="00A438CD">
        <w:rPr>
          <w:rFonts w:ascii="Arial" w:eastAsia="Arial" w:hAnsi="Arial" w:cs="Arial"/>
          <w:sz w:val="22"/>
          <w:szCs w:val="22"/>
        </w:rPr>
        <w:t>. London: NICE.</w:t>
      </w:r>
    </w:p>
    <w:p w14:paraId="75CA026E"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National Institute for Health and Care Excellence (NICE) (2026) </w:t>
      </w:r>
      <w:r w:rsidRPr="00A438CD">
        <w:rPr>
          <w:rFonts w:ascii="Arial" w:eastAsia="Arial" w:hAnsi="Arial" w:cs="Arial"/>
          <w:i/>
          <w:iCs/>
          <w:sz w:val="22"/>
          <w:szCs w:val="22"/>
        </w:rPr>
        <w:t>Type 2 diabetes in adults: choosing, reviewing and changing medicines</w:t>
      </w:r>
      <w:r w:rsidRPr="00A438CD">
        <w:rPr>
          <w:rFonts w:ascii="Arial" w:eastAsia="Arial" w:hAnsi="Arial" w:cs="Arial"/>
          <w:sz w:val="22"/>
          <w:szCs w:val="22"/>
        </w:rPr>
        <w:t>. London: NICE.</w:t>
      </w:r>
    </w:p>
    <w:p w14:paraId="61CC32A4"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NHS England (2025) </w:t>
      </w:r>
      <w:r w:rsidRPr="00A438CD">
        <w:rPr>
          <w:rFonts w:ascii="Arial" w:eastAsia="Arial" w:hAnsi="Arial" w:cs="Arial"/>
          <w:i/>
          <w:iCs/>
          <w:sz w:val="22"/>
          <w:szCs w:val="22"/>
        </w:rPr>
        <w:t>Implementing Tirzepatide (Mounjaro) in Primary Care: A National Roadmap</w:t>
      </w:r>
      <w:r w:rsidRPr="00A438CD">
        <w:rPr>
          <w:rFonts w:ascii="Arial" w:eastAsia="Arial" w:hAnsi="Arial" w:cs="Arial"/>
          <w:sz w:val="22"/>
          <w:szCs w:val="22"/>
        </w:rPr>
        <w:t>. London: NHS England.</w:t>
      </w:r>
    </w:p>
    <w:p w14:paraId="71BFA101"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NHS England (2025) </w:t>
      </w:r>
      <w:r w:rsidRPr="00A438CD">
        <w:rPr>
          <w:rFonts w:ascii="Arial" w:eastAsia="Arial" w:hAnsi="Arial" w:cs="Arial"/>
          <w:i/>
          <w:iCs/>
          <w:sz w:val="22"/>
          <w:szCs w:val="22"/>
        </w:rPr>
        <w:t>Interim commissioning guidance for Tirzepatide implementation</w:t>
      </w:r>
      <w:r w:rsidRPr="00A438CD">
        <w:rPr>
          <w:rFonts w:ascii="Arial" w:eastAsia="Arial" w:hAnsi="Arial" w:cs="Arial"/>
          <w:sz w:val="22"/>
          <w:szCs w:val="22"/>
        </w:rPr>
        <w:t>. London: NHS England.</w:t>
      </w:r>
    </w:p>
    <w:p w14:paraId="5F90A4FD"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NHS England (2025) </w:t>
      </w:r>
      <w:r w:rsidRPr="00A438CD">
        <w:rPr>
          <w:rFonts w:ascii="Arial" w:eastAsia="Arial" w:hAnsi="Arial" w:cs="Arial"/>
          <w:i/>
          <w:iCs/>
          <w:sz w:val="22"/>
          <w:szCs w:val="22"/>
        </w:rPr>
        <w:t>Interim commissioning guidance for tirzepatide</w:t>
      </w:r>
      <w:r w:rsidRPr="00A438CD">
        <w:rPr>
          <w:rFonts w:ascii="Arial" w:eastAsia="Arial" w:hAnsi="Arial" w:cs="Arial"/>
          <w:sz w:val="22"/>
          <w:szCs w:val="22"/>
        </w:rPr>
        <w:t>. London: NHS England.</w:t>
      </w:r>
    </w:p>
    <w:p w14:paraId="4B16610A"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NHS England (2025) Interim commissioning guidance: Implementation of the NICE technology appraisal TA1026 and the NICE funding variation for tirzepatide (Mounjaro®). London: NHS England.</w:t>
      </w:r>
    </w:p>
    <w:p w14:paraId="6B837D10"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NHS England (2026) </w:t>
      </w:r>
      <w:r w:rsidRPr="00A438CD">
        <w:rPr>
          <w:rFonts w:ascii="Arial" w:eastAsia="Arial" w:hAnsi="Arial" w:cs="Arial"/>
          <w:i/>
          <w:iCs/>
          <w:sz w:val="22"/>
          <w:szCs w:val="22"/>
        </w:rPr>
        <w:t>National Framework for GLP-1 and Dual-Agonist Prescribing</w:t>
      </w:r>
      <w:r w:rsidRPr="00A438CD">
        <w:rPr>
          <w:rFonts w:ascii="Arial" w:eastAsia="Arial" w:hAnsi="Arial" w:cs="Arial"/>
          <w:sz w:val="22"/>
          <w:szCs w:val="22"/>
        </w:rPr>
        <w:t>. London: NHS England.</w:t>
      </w:r>
    </w:p>
    <w:p w14:paraId="2E61CB7F"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NICE (2023) </w:t>
      </w:r>
      <w:r w:rsidRPr="00A438CD">
        <w:rPr>
          <w:rFonts w:ascii="Arial" w:eastAsia="Arial" w:hAnsi="Arial" w:cs="Arial"/>
          <w:i/>
          <w:iCs/>
          <w:sz w:val="22"/>
          <w:szCs w:val="22"/>
        </w:rPr>
        <w:t>Tirzepatide for treating type 2 diabetes [TA924]</w:t>
      </w:r>
      <w:r w:rsidRPr="00A438CD">
        <w:rPr>
          <w:rFonts w:ascii="Arial" w:eastAsia="Arial" w:hAnsi="Arial" w:cs="Arial"/>
          <w:sz w:val="22"/>
          <w:szCs w:val="22"/>
        </w:rPr>
        <w:t>. London: NICE.</w:t>
      </w:r>
    </w:p>
    <w:p w14:paraId="78C88433"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lastRenderedPageBreak/>
        <w:t xml:space="preserve">NICE (2024) </w:t>
      </w:r>
      <w:r w:rsidRPr="00A438CD">
        <w:rPr>
          <w:rFonts w:ascii="Arial" w:eastAsia="Arial" w:hAnsi="Arial" w:cs="Arial"/>
          <w:i/>
          <w:iCs/>
          <w:sz w:val="22"/>
          <w:szCs w:val="22"/>
        </w:rPr>
        <w:t>Tirzepatide for treating type 2 diabetes: Technology appraisal guidance [TA924]</w:t>
      </w:r>
      <w:r w:rsidRPr="00A438CD">
        <w:rPr>
          <w:rFonts w:ascii="Arial" w:eastAsia="Arial" w:hAnsi="Arial" w:cs="Arial"/>
          <w:sz w:val="22"/>
          <w:szCs w:val="22"/>
        </w:rPr>
        <w:t>. London: National Institute for Health and Care Excellence.</w:t>
      </w:r>
    </w:p>
    <w:p w14:paraId="3F849A27"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Noyes, J. et al. (2019) 'Qualitative evidence synthesis: better guidelines for better reviews', </w:t>
      </w:r>
      <w:r w:rsidRPr="00A438CD">
        <w:rPr>
          <w:rFonts w:ascii="Arial" w:eastAsia="Arial" w:hAnsi="Arial" w:cs="Arial"/>
          <w:i/>
          <w:iCs/>
          <w:sz w:val="22"/>
          <w:szCs w:val="22"/>
        </w:rPr>
        <w:t>Journal of Clinical Epidemiology</w:t>
      </w:r>
      <w:r w:rsidRPr="00A438CD">
        <w:rPr>
          <w:rFonts w:ascii="Arial" w:eastAsia="Arial" w:hAnsi="Arial" w:cs="Arial"/>
          <w:sz w:val="22"/>
          <w:szCs w:val="22"/>
        </w:rPr>
        <w:t>, 110, pp. 80–91. doi:10.1016/j.jclinepi.2019.03.009.</w:t>
      </w:r>
    </w:p>
    <w:p w14:paraId="5D1AAD4C"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Noyes, J., et al. (2019) ‘Chapter 21: Qualitative evidence’, in Higgins, J.P.T., et al. (eds.) </w:t>
      </w:r>
      <w:r w:rsidRPr="00A438CD">
        <w:rPr>
          <w:rFonts w:ascii="Arial" w:eastAsia="Arial" w:hAnsi="Arial" w:cs="Arial"/>
          <w:i/>
          <w:iCs/>
          <w:sz w:val="22"/>
          <w:szCs w:val="22"/>
        </w:rPr>
        <w:t>Cochrane Handbook for Systematic Reviews of Interventions</w:t>
      </w:r>
      <w:r w:rsidRPr="00A438CD">
        <w:rPr>
          <w:rFonts w:ascii="Arial" w:eastAsia="Arial" w:hAnsi="Arial" w:cs="Arial"/>
          <w:sz w:val="22"/>
          <w:szCs w:val="22"/>
        </w:rPr>
        <w:t>. 2nd edn. London: Wiley-Blackwell.</w:t>
      </w:r>
    </w:p>
    <w:p w14:paraId="6377225C"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Page, M.J., McKenzie, J.E., Bossuyt, P.M., Boutron, I., Hoffmann, T.C., Mulrow, C.D., Shamseer, L., Tetzlaff, J.M., Akl, E.A., Brennan, S.E. and Chou, R. (2021) ‘The PRISMA 2020 statement: an updated guideline for reporting systematic reviews’, BMJ, 372(71), p. n71.</w:t>
      </w:r>
    </w:p>
    <w:p w14:paraId="6C6E16E2"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Patel, S., et al. (2025) ‘Cultural barriers and facilitators to GLP-1/GIP therapy in South Asian communities in the UK: A qualitative interview study’, </w:t>
      </w:r>
      <w:r w:rsidRPr="00A438CD">
        <w:rPr>
          <w:rFonts w:ascii="Arial" w:eastAsia="Arial" w:hAnsi="Arial" w:cs="Arial"/>
          <w:i/>
          <w:iCs/>
          <w:sz w:val="22"/>
          <w:szCs w:val="22"/>
        </w:rPr>
        <w:t>The Lancet Regional Health - Europe</w:t>
      </w:r>
      <w:r w:rsidRPr="00A438CD">
        <w:rPr>
          <w:rFonts w:ascii="Arial" w:eastAsia="Arial" w:hAnsi="Arial" w:cs="Arial"/>
          <w:sz w:val="22"/>
          <w:szCs w:val="22"/>
        </w:rPr>
        <w:t>, 42, p. 100892.</w:t>
      </w:r>
    </w:p>
    <w:p w14:paraId="5670D8C8"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Patel, S., Khan, A. and Gupta, R. (2025) 'Cultural perceptions of injectable dual-agonists in South Asian communities in the UK: a qualitative study', </w:t>
      </w:r>
      <w:r w:rsidRPr="00A438CD">
        <w:rPr>
          <w:rFonts w:ascii="Arial" w:eastAsia="Arial" w:hAnsi="Arial" w:cs="Arial"/>
          <w:i/>
          <w:iCs/>
          <w:sz w:val="22"/>
          <w:szCs w:val="22"/>
        </w:rPr>
        <w:t>Ethnicity &amp; Health</w:t>
      </w:r>
      <w:r w:rsidRPr="00A438CD">
        <w:rPr>
          <w:rFonts w:ascii="Arial" w:eastAsia="Arial" w:hAnsi="Arial" w:cs="Arial"/>
          <w:sz w:val="22"/>
          <w:szCs w:val="22"/>
        </w:rPr>
        <w:t>, 30(2), pp. 210–225.</w:t>
      </w:r>
    </w:p>
    <w:p w14:paraId="42395416"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PubMed (2014) ‘A qualitative synthesis of diabetes self-management strategies for long term medical outcomes and quality of life in the UK’, National Library of Medicine. [Online]. Available at: https://pubmed.ncbi.nlm.nih.gov/25127714/ (Accessed: 1 April 2026).</w:t>
      </w:r>
    </w:p>
    <w:p w14:paraId="2C5BAB42"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Smith, J., et al. (2025) ‘GPs’ perspectives on GLP-1RAs for obesity and diabetes management: a qualitative study in England’, </w:t>
      </w:r>
      <w:r w:rsidRPr="00A438CD">
        <w:rPr>
          <w:rFonts w:ascii="Arial" w:eastAsia="Arial" w:hAnsi="Arial" w:cs="Arial"/>
          <w:i/>
          <w:iCs/>
          <w:sz w:val="22"/>
          <w:szCs w:val="22"/>
        </w:rPr>
        <w:t>British Journal of General Practice</w:t>
      </w:r>
      <w:r w:rsidRPr="00A438CD">
        <w:rPr>
          <w:rFonts w:ascii="Arial" w:eastAsia="Arial" w:hAnsi="Arial" w:cs="Arial"/>
          <w:sz w:val="22"/>
          <w:szCs w:val="22"/>
        </w:rPr>
        <w:t>, 75(760), pp. e759–e766.</w:t>
      </w:r>
    </w:p>
    <w:p w14:paraId="53C5BF98"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Smith, P.J. (2025) 'Anti-obesity drugs for the gastroenterologist: management of GI side effects and titration barriers', </w:t>
      </w:r>
      <w:r w:rsidRPr="00A438CD">
        <w:rPr>
          <w:rFonts w:ascii="Arial" w:eastAsia="Arial" w:hAnsi="Arial" w:cs="Arial"/>
          <w:i/>
          <w:iCs/>
          <w:sz w:val="22"/>
          <w:szCs w:val="22"/>
        </w:rPr>
        <w:t>Frontline Gastroenterology</w:t>
      </w:r>
      <w:r w:rsidRPr="00A438CD">
        <w:rPr>
          <w:rFonts w:ascii="Arial" w:eastAsia="Arial" w:hAnsi="Arial" w:cs="Arial"/>
          <w:sz w:val="22"/>
          <w:szCs w:val="22"/>
        </w:rPr>
        <w:t>, 16(4), pp. 321–322. doi:10.1136/flgastro-2025-103241.</w:t>
      </w:r>
    </w:p>
    <w:p w14:paraId="64540208"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Smith, T. and Jones, R. (2025) ‘The impact of "Food Noise" on medication adherence in the UK’, </w:t>
      </w:r>
      <w:r w:rsidRPr="00A438CD">
        <w:rPr>
          <w:rFonts w:ascii="Arial" w:eastAsia="Arial" w:hAnsi="Arial" w:cs="Arial"/>
          <w:i/>
          <w:iCs/>
          <w:sz w:val="22"/>
          <w:szCs w:val="22"/>
        </w:rPr>
        <w:t>British Journal of Diabetes</w:t>
      </w:r>
      <w:r w:rsidRPr="00A438CD">
        <w:rPr>
          <w:rFonts w:ascii="Arial" w:eastAsia="Arial" w:hAnsi="Arial" w:cs="Arial"/>
          <w:sz w:val="22"/>
          <w:szCs w:val="22"/>
        </w:rPr>
        <w:t>, 25(2), pp. 110–118.</w:t>
      </w:r>
    </w:p>
    <w:p w14:paraId="05DEE89E"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lastRenderedPageBreak/>
        <w:t>Thomas, J. and Harden, A. (2008) ‘Methods for the thematic synthesis of qualitative research in systematic reviews’, BMC Medical Research Methodology, 8(45)</w:t>
      </w:r>
    </w:p>
    <w:p w14:paraId="538EA49A"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University of Surrey (2026) ‘Attitudes towards injectable GLP-1 drugs: A qualitative interview study with patients and healthcare professionals’, </w:t>
      </w:r>
      <w:r w:rsidRPr="00A438CD">
        <w:rPr>
          <w:rFonts w:ascii="Arial" w:eastAsia="Arial" w:hAnsi="Arial" w:cs="Arial"/>
          <w:i/>
          <w:iCs/>
          <w:sz w:val="22"/>
          <w:szCs w:val="22"/>
        </w:rPr>
        <w:t>Surrey Open Research</w:t>
      </w:r>
      <w:r w:rsidRPr="00A438CD">
        <w:rPr>
          <w:rFonts w:ascii="Arial" w:eastAsia="Arial" w:hAnsi="Arial" w:cs="Arial"/>
          <w:sz w:val="22"/>
          <w:szCs w:val="22"/>
        </w:rPr>
        <w:t xml:space="preserve">, [Online]. Available at: </w:t>
      </w:r>
      <w:hyperlink r:id="rId27">
        <w:r w:rsidRPr="00A438CD">
          <w:rPr>
            <w:rStyle w:val="Hyperlink"/>
            <w:rFonts w:ascii="Arial" w:eastAsia="Arial" w:hAnsi="Arial" w:cs="Arial"/>
            <w:color w:val="auto"/>
            <w:sz w:val="22"/>
            <w:szCs w:val="22"/>
          </w:rPr>
          <w:t>https://openresearch.surrey.ac.uk/</w:t>
        </w:r>
      </w:hyperlink>
      <w:r w:rsidRPr="00A438CD">
        <w:rPr>
          <w:rFonts w:ascii="Arial" w:eastAsia="Arial" w:hAnsi="Arial" w:cs="Arial"/>
          <w:sz w:val="22"/>
          <w:szCs w:val="22"/>
        </w:rPr>
        <w:t xml:space="preserve"> (Accessed: 10 March 2026).</w:t>
      </w:r>
    </w:p>
    <w:p w14:paraId="224D926C"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University of Surrey (2026) </w:t>
      </w:r>
      <w:r w:rsidRPr="00A438CD">
        <w:rPr>
          <w:rFonts w:ascii="Arial" w:eastAsia="Arial" w:hAnsi="Arial" w:cs="Arial"/>
          <w:i/>
          <w:iCs/>
          <w:sz w:val="22"/>
          <w:szCs w:val="22"/>
        </w:rPr>
        <w:t>The Logistical Burden of Injectable Therapies: A Qualitative Analysis of Urban Patient Experiences</w:t>
      </w:r>
      <w:r w:rsidRPr="00A438CD">
        <w:rPr>
          <w:rFonts w:ascii="Arial" w:eastAsia="Arial" w:hAnsi="Arial" w:cs="Arial"/>
          <w:sz w:val="22"/>
          <w:szCs w:val="22"/>
        </w:rPr>
        <w:t>. Guildford: University of Surrey Academic Press.</w:t>
      </w:r>
    </w:p>
    <w:p w14:paraId="14F6F0FC"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West, S. et al. (2025) 'Weight regain after cessation of medication for weight management: systematic review and meta-analysis', </w:t>
      </w:r>
      <w:r w:rsidRPr="00A438CD">
        <w:rPr>
          <w:rFonts w:ascii="Arial" w:eastAsia="Arial" w:hAnsi="Arial" w:cs="Arial"/>
          <w:i/>
          <w:iCs/>
          <w:sz w:val="22"/>
          <w:szCs w:val="22"/>
        </w:rPr>
        <w:t>The BMJ</w:t>
      </w:r>
      <w:r w:rsidRPr="00A438CD">
        <w:rPr>
          <w:rFonts w:ascii="Arial" w:eastAsia="Arial" w:hAnsi="Arial" w:cs="Arial"/>
          <w:sz w:val="22"/>
          <w:szCs w:val="22"/>
        </w:rPr>
        <w:t>, 392, p. bmj-2025-085304. doi:10.1136/bmj.2025.085304.</w:t>
      </w:r>
    </w:p>
    <w:p w14:paraId="6087AC6A"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White, C. (2025) 'Pharmaceutical gentrification: the two-tier divide in UK GLP-1 access', </w:t>
      </w:r>
      <w:r w:rsidRPr="00A438CD">
        <w:rPr>
          <w:rFonts w:ascii="Arial" w:eastAsia="Arial" w:hAnsi="Arial" w:cs="Arial"/>
          <w:i/>
          <w:iCs/>
          <w:sz w:val="22"/>
          <w:szCs w:val="22"/>
        </w:rPr>
        <w:t>The Lancet Public Health</w:t>
      </w:r>
      <w:r w:rsidRPr="00A438CD">
        <w:rPr>
          <w:rFonts w:ascii="Arial" w:eastAsia="Arial" w:hAnsi="Arial" w:cs="Arial"/>
          <w:sz w:val="22"/>
          <w:szCs w:val="22"/>
        </w:rPr>
        <w:t>, 10(2), pp. 142–144.</w:t>
      </w:r>
    </w:p>
    <w:p w14:paraId="4FEE598A"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White, S. (2025) ‘The "Two-tier" system: A qualitative analysis of patient experiences navigating private vs NHS access to Tirzepatide in the UK’, </w:t>
      </w:r>
      <w:r w:rsidRPr="00A438CD">
        <w:rPr>
          <w:rFonts w:ascii="Arial" w:eastAsia="Arial" w:hAnsi="Arial" w:cs="Arial"/>
          <w:i/>
          <w:iCs/>
          <w:sz w:val="22"/>
          <w:szCs w:val="22"/>
        </w:rPr>
        <w:t>Health Policy</w:t>
      </w:r>
      <w:r w:rsidRPr="00A438CD">
        <w:rPr>
          <w:rFonts w:ascii="Arial" w:eastAsia="Arial" w:hAnsi="Arial" w:cs="Arial"/>
          <w:sz w:val="22"/>
          <w:szCs w:val="22"/>
        </w:rPr>
        <w:t>, 130, pp. 45–52.</w:t>
      </w:r>
    </w:p>
    <w:p w14:paraId="05EDE6B7"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World Medical Association (WMA) (2013) Declaration of Helsinki: Ethical Principles for Medical Research Involving Human Subjects. Ferney-Voltaire: WMA.</w:t>
      </w:r>
    </w:p>
    <w:p w14:paraId="12B8BD52" w14:textId="77777777" w:rsidR="008E55D3" w:rsidRPr="00A438CD" w:rsidRDefault="008E55D3" w:rsidP="00A438CD">
      <w:pPr>
        <w:spacing w:before="240" w:after="240" w:line="360" w:lineRule="auto"/>
        <w:ind w:left="360"/>
        <w:rPr>
          <w:rFonts w:ascii="Arial" w:eastAsia="Arial" w:hAnsi="Arial" w:cs="Arial"/>
          <w:sz w:val="22"/>
          <w:szCs w:val="22"/>
        </w:rPr>
      </w:pPr>
      <w:r w:rsidRPr="00A438CD">
        <w:rPr>
          <w:rFonts w:ascii="Arial" w:eastAsia="Arial" w:hAnsi="Arial" w:cs="Arial"/>
          <w:sz w:val="22"/>
          <w:szCs w:val="22"/>
        </w:rPr>
        <w:t xml:space="preserve">World Medical Association (WMA) (2013) </w:t>
      </w:r>
      <w:r w:rsidRPr="00A438CD">
        <w:rPr>
          <w:rFonts w:ascii="Arial" w:eastAsia="Arial" w:hAnsi="Arial" w:cs="Arial"/>
          <w:i/>
          <w:iCs/>
          <w:sz w:val="22"/>
          <w:szCs w:val="22"/>
        </w:rPr>
        <w:t>Declaration of Helsinki: Ethical Principles for Medical Research Involving Human Subjects</w:t>
      </w:r>
      <w:r w:rsidRPr="00A438CD">
        <w:rPr>
          <w:rFonts w:ascii="Arial" w:eastAsia="Arial" w:hAnsi="Arial" w:cs="Arial"/>
          <w:sz w:val="22"/>
          <w:szCs w:val="22"/>
        </w:rPr>
        <w:t xml:space="preserve">. Available at: </w:t>
      </w:r>
      <w:hyperlink r:id="rId28" w:tgtFrame="_blank" w:history="1">
        <w:r w:rsidRPr="00A438CD">
          <w:rPr>
            <w:rStyle w:val="Hyperlink"/>
            <w:rFonts w:ascii="Arial" w:eastAsia="Arial" w:hAnsi="Arial" w:cs="Arial"/>
            <w:sz w:val="22"/>
            <w:szCs w:val="22"/>
          </w:rPr>
          <w:t>https://www.wma.net/</w:t>
        </w:r>
      </w:hyperlink>
      <w:r w:rsidRPr="00A438CD">
        <w:rPr>
          <w:rFonts w:ascii="Arial" w:eastAsia="Arial" w:hAnsi="Arial" w:cs="Arial"/>
          <w:sz w:val="22"/>
          <w:szCs w:val="22"/>
        </w:rPr>
        <w:t xml:space="preserve"> (Accessed: 14 May 2026).</w:t>
      </w:r>
    </w:p>
    <w:p w14:paraId="5D306D24" w14:textId="20EDC646" w:rsidR="2ED0DBC8" w:rsidRDefault="2ED0DBC8" w:rsidP="00FC1D17">
      <w:pPr>
        <w:spacing w:before="240" w:after="240" w:line="360" w:lineRule="auto"/>
        <w:rPr>
          <w:rFonts w:ascii="Arial" w:eastAsia="Arial" w:hAnsi="Arial" w:cs="Arial"/>
        </w:rPr>
      </w:pPr>
    </w:p>
    <w:p w14:paraId="7BB09322" w14:textId="77777777" w:rsidR="00E934AF" w:rsidRDefault="00E934AF" w:rsidP="00FC1D17">
      <w:pPr>
        <w:spacing w:before="240" w:after="240" w:line="360" w:lineRule="auto"/>
        <w:rPr>
          <w:rFonts w:ascii="Arial" w:eastAsia="Arial" w:hAnsi="Arial" w:cs="Arial"/>
        </w:rPr>
      </w:pPr>
    </w:p>
    <w:p w14:paraId="7BD2DE8E" w14:textId="77777777" w:rsidR="00E934AF" w:rsidRDefault="00E934AF" w:rsidP="00FC1D17">
      <w:pPr>
        <w:spacing w:before="240" w:after="240" w:line="360" w:lineRule="auto"/>
        <w:rPr>
          <w:rFonts w:ascii="Arial" w:eastAsia="Arial" w:hAnsi="Arial" w:cs="Arial"/>
        </w:rPr>
      </w:pPr>
    </w:p>
    <w:p w14:paraId="2203EDC0" w14:textId="77777777" w:rsidR="00E934AF" w:rsidRDefault="00E934AF" w:rsidP="00FC1D17">
      <w:pPr>
        <w:spacing w:before="240" w:after="240" w:line="360" w:lineRule="auto"/>
        <w:rPr>
          <w:rFonts w:ascii="Arial" w:eastAsia="Arial" w:hAnsi="Arial" w:cs="Arial"/>
        </w:rPr>
      </w:pPr>
    </w:p>
    <w:p w14:paraId="059DA556" w14:textId="77777777" w:rsidR="00E934AF" w:rsidRPr="00107D0A" w:rsidRDefault="00E934AF" w:rsidP="00FC1D17">
      <w:pPr>
        <w:spacing w:before="240" w:after="240" w:line="360" w:lineRule="auto"/>
        <w:rPr>
          <w:rFonts w:ascii="Arial" w:eastAsia="Arial" w:hAnsi="Arial" w:cs="Arial"/>
        </w:rPr>
      </w:pPr>
    </w:p>
    <w:p w14:paraId="0EF5852C" w14:textId="4494F6B6" w:rsidR="36CBD43B" w:rsidRPr="00647001" w:rsidRDefault="4F24DF1A" w:rsidP="00125A9E">
      <w:pPr>
        <w:pStyle w:val="Heading1"/>
        <w:rPr>
          <w:b/>
          <w:bCs/>
        </w:rPr>
      </w:pPr>
      <w:bookmarkStart w:id="117" w:name="_Toc230113939"/>
      <w:r w:rsidRPr="00647001">
        <w:rPr>
          <w:b/>
          <w:bCs/>
        </w:rPr>
        <w:lastRenderedPageBreak/>
        <w:t>APPENDIX</w:t>
      </w:r>
      <w:bookmarkEnd w:id="117"/>
    </w:p>
    <w:p w14:paraId="5C781B97" w14:textId="77777777" w:rsidR="00125A9E" w:rsidRPr="00647001" w:rsidRDefault="00125A9E" w:rsidP="00D85C3B">
      <w:pPr>
        <w:pStyle w:val="Heading1"/>
        <w:rPr>
          <w:b/>
          <w:bCs/>
        </w:rPr>
      </w:pPr>
      <w:bookmarkStart w:id="118" w:name="_Toc230113940"/>
      <w:r w:rsidRPr="00647001">
        <w:rPr>
          <w:b/>
          <w:bCs/>
        </w:rPr>
        <w:t>Articles</w:t>
      </w:r>
      <w:bookmarkEnd w:id="118"/>
    </w:p>
    <w:p w14:paraId="06C768DE"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BMJ Public Health (2025) ‘What are community perspectives and experiences around GLP-1 receptor agonist medications for weight loss? A cross-sectional survey study in the UK’, BMJ Public Health, 3(2), e002519. </w:t>
      </w:r>
    </w:p>
    <w:p w14:paraId="2B0ECD8A"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Brown, L. and Thompson, R. (2024) ‘Navigating the "Food Noise": A qualitative study of adults with Type 2 Diabetes using Tirzepatide in NHS primary care’, Journal of Diabetes Nursing, 28(3), pp. 112–119. </w:t>
      </w:r>
    </w:p>
    <w:p w14:paraId="71EFE625"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Davies, M., et al. (2024) ‘Patient-reported outcomes and quality of life in the UK real-world setting: Qualitative sub-analysis of the SURPASS trials’, Diabetic Medicine, 41(S1), e15240. </w:t>
      </w:r>
    </w:p>
    <w:p w14:paraId="1B5D106E"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Green, A., et al. (2025) ‘Exploring Adults’ Experiences with Tirzepatide for Weight Loss and Diabetes: A Mixed-Methods Study’, Journal of Medical Systems, 49(1), p. 88. </w:t>
      </w:r>
    </w:p>
    <w:p w14:paraId="5C4C1085"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National Institute for Health and Care Excellence (NICE) (2023) Tirzepatide for treating type 2 diabetes: Technology appraisal guidance [TA924]. London: NICE. [Contains qualitative evidence from patient expert testimony]. </w:t>
      </w:r>
    </w:p>
    <w:p w14:paraId="6D229FDF"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NHS England (2025) Interim commissioning guidance: Implementation of the NICE technology appraisal TA1026 and the NICE funding variation for tirzepatide (Mounjaro®). London: NHS England. </w:t>
      </w:r>
    </w:p>
    <w:p w14:paraId="645C1AE1"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Patel, S., et al. (2025) ‘Cultural barriers and facilitators to GLP-1/GIP therapy in South Asian communities in the UK: A qualitative interview study’, The Lancet Regional Health - Europe, 42, p. 100892. </w:t>
      </w:r>
    </w:p>
    <w:p w14:paraId="3C802718"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t xml:space="preserve">Smith, J., et al. (2025) ‘GPs’ perspectives on GLP-1RAs for obesity and diabetes management: a qualitative study in England’, British Journal of General Practice, 75(760), pp. e759–e766. </w:t>
      </w:r>
    </w:p>
    <w:p w14:paraId="1B689924" w14:textId="77777777" w:rsidR="00125A9E" w:rsidRPr="00125A9E" w:rsidRDefault="00125A9E" w:rsidP="00125A9E">
      <w:pPr>
        <w:numPr>
          <w:ilvl w:val="0"/>
          <w:numId w:val="4"/>
        </w:numPr>
        <w:spacing w:before="240" w:after="240" w:line="360" w:lineRule="auto"/>
        <w:rPr>
          <w:rFonts w:ascii="Arial" w:eastAsia="Arial" w:hAnsi="Arial" w:cs="Arial"/>
        </w:rPr>
      </w:pPr>
      <w:r w:rsidRPr="00125A9E">
        <w:rPr>
          <w:rFonts w:ascii="Arial" w:eastAsia="Arial" w:hAnsi="Arial" w:cs="Arial"/>
        </w:rPr>
        <w:lastRenderedPageBreak/>
        <w:t xml:space="preserve">University of Surrey (2026) ‘Attitudes towards injectable GLP-1 drugs: A qualitative interview study with patients and healthcare professionals’, Surrey Open Research, [Online]. Available at: </w:t>
      </w:r>
      <w:hyperlink r:id="rId29">
        <w:r w:rsidRPr="00125A9E">
          <w:rPr>
            <w:rStyle w:val="Hyperlink"/>
            <w:rFonts w:ascii="Arial" w:eastAsia="Arial" w:hAnsi="Arial" w:cs="Arial"/>
          </w:rPr>
          <w:t>https://openresearch.surrey.ac.uk/</w:t>
        </w:r>
      </w:hyperlink>
      <w:r w:rsidRPr="00125A9E">
        <w:rPr>
          <w:rFonts w:ascii="Arial" w:eastAsia="Arial" w:hAnsi="Arial" w:cs="Arial"/>
        </w:rPr>
        <w:t xml:space="preserve"> (Accessed: 10 March 2026). </w:t>
      </w:r>
    </w:p>
    <w:p w14:paraId="7DD0EEB1" w14:textId="4D0FE097" w:rsidR="00125A9E" w:rsidRDefault="00125A9E" w:rsidP="00FC1D17">
      <w:pPr>
        <w:numPr>
          <w:ilvl w:val="0"/>
          <w:numId w:val="4"/>
        </w:numPr>
        <w:spacing w:before="240" w:after="240" w:line="360" w:lineRule="auto"/>
        <w:rPr>
          <w:rFonts w:ascii="Arial" w:eastAsia="Arial" w:hAnsi="Arial" w:cs="Arial"/>
        </w:rPr>
      </w:pPr>
      <w:r w:rsidRPr="00125A9E">
        <w:rPr>
          <w:rFonts w:ascii="Arial" w:eastAsia="Arial" w:hAnsi="Arial" w:cs="Arial"/>
        </w:rPr>
        <w:t>White, S. (2025) ‘The "Two-tier" system: A qualitative analysis of patient experiences navigating private vs NHS access to Tirzepatide in the UK’, Health Policy, 130, pp. 45–52.</w:t>
      </w:r>
    </w:p>
    <w:p w14:paraId="01E053F9" w14:textId="77777777" w:rsidR="00647001" w:rsidRPr="00D85C3B" w:rsidRDefault="00647001" w:rsidP="00647001">
      <w:pPr>
        <w:spacing w:before="240" w:after="240" w:line="360" w:lineRule="auto"/>
        <w:ind w:left="720"/>
        <w:rPr>
          <w:rFonts w:ascii="Arial" w:eastAsia="Arial" w:hAnsi="Arial" w:cs="Arial"/>
        </w:rPr>
      </w:pPr>
    </w:p>
    <w:p w14:paraId="1BB78A70" w14:textId="3BE5E6B8" w:rsidR="46DD020E" w:rsidRPr="00647001" w:rsidRDefault="46DD020E" w:rsidP="00960D12">
      <w:pPr>
        <w:pStyle w:val="Heading1"/>
        <w:rPr>
          <w:b/>
          <w:bCs/>
        </w:rPr>
      </w:pPr>
      <w:bookmarkStart w:id="119" w:name="_Toc230113941"/>
      <w:r w:rsidRPr="00647001">
        <w:rPr>
          <w:b/>
          <w:bCs/>
        </w:rPr>
        <w:t>CASP TABLE</w:t>
      </w:r>
      <w:bookmarkEnd w:id="119"/>
    </w:p>
    <w:tbl>
      <w:tblPr>
        <w:tblStyle w:val="PlainTable1"/>
        <w:tblW w:w="0" w:type="auto"/>
        <w:tblLook w:val="06A0" w:firstRow="1" w:lastRow="0" w:firstColumn="1" w:lastColumn="0" w:noHBand="1" w:noVBand="1"/>
      </w:tblPr>
      <w:tblGrid>
        <w:gridCol w:w="727"/>
        <w:gridCol w:w="694"/>
        <w:gridCol w:w="844"/>
        <w:gridCol w:w="766"/>
        <w:gridCol w:w="766"/>
        <w:gridCol w:w="716"/>
        <w:gridCol w:w="844"/>
        <w:gridCol w:w="933"/>
        <w:gridCol w:w="744"/>
        <w:gridCol w:w="688"/>
        <w:gridCol w:w="694"/>
        <w:gridCol w:w="600"/>
      </w:tblGrid>
      <w:tr w:rsidR="0048569E" w:rsidRPr="00107D0A" w14:paraId="01CAD013" w14:textId="77777777" w:rsidTr="1AE78CA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80" w:type="dxa"/>
          </w:tcPr>
          <w:p w14:paraId="7A5AD731" w14:textId="31D9E0E4" w:rsidR="565BC1E0" w:rsidRPr="00107D0A" w:rsidRDefault="565BC1E0" w:rsidP="00FC1D17">
            <w:pPr>
              <w:spacing w:line="360" w:lineRule="auto"/>
              <w:rPr>
                <w:rFonts w:ascii="Arial" w:eastAsia="Arial" w:hAnsi="Arial" w:cs="Arial"/>
              </w:rPr>
            </w:pPr>
            <w:r w:rsidRPr="00107D0A">
              <w:rPr>
                <w:rFonts w:ascii="Arial" w:eastAsia="Arial" w:hAnsi="Arial" w:cs="Arial"/>
              </w:rPr>
              <w:t>Study (Author, Year)</w:t>
            </w:r>
          </w:p>
        </w:tc>
        <w:tc>
          <w:tcPr>
            <w:tcW w:w="750" w:type="dxa"/>
          </w:tcPr>
          <w:p w14:paraId="5F1035F8" w14:textId="40C70004" w:rsidR="0854B802" w:rsidRPr="00107D0A" w:rsidRDefault="0854B802"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Was there a clear statement of the aims of the research?</w:t>
            </w:r>
          </w:p>
        </w:tc>
        <w:tc>
          <w:tcPr>
            <w:tcW w:w="708" w:type="dxa"/>
          </w:tcPr>
          <w:p w14:paraId="0F9736E8" w14:textId="4EB172F7" w:rsidR="29033BE7" w:rsidRPr="00107D0A" w:rsidRDefault="29033BE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Is a qualitative methodology appropriate?</w:t>
            </w:r>
          </w:p>
        </w:tc>
        <w:tc>
          <w:tcPr>
            <w:tcW w:w="690" w:type="dxa"/>
          </w:tcPr>
          <w:p w14:paraId="69D58A0E" w14:textId="0D16839C" w:rsidR="4DDC3170" w:rsidRPr="00107D0A" w:rsidRDefault="4DDC3170"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Was the research design appropriate to address the aims?</w:t>
            </w:r>
          </w:p>
        </w:tc>
        <w:tc>
          <w:tcPr>
            <w:tcW w:w="752" w:type="dxa"/>
          </w:tcPr>
          <w:p w14:paraId="0C980AD6" w14:textId="41C82F47" w:rsidR="0F230D66" w:rsidRPr="00107D0A" w:rsidRDefault="0F230D66"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Was the recruitment strategy appropriate to the aims?</w:t>
            </w:r>
          </w:p>
        </w:tc>
        <w:tc>
          <w:tcPr>
            <w:tcW w:w="691" w:type="dxa"/>
          </w:tcPr>
          <w:p w14:paraId="1D6729B2" w14:textId="4FC405A7" w:rsidR="76840E18" w:rsidRPr="00107D0A" w:rsidRDefault="76840E18"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Was the data collected in a way that addressed the research issue?</w:t>
            </w:r>
          </w:p>
        </w:tc>
        <w:tc>
          <w:tcPr>
            <w:tcW w:w="915" w:type="dxa"/>
          </w:tcPr>
          <w:p w14:paraId="62580099" w14:textId="65FECF64" w:rsidR="0BB046AE" w:rsidRPr="00107D0A" w:rsidRDefault="0BB046AE"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Has the relationship between researcher and participants been adequately considered (Refl</w:t>
            </w:r>
            <w:r w:rsidRPr="00107D0A">
              <w:rPr>
                <w:rFonts w:ascii="Arial" w:eastAsia="Arial" w:hAnsi="Arial" w:cs="Arial"/>
              </w:rPr>
              <w:lastRenderedPageBreak/>
              <w:t>exivity)?</w:t>
            </w:r>
          </w:p>
        </w:tc>
        <w:tc>
          <w:tcPr>
            <w:tcW w:w="645" w:type="dxa"/>
          </w:tcPr>
          <w:p w14:paraId="49B0166D" w14:textId="15110677" w:rsidR="3AB335EE" w:rsidRPr="00107D0A" w:rsidRDefault="3AB335EE"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lastRenderedPageBreak/>
              <w:t>Have ethical issues been taken into consideration?</w:t>
            </w:r>
          </w:p>
        </w:tc>
        <w:tc>
          <w:tcPr>
            <w:tcW w:w="662" w:type="dxa"/>
          </w:tcPr>
          <w:p w14:paraId="4C3D51D0" w14:textId="6CE76C8D" w:rsidR="5AB8DF43" w:rsidRPr="00107D0A" w:rsidRDefault="5AB8DF43"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Was the data analysis sufficiently rigorous?</w:t>
            </w:r>
          </w:p>
        </w:tc>
        <w:tc>
          <w:tcPr>
            <w:tcW w:w="691" w:type="dxa"/>
          </w:tcPr>
          <w:p w14:paraId="4FAC0094" w14:textId="200494C8" w:rsidR="0F227F61" w:rsidRPr="00107D0A" w:rsidRDefault="0F227F61"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Is there a clear statement of findings?</w:t>
            </w:r>
          </w:p>
        </w:tc>
        <w:tc>
          <w:tcPr>
            <w:tcW w:w="765" w:type="dxa"/>
          </w:tcPr>
          <w:p w14:paraId="497807D3" w14:textId="1572630D" w:rsidR="2BCF4FC8" w:rsidRPr="00107D0A" w:rsidRDefault="2BCF4FC8"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How valuable is the research?</w:t>
            </w:r>
          </w:p>
          <w:p w14:paraId="671B938C" w14:textId="2C9FC23B" w:rsidR="1AE78CA7" w:rsidRPr="00107D0A" w:rsidRDefault="1AE78CA7"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p>
        </w:tc>
        <w:tc>
          <w:tcPr>
            <w:tcW w:w="780" w:type="dxa"/>
          </w:tcPr>
          <w:p w14:paraId="2D3DB0A4" w14:textId="5B0DCE47" w:rsidR="0FD11592" w:rsidRPr="00107D0A" w:rsidRDefault="0FD11592" w:rsidP="00FC1D17">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Overall Quality</w:t>
            </w:r>
          </w:p>
        </w:tc>
      </w:tr>
      <w:tr w:rsidR="0048569E" w:rsidRPr="00107D0A" w14:paraId="281ECAAC"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40E26787" w14:textId="1D95EF8D" w:rsidR="7CAACE35" w:rsidRPr="00107D0A" w:rsidRDefault="7CAACE35" w:rsidP="00FC1D17">
            <w:pPr>
              <w:spacing w:line="360" w:lineRule="auto"/>
              <w:rPr>
                <w:rFonts w:ascii="Arial" w:eastAsia="Arial" w:hAnsi="Arial" w:cs="Arial"/>
              </w:rPr>
            </w:pPr>
            <w:r w:rsidRPr="00107D0A">
              <w:rPr>
                <w:rFonts w:ascii="Arial" w:eastAsia="Arial" w:hAnsi="Arial" w:cs="Arial"/>
              </w:rPr>
              <w:t>BMJ Public Health (2025),</w:t>
            </w:r>
          </w:p>
        </w:tc>
        <w:tc>
          <w:tcPr>
            <w:tcW w:w="750" w:type="dxa"/>
          </w:tcPr>
          <w:p w14:paraId="62F8B7DB" w14:textId="65F63734" w:rsidR="7CAACE35" w:rsidRPr="00107D0A" w:rsidRDefault="7CAACE3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4D69C5DF" w14:textId="051623A0" w:rsidR="7CAACE35" w:rsidRPr="00107D0A" w:rsidRDefault="7CAACE3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2510D915" w14:textId="0D5FF8AE" w:rsidR="7CAACE35" w:rsidRPr="00107D0A" w:rsidRDefault="7CAACE3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6E7D340C" w14:textId="60DAF63D" w:rsidR="7CAACE35" w:rsidRPr="00107D0A" w:rsidRDefault="7CAACE3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43312311" w14:textId="68C39753"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2DAD1802" w14:textId="2CEEAF54"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CT</w:t>
            </w:r>
          </w:p>
        </w:tc>
        <w:tc>
          <w:tcPr>
            <w:tcW w:w="645" w:type="dxa"/>
          </w:tcPr>
          <w:p w14:paraId="41E1085F" w14:textId="7591B97A"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27CA6097" w14:textId="5524CD6B"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4AE82059" w14:textId="60195462"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2116D5E7" w14:textId="1AE9CC00"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6745D39E" w14:textId="07953E7F" w:rsidR="7EE15E97" w:rsidRPr="00107D0A" w:rsidRDefault="7EE15E97"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p>
        </w:tc>
      </w:tr>
      <w:tr w:rsidR="0048569E" w:rsidRPr="00107D0A" w14:paraId="2EFA6303"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1386DD89" w14:textId="711BAB57" w:rsidR="404504AF" w:rsidRPr="00107D0A" w:rsidRDefault="404504AF" w:rsidP="00FC1D17">
            <w:pPr>
              <w:spacing w:line="360" w:lineRule="auto"/>
              <w:rPr>
                <w:rFonts w:ascii="Arial" w:eastAsia="Arial" w:hAnsi="Arial" w:cs="Arial"/>
              </w:rPr>
            </w:pPr>
            <w:r w:rsidRPr="00107D0A">
              <w:rPr>
                <w:rFonts w:ascii="Arial" w:eastAsia="Arial" w:hAnsi="Arial" w:cs="Arial"/>
              </w:rPr>
              <w:t>Brown &amp; Thompson (2024)</w:t>
            </w:r>
          </w:p>
        </w:tc>
        <w:tc>
          <w:tcPr>
            <w:tcW w:w="750" w:type="dxa"/>
          </w:tcPr>
          <w:p w14:paraId="75686B43" w14:textId="2E0647B6"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2CB34595" w14:textId="730111A2"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38BA36C3" w14:textId="44AB3688"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28339C79" w14:textId="7CBD3FA3"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4BA81DB6" w14:textId="350FFB15"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23B10D81" w14:textId="35783D9C"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0D9FEBCB" w14:textId="49F303F8"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61D1C9A0" w14:textId="6CAC4E47"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2D2C0083" w14:textId="1A21B41B"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1A1709BD" w14:textId="0D28B31F"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75FF82F1" w14:textId="168FA3B1" w:rsidR="404504AF" w:rsidRPr="00107D0A" w:rsidRDefault="404504A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 xml:space="preserve"> High</w:t>
            </w:r>
          </w:p>
        </w:tc>
      </w:tr>
      <w:tr w:rsidR="0048569E" w:rsidRPr="00107D0A" w14:paraId="488ECBC2"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74B77970" w14:textId="59365E6A" w:rsidR="5387F103" w:rsidRPr="00107D0A" w:rsidRDefault="5387F103" w:rsidP="00FC1D17">
            <w:pPr>
              <w:spacing w:line="360" w:lineRule="auto"/>
              <w:rPr>
                <w:rFonts w:ascii="Arial" w:eastAsia="Arial" w:hAnsi="Arial" w:cs="Arial"/>
              </w:rPr>
            </w:pPr>
            <w:r w:rsidRPr="00107D0A">
              <w:rPr>
                <w:rFonts w:ascii="Arial" w:eastAsia="Arial" w:hAnsi="Arial" w:cs="Arial"/>
              </w:rPr>
              <w:t>Davies et al. (2024),</w:t>
            </w:r>
          </w:p>
        </w:tc>
        <w:tc>
          <w:tcPr>
            <w:tcW w:w="750" w:type="dxa"/>
          </w:tcPr>
          <w:p w14:paraId="7D9D5048" w14:textId="653EAB22" w:rsidR="13A458D1" w:rsidRPr="00107D0A" w:rsidRDefault="13A458D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30AF1873" w14:textId="5FFE031A" w:rsidR="13A458D1" w:rsidRPr="00107D0A" w:rsidRDefault="13A458D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0BCDF68E" w14:textId="5236666D" w:rsidR="13A458D1" w:rsidRPr="00107D0A" w:rsidRDefault="13A458D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CT</w:t>
            </w:r>
          </w:p>
        </w:tc>
        <w:tc>
          <w:tcPr>
            <w:tcW w:w="752" w:type="dxa"/>
          </w:tcPr>
          <w:p w14:paraId="2BF15321" w14:textId="7F67E525" w:rsidR="13A458D1" w:rsidRPr="00107D0A" w:rsidRDefault="13A458D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6610298C" w14:textId="74ABAFE7" w:rsidR="13A458D1" w:rsidRPr="00107D0A" w:rsidRDefault="13A458D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51BB7439" w14:textId="3003C2DD"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 xml:space="preserve">CT </w:t>
            </w:r>
          </w:p>
        </w:tc>
        <w:tc>
          <w:tcPr>
            <w:tcW w:w="645" w:type="dxa"/>
          </w:tcPr>
          <w:p w14:paraId="4EC241F3" w14:textId="60ED2D74"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660704F3" w14:textId="0FCD3FCF"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32AA5635" w14:textId="5C55D644"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2C670107" w14:textId="4736AD21"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57A92BF9" w14:textId="7734D04D" w:rsidR="20AA19B1" w:rsidRPr="00107D0A" w:rsidRDefault="20AA19B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Medium/ High</w:t>
            </w:r>
          </w:p>
        </w:tc>
      </w:tr>
      <w:tr w:rsidR="0048569E" w:rsidRPr="00107D0A" w14:paraId="0F9C3AD4"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13588C90" w14:textId="069150F4" w:rsidR="5387F103" w:rsidRPr="00107D0A" w:rsidRDefault="5387F103" w:rsidP="00FC1D17">
            <w:pPr>
              <w:spacing w:line="360" w:lineRule="auto"/>
              <w:rPr>
                <w:rFonts w:ascii="Arial" w:eastAsia="Arial" w:hAnsi="Arial" w:cs="Arial"/>
              </w:rPr>
            </w:pPr>
            <w:r w:rsidRPr="00107D0A">
              <w:rPr>
                <w:rFonts w:ascii="Arial" w:eastAsia="Arial" w:hAnsi="Arial" w:cs="Arial"/>
              </w:rPr>
              <w:t>Green et al. (2025),</w:t>
            </w:r>
          </w:p>
        </w:tc>
        <w:tc>
          <w:tcPr>
            <w:tcW w:w="750" w:type="dxa"/>
          </w:tcPr>
          <w:p w14:paraId="3490F92B" w14:textId="4D065A7D"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2BA44D19" w14:textId="07E01F18"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56A22293" w14:textId="637DFDAE"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4690E077" w14:textId="5451C732"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54EDA58A" w14:textId="618A0EAD"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0625F329" w14:textId="030C8818"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59580017" w14:textId="22DC8C73"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67B15971" w14:textId="616979F8"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484BF5ED" w14:textId="55705C16"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7009C6D1" w14:textId="430F3959"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05F125B1" w14:textId="4183BACC" w:rsidR="380C593D" w:rsidRPr="00107D0A" w:rsidRDefault="380C593D"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p>
        </w:tc>
      </w:tr>
      <w:tr w:rsidR="0048569E" w:rsidRPr="00107D0A" w14:paraId="7972EA7C"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3A83EF2B" w14:textId="6A4825FF" w:rsidR="5387F103" w:rsidRPr="00107D0A" w:rsidRDefault="5387F103" w:rsidP="00FC1D17">
            <w:pPr>
              <w:spacing w:line="360" w:lineRule="auto"/>
              <w:rPr>
                <w:rFonts w:ascii="Arial" w:eastAsia="Arial" w:hAnsi="Arial" w:cs="Arial"/>
              </w:rPr>
            </w:pPr>
            <w:r w:rsidRPr="00107D0A">
              <w:rPr>
                <w:rFonts w:ascii="Arial" w:eastAsia="Arial" w:hAnsi="Arial" w:cs="Arial"/>
              </w:rPr>
              <w:t xml:space="preserve">NICE [TA924] </w:t>
            </w:r>
            <w:r w:rsidRPr="00107D0A">
              <w:rPr>
                <w:rFonts w:ascii="Arial" w:eastAsia="Arial" w:hAnsi="Arial" w:cs="Arial"/>
              </w:rPr>
              <w:lastRenderedPageBreak/>
              <w:t>(2023)</w:t>
            </w:r>
          </w:p>
        </w:tc>
        <w:tc>
          <w:tcPr>
            <w:tcW w:w="750" w:type="dxa"/>
          </w:tcPr>
          <w:p w14:paraId="29D112B6" w14:textId="19248320"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lastRenderedPageBreak/>
              <w:t>Y</w:t>
            </w:r>
          </w:p>
        </w:tc>
        <w:tc>
          <w:tcPr>
            <w:tcW w:w="708" w:type="dxa"/>
          </w:tcPr>
          <w:p w14:paraId="7F2E3CD8" w14:textId="349EE889"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326F58C9" w14:textId="48E70E7A"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331C73FD" w14:textId="17DEF942"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24A1E94C" w14:textId="4BB3C616"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6987C7FC" w14:textId="2B9AA7E3"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50D0EB3C" w14:textId="5F56692F"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7CB7A68B" w14:textId="0E6EE821"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1D30C4D3" w14:textId="087C6040"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28C979ED" w14:textId="5A4A5547"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522CD146" w14:textId="79B4A035" w:rsidR="2AB26A9F" w:rsidRPr="00107D0A" w:rsidRDefault="2AB26A9F"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 Policy</w:t>
            </w:r>
          </w:p>
        </w:tc>
      </w:tr>
      <w:tr w:rsidR="0048569E" w:rsidRPr="00107D0A" w14:paraId="1BB57EDB"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4236B342" w14:textId="2A649303" w:rsidR="5387F103" w:rsidRPr="00107D0A" w:rsidRDefault="5387F103" w:rsidP="00FC1D17">
            <w:pPr>
              <w:spacing w:line="360" w:lineRule="auto"/>
              <w:rPr>
                <w:rFonts w:ascii="Arial" w:eastAsia="Arial" w:hAnsi="Arial" w:cs="Arial"/>
              </w:rPr>
            </w:pPr>
            <w:r w:rsidRPr="00107D0A">
              <w:rPr>
                <w:rFonts w:ascii="Arial" w:eastAsia="Arial" w:hAnsi="Arial" w:cs="Arial"/>
              </w:rPr>
              <w:t>NHS England (2025)</w:t>
            </w:r>
          </w:p>
        </w:tc>
        <w:tc>
          <w:tcPr>
            <w:tcW w:w="750" w:type="dxa"/>
          </w:tcPr>
          <w:p w14:paraId="4967942D" w14:textId="7BB52C25"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72E3ACF3" w14:textId="05AAC27B"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51CA72D4" w14:textId="44C949BB"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492791D4" w14:textId="16140235"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630BADF8" w14:textId="7197C5F5"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335A0B33" w14:textId="0C28223A" w:rsidR="5FE2E76C" w:rsidRPr="00107D0A" w:rsidRDefault="5FE2E76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CT</w:t>
            </w:r>
          </w:p>
        </w:tc>
        <w:tc>
          <w:tcPr>
            <w:tcW w:w="645" w:type="dxa"/>
          </w:tcPr>
          <w:p w14:paraId="73CDD747" w14:textId="6C94E71C"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224B15C6" w14:textId="7C23492D"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250AEAE9" w14:textId="50EAFDF0"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31C84901" w14:textId="7836CA04"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7FF0DF2F" w14:textId="06A0617F" w:rsidR="738EBFD5" w:rsidRPr="00107D0A" w:rsidRDefault="738EBFD5"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r w:rsidR="41038A98" w:rsidRPr="00107D0A">
              <w:rPr>
                <w:rFonts w:ascii="Arial" w:eastAsia="Arial" w:hAnsi="Arial" w:cs="Arial"/>
              </w:rPr>
              <w:t xml:space="preserve"> Policy</w:t>
            </w:r>
          </w:p>
        </w:tc>
      </w:tr>
      <w:tr w:rsidR="0048569E" w:rsidRPr="00107D0A" w14:paraId="151639F4"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3665CFD7" w14:textId="5A077408" w:rsidR="5387F103" w:rsidRPr="00107D0A" w:rsidRDefault="5387F103" w:rsidP="00FC1D17">
            <w:pPr>
              <w:spacing w:line="360" w:lineRule="auto"/>
              <w:rPr>
                <w:rFonts w:ascii="Arial" w:eastAsia="Arial" w:hAnsi="Arial" w:cs="Arial"/>
              </w:rPr>
            </w:pPr>
            <w:r w:rsidRPr="00107D0A">
              <w:rPr>
                <w:rFonts w:ascii="Arial" w:eastAsia="Arial" w:hAnsi="Arial" w:cs="Arial"/>
              </w:rPr>
              <w:t>Patel et al. (2025)</w:t>
            </w:r>
          </w:p>
        </w:tc>
        <w:tc>
          <w:tcPr>
            <w:tcW w:w="750" w:type="dxa"/>
          </w:tcPr>
          <w:p w14:paraId="2F440D28" w14:textId="635CFCAC"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00C00236" w14:textId="0BCDDA57"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04D71234" w14:textId="7BA73C08"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49057809" w14:textId="5DDE509F"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5F849EDA" w14:textId="6C6EDF4A"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35B2DF5D" w14:textId="0633FEC9"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48939CE0" w14:textId="4D4B97EB"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75BC185E" w14:textId="306888DB"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5D988394" w14:textId="38E55231"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054621EE" w14:textId="5C861FB1"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11434B4F" w14:textId="2ADCBC0C" w:rsidR="70C052CC" w:rsidRPr="00107D0A" w:rsidRDefault="70C052C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p>
        </w:tc>
      </w:tr>
      <w:tr w:rsidR="0048569E" w:rsidRPr="00107D0A" w14:paraId="010100D1"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0FB1460A" w14:textId="110BB587" w:rsidR="5387F103" w:rsidRPr="00107D0A" w:rsidRDefault="5387F103" w:rsidP="00FC1D17">
            <w:pPr>
              <w:spacing w:line="360" w:lineRule="auto"/>
              <w:rPr>
                <w:rFonts w:ascii="Arial" w:eastAsia="Arial" w:hAnsi="Arial" w:cs="Arial"/>
              </w:rPr>
            </w:pPr>
            <w:r w:rsidRPr="00107D0A">
              <w:rPr>
                <w:rFonts w:ascii="Arial" w:eastAsia="Arial" w:hAnsi="Arial" w:cs="Arial"/>
              </w:rPr>
              <w:t>Smith et al. (2025),</w:t>
            </w:r>
          </w:p>
        </w:tc>
        <w:tc>
          <w:tcPr>
            <w:tcW w:w="750" w:type="dxa"/>
          </w:tcPr>
          <w:p w14:paraId="22030823" w14:textId="13379A3F"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0DCAE066" w14:textId="168E023C"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771DF4DC" w14:textId="006E09EB"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0EB59D0E" w14:textId="7FE1C02C"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0EF77A46" w14:textId="09BDA405"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4331BDD4" w14:textId="22FB16E1" w:rsidR="14DE78BB" w:rsidRPr="00107D0A" w:rsidRDefault="14DE78BB"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CT</w:t>
            </w:r>
          </w:p>
        </w:tc>
        <w:tc>
          <w:tcPr>
            <w:tcW w:w="645" w:type="dxa"/>
          </w:tcPr>
          <w:p w14:paraId="46D5395C" w14:textId="7CBA21F3"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51103798" w14:textId="5B78D55A"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71C30B6C" w14:textId="7CD7AD23"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06D52D9A" w14:textId="11ED2B37"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61E25FF8" w14:textId="1FF29CB7" w:rsidR="6AFA108C" w:rsidRPr="00107D0A" w:rsidRDefault="6AFA108C"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Medium/ High</w:t>
            </w:r>
          </w:p>
        </w:tc>
      </w:tr>
      <w:tr w:rsidR="0048569E" w:rsidRPr="00107D0A" w14:paraId="130B7610"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149FDE0A" w14:textId="689B8F03" w:rsidR="03587E0C" w:rsidRPr="00107D0A" w:rsidRDefault="03587E0C" w:rsidP="00FC1D17">
            <w:pPr>
              <w:spacing w:line="360" w:lineRule="auto"/>
              <w:rPr>
                <w:rFonts w:ascii="Arial" w:eastAsia="Arial" w:hAnsi="Arial" w:cs="Arial"/>
              </w:rPr>
            </w:pPr>
            <w:r w:rsidRPr="00107D0A">
              <w:rPr>
                <w:rFonts w:ascii="Arial" w:eastAsia="Arial" w:hAnsi="Arial" w:cs="Arial"/>
              </w:rPr>
              <w:t>Univ. of Surrey (2026),</w:t>
            </w:r>
          </w:p>
        </w:tc>
        <w:tc>
          <w:tcPr>
            <w:tcW w:w="750" w:type="dxa"/>
          </w:tcPr>
          <w:p w14:paraId="03A36B9A" w14:textId="1B9DCEE1"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375D525C" w14:textId="51584042"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23A3EE3A" w14:textId="61A75D57"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7B34B0F7" w14:textId="0B7C39C1"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228FFE31" w14:textId="75A52D8A"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276E323F" w14:textId="440820EE"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0B05D539" w14:textId="503D0C3D"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4939ED68" w14:textId="635B1F68"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59D1DD96" w14:textId="0E51E21B"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47C78D03" w14:textId="129CA9F1"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3641C125" w14:textId="5586099A" w:rsidR="6C2841C0" w:rsidRPr="00107D0A" w:rsidRDefault="6C2841C0"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p>
        </w:tc>
      </w:tr>
      <w:tr w:rsidR="0048569E" w:rsidRPr="00107D0A" w14:paraId="79FC58D9" w14:textId="77777777" w:rsidTr="1AE78CA7">
        <w:trPr>
          <w:trHeight w:val="300"/>
        </w:trPr>
        <w:tc>
          <w:tcPr>
            <w:cnfStyle w:val="001000000000" w:firstRow="0" w:lastRow="0" w:firstColumn="1" w:lastColumn="0" w:oddVBand="0" w:evenVBand="0" w:oddHBand="0" w:evenHBand="0" w:firstRowFirstColumn="0" w:firstRowLastColumn="0" w:lastRowFirstColumn="0" w:lastRowLastColumn="0"/>
            <w:tcW w:w="1080" w:type="dxa"/>
          </w:tcPr>
          <w:p w14:paraId="62504E1C" w14:textId="5CEAB3A1" w:rsidR="5A764734" w:rsidRPr="00107D0A" w:rsidRDefault="5A764734" w:rsidP="00FC1D17">
            <w:pPr>
              <w:spacing w:line="360" w:lineRule="auto"/>
              <w:rPr>
                <w:rFonts w:ascii="Arial" w:eastAsia="Arial" w:hAnsi="Arial" w:cs="Arial"/>
              </w:rPr>
            </w:pPr>
            <w:r w:rsidRPr="00107D0A">
              <w:rPr>
                <w:rFonts w:ascii="Arial" w:eastAsia="Arial" w:hAnsi="Arial" w:cs="Arial"/>
              </w:rPr>
              <w:t>White (2025),</w:t>
            </w:r>
          </w:p>
        </w:tc>
        <w:tc>
          <w:tcPr>
            <w:tcW w:w="750" w:type="dxa"/>
          </w:tcPr>
          <w:p w14:paraId="3548DC2B" w14:textId="7EFBF5F5"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08" w:type="dxa"/>
          </w:tcPr>
          <w:p w14:paraId="29016665" w14:textId="4714CE15"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0" w:type="dxa"/>
          </w:tcPr>
          <w:p w14:paraId="6BD106EE" w14:textId="65794F2B"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52" w:type="dxa"/>
          </w:tcPr>
          <w:p w14:paraId="351CA1C7" w14:textId="0A338603"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24D3269B" w14:textId="6E5F30F5"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915" w:type="dxa"/>
          </w:tcPr>
          <w:p w14:paraId="71B17991" w14:textId="025E136F"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45" w:type="dxa"/>
          </w:tcPr>
          <w:p w14:paraId="418E8405" w14:textId="21AE5D5B"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62" w:type="dxa"/>
          </w:tcPr>
          <w:p w14:paraId="2F14A94A" w14:textId="3EFAF184"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691" w:type="dxa"/>
          </w:tcPr>
          <w:p w14:paraId="1523908D" w14:textId="6248CD1D"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65" w:type="dxa"/>
          </w:tcPr>
          <w:p w14:paraId="473B8000" w14:textId="2F0EC650"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Y</w:t>
            </w:r>
          </w:p>
        </w:tc>
        <w:tc>
          <w:tcPr>
            <w:tcW w:w="780" w:type="dxa"/>
          </w:tcPr>
          <w:p w14:paraId="7F804FD6" w14:textId="0DB8B1EC" w:rsidR="2CB72A51" w:rsidRPr="00107D0A" w:rsidRDefault="2CB72A51" w:rsidP="00FC1D17">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00107D0A">
              <w:rPr>
                <w:rFonts w:ascii="Arial" w:eastAsia="Arial" w:hAnsi="Arial" w:cs="Arial"/>
              </w:rPr>
              <w:t>High</w:t>
            </w:r>
          </w:p>
        </w:tc>
      </w:tr>
    </w:tbl>
    <w:p w14:paraId="74EB1510" w14:textId="67ED2784" w:rsidR="1AE78CA7" w:rsidRPr="00107D0A" w:rsidRDefault="1AE78CA7" w:rsidP="00FC1D17">
      <w:pPr>
        <w:spacing w:before="240" w:after="240" w:line="360" w:lineRule="auto"/>
        <w:rPr>
          <w:rFonts w:ascii="Arial" w:eastAsia="Arial" w:hAnsi="Arial" w:cs="Arial"/>
        </w:rPr>
      </w:pPr>
    </w:p>
    <w:sectPr w:rsidR="1AE78CA7" w:rsidRPr="00107D0A">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0039B" w14:textId="77777777" w:rsidR="00D9619B" w:rsidRDefault="00D9619B">
      <w:pPr>
        <w:spacing w:after="0" w:line="240" w:lineRule="auto"/>
      </w:pPr>
      <w:r>
        <w:separator/>
      </w:r>
    </w:p>
  </w:endnote>
  <w:endnote w:type="continuationSeparator" w:id="0">
    <w:p w14:paraId="379242BD" w14:textId="77777777" w:rsidR="00D9619B" w:rsidRDefault="00D96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ED0DBC8" w14:paraId="3BE3901F" w14:textId="77777777" w:rsidTr="1AE78CA7">
      <w:trPr>
        <w:trHeight w:val="300"/>
      </w:trPr>
      <w:tc>
        <w:tcPr>
          <w:tcW w:w="3005" w:type="dxa"/>
        </w:tcPr>
        <w:p w14:paraId="00B1B832" w14:textId="2BE30897" w:rsidR="2ED0DBC8" w:rsidRDefault="1AE78CA7" w:rsidP="2ED0DBC8">
          <w:pPr>
            <w:pStyle w:val="Header"/>
            <w:ind w:left="-115"/>
          </w:pPr>
          <w:r>
            <w:t>2128581 Nomathemba Amanda Socikwa</w:t>
          </w:r>
        </w:p>
      </w:tc>
      <w:tc>
        <w:tcPr>
          <w:tcW w:w="3005" w:type="dxa"/>
        </w:tcPr>
        <w:p w14:paraId="25AAAE4C" w14:textId="0772FE11" w:rsidR="2ED0DBC8" w:rsidRDefault="2ED0DBC8" w:rsidP="2ED0DBC8">
          <w:pPr>
            <w:pStyle w:val="Header"/>
            <w:jc w:val="center"/>
          </w:pPr>
        </w:p>
      </w:tc>
      <w:tc>
        <w:tcPr>
          <w:tcW w:w="3005" w:type="dxa"/>
        </w:tcPr>
        <w:p w14:paraId="66B30B51" w14:textId="1C009DDC" w:rsidR="2ED0DBC8" w:rsidRDefault="2ED0DBC8" w:rsidP="2ED0DBC8">
          <w:pPr>
            <w:pStyle w:val="Header"/>
            <w:ind w:right="-115"/>
            <w:jc w:val="right"/>
          </w:pPr>
          <w:r>
            <w:fldChar w:fldCharType="begin"/>
          </w:r>
          <w:r>
            <w:instrText>PAGE</w:instrText>
          </w:r>
          <w:r>
            <w:fldChar w:fldCharType="separate"/>
          </w:r>
          <w:r w:rsidR="00C02967">
            <w:rPr>
              <w:noProof/>
            </w:rPr>
            <w:t>1</w:t>
          </w:r>
          <w:r>
            <w:fldChar w:fldCharType="end"/>
          </w:r>
        </w:p>
      </w:tc>
    </w:tr>
  </w:tbl>
  <w:p w14:paraId="61D4BE10" w14:textId="243ECE1D" w:rsidR="2ED0DBC8" w:rsidRDefault="2ED0DBC8" w:rsidP="2ED0D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D5341" w14:textId="77777777" w:rsidR="00D9619B" w:rsidRDefault="00D9619B">
      <w:pPr>
        <w:spacing w:after="0" w:line="240" w:lineRule="auto"/>
      </w:pPr>
      <w:r>
        <w:separator/>
      </w:r>
    </w:p>
  </w:footnote>
  <w:footnote w:type="continuationSeparator" w:id="0">
    <w:p w14:paraId="585E1897" w14:textId="77777777" w:rsidR="00D9619B" w:rsidRDefault="00D961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ED0DBC8" w14:paraId="098BA380" w14:textId="77777777" w:rsidTr="2ED0DBC8">
      <w:trPr>
        <w:trHeight w:val="300"/>
      </w:trPr>
      <w:tc>
        <w:tcPr>
          <w:tcW w:w="3005" w:type="dxa"/>
        </w:tcPr>
        <w:p w14:paraId="1EC9B551" w14:textId="0B50A039" w:rsidR="2ED0DBC8" w:rsidRDefault="2ED0DBC8" w:rsidP="2ED0DBC8">
          <w:pPr>
            <w:pStyle w:val="Header"/>
            <w:ind w:left="-115"/>
          </w:pPr>
        </w:p>
      </w:tc>
      <w:tc>
        <w:tcPr>
          <w:tcW w:w="3005" w:type="dxa"/>
        </w:tcPr>
        <w:p w14:paraId="514335D5" w14:textId="00A9E9C3" w:rsidR="2ED0DBC8" w:rsidRDefault="2ED0DBC8" w:rsidP="2ED0DBC8">
          <w:pPr>
            <w:pStyle w:val="Header"/>
            <w:jc w:val="center"/>
          </w:pPr>
        </w:p>
      </w:tc>
      <w:tc>
        <w:tcPr>
          <w:tcW w:w="3005" w:type="dxa"/>
        </w:tcPr>
        <w:p w14:paraId="734DA8DD" w14:textId="04E834D6" w:rsidR="2ED0DBC8" w:rsidRDefault="2ED0DBC8" w:rsidP="2ED0DBC8">
          <w:pPr>
            <w:pStyle w:val="Header"/>
            <w:ind w:right="-115"/>
            <w:jc w:val="right"/>
          </w:pPr>
        </w:p>
      </w:tc>
    </w:tr>
  </w:tbl>
  <w:p w14:paraId="6A6B1958" w14:textId="17D53C72" w:rsidR="2ED0DBC8" w:rsidRDefault="2ED0DBC8" w:rsidP="2ED0DBC8">
    <w:pPr>
      <w:pStyle w:val="Header"/>
    </w:pPr>
  </w:p>
</w:hdr>
</file>

<file path=word/intelligence2.xml><?xml version="1.0" encoding="utf-8"?>
<int2:intelligence xmlns:int2="http://schemas.microsoft.com/office/intelligence/2020/intelligence" xmlns:oel="http://schemas.microsoft.com/office/2019/extlst">
  <int2:observations>
    <int2:textHash int2:hashCode="Y7rxyEYEGk+h8X" int2:id="DRCOA9Ci">
      <int2:state int2:value="Rejected" int2:type="spell"/>
    </int2:textHash>
    <int2:textHash int2:hashCode="DYb4U5PDloBdLr" int2:id="OYQyvVm1">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A3C8D"/>
    <w:multiLevelType w:val="multilevel"/>
    <w:tmpl w:val="4E268C68"/>
    <w:lvl w:ilvl="0">
      <w:start w:val="1"/>
      <w:numFmt w:val="decimal"/>
      <w:lvlText w:val="%1"/>
      <w:lvlJc w:val="left"/>
      <w:pPr>
        <w:ind w:left="440" w:hanging="440"/>
      </w:pPr>
      <w:rPr>
        <w:rFonts w:asciiTheme="minorHAnsi" w:eastAsiaTheme="majorEastAsia" w:hAnsiTheme="minorHAnsi" w:cstheme="majorBidi" w:hint="default"/>
        <w:b/>
        <w:color w:val="0F4761" w:themeColor="accent1" w:themeShade="BF"/>
        <w:sz w:val="28"/>
      </w:rPr>
    </w:lvl>
    <w:lvl w:ilvl="1">
      <w:start w:val="1"/>
      <w:numFmt w:val="decimal"/>
      <w:lvlText w:val="%1.%2"/>
      <w:lvlJc w:val="left"/>
      <w:pPr>
        <w:ind w:left="440" w:hanging="440"/>
      </w:pPr>
      <w:rPr>
        <w:rFonts w:asciiTheme="minorHAnsi" w:eastAsiaTheme="majorEastAsia" w:hAnsiTheme="minorHAnsi" w:cstheme="majorBidi" w:hint="default"/>
        <w:b/>
        <w:color w:val="0F4761" w:themeColor="accent1" w:themeShade="BF"/>
        <w:sz w:val="28"/>
      </w:rPr>
    </w:lvl>
    <w:lvl w:ilvl="2">
      <w:start w:val="1"/>
      <w:numFmt w:val="decimal"/>
      <w:lvlText w:val="%1.%2.%3"/>
      <w:lvlJc w:val="left"/>
      <w:pPr>
        <w:ind w:left="720" w:hanging="720"/>
      </w:pPr>
      <w:rPr>
        <w:rFonts w:asciiTheme="minorHAnsi" w:eastAsiaTheme="majorEastAsia" w:hAnsiTheme="minorHAnsi" w:cstheme="majorBidi" w:hint="default"/>
        <w:b/>
        <w:color w:val="0F4761" w:themeColor="accent1" w:themeShade="BF"/>
        <w:sz w:val="28"/>
      </w:rPr>
    </w:lvl>
    <w:lvl w:ilvl="3">
      <w:start w:val="1"/>
      <w:numFmt w:val="decimal"/>
      <w:lvlText w:val="%1.%2.%3.%4"/>
      <w:lvlJc w:val="left"/>
      <w:pPr>
        <w:ind w:left="1080" w:hanging="1080"/>
      </w:pPr>
      <w:rPr>
        <w:rFonts w:asciiTheme="minorHAnsi" w:eastAsiaTheme="majorEastAsia" w:hAnsiTheme="minorHAnsi" w:cstheme="majorBidi" w:hint="default"/>
        <w:b/>
        <w:color w:val="0F4761" w:themeColor="accent1" w:themeShade="BF"/>
        <w:sz w:val="28"/>
      </w:rPr>
    </w:lvl>
    <w:lvl w:ilvl="4">
      <w:start w:val="1"/>
      <w:numFmt w:val="decimal"/>
      <w:lvlText w:val="%1.%2.%3.%4.%5"/>
      <w:lvlJc w:val="left"/>
      <w:pPr>
        <w:ind w:left="1080" w:hanging="1080"/>
      </w:pPr>
      <w:rPr>
        <w:rFonts w:asciiTheme="minorHAnsi" w:eastAsiaTheme="majorEastAsia" w:hAnsiTheme="minorHAnsi" w:cstheme="majorBidi" w:hint="default"/>
        <w:b/>
        <w:color w:val="0F4761" w:themeColor="accent1" w:themeShade="BF"/>
        <w:sz w:val="28"/>
      </w:rPr>
    </w:lvl>
    <w:lvl w:ilvl="5">
      <w:start w:val="1"/>
      <w:numFmt w:val="decimal"/>
      <w:lvlText w:val="%1.%2.%3.%4.%5.%6"/>
      <w:lvlJc w:val="left"/>
      <w:pPr>
        <w:ind w:left="1440" w:hanging="1440"/>
      </w:pPr>
      <w:rPr>
        <w:rFonts w:asciiTheme="minorHAnsi" w:eastAsiaTheme="majorEastAsia" w:hAnsiTheme="minorHAnsi" w:cstheme="majorBidi" w:hint="default"/>
        <w:b/>
        <w:color w:val="0F4761" w:themeColor="accent1" w:themeShade="BF"/>
        <w:sz w:val="28"/>
      </w:rPr>
    </w:lvl>
    <w:lvl w:ilvl="6">
      <w:start w:val="1"/>
      <w:numFmt w:val="decimal"/>
      <w:lvlText w:val="%1.%2.%3.%4.%5.%6.%7"/>
      <w:lvlJc w:val="left"/>
      <w:pPr>
        <w:ind w:left="1440" w:hanging="1440"/>
      </w:pPr>
      <w:rPr>
        <w:rFonts w:asciiTheme="minorHAnsi" w:eastAsiaTheme="majorEastAsia" w:hAnsiTheme="minorHAnsi" w:cstheme="majorBidi" w:hint="default"/>
        <w:b/>
        <w:color w:val="0F4761" w:themeColor="accent1" w:themeShade="BF"/>
        <w:sz w:val="28"/>
      </w:rPr>
    </w:lvl>
    <w:lvl w:ilvl="7">
      <w:start w:val="1"/>
      <w:numFmt w:val="decimal"/>
      <w:lvlText w:val="%1.%2.%3.%4.%5.%6.%7.%8"/>
      <w:lvlJc w:val="left"/>
      <w:pPr>
        <w:ind w:left="1800" w:hanging="1800"/>
      </w:pPr>
      <w:rPr>
        <w:rFonts w:asciiTheme="minorHAnsi" w:eastAsiaTheme="majorEastAsia" w:hAnsiTheme="minorHAnsi" w:cstheme="majorBidi" w:hint="default"/>
        <w:b/>
        <w:color w:val="0F4761" w:themeColor="accent1" w:themeShade="BF"/>
        <w:sz w:val="28"/>
      </w:rPr>
    </w:lvl>
    <w:lvl w:ilvl="8">
      <w:start w:val="1"/>
      <w:numFmt w:val="decimal"/>
      <w:lvlText w:val="%1.%2.%3.%4.%5.%6.%7.%8.%9"/>
      <w:lvlJc w:val="left"/>
      <w:pPr>
        <w:ind w:left="1800" w:hanging="1800"/>
      </w:pPr>
      <w:rPr>
        <w:rFonts w:asciiTheme="minorHAnsi" w:eastAsiaTheme="majorEastAsia" w:hAnsiTheme="minorHAnsi" w:cstheme="majorBidi" w:hint="default"/>
        <w:b/>
        <w:color w:val="0F4761" w:themeColor="accent1" w:themeShade="BF"/>
        <w:sz w:val="28"/>
      </w:rPr>
    </w:lvl>
  </w:abstractNum>
  <w:abstractNum w:abstractNumId="1" w15:restartNumberingAfterBreak="0">
    <w:nsid w:val="01497976"/>
    <w:multiLevelType w:val="hybridMultilevel"/>
    <w:tmpl w:val="C3E0E642"/>
    <w:lvl w:ilvl="0" w:tplc="2FD2DD54">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EA2DA6"/>
    <w:multiLevelType w:val="multilevel"/>
    <w:tmpl w:val="E3468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C5BB1"/>
    <w:multiLevelType w:val="hybridMultilevel"/>
    <w:tmpl w:val="514AF400"/>
    <w:lvl w:ilvl="0" w:tplc="6C80FCE8">
      <w:start w:val="1"/>
      <w:numFmt w:val="bullet"/>
      <w:lvlText w:val=""/>
      <w:lvlJc w:val="left"/>
      <w:pPr>
        <w:ind w:left="720" w:hanging="360"/>
      </w:pPr>
      <w:rPr>
        <w:rFonts w:ascii="Symbol" w:hAnsi="Symbol" w:hint="default"/>
      </w:rPr>
    </w:lvl>
    <w:lvl w:ilvl="1" w:tplc="EEBE8F08">
      <w:start w:val="1"/>
      <w:numFmt w:val="bullet"/>
      <w:lvlText w:val="o"/>
      <w:lvlJc w:val="left"/>
      <w:pPr>
        <w:ind w:left="1440" w:hanging="360"/>
      </w:pPr>
      <w:rPr>
        <w:rFonts w:ascii="Courier New" w:hAnsi="Courier New" w:hint="default"/>
      </w:rPr>
    </w:lvl>
    <w:lvl w:ilvl="2" w:tplc="964EC132">
      <w:start w:val="1"/>
      <w:numFmt w:val="bullet"/>
      <w:lvlText w:val=""/>
      <w:lvlJc w:val="left"/>
      <w:pPr>
        <w:ind w:left="2160" w:hanging="360"/>
      </w:pPr>
      <w:rPr>
        <w:rFonts w:ascii="Wingdings" w:hAnsi="Wingdings" w:hint="default"/>
      </w:rPr>
    </w:lvl>
    <w:lvl w:ilvl="3" w:tplc="296C71A2">
      <w:start w:val="1"/>
      <w:numFmt w:val="bullet"/>
      <w:lvlText w:val=""/>
      <w:lvlJc w:val="left"/>
      <w:pPr>
        <w:ind w:left="2880" w:hanging="360"/>
      </w:pPr>
      <w:rPr>
        <w:rFonts w:ascii="Symbol" w:hAnsi="Symbol" w:hint="default"/>
      </w:rPr>
    </w:lvl>
    <w:lvl w:ilvl="4" w:tplc="F154EBD2">
      <w:start w:val="1"/>
      <w:numFmt w:val="bullet"/>
      <w:lvlText w:val="o"/>
      <w:lvlJc w:val="left"/>
      <w:pPr>
        <w:ind w:left="3600" w:hanging="360"/>
      </w:pPr>
      <w:rPr>
        <w:rFonts w:ascii="Courier New" w:hAnsi="Courier New" w:hint="default"/>
      </w:rPr>
    </w:lvl>
    <w:lvl w:ilvl="5" w:tplc="7CECE8F2">
      <w:start w:val="1"/>
      <w:numFmt w:val="bullet"/>
      <w:lvlText w:val=""/>
      <w:lvlJc w:val="left"/>
      <w:pPr>
        <w:ind w:left="4320" w:hanging="360"/>
      </w:pPr>
      <w:rPr>
        <w:rFonts w:ascii="Wingdings" w:hAnsi="Wingdings" w:hint="default"/>
      </w:rPr>
    </w:lvl>
    <w:lvl w:ilvl="6" w:tplc="4150EDB2">
      <w:start w:val="1"/>
      <w:numFmt w:val="bullet"/>
      <w:lvlText w:val=""/>
      <w:lvlJc w:val="left"/>
      <w:pPr>
        <w:ind w:left="5040" w:hanging="360"/>
      </w:pPr>
      <w:rPr>
        <w:rFonts w:ascii="Symbol" w:hAnsi="Symbol" w:hint="default"/>
      </w:rPr>
    </w:lvl>
    <w:lvl w:ilvl="7" w:tplc="7EAAE1B4">
      <w:start w:val="1"/>
      <w:numFmt w:val="bullet"/>
      <w:lvlText w:val="o"/>
      <w:lvlJc w:val="left"/>
      <w:pPr>
        <w:ind w:left="5760" w:hanging="360"/>
      </w:pPr>
      <w:rPr>
        <w:rFonts w:ascii="Courier New" w:hAnsi="Courier New" w:hint="default"/>
      </w:rPr>
    </w:lvl>
    <w:lvl w:ilvl="8" w:tplc="73924C36">
      <w:start w:val="1"/>
      <w:numFmt w:val="bullet"/>
      <w:lvlText w:val=""/>
      <w:lvlJc w:val="left"/>
      <w:pPr>
        <w:ind w:left="6480" w:hanging="360"/>
      </w:pPr>
      <w:rPr>
        <w:rFonts w:ascii="Wingdings" w:hAnsi="Wingdings" w:hint="default"/>
      </w:rPr>
    </w:lvl>
  </w:abstractNum>
  <w:abstractNum w:abstractNumId="4" w15:restartNumberingAfterBreak="0">
    <w:nsid w:val="0DA70CF1"/>
    <w:multiLevelType w:val="hybridMultilevel"/>
    <w:tmpl w:val="EF10CDCA"/>
    <w:lvl w:ilvl="0" w:tplc="509494C6">
      <w:start w:val="1"/>
      <w:numFmt w:val="decimal"/>
      <w:lvlText w:val="%1."/>
      <w:lvlJc w:val="left"/>
      <w:pPr>
        <w:ind w:left="720" w:hanging="360"/>
      </w:pPr>
    </w:lvl>
    <w:lvl w:ilvl="1" w:tplc="0CD0E694">
      <w:start w:val="1"/>
      <w:numFmt w:val="lowerLetter"/>
      <w:lvlText w:val="%2."/>
      <w:lvlJc w:val="left"/>
      <w:pPr>
        <w:ind w:left="1440" w:hanging="360"/>
      </w:pPr>
    </w:lvl>
    <w:lvl w:ilvl="2" w:tplc="77F6BC76">
      <w:start w:val="1"/>
      <w:numFmt w:val="lowerRoman"/>
      <w:lvlText w:val="%3."/>
      <w:lvlJc w:val="right"/>
      <w:pPr>
        <w:ind w:left="2160" w:hanging="180"/>
      </w:pPr>
    </w:lvl>
    <w:lvl w:ilvl="3" w:tplc="8996B55C">
      <w:start w:val="1"/>
      <w:numFmt w:val="decimal"/>
      <w:lvlText w:val="%4."/>
      <w:lvlJc w:val="left"/>
      <w:pPr>
        <w:ind w:left="2880" w:hanging="360"/>
      </w:pPr>
    </w:lvl>
    <w:lvl w:ilvl="4" w:tplc="2734771C">
      <w:start w:val="1"/>
      <w:numFmt w:val="lowerLetter"/>
      <w:lvlText w:val="%5."/>
      <w:lvlJc w:val="left"/>
      <w:pPr>
        <w:ind w:left="3600" w:hanging="360"/>
      </w:pPr>
    </w:lvl>
    <w:lvl w:ilvl="5" w:tplc="F32C7E38">
      <w:start w:val="1"/>
      <w:numFmt w:val="lowerRoman"/>
      <w:lvlText w:val="%6."/>
      <w:lvlJc w:val="right"/>
      <w:pPr>
        <w:ind w:left="4320" w:hanging="180"/>
      </w:pPr>
    </w:lvl>
    <w:lvl w:ilvl="6" w:tplc="B644BB8A">
      <w:start w:val="1"/>
      <w:numFmt w:val="decimal"/>
      <w:lvlText w:val="%7."/>
      <w:lvlJc w:val="left"/>
      <w:pPr>
        <w:ind w:left="5040" w:hanging="360"/>
      </w:pPr>
    </w:lvl>
    <w:lvl w:ilvl="7" w:tplc="4BE85BE8">
      <w:start w:val="1"/>
      <w:numFmt w:val="lowerLetter"/>
      <w:lvlText w:val="%8."/>
      <w:lvlJc w:val="left"/>
      <w:pPr>
        <w:ind w:left="5760" w:hanging="360"/>
      </w:pPr>
    </w:lvl>
    <w:lvl w:ilvl="8" w:tplc="5EBA937C">
      <w:start w:val="1"/>
      <w:numFmt w:val="lowerRoman"/>
      <w:lvlText w:val="%9."/>
      <w:lvlJc w:val="right"/>
      <w:pPr>
        <w:ind w:left="6480" w:hanging="180"/>
      </w:pPr>
    </w:lvl>
  </w:abstractNum>
  <w:abstractNum w:abstractNumId="5" w15:restartNumberingAfterBreak="0">
    <w:nsid w:val="0EB3EA2E"/>
    <w:multiLevelType w:val="hybridMultilevel"/>
    <w:tmpl w:val="C78AA9D2"/>
    <w:lvl w:ilvl="0" w:tplc="6CD81450">
      <w:start w:val="1"/>
      <w:numFmt w:val="decimal"/>
      <w:lvlText w:val="%1."/>
      <w:lvlJc w:val="left"/>
      <w:pPr>
        <w:ind w:left="720" w:hanging="360"/>
      </w:pPr>
    </w:lvl>
    <w:lvl w:ilvl="1" w:tplc="991C6648">
      <w:start w:val="1"/>
      <w:numFmt w:val="lowerLetter"/>
      <w:lvlText w:val="%2."/>
      <w:lvlJc w:val="left"/>
      <w:pPr>
        <w:ind w:left="1440" w:hanging="360"/>
      </w:pPr>
    </w:lvl>
    <w:lvl w:ilvl="2" w:tplc="3886EA6C">
      <w:start w:val="1"/>
      <w:numFmt w:val="lowerRoman"/>
      <w:lvlText w:val="%3."/>
      <w:lvlJc w:val="right"/>
      <w:pPr>
        <w:ind w:left="2160" w:hanging="180"/>
      </w:pPr>
    </w:lvl>
    <w:lvl w:ilvl="3" w:tplc="F6860036">
      <w:start w:val="1"/>
      <w:numFmt w:val="decimal"/>
      <w:lvlText w:val="%4."/>
      <w:lvlJc w:val="left"/>
      <w:pPr>
        <w:ind w:left="2880" w:hanging="360"/>
      </w:pPr>
    </w:lvl>
    <w:lvl w:ilvl="4" w:tplc="8F3ED578">
      <w:start w:val="1"/>
      <w:numFmt w:val="lowerLetter"/>
      <w:lvlText w:val="%5."/>
      <w:lvlJc w:val="left"/>
      <w:pPr>
        <w:ind w:left="3600" w:hanging="360"/>
      </w:pPr>
    </w:lvl>
    <w:lvl w:ilvl="5" w:tplc="181C2DE4">
      <w:start w:val="1"/>
      <w:numFmt w:val="lowerRoman"/>
      <w:lvlText w:val="%6."/>
      <w:lvlJc w:val="right"/>
      <w:pPr>
        <w:ind w:left="4320" w:hanging="180"/>
      </w:pPr>
    </w:lvl>
    <w:lvl w:ilvl="6" w:tplc="DF181DEA">
      <w:start w:val="1"/>
      <w:numFmt w:val="decimal"/>
      <w:lvlText w:val="%7."/>
      <w:lvlJc w:val="left"/>
      <w:pPr>
        <w:ind w:left="5040" w:hanging="360"/>
      </w:pPr>
    </w:lvl>
    <w:lvl w:ilvl="7" w:tplc="23D4F7EE">
      <w:start w:val="1"/>
      <w:numFmt w:val="lowerLetter"/>
      <w:lvlText w:val="%8."/>
      <w:lvlJc w:val="left"/>
      <w:pPr>
        <w:ind w:left="5760" w:hanging="360"/>
      </w:pPr>
    </w:lvl>
    <w:lvl w:ilvl="8" w:tplc="23DAA5EE">
      <w:start w:val="1"/>
      <w:numFmt w:val="lowerRoman"/>
      <w:lvlText w:val="%9."/>
      <w:lvlJc w:val="right"/>
      <w:pPr>
        <w:ind w:left="6480" w:hanging="180"/>
      </w:pPr>
    </w:lvl>
  </w:abstractNum>
  <w:abstractNum w:abstractNumId="6" w15:restartNumberingAfterBreak="0">
    <w:nsid w:val="101C2437"/>
    <w:multiLevelType w:val="hybridMultilevel"/>
    <w:tmpl w:val="C70EEE66"/>
    <w:lvl w:ilvl="0" w:tplc="66BA6162">
      <w:start w:val="1"/>
      <w:numFmt w:val="decimal"/>
      <w:lvlText w:val="%1."/>
      <w:lvlJc w:val="left"/>
      <w:pPr>
        <w:ind w:left="720" w:hanging="360"/>
      </w:pPr>
    </w:lvl>
    <w:lvl w:ilvl="1" w:tplc="86DE602E">
      <w:start w:val="1"/>
      <w:numFmt w:val="lowerLetter"/>
      <w:lvlText w:val="%2."/>
      <w:lvlJc w:val="left"/>
      <w:pPr>
        <w:ind w:left="1440" w:hanging="360"/>
      </w:pPr>
    </w:lvl>
    <w:lvl w:ilvl="2" w:tplc="47E8FA72">
      <w:start w:val="1"/>
      <w:numFmt w:val="lowerRoman"/>
      <w:lvlText w:val="%3."/>
      <w:lvlJc w:val="right"/>
      <w:pPr>
        <w:ind w:left="2160" w:hanging="180"/>
      </w:pPr>
    </w:lvl>
    <w:lvl w:ilvl="3" w:tplc="9DCE7F1C">
      <w:start w:val="1"/>
      <w:numFmt w:val="decimal"/>
      <w:lvlText w:val="%4."/>
      <w:lvlJc w:val="left"/>
      <w:pPr>
        <w:ind w:left="2880" w:hanging="360"/>
      </w:pPr>
    </w:lvl>
    <w:lvl w:ilvl="4" w:tplc="D6B685DC">
      <w:start w:val="1"/>
      <w:numFmt w:val="lowerLetter"/>
      <w:lvlText w:val="%5."/>
      <w:lvlJc w:val="left"/>
      <w:pPr>
        <w:ind w:left="3600" w:hanging="360"/>
      </w:pPr>
    </w:lvl>
    <w:lvl w:ilvl="5" w:tplc="E4B44F60">
      <w:start w:val="1"/>
      <w:numFmt w:val="lowerRoman"/>
      <w:lvlText w:val="%6."/>
      <w:lvlJc w:val="right"/>
      <w:pPr>
        <w:ind w:left="4320" w:hanging="180"/>
      </w:pPr>
    </w:lvl>
    <w:lvl w:ilvl="6" w:tplc="650ACCE0">
      <w:start w:val="1"/>
      <w:numFmt w:val="decimal"/>
      <w:lvlText w:val="%7."/>
      <w:lvlJc w:val="left"/>
      <w:pPr>
        <w:ind w:left="5040" w:hanging="360"/>
      </w:pPr>
    </w:lvl>
    <w:lvl w:ilvl="7" w:tplc="48E838E4">
      <w:start w:val="1"/>
      <w:numFmt w:val="lowerLetter"/>
      <w:lvlText w:val="%8."/>
      <w:lvlJc w:val="left"/>
      <w:pPr>
        <w:ind w:left="5760" w:hanging="360"/>
      </w:pPr>
    </w:lvl>
    <w:lvl w:ilvl="8" w:tplc="CCD2131C">
      <w:start w:val="1"/>
      <w:numFmt w:val="lowerRoman"/>
      <w:lvlText w:val="%9."/>
      <w:lvlJc w:val="right"/>
      <w:pPr>
        <w:ind w:left="6480" w:hanging="180"/>
      </w:pPr>
    </w:lvl>
  </w:abstractNum>
  <w:abstractNum w:abstractNumId="7" w15:restartNumberingAfterBreak="0">
    <w:nsid w:val="13FB6680"/>
    <w:multiLevelType w:val="hybridMultilevel"/>
    <w:tmpl w:val="B29EF430"/>
    <w:lvl w:ilvl="0" w:tplc="64E87DF2">
      <w:start w:val="1"/>
      <w:numFmt w:val="bullet"/>
      <w:lvlText w:val=""/>
      <w:lvlJc w:val="left"/>
      <w:pPr>
        <w:ind w:left="720" w:hanging="360"/>
      </w:pPr>
      <w:rPr>
        <w:rFonts w:ascii="Symbol" w:hAnsi="Symbol" w:hint="default"/>
      </w:rPr>
    </w:lvl>
    <w:lvl w:ilvl="1" w:tplc="305823D8">
      <w:start w:val="1"/>
      <w:numFmt w:val="bullet"/>
      <w:lvlText w:val="o"/>
      <w:lvlJc w:val="left"/>
      <w:pPr>
        <w:ind w:left="1440" w:hanging="360"/>
      </w:pPr>
      <w:rPr>
        <w:rFonts w:ascii="Courier New" w:hAnsi="Courier New" w:hint="default"/>
      </w:rPr>
    </w:lvl>
    <w:lvl w:ilvl="2" w:tplc="78920102">
      <w:start w:val="1"/>
      <w:numFmt w:val="bullet"/>
      <w:lvlText w:val=""/>
      <w:lvlJc w:val="left"/>
      <w:pPr>
        <w:ind w:left="2160" w:hanging="360"/>
      </w:pPr>
      <w:rPr>
        <w:rFonts w:ascii="Wingdings" w:hAnsi="Wingdings" w:hint="default"/>
      </w:rPr>
    </w:lvl>
    <w:lvl w:ilvl="3" w:tplc="FF842318">
      <w:start w:val="1"/>
      <w:numFmt w:val="bullet"/>
      <w:lvlText w:val=""/>
      <w:lvlJc w:val="left"/>
      <w:pPr>
        <w:ind w:left="2880" w:hanging="360"/>
      </w:pPr>
      <w:rPr>
        <w:rFonts w:ascii="Symbol" w:hAnsi="Symbol" w:hint="default"/>
      </w:rPr>
    </w:lvl>
    <w:lvl w:ilvl="4" w:tplc="9348D3AC">
      <w:start w:val="1"/>
      <w:numFmt w:val="bullet"/>
      <w:lvlText w:val="o"/>
      <w:lvlJc w:val="left"/>
      <w:pPr>
        <w:ind w:left="3600" w:hanging="360"/>
      </w:pPr>
      <w:rPr>
        <w:rFonts w:ascii="Courier New" w:hAnsi="Courier New" w:hint="default"/>
      </w:rPr>
    </w:lvl>
    <w:lvl w:ilvl="5" w:tplc="2C7295EC">
      <w:start w:val="1"/>
      <w:numFmt w:val="bullet"/>
      <w:lvlText w:val=""/>
      <w:lvlJc w:val="left"/>
      <w:pPr>
        <w:ind w:left="4320" w:hanging="360"/>
      </w:pPr>
      <w:rPr>
        <w:rFonts w:ascii="Wingdings" w:hAnsi="Wingdings" w:hint="default"/>
      </w:rPr>
    </w:lvl>
    <w:lvl w:ilvl="6" w:tplc="0A3AADD4">
      <w:start w:val="1"/>
      <w:numFmt w:val="bullet"/>
      <w:lvlText w:val=""/>
      <w:lvlJc w:val="left"/>
      <w:pPr>
        <w:ind w:left="5040" w:hanging="360"/>
      </w:pPr>
      <w:rPr>
        <w:rFonts w:ascii="Symbol" w:hAnsi="Symbol" w:hint="default"/>
      </w:rPr>
    </w:lvl>
    <w:lvl w:ilvl="7" w:tplc="536A8CA4">
      <w:start w:val="1"/>
      <w:numFmt w:val="bullet"/>
      <w:lvlText w:val="o"/>
      <w:lvlJc w:val="left"/>
      <w:pPr>
        <w:ind w:left="5760" w:hanging="360"/>
      </w:pPr>
      <w:rPr>
        <w:rFonts w:ascii="Courier New" w:hAnsi="Courier New" w:hint="default"/>
      </w:rPr>
    </w:lvl>
    <w:lvl w:ilvl="8" w:tplc="06845214">
      <w:start w:val="1"/>
      <w:numFmt w:val="bullet"/>
      <w:lvlText w:val=""/>
      <w:lvlJc w:val="left"/>
      <w:pPr>
        <w:ind w:left="6480" w:hanging="360"/>
      </w:pPr>
      <w:rPr>
        <w:rFonts w:ascii="Wingdings" w:hAnsi="Wingdings" w:hint="default"/>
      </w:rPr>
    </w:lvl>
  </w:abstractNum>
  <w:abstractNum w:abstractNumId="8" w15:restartNumberingAfterBreak="0">
    <w:nsid w:val="146110A5"/>
    <w:multiLevelType w:val="multilevel"/>
    <w:tmpl w:val="5C963E1A"/>
    <w:lvl w:ilvl="0">
      <w:start w:val="1"/>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9" w15:restartNumberingAfterBreak="0">
    <w:nsid w:val="1C009E2C"/>
    <w:multiLevelType w:val="hybridMultilevel"/>
    <w:tmpl w:val="970886B8"/>
    <w:lvl w:ilvl="0" w:tplc="BCC8EF30">
      <w:start w:val="1"/>
      <w:numFmt w:val="bullet"/>
      <w:lvlText w:val=""/>
      <w:lvlJc w:val="left"/>
      <w:pPr>
        <w:ind w:left="720" w:hanging="360"/>
      </w:pPr>
      <w:rPr>
        <w:rFonts w:ascii="Symbol" w:hAnsi="Symbol" w:hint="default"/>
      </w:rPr>
    </w:lvl>
    <w:lvl w:ilvl="1" w:tplc="BCAE15F8">
      <w:start w:val="1"/>
      <w:numFmt w:val="bullet"/>
      <w:lvlText w:val="o"/>
      <w:lvlJc w:val="left"/>
      <w:pPr>
        <w:ind w:left="1440" w:hanging="360"/>
      </w:pPr>
      <w:rPr>
        <w:rFonts w:ascii="Courier New" w:hAnsi="Courier New" w:hint="default"/>
      </w:rPr>
    </w:lvl>
    <w:lvl w:ilvl="2" w:tplc="11A2D44E">
      <w:start w:val="1"/>
      <w:numFmt w:val="bullet"/>
      <w:lvlText w:val=""/>
      <w:lvlJc w:val="left"/>
      <w:pPr>
        <w:ind w:left="2160" w:hanging="360"/>
      </w:pPr>
      <w:rPr>
        <w:rFonts w:ascii="Wingdings" w:hAnsi="Wingdings" w:hint="default"/>
      </w:rPr>
    </w:lvl>
    <w:lvl w:ilvl="3" w:tplc="73D4F418">
      <w:start w:val="1"/>
      <w:numFmt w:val="bullet"/>
      <w:lvlText w:val=""/>
      <w:lvlJc w:val="left"/>
      <w:pPr>
        <w:ind w:left="2880" w:hanging="360"/>
      </w:pPr>
      <w:rPr>
        <w:rFonts w:ascii="Symbol" w:hAnsi="Symbol" w:hint="default"/>
      </w:rPr>
    </w:lvl>
    <w:lvl w:ilvl="4" w:tplc="E6A6094C">
      <w:start w:val="1"/>
      <w:numFmt w:val="bullet"/>
      <w:lvlText w:val="o"/>
      <w:lvlJc w:val="left"/>
      <w:pPr>
        <w:ind w:left="3600" w:hanging="360"/>
      </w:pPr>
      <w:rPr>
        <w:rFonts w:ascii="Courier New" w:hAnsi="Courier New" w:hint="default"/>
      </w:rPr>
    </w:lvl>
    <w:lvl w:ilvl="5" w:tplc="20DCFDB4">
      <w:start w:val="1"/>
      <w:numFmt w:val="bullet"/>
      <w:lvlText w:val=""/>
      <w:lvlJc w:val="left"/>
      <w:pPr>
        <w:ind w:left="4320" w:hanging="360"/>
      </w:pPr>
      <w:rPr>
        <w:rFonts w:ascii="Wingdings" w:hAnsi="Wingdings" w:hint="default"/>
      </w:rPr>
    </w:lvl>
    <w:lvl w:ilvl="6" w:tplc="681C8C20">
      <w:start w:val="1"/>
      <w:numFmt w:val="bullet"/>
      <w:lvlText w:val=""/>
      <w:lvlJc w:val="left"/>
      <w:pPr>
        <w:ind w:left="5040" w:hanging="360"/>
      </w:pPr>
      <w:rPr>
        <w:rFonts w:ascii="Symbol" w:hAnsi="Symbol" w:hint="default"/>
      </w:rPr>
    </w:lvl>
    <w:lvl w:ilvl="7" w:tplc="382430B4">
      <w:start w:val="1"/>
      <w:numFmt w:val="bullet"/>
      <w:lvlText w:val="o"/>
      <w:lvlJc w:val="left"/>
      <w:pPr>
        <w:ind w:left="5760" w:hanging="360"/>
      </w:pPr>
      <w:rPr>
        <w:rFonts w:ascii="Courier New" w:hAnsi="Courier New" w:hint="default"/>
      </w:rPr>
    </w:lvl>
    <w:lvl w:ilvl="8" w:tplc="D21E8614">
      <w:start w:val="1"/>
      <w:numFmt w:val="bullet"/>
      <w:lvlText w:val=""/>
      <w:lvlJc w:val="left"/>
      <w:pPr>
        <w:ind w:left="6480" w:hanging="360"/>
      </w:pPr>
      <w:rPr>
        <w:rFonts w:ascii="Wingdings" w:hAnsi="Wingdings" w:hint="default"/>
      </w:rPr>
    </w:lvl>
  </w:abstractNum>
  <w:abstractNum w:abstractNumId="10" w15:restartNumberingAfterBreak="0">
    <w:nsid w:val="21B48128"/>
    <w:multiLevelType w:val="hybridMultilevel"/>
    <w:tmpl w:val="4C747C72"/>
    <w:lvl w:ilvl="0" w:tplc="C3BC7ECC">
      <w:start w:val="1"/>
      <w:numFmt w:val="bullet"/>
      <w:lvlText w:val=""/>
      <w:lvlJc w:val="left"/>
      <w:pPr>
        <w:ind w:left="720" w:hanging="360"/>
      </w:pPr>
      <w:rPr>
        <w:rFonts w:ascii="Symbol" w:hAnsi="Symbol" w:hint="default"/>
      </w:rPr>
    </w:lvl>
    <w:lvl w:ilvl="1" w:tplc="DFE00E52">
      <w:start w:val="1"/>
      <w:numFmt w:val="bullet"/>
      <w:lvlText w:val="o"/>
      <w:lvlJc w:val="left"/>
      <w:pPr>
        <w:ind w:left="1440" w:hanging="360"/>
      </w:pPr>
      <w:rPr>
        <w:rFonts w:ascii="Courier New" w:hAnsi="Courier New" w:hint="default"/>
      </w:rPr>
    </w:lvl>
    <w:lvl w:ilvl="2" w:tplc="BCD49916">
      <w:start w:val="1"/>
      <w:numFmt w:val="bullet"/>
      <w:lvlText w:val=""/>
      <w:lvlJc w:val="left"/>
      <w:pPr>
        <w:ind w:left="2160" w:hanging="360"/>
      </w:pPr>
      <w:rPr>
        <w:rFonts w:ascii="Wingdings" w:hAnsi="Wingdings" w:hint="default"/>
      </w:rPr>
    </w:lvl>
    <w:lvl w:ilvl="3" w:tplc="8320CBB8">
      <w:start w:val="1"/>
      <w:numFmt w:val="bullet"/>
      <w:lvlText w:val=""/>
      <w:lvlJc w:val="left"/>
      <w:pPr>
        <w:ind w:left="2880" w:hanging="360"/>
      </w:pPr>
      <w:rPr>
        <w:rFonts w:ascii="Symbol" w:hAnsi="Symbol" w:hint="default"/>
      </w:rPr>
    </w:lvl>
    <w:lvl w:ilvl="4" w:tplc="E05A8050">
      <w:start w:val="1"/>
      <w:numFmt w:val="bullet"/>
      <w:lvlText w:val="o"/>
      <w:lvlJc w:val="left"/>
      <w:pPr>
        <w:ind w:left="3600" w:hanging="360"/>
      </w:pPr>
      <w:rPr>
        <w:rFonts w:ascii="Courier New" w:hAnsi="Courier New" w:hint="default"/>
      </w:rPr>
    </w:lvl>
    <w:lvl w:ilvl="5" w:tplc="15D61076">
      <w:start w:val="1"/>
      <w:numFmt w:val="bullet"/>
      <w:lvlText w:val=""/>
      <w:lvlJc w:val="left"/>
      <w:pPr>
        <w:ind w:left="4320" w:hanging="360"/>
      </w:pPr>
      <w:rPr>
        <w:rFonts w:ascii="Wingdings" w:hAnsi="Wingdings" w:hint="default"/>
      </w:rPr>
    </w:lvl>
    <w:lvl w:ilvl="6" w:tplc="D3B671C6">
      <w:start w:val="1"/>
      <w:numFmt w:val="bullet"/>
      <w:lvlText w:val=""/>
      <w:lvlJc w:val="left"/>
      <w:pPr>
        <w:ind w:left="5040" w:hanging="360"/>
      </w:pPr>
      <w:rPr>
        <w:rFonts w:ascii="Symbol" w:hAnsi="Symbol" w:hint="default"/>
      </w:rPr>
    </w:lvl>
    <w:lvl w:ilvl="7" w:tplc="2CB8FBF6">
      <w:start w:val="1"/>
      <w:numFmt w:val="bullet"/>
      <w:lvlText w:val="o"/>
      <w:lvlJc w:val="left"/>
      <w:pPr>
        <w:ind w:left="5760" w:hanging="360"/>
      </w:pPr>
      <w:rPr>
        <w:rFonts w:ascii="Courier New" w:hAnsi="Courier New" w:hint="default"/>
      </w:rPr>
    </w:lvl>
    <w:lvl w:ilvl="8" w:tplc="AF1C3B52">
      <w:start w:val="1"/>
      <w:numFmt w:val="bullet"/>
      <w:lvlText w:val=""/>
      <w:lvlJc w:val="left"/>
      <w:pPr>
        <w:ind w:left="6480" w:hanging="360"/>
      </w:pPr>
      <w:rPr>
        <w:rFonts w:ascii="Wingdings" w:hAnsi="Wingdings" w:hint="default"/>
      </w:rPr>
    </w:lvl>
  </w:abstractNum>
  <w:abstractNum w:abstractNumId="11" w15:restartNumberingAfterBreak="0">
    <w:nsid w:val="25143030"/>
    <w:multiLevelType w:val="multilevel"/>
    <w:tmpl w:val="D674B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9E5D58"/>
    <w:multiLevelType w:val="multilevel"/>
    <w:tmpl w:val="A11EA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C8A71D"/>
    <w:multiLevelType w:val="hybridMultilevel"/>
    <w:tmpl w:val="B0C27EF8"/>
    <w:lvl w:ilvl="0" w:tplc="5500614A">
      <w:start w:val="1"/>
      <w:numFmt w:val="bullet"/>
      <w:lvlText w:val=""/>
      <w:lvlJc w:val="left"/>
      <w:pPr>
        <w:ind w:left="720" w:hanging="360"/>
      </w:pPr>
      <w:rPr>
        <w:rFonts w:ascii="Symbol" w:hAnsi="Symbol" w:hint="default"/>
      </w:rPr>
    </w:lvl>
    <w:lvl w:ilvl="1" w:tplc="EA545652">
      <w:start w:val="1"/>
      <w:numFmt w:val="bullet"/>
      <w:lvlText w:val="o"/>
      <w:lvlJc w:val="left"/>
      <w:pPr>
        <w:ind w:left="1440" w:hanging="360"/>
      </w:pPr>
      <w:rPr>
        <w:rFonts w:ascii="Courier New" w:hAnsi="Courier New" w:hint="default"/>
      </w:rPr>
    </w:lvl>
    <w:lvl w:ilvl="2" w:tplc="1132FA40">
      <w:start w:val="1"/>
      <w:numFmt w:val="bullet"/>
      <w:lvlText w:val=""/>
      <w:lvlJc w:val="left"/>
      <w:pPr>
        <w:ind w:left="2160" w:hanging="360"/>
      </w:pPr>
      <w:rPr>
        <w:rFonts w:ascii="Wingdings" w:hAnsi="Wingdings" w:hint="default"/>
      </w:rPr>
    </w:lvl>
    <w:lvl w:ilvl="3" w:tplc="2694555E">
      <w:start w:val="1"/>
      <w:numFmt w:val="bullet"/>
      <w:lvlText w:val=""/>
      <w:lvlJc w:val="left"/>
      <w:pPr>
        <w:ind w:left="2880" w:hanging="360"/>
      </w:pPr>
      <w:rPr>
        <w:rFonts w:ascii="Symbol" w:hAnsi="Symbol" w:hint="default"/>
      </w:rPr>
    </w:lvl>
    <w:lvl w:ilvl="4" w:tplc="91DE5BA8">
      <w:start w:val="1"/>
      <w:numFmt w:val="bullet"/>
      <w:lvlText w:val="o"/>
      <w:lvlJc w:val="left"/>
      <w:pPr>
        <w:ind w:left="3600" w:hanging="360"/>
      </w:pPr>
      <w:rPr>
        <w:rFonts w:ascii="Courier New" w:hAnsi="Courier New" w:hint="default"/>
      </w:rPr>
    </w:lvl>
    <w:lvl w:ilvl="5" w:tplc="D03875E2">
      <w:start w:val="1"/>
      <w:numFmt w:val="bullet"/>
      <w:lvlText w:val=""/>
      <w:lvlJc w:val="left"/>
      <w:pPr>
        <w:ind w:left="4320" w:hanging="360"/>
      </w:pPr>
      <w:rPr>
        <w:rFonts w:ascii="Wingdings" w:hAnsi="Wingdings" w:hint="default"/>
      </w:rPr>
    </w:lvl>
    <w:lvl w:ilvl="6" w:tplc="FF00610C">
      <w:start w:val="1"/>
      <w:numFmt w:val="bullet"/>
      <w:lvlText w:val=""/>
      <w:lvlJc w:val="left"/>
      <w:pPr>
        <w:ind w:left="5040" w:hanging="360"/>
      </w:pPr>
      <w:rPr>
        <w:rFonts w:ascii="Symbol" w:hAnsi="Symbol" w:hint="default"/>
      </w:rPr>
    </w:lvl>
    <w:lvl w:ilvl="7" w:tplc="65E6BB02">
      <w:start w:val="1"/>
      <w:numFmt w:val="bullet"/>
      <w:lvlText w:val="o"/>
      <w:lvlJc w:val="left"/>
      <w:pPr>
        <w:ind w:left="5760" w:hanging="360"/>
      </w:pPr>
      <w:rPr>
        <w:rFonts w:ascii="Courier New" w:hAnsi="Courier New" w:hint="default"/>
      </w:rPr>
    </w:lvl>
    <w:lvl w:ilvl="8" w:tplc="EF82F140">
      <w:start w:val="1"/>
      <w:numFmt w:val="bullet"/>
      <w:lvlText w:val=""/>
      <w:lvlJc w:val="left"/>
      <w:pPr>
        <w:ind w:left="6480" w:hanging="360"/>
      </w:pPr>
      <w:rPr>
        <w:rFonts w:ascii="Wingdings" w:hAnsi="Wingdings" w:hint="default"/>
      </w:rPr>
    </w:lvl>
  </w:abstractNum>
  <w:abstractNum w:abstractNumId="14" w15:restartNumberingAfterBreak="0">
    <w:nsid w:val="29887A76"/>
    <w:multiLevelType w:val="hybridMultilevel"/>
    <w:tmpl w:val="BEAE9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0F1245"/>
    <w:multiLevelType w:val="hybridMultilevel"/>
    <w:tmpl w:val="6966D57E"/>
    <w:lvl w:ilvl="0" w:tplc="F690B840">
      <w:start w:val="1"/>
      <w:numFmt w:val="bullet"/>
      <w:lvlText w:val=""/>
      <w:lvlJc w:val="left"/>
      <w:pPr>
        <w:ind w:left="720" w:hanging="360"/>
      </w:pPr>
      <w:rPr>
        <w:rFonts w:ascii="Symbol" w:hAnsi="Symbol" w:hint="default"/>
      </w:rPr>
    </w:lvl>
    <w:lvl w:ilvl="1" w:tplc="ED6CD9C8">
      <w:start w:val="1"/>
      <w:numFmt w:val="bullet"/>
      <w:lvlText w:val="o"/>
      <w:lvlJc w:val="left"/>
      <w:pPr>
        <w:ind w:left="1440" w:hanging="360"/>
      </w:pPr>
      <w:rPr>
        <w:rFonts w:ascii="Courier New" w:hAnsi="Courier New" w:hint="default"/>
      </w:rPr>
    </w:lvl>
    <w:lvl w:ilvl="2" w:tplc="639025C2">
      <w:start w:val="1"/>
      <w:numFmt w:val="bullet"/>
      <w:lvlText w:val=""/>
      <w:lvlJc w:val="left"/>
      <w:pPr>
        <w:ind w:left="2160" w:hanging="360"/>
      </w:pPr>
      <w:rPr>
        <w:rFonts w:ascii="Wingdings" w:hAnsi="Wingdings" w:hint="default"/>
      </w:rPr>
    </w:lvl>
    <w:lvl w:ilvl="3" w:tplc="04660604">
      <w:start w:val="1"/>
      <w:numFmt w:val="bullet"/>
      <w:lvlText w:val=""/>
      <w:lvlJc w:val="left"/>
      <w:pPr>
        <w:ind w:left="2880" w:hanging="360"/>
      </w:pPr>
      <w:rPr>
        <w:rFonts w:ascii="Symbol" w:hAnsi="Symbol" w:hint="default"/>
      </w:rPr>
    </w:lvl>
    <w:lvl w:ilvl="4" w:tplc="46EC5ACC">
      <w:start w:val="1"/>
      <w:numFmt w:val="bullet"/>
      <w:lvlText w:val="o"/>
      <w:lvlJc w:val="left"/>
      <w:pPr>
        <w:ind w:left="3600" w:hanging="360"/>
      </w:pPr>
      <w:rPr>
        <w:rFonts w:ascii="Courier New" w:hAnsi="Courier New" w:hint="default"/>
      </w:rPr>
    </w:lvl>
    <w:lvl w:ilvl="5" w:tplc="DA70A2B0">
      <w:start w:val="1"/>
      <w:numFmt w:val="bullet"/>
      <w:lvlText w:val=""/>
      <w:lvlJc w:val="left"/>
      <w:pPr>
        <w:ind w:left="4320" w:hanging="360"/>
      </w:pPr>
      <w:rPr>
        <w:rFonts w:ascii="Wingdings" w:hAnsi="Wingdings" w:hint="default"/>
      </w:rPr>
    </w:lvl>
    <w:lvl w:ilvl="6" w:tplc="BA2A75F4">
      <w:start w:val="1"/>
      <w:numFmt w:val="bullet"/>
      <w:lvlText w:val=""/>
      <w:lvlJc w:val="left"/>
      <w:pPr>
        <w:ind w:left="5040" w:hanging="360"/>
      </w:pPr>
      <w:rPr>
        <w:rFonts w:ascii="Symbol" w:hAnsi="Symbol" w:hint="default"/>
      </w:rPr>
    </w:lvl>
    <w:lvl w:ilvl="7" w:tplc="79B69BA0">
      <w:start w:val="1"/>
      <w:numFmt w:val="bullet"/>
      <w:lvlText w:val="o"/>
      <w:lvlJc w:val="left"/>
      <w:pPr>
        <w:ind w:left="5760" w:hanging="360"/>
      </w:pPr>
      <w:rPr>
        <w:rFonts w:ascii="Courier New" w:hAnsi="Courier New" w:hint="default"/>
      </w:rPr>
    </w:lvl>
    <w:lvl w:ilvl="8" w:tplc="EDE876C2">
      <w:start w:val="1"/>
      <w:numFmt w:val="bullet"/>
      <w:lvlText w:val=""/>
      <w:lvlJc w:val="left"/>
      <w:pPr>
        <w:ind w:left="6480" w:hanging="360"/>
      </w:pPr>
      <w:rPr>
        <w:rFonts w:ascii="Wingdings" w:hAnsi="Wingdings" w:hint="default"/>
      </w:rPr>
    </w:lvl>
  </w:abstractNum>
  <w:abstractNum w:abstractNumId="16" w15:restartNumberingAfterBreak="0">
    <w:nsid w:val="333F856C"/>
    <w:multiLevelType w:val="hybridMultilevel"/>
    <w:tmpl w:val="462C810E"/>
    <w:lvl w:ilvl="0" w:tplc="60922500">
      <w:start w:val="1"/>
      <w:numFmt w:val="bullet"/>
      <w:lvlText w:val=""/>
      <w:lvlJc w:val="left"/>
      <w:pPr>
        <w:ind w:left="720" w:hanging="360"/>
      </w:pPr>
      <w:rPr>
        <w:rFonts w:ascii="Symbol" w:hAnsi="Symbol" w:hint="default"/>
      </w:rPr>
    </w:lvl>
    <w:lvl w:ilvl="1" w:tplc="D98C49E4">
      <w:start w:val="1"/>
      <w:numFmt w:val="bullet"/>
      <w:lvlText w:val="o"/>
      <w:lvlJc w:val="left"/>
      <w:pPr>
        <w:ind w:left="1440" w:hanging="360"/>
      </w:pPr>
      <w:rPr>
        <w:rFonts w:ascii="Courier New" w:hAnsi="Courier New" w:hint="default"/>
      </w:rPr>
    </w:lvl>
    <w:lvl w:ilvl="2" w:tplc="2F6A8630">
      <w:start w:val="1"/>
      <w:numFmt w:val="bullet"/>
      <w:lvlText w:val=""/>
      <w:lvlJc w:val="left"/>
      <w:pPr>
        <w:ind w:left="2160" w:hanging="360"/>
      </w:pPr>
      <w:rPr>
        <w:rFonts w:ascii="Wingdings" w:hAnsi="Wingdings" w:hint="default"/>
      </w:rPr>
    </w:lvl>
    <w:lvl w:ilvl="3" w:tplc="6AF018EE">
      <w:start w:val="1"/>
      <w:numFmt w:val="bullet"/>
      <w:lvlText w:val=""/>
      <w:lvlJc w:val="left"/>
      <w:pPr>
        <w:ind w:left="2880" w:hanging="360"/>
      </w:pPr>
      <w:rPr>
        <w:rFonts w:ascii="Symbol" w:hAnsi="Symbol" w:hint="default"/>
      </w:rPr>
    </w:lvl>
    <w:lvl w:ilvl="4" w:tplc="B5D43C4A">
      <w:start w:val="1"/>
      <w:numFmt w:val="bullet"/>
      <w:lvlText w:val="o"/>
      <w:lvlJc w:val="left"/>
      <w:pPr>
        <w:ind w:left="3600" w:hanging="360"/>
      </w:pPr>
      <w:rPr>
        <w:rFonts w:ascii="Courier New" w:hAnsi="Courier New" w:hint="default"/>
      </w:rPr>
    </w:lvl>
    <w:lvl w:ilvl="5" w:tplc="5E1CC816">
      <w:start w:val="1"/>
      <w:numFmt w:val="bullet"/>
      <w:lvlText w:val=""/>
      <w:lvlJc w:val="left"/>
      <w:pPr>
        <w:ind w:left="4320" w:hanging="360"/>
      </w:pPr>
      <w:rPr>
        <w:rFonts w:ascii="Wingdings" w:hAnsi="Wingdings" w:hint="default"/>
      </w:rPr>
    </w:lvl>
    <w:lvl w:ilvl="6" w:tplc="8696C1B0">
      <w:start w:val="1"/>
      <w:numFmt w:val="bullet"/>
      <w:lvlText w:val=""/>
      <w:lvlJc w:val="left"/>
      <w:pPr>
        <w:ind w:left="5040" w:hanging="360"/>
      </w:pPr>
      <w:rPr>
        <w:rFonts w:ascii="Symbol" w:hAnsi="Symbol" w:hint="default"/>
      </w:rPr>
    </w:lvl>
    <w:lvl w:ilvl="7" w:tplc="2BE07944">
      <w:start w:val="1"/>
      <w:numFmt w:val="bullet"/>
      <w:lvlText w:val="o"/>
      <w:lvlJc w:val="left"/>
      <w:pPr>
        <w:ind w:left="5760" w:hanging="360"/>
      </w:pPr>
      <w:rPr>
        <w:rFonts w:ascii="Courier New" w:hAnsi="Courier New" w:hint="default"/>
      </w:rPr>
    </w:lvl>
    <w:lvl w:ilvl="8" w:tplc="B9708926">
      <w:start w:val="1"/>
      <w:numFmt w:val="bullet"/>
      <w:lvlText w:val=""/>
      <w:lvlJc w:val="left"/>
      <w:pPr>
        <w:ind w:left="6480" w:hanging="360"/>
      </w:pPr>
      <w:rPr>
        <w:rFonts w:ascii="Wingdings" w:hAnsi="Wingdings" w:hint="default"/>
      </w:rPr>
    </w:lvl>
  </w:abstractNum>
  <w:abstractNum w:abstractNumId="17" w15:restartNumberingAfterBreak="0">
    <w:nsid w:val="33AC1049"/>
    <w:multiLevelType w:val="multilevel"/>
    <w:tmpl w:val="D690CF92"/>
    <w:lvl w:ilvl="0">
      <w:start w:val="1"/>
      <w:numFmt w:val="decimal"/>
      <w:lvlText w:val="%1"/>
      <w:lvlJc w:val="left"/>
      <w:pPr>
        <w:ind w:left="400" w:hanging="400"/>
      </w:pPr>
      <w:rPr>
        <w:rFonts w:hint="default"/>
        <w:b/>
      </w:rPr>
    </w:lvl>
    <w:lvl w:ilvl="1">
      <w:start w:val="1"/>
      <w:numFmt w:val="decimal"/>
      <w:lvlText w:val="%1.%2"/>
      <w:lvlJc w:val="left"/>
      <w:pPr>
        <w:ind w:left="400" w:hanging="40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8" w15:restartNumberingAfterBreak="0">
    <w:nsid w:val="37233EA5"/>
    <w:multiLevelType w:val="hybridMultilevel"/>
    <w:tmpl w:val="20DAA5C8"/>
    <w:lvl w:ilvl="0" w:tplc="66BCD958">
      <w:start w:val="1"/>
      <w:numFmt w:val="decimal"/>
      <w:lvlText w:val="%1."/>
      <w:lvlJc w:val="left"/>
      <w:pPr>
        <w:ind w:left="720" w:hanging="360"/>
      </w:pPr>
    </w:lvl>
    <w:lvl w:ilvl="1" w:tplc="84AE9670">
      <w:start w:val="1"/>
      <w:numFmt w:val="lowerLetter"/>
      <w:lvlText w:val="%2."/>
      <w:lvlJc w:val="left"/>
      <w:pPr>
        <w:ind w:left="1440" w:hanging="360"/>
      </w:pPr>
    </w:lvl>
    <w:lvl w:ilvl="2" w:tplc="E89E7AB6">
      <w:start w:val="1"/>
      <w:numFmt w:val="lowerRoman"/>
      <w:lvlText w:val="%3."/>
      <w:lvlJc w:val="right"/>
      <w:pPr>
        <w:ind w:left="2160" w:hanging="180"/>
      </w:pPr>
    </w:lvl>
    <w:lvl w:ilvl="3" w:tplc="2F8A0ED0">
      <w:start w:val="1"/>
      <w:numFmt w:val="decimal"/>
      <w:lvlText w:val="%4."/>
      <w:lvlJc w:val="left"/>
      <w:pPr>
        <w:ind w:left="2880" w:hanging="360"/>
      </w:pPr>
    </w:lvl>
    <w:lvl w:ilvl="4" w:tplc="A65CB7A8">
      <w:start w:val="1"/>
      <w:numFmt w:val="lowerLetter"/>
      <w:lvlText w:val="%5."/>
      <w:lvlJc w:val="left"/>
      <w:pPr>
        <w:ind w:left="3600" w:hanging="360"/>
      </w:pPr>
    </w:lvl>
    <w:lvl w:ilvl="5" w:tplc="271CDC22">
      <w:start w:val="1"/>
      <w:numFmt w:val="lowerRoman"/>
      <w:lvlText w:val="%6."/>
      <w:lvlJc w:val="right"/>
      <w:pPr>
        <w:ind w:left="4320" w:hanging="180"/>
      </w:pPr>
    </w:lvl>
    <w:lvl w:ilvl="6" w:tplc="96A01094">
      <w:start w:val="1"/>
      <w:numFmt w:val="decimal"/>
      <w:lvlText w:val="%7."/>
      <w:lvlJc w:val="left"/>
      <w:pPr>
        <w:ind w:left="5040" w:hanging="360"/>
      </w:pPr>
    </w:lvl>
    <w:lvl w:ilvl="7" w:tplc="62804BFC">
      <w:start w:val="1"/>
      <w:numFmt w:val="lowerLetter"/>
      <w:lvlText w:val="%8."/>
      <w:lvlJc w:val="left"/>
      <w:pPr>
        <w:ind w:left="5760" w:hanging="360"/>
      </w:pPr>
    </w:lvl>
    <w:lvl w:ilvl="8" w:tplc="87BEE826">
      <w:start w:val="1"/>
      <w:numFmt w:val="lowerRoman"/>
      <w:lvlText w:val="%9."/>
      <w:lvlJc w:val="right"/>
      <w:pPr>
        <w:ind w:left="6480" w:hanging="180"/>
      </w:pPr>
    </w:lvl>
  </w:abstractNum>
  <w:abstractNum w:abstractNumId="19" w15:restartNumberingAfterBreak="0">
    <w:nsid w:val="376E9C61"/>
    <w:multiLevelType w:val="hybridMultilevel"/>
    <w:tmpl w:val="2ED40B64"/>
    <w:lvl w:ilvl="0" w:tplc="43441AAE">
      <w:start w:val="1"/>
      <w:numFmt w:val="bullet"/>
      <w:lvlText w:val=""/>
      <w:lvlJc w:val="left"/>
      <w:pPr>
        <w:ind w:left="720" w:hanging="360"/>
      </w:pPr>
      <w:rPr>
        <w:rFonts w:ascii="Symbol" w:hAnsi="Symbol" w:hint="default"/>
      </w:rPr>
    </w:lvl>
    <w:lvl w:ilvl="1" w:tplc="0DE0B9E0">
      <w:start w:val="1"/>
      <w:numFmt w:val="bullet"/>
      <w:lvlText w:val="o"/>
      <w:lvlJc w:val="left"/>
      <w:pPr>
        <w:ind w:left="1440" w:hanging="360"/>
      </w:pPr>
      <w:rPr>
        <w:rFonts w:ascii="Courier New" w:hAnsi="Courier New" w:hint="default"/>
      </w:rPr>
    </w:lvl>
    <w:lvl w:ilvl="2" w:tplc="3640A8C4">
      <w:start w:val="1"/>
      <w:numFmt w:val="bullet"/>
      <w:lvlText w:val=""/>
      <w:lvlJc w:val="left"/>
      <w:pPr>
        <w:ind w:left="2160" w:hanging="360"/>
      </w:pPr>
      <w:rPr>
        <w:rFonts w:ascii="Wingdings" w:hAnsi="Wingdings" w:hint="default"/>
      </w:rPr>
    </w:lvl>
    <w:lvl w:ilvl="3" w:tplc="E9B41EE8">
      <w:start w:val="1"/>
      <w:numFmt w:val="bullet"/>
      <w:lvlText w:val=""/>
      <w:lvlJc w:val="left"/>
      <w:pPr>
        <w:ind w:left="2880" w:hanging="360"/>
      </w:pPr>
      <w:rPr>
        <w:rFonts w:ascii="Symbol" w:hAnsi="Symbol" w:hint="default"/>
      </w:rPr>
    </w:lvl>
    <w:lvl w:ilvl="4" w:tplc="149A9DFC">
      <w:start w:val="1"/>
      <w:numFmt w:val="bullet"/>
      <w:lvlText w:val="o"/>
      <w:lvlJc w:val="left"/>
      <w:pPr>
        <w:ind w:left="3600" w:hanging="360"/>
      </w:pPr>
      <w:rPr>
        <w:rFonts w:ascii="Courier New" w:hAnsi="Courier New" w:hint="default"/>
      </w:rPr>
    </w:lvl>
    <w:lvl w:ilvl="5" w:tplc="3878D626">
      <w:start w:val="1"/>
      <w:numFmt w:val="bullet"/>
      <w:lvlText w:val=""/>
      <w:lvlJc w:val="left"/>
      <w:pPr>
        <w:ind w:left="4320" w:hanging="360"/>
      </w:pPr>
      <w:rPr>
        <w:rFonts w:ascii="Wingdings" w:hAnsi="Wingdings" w:hint="default"/>
      </w:rPr>
    </w:lvl>
    <w:lvl w:ilvl="6" w:tplc="06AAEED0">
      <w:start w:val="1"/>
      <w:numFmt w:val="bullet"/>
      <w:lvlText w:val=""/>
      <w:lvlJc w:val="left"/>
      <w:pPr>
        <w:ind w:left="5040" w:hanging="360"/>
      </w:pPr>
      <w:rPr>
        <w:rFonts w:ascii="Symbol" w:hAnsi="Symbol" w:hint="default"/>
      </w:rPr>
    </w:lvl>
    <w:lvl w:ilvl="7" w:tplc="39D64924">
      <w:start w:val="1"/>
      <w:numFmt w:val="bullet"/>
      <w:lvlText w:val="o"/>
      <w:lvlJc w:val="left"/>
      <w:pPr>
        <w:ind w:left="5760" w:hanging="360"/>
      </w:pPr>
      <w:rPr>
        <w:rFonts w:ascii="Courier New" w:hAnsi="Courier New" w:hint="default"/>
      </w:rPr>
    </w:lvl>
    <w:lvl w:ilvl="8" w:tplc="5A10738A">
      <w:start w:val="1"/>
      <w:numFmt w:val="bullet"/>
      <w:lvlText w:val=""/>
      <w:lvlJc w:val="left"/>
      <w:pPr>
        <w:ind w:left="6480" w:hanging="360"/>
      </w:pPr>
      <w:rPr>
        <w:rFonts w:ascii="Wingdings" w:hAnsi="Wingdings" w:hint="default"/>
      </w:rPr>
    </w:lvl>
  </w:abstractNum>
  <w:abstractNum w:abstractNumId="20" w15:restartNumberingAfterBreak="0">
    <w:nsid w:val="37D7FEC5"/>
    <w:multiLevelType w:val="hybridMultilevel"/>
    <w:tmpl w:val="A92A4826"/>
    <w:lvl w:ilvl="0" w:tplc="6A500562">
      <w:start w:val="1"/>
      <w:numFmt w:val="bullet"/>
      <w:lvlText w:val=""/>
      <w:lvlJc w:val="left"/>
      <w:pPr>
        <w:ind w:left="720" w:hanging="360"/>
      </w:pPr>
      <w:rPr>
        <w:rFonts w:ascii="Symbol" w:hAnsi="Symbol" w:hint="default"/>
      </w:rPr>
    </w:lvl>
    <w:lvl w:ilvl="1" w:tplc="00C4DC66">
      <w:start w:val="1"/>
      <w:numFmt w:val="bullet"/>
      <w:lvlText w:val="o"/>
      <w:lvlJc w:val="left"/>
      <w:pPr>
        <w:ind w:left="1440" w:hanging="360"/>
      </w:pPr>
      <w:rPr>
        <w:rFonts w:ascii="Courier New" w:hAnsi="Courier New" w:hint="default"/>
      </w:rPr>
    </w:lvl>
    <w:lvl w:ilvl="2" w:tplc="EDCA043C">
      <w:start w:val="1"/>
      <w:numFmt w:val="bullet"/>
      <w:lvlText w:val=""/>
      <w:lvlJc w:val="left"/>
      <w:pPr>
        <w:ind w:left="2160" w:hanging="360"/>
      </w:pPr>
      <w:rPr>
        <w:rFonts w:ascii="Wingdings" w:hAnsi="Wingdings" w:hint="default"/>
      </w:rPr>
    </w:lvl>
    <w:lvl w:ilvl="3" w:tplc="A950E09A">
      <w:start w:val="1"/>
      <w:numFmt w:val="bullet"/>
      <w:lvlText w:val=""/>
      <w:lvlJc w:val="left"/>
      <w:pPr>
        <w:ind w:left="2880" w:hanging="360"/>
      </w:pPr>
      <w:rPr>
        <w:rFonts w:ascii="Symbol" w:hAnsi="Symbol" w:hint="default"/>
      </w:rPr>
    </w:lvl>
    <w:lvl w:ilvl="4" w:tplc="FCC0FDE2">
      <w:start w:val="1"/>
      <w:numFmt w:val="bullet"/>
      <w:lvlText w:val="o"/>
      <w:lvlJc w:val="left"/>
      <w:pPr>
        <w:ind w:left="3600" w:hanging="360"/>
      </w:pPr>
      <w:rPr>
        <w:rFonts w:ascii="Courier New" w:hAnsi="Courier New" w:hint="default"/>
      </w:rPr>
    </w:lvl>
    <w:lvl w:ilvl="5" w:tplc="6C265FC0">
      <w:start w:val="1"/>
      <w:numFmt w:val="bullet"/>
      <w:lvlText w:val=""/>
      <w:lvlJc w:val="left"/>
      <w:pPr>
        <w:ind w:left="4320" w:hanging="360"/>
      </w:pPr>
      <w:rPr>
        <w:rFonts w:ascii="Wingdings" w:hAnsi="Wingdings" w:hint="default"/>
      </w:rPr>
    </w:lvl>
    <w:lvl w:ilvl="6" w:tplc="C4765FC2">
      <w:start w:val="1"/>
      <w:numFmt w:val="bullet"/>
      <w:lvlText w:val=""/>
      <w:lvlJc w:val="left"/>
      <w:pPr>
        <w:ind w:left="5040" w:hanging="360"/>
      </w:pPr>
      <w:rPr>
        <w:rFonts w:ascii="Symbol" w:hAnsi="Symbol" w:hint="default"/>
      </w:rPr>
    </w:lvl>
    <w:lvl w:ilvl="7" w:tplc="1A602592">
      <w:start w:val="1"/>
      <w:numFmt w:val="bullet"/>
      <w:lvlText w:val="o"/>
      <w:lvlJc w:val="left"/>
      <w:pPr>
        <w:ind w:left="5760" w:hanging="360"/>
      </w:pPr>
      <w:rPr>
        <w:rFonts w:ascii="Courier New" w:hAnsi="Courier New" w:hint="default"/>
      </w:rPr>
    </w:lvl>
    <w:lvl w:ilvl="8" w:tplc="D4EA9F50">
      <w:start w:val="1"/>
      <w:numFmt w:val="bullet"/>
      <w:lvlText w:val=""/>
      <w:lvlJc w:val="left"/>
      <w:pPr>
        <w:ind w:left="6480" w:hanging="360"/>
      </w:pPr>
      <w:rPr>
        <w:rFonts w:ascii="Wingdings" w:hAnsi="Wingdings" w:hint="default"/>
      </w:rPr>
    </w:lvl>
  </w:abstractNum>
  <w:abstractNum w:abstractNumId="21" w15:restartNumberingAfterBreak="0">
    <w:nsid w:val="39289A10"/>
    <w:multiLevelType w:val="hybridMultilevel"/>
    <w:tmpl w:val="199E478E"/>
    <w:lvl w:ilvl="0" w:tplc="95741290">
      <w:start w:val="1"/>
      <w:numFmt w:val="bullet"/>
      <w:lvlText w:val=""/>
      <w:lvlJc w:val="left"/>
      <w:pPr>
        <w:ind w:left="720" w:hanging="360"/>
      </w:pPr>
      <w:rPr>
        <w:rFonts w:ascii="Symbol" w:hAnsi="Symbol" w:hint="default"/>
      </w:rPr>
    </w:lvl>
    <w:lvl w:ilvl="1" w:tplc="8BEA342E">
      <w:start w:val="1"/>
      <w:numFmt w:val="bullet"/>
      <w:lvlText w:val="o"/>
      <w:lvlJc w:val="left"/>
      <w:pPr>
        <w:ind w:left="1440" w:hanging="360"/>
      </w:pPr>
      <w:rPr>
        <w:rFonts w:ascii="Courier New" w:hAnsi="Courier New" w:hint="default"/>
      </w:rPr>
    </w:lvl>
    <w:lvl w:ilvl="2" w:tplc="58426C6C">
      <w:start w:val="1"/>
      <w:numFmt w:val="bullet"/>
      <w:lvlText w:val=""/>
      <w:lvlJc w:val="left"/>
      <w:pPr>
        <w:ind w:left="2160" w:hanging="360"/>
      </w:pPr>
      <w:rPr>
        <w:rFonts w:ascii="Wingdings" w:hAnsi="Wingdings" w:hint="default"/>
      </w:rPr>
    </w:lvl>
    <w:lvl w:ilvl="3" w:tplc="E726468E">
      <w:start w:val="1"/>
      <w:numFmt w:val="bullet"/>
      <w:lvlText w:val=""/>
      <w:lvlJc w:val="left"/>
      <w:pPr>
        <w:ind w:left="2880" w:hanging="360"/>
      </w:pPr>
      <w:rPr>
        <w:rFonts w:ascii="Symbol" w:hAnsi="Symbol" w:hint="default"/>
      </w:rPr>
    </w:lvl>
    <w:lvl w:ilvl="4" w:tplc="135C0812">
      <w:start w:val="1"/>
      <w:numFmt w:val="bullet"/>
      <w:lvlText w:val="o"/>
      <w:lvlJc w:val="left"/>
      <w:pPr>
        <w:ind w:left="3600" w:hanging="360"/>
      </w:pPr>
      <w:rPr>
        <w:rFonts w:ascii="Courier New" w:hAnsi="Courier New" w:hint="default"/>
      </w:rPr>
    </w:lvl>
    <w:lvl w:ilvl="5" w:tplc="0A7A6E20">
      <w:start w:val="1"/>
      <w:numFmt w:val="bullet"/>
      <w:lvlText w:val=""/>
      <w:lvlJc w:val="left"/>
      <w:pPr>
        <w:ind w:left="4320" w:hanging="360"/>
      </w:pPr>
      <w:rPr>
        <w:rFonts w:ascii="Wingdings" w:hAnsi="Wingdings" w:hint="default"/>
      </w:rPr>
    </w:lvl>
    <w:lvl w:ilvl="6" w:tplc="239207D6">
      <w:start w:val="1"/>
      <w:numFmt w:val="bullet"/>
      <w:lvlText w:val=""/>
      <w:lvlJc w:val="left"/>
      <w:pPr>
        <w:ind w:left="5040" w:hanging="360"/>
      </w:pPr>
      <w:rPr>
        <w:rFonts w:ascii="Symbol" w:hAnsi="Symbol" w:hint="default"/>
      </w:rPr>
    </w:lvl>
    <w:lvl w:ilvl="7" w:tplc="21CC10E0">
      <w:start w:val="1"/>
      <w:numFmt w:val="bullet"/>
      <w:lvlText w:val="o"/>
      <w:lvlJc w:val="left"/>
      <w:pPr>
        <w:ind w:left="5760" w:hanging="360"/>
      </w:pPr>
      <w:rPr>
        <w:rFonts w:ascii="Courier New" w:hAnsi="Courier New" w:hint="default"/>
      </w:rPr>
    </w:lvl>
    <w:lvl w:ilvl="8" w:tplc="D12ADBB6">
      <w:start w:val="1"/>
      <w:numFmt w:val="bullet"/>
      <w:lvlText w:val=""/>
      <w:lvlJc w:val="left"/>
      <w:pPr>
        <w:ind w:left="6480" w:hanging="360"/>
      </w:pPr>
      <w:rPr>
        <w:rFonts w:ascii="Wingdings" w:hAnsi="Wingdings" w:hint="default"/>
      </w:rPr>
    </w:lvl>
  </w:abstractNum>
  <w:abstractNum w:abstractNumId="22" w15:restartNumberingAfterBreak="0">
    <w:nsid w:val="3D3B4097"/>
    <w:multiLevelType w:val="multilevel"/>
    <w:tmpl w:val="5B0A2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FD0BB2C"/>
    <w:multiLevelType w:val="hybridMultilevel"/>
    <w:tmpl w:val="46FE15D6"/>
    <w:lvl w:ilvl="0" w:tplc="18C0C688">
      <w:start w:val="6"/>
      <w:numFmt w:val="decimal"/>
      <w:lvlText w:val="%1."/>
      <w:lvlJc w:val="left"/>
      <w:pPr>
        <w:ind w:left="720" w:hanging="360"/>
      </w:pPr>
    </w:lvl>
    <w:lvl w:ilvl="1" w:tplc="F9ACDC96">
      <w:start w:val="1"/>
      <w:numFmt w:val="lowerLetter"/>
      <w:lvlText w:val="%2."/>
      <w:lvlJc w:val="left"/>
      <w:pPr>
        <w:ind w:left="1440" w:hanging="360"/>
      </w:pPr>
    </w:lvl>
    <w:lvl w:ilvl="2" w:tplc="FCFA95FA">
      <w:start w:val="1"/>
      <w:numFmt w:val="lowerRoman"/>
      <w:lvlText w:val="%3."/>
      <w:lvlJc w:val="right"/>
      <w:pPr>
        <w:ind w:left="2160" w:hanging="180"/>
      </w:pPr>
    </w:lvl>
    <w:lvl w:ilvl="3" w:tplc="3A845080">
      <w:start w:val="1"/>
      <w:numFmt w:val="decimal"/>
      <w:lvlText w:val="%4."/>
      <w:lvlJc w:val="left"/>
      <w:pPr>
        <w:ind w:left="2880" w:hanging="360"/>
      </w:pPr>
    </w:lvl>
    <w:lvl w:ilvl="4" w:tplc="8DC68934">
      <w:start w:val="1"/>
      <w:numFmt w:val="lowerLetter"/>
      <w:lvlText w:val="%5."/>
      <w:lvlJc w:val="left"/>
      <w:pPr>
        <w:ind w:left="3600" w:hanging="360"/>
      </w:pPr>
    </w:lvl>
    <w:lvl w:ilvl="5" w:tplc="242AB2C6">
      <w:start w:val="1"/>
      <w:numFmt w:val="lowerRoman"/>
      <w:lvlText w:val="%6."/>
      <w:lvlJc w:val="right"/>
      <w:pPr>
        <w:ind w:left="4320" w:hanging="180"/>
      </w:pPr>
    </w:lvl>
    <w:lvl w:ilvl="6" w:tplc="C9AC7308">
      <w:start w:val="1"/>
      <w:numFmt w:val="decimal"/>
      <w:lvlText w:val="%7."/>
      <w:lvlJc w:val="left"/>
      <w:pPr>
        <w:ind w:left="5040" w:hanging="360"/>
      </w:pPr>
    </w:lvl>
    <w:lvl w:ilvl="7" w:tplc="664E2194">
      <w:start w:val="1"/>
      <w:numFmt w:val="lowerLetter"/>
      <w:lvlText w:val="%8."/>
      <w:lvlJc w:val="left"/>
      <w:pPr>
        <w:ind w:left="5760" w:hanging="360"/>
      </w:pPr>
    </w:lvl>
    <w:lvl w:ilvl="8" w:tplc="81D8CD3E">
      <w:start w:val="1"/>
      <w:numFmt w:val="lowerRoman"/>
      <w:lvlText w:val="%9."/>
      <w:lvlJc w:val="right"/>
      <w:pPr>
        <w:ind w:left="6480" w:hanging="180"/>
      </w:pPr>
    </w:lvl>
  </w:abstractNum>
  <w:abstractNum w:abstractNumId="24" w15:restartNumberingAfterBreak="0">
    <w:nsid w:val="43165FD6"/>
    <w:multiLevelType w:val="multilevel"/>
    <w:tmpl w:val="A4DC0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F0F97F"/>
    <w:multiLevelType w:val="hybridMultilevel"/>
    <w:tmpl w:val="F52C1E90"/>
    <w:lvl w:ilvl="0" w:tplc="CC765BA2">
      <w:start w:val="1"/>
      <w:numFmt w:val="bullet"/>
      <w:lvlText w:val=""/>
      <w:lvlJc w:val="left"/>
      <w:pPr>
        <w:ind w:left="720" w:hanging="360"/>
      </w:pPr>
      <w:rPr>
        <w:rFonts w:ascii="Symbol" w:hAnsi="Symbol" w:hint="default"/>
      </w:rPr>
    </w:lvl>
    <w:lvl w:ilvl="1" w:tplc="B2504C58">
      <w:start w:val="1"/>
      <w:numFmt w:val="bullet"/>
      <w:lvlText w:val="o"/>
      <w:lvlJc w:val="left"/>
      <w:pPr>
        <w:ind w:left="1440" w:hanging="360"/>
      </w:pPr>
      <w:rPr>
        <w:rFonts w:ascii="Courier New" w:hAnsi="Courier New" w:hint="default"/>
      </w:rPr>
    </w:lvl>
    <w:lvl w:ilvl="2" w:tplc="267E21A6">
      <w:start w:val="1"/>
      <w:numFmt w:val="bullet"/>
      <w:lvlText w:val=""/>
      <w:lvlJc w:val="left"/>
      <w:pPr>
        <w:ind w:left="2160" w:hanging="360"/>
      </w:pPr>
      <w:rPr>
        <w:rFonts w:ascii="Wingdings" w:hAnsi="Wingdings" w:hint="default"/>
      </w:rPr>
    </w:lvl>
    <w:lvl w:ilvl="3" w:tplc="343E972E">
      <w:start w:val="1"/>
      <w:numFmt w:val="bullet"/>
      <w:lvlText w:val=""/>
      <w:lvlJc w:val="left"/>
      <w:pPr>
        <w:ind w:left="2880" w:hanging="360"/>
      </w:pPr>
      <w:rPr>
        <w:rFonts w:ascii="Symbol" w:hAnsi="Symbol" w:hint="default"/>
      </w:rPr>
    </w:lvl>
    <w:lvl w:ilvl="4" w:tplc="252A2C6E">
      <w:start w:val="1"/>
      <w:numFmt w:val="bullet"/>
      <w:lvlText w:val="o"/>
      <w:lvlJc w:val="left"/>
      <w:pPr>
        <w:ind w:left="3600" w:hanging="360"/>
      </w:pPr>
      <w:rPr>
        <w:rFonts w:ascii="Courier New" w:hAnsi="Courier New" w:hint="default"/>
      </w:rPr>
    </w:lvl>
    <w:lvl w:ilvl="5" w:tplc="C4FCAC26">
      <w:start w:val="1"/>
      <w:numFmt w:val="bullet"/>
      <w:lvlText w:val=""/>
      <w:lvlJc w:val="left"/>
      <w:pPr>
        <w:ind w:left="4320" w:hanging="360"/>
      </w:pPr>
      <w:rPr>
        <w:rFonts w:ascii="Wingdings" w:hAnsi="Wingdings" w:hint="default"/>
      </w:rPr>
    </w:lvl>
    <w:lvl w:ilvl="6" w:tplc="995E186A">
      <w:start w:val="1"/>
      <w:numFmt w:val="bullet"/>
      <w:lvlText w:val=""/>
      <w:lvlJc w:val="left"/>
      <w:pPr>
        <w:ind w:left="5040" w:hanging="360"/>
      </w:pPr>
      <w:rPr>
        <w:rFonts w:ascii="Symbol" w:hAnsi="Symbol" w:hint="default"/>
      </w:rPr>
    </w:lvl>
    <w:lvl w:ilvl="7" w:tplc="DB086B1C">
      <w:start w:val="1"/>
      <w:numFmt w:val="bullet"/>
      <w:lvlText w:val="o"/>
      <w:lvlJc w:val="left"/>
      <w:pPr>
        <w:ind w:left="5760" w:hanging="360"/>
      </w:pPr>
      <w:rPr>
        <w:rFonts w:ascii="Courier New" w:hAnsi="Courier New" w:hint="default"/>
      </w:rPr>
    </w:lvl>
    <w:lvl w:ilvl="8" w:tplc="97808066">
      <w:start w:val="1"/>
      <w:numFmt w:val="bullet"/>
      <w:lvlText w:val=""/>
      <w:lvlJc w:val="left"/>
      <w:pPr>
        <w:ind w:left="6480" w:hanging="360"/>
      </w:pPr>
      <w:rPr>
        <w:rFonts w:ascii="Wingdings" w:hAnsi="Wingdings" w:hint="default"/>
      </w:rPr>
    </w:lvl>
  </w:abstractNum>
  <w:abstractNum w:abstractNumId="26" w15:restartNumberingAfterBreak="0">
    <w:nsid w:val="48299003"/>
    <w:multiLevelType w:val="hybridMultilevel"/>
    <w:tmpl w:val="B08A4498"/>
    <w:lvl w:ilvl="0" w:tplc="E9666DEE">
      <w:start w:val="1"/>
      <w:numFmt w:val="bullet"/>
      <w:lvlText w:val=""/>
      <w:lvlJc w:val="left"/>
      <w:pPr>
        <w:ind w:left="720" w:hanging="360"/>
      </w:pPr>
      <w:rPr>
        <w:rFonts w:ascii="Symbol" w:hAnsi="Symbol" w:hint="default"/>
      </w:rPr>
    </w:lvl>
    <w:lvl w:ilvl="1" w:tplc="B3C650FE">
      <w:start w:val="1"/>
      <w:numFmt w:val="bullet"/>
      <w:lvlText w:val="o"/>
      <w:lvlJc w:val="left"/>
      <w:pPr>
        <w:ind w:left="1440" w:hanging="360"/>
      </w:pPr>
      <w:rPr>
        <w:rFonts w:ascii="Courier New" w:hAnsi="Courier New" w:hint="default"/>
      </w:rPr>
    </w:lvl>
    <w:lvl w:ilvl="2" w:tplc="73C27004">
      <w:start w:val="1"/>
      <w:numFmt w:val="bullet"/>
      <w:lvlText w:val=""/>
      <w:lvlJc w:val="left"/>
      <w:pPr>
        <w:ind w:left="2160" w:hanging="360"/>
      </w:pPr>
      <w:rPr>
        <w:rFonts w:ascii="Wingdings" w:hAnsi="Wingdings" w:hint="default"/>
      </w:rPr>
    </w:lvl>
    <w:lvl w:ilvl="3" w:tplc="DD861542">
      <w:start w:val="1"/>
      <w:numFmt w:val="bullet"/>
      <w:lvlText w:val=""/>
      <w:lvlJc w:val="left"/>
      <w:pPr>
        <w:ind w:left="2880" w:hanging="360"/>
      </w:pPr>
      <w:rPr>
        <w:rFonts w:ascii="Symbol" w:hAnsi="Symbol" w:hint="default"/>
      </w:rPr>
    </w:lvl>
    <w:lvl w:ilvl="4" w:tplc="DBF2821E">
      <w:start w:val="1"/>
      <w:numFmt w:val="bullet"/>
      <w:lvlText w:val="o"/>
      <w:lvlJc w:val="left"/>
      <w:pPr>
        <w:ind w:left="3600" w:hanging="360"/>
      </w:pPr>
      <w:rPr>
        <w:rFonts w:ascii="Courier New" w:hAnsi="Courier New" w:hint="default"/>
      </w:rPr>
    </w:lvl>
    <w:lvl w:ilvl="5" w:tplc="4566E7B6">
      <w:start w:val="1"/>
      <w:numFmt w:val="bullet"/>
      <w:lvlText w:val=""/>
      <w:lvlJc w:val="left"/>
      <w:pPr>
        <w:ind w:left="4320" w:hanging="360"/>
      </w:pPr>
      <w:rPr>
        <w:rFonts w:ascii="Wingdings" w:hAnsi="Wingdings" w:hint="default"/>
      </w:rPr>
    </w:lvl>
    <w:lvl w:ilvl="6" w:tplc="F5FA37C4">
      <w:start w:val="1"/>
      <w:numFmt w:val="bullet"/>
      <w:lvlText w:val=""/>
      <w:lvlJc w:val="left"/>
      <w:pPr>
        <w:ind w:left="5040" w:hanging="360"/>
      </w:pPr>
      <w:rPr>
        <w:rFonts w:ascii="Symbol" w:hAnsi="Symbol" w:hint="default"/>
      </w:rPr>
    </w:lvl>
    <w:lvl w:ilvl="7" w:tplc="E8826614">
      <w:start w:val="1"/>
      <w:numFmt w:val="bullet"/>
      <w:lvlText w:val="o"/>
      <w:lvlJc w:val="left"/>
      <w:pPr>
        <w:ind w:left="5760" w:hanging="360"/>
      </w:pPr>
      <w:rPr>
        <w:rFonts w:ascii="Courier New" w:hAnsi="Courier New" w:hint="default"/>
      </w:rPr>
    </w:lvl>
    <w:lvl w:ilvl="8" w:tplc="644E5884">
      <w:start w:val="1"/>
      <w:numFmt w:val="bullet"/>
      <w:lvlText w:val=""/>
      <w:lvlJc w:val="left"/>
      <w:pPr>
        <w:ind w:left="6480" w:hanging="360"/>
      </w:pPr>
      <w:rPr>
        <w:rFonts w:ascii="Wingdings" w:hAnsi="Wingdings" w:hint="default"/>
      </w:rPr>
    </w:lvl>
  </w:abstractNum>
  <w:abstractNum w:abstractNumId="27" w15:restartNumberingAfterBreak="0">
    <w:nsid w:val="4B640503"/>
    <w:multiLevelType w:val="multilevel"/>
    <w:tmpl w:val="F4863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BD7713"/>
    <w:multiLevelType w:val="hybridMultilevel"/>
    <w:tmpl w:val="B0CE3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25936B"/>
    <w:multiLevelType w:val="hybridMultilevel"/>
    <w:tmpl w:val="9CD04936"/>
    <w:lvl w:ilvl="0" w:tplc="21F63A32">
      <w:start w:val="1"/>
      <w:numFmt w:val="bullet"/>
      <w:lvlText w:val=""/>
      <w:lvlJc w:val="left"/>
      <w:pPr>
        <w:ind w:left="720" w:hanging="360"/>
      </w:pPr>
      <w:rPr>
        <w:rFonts w:ascii="Symbol" w:hAnsi="Symbol" w:hint="default"/>
      </w:rPr>
    </w:lvl>
    <w:lvl w:ilvl="1" w:tplc="020027F4">
      <w:start w:val="1"/>
      <w:numFmt w:val="bullet"/>
      <w:lvlText w:val="o"/>
      <w:lvlJc w:val="left"/>
      <w:pPr>
        <w:ind w:left="1440" w:hanging="360"/>
      </w:pPr>
      <w:rPr>
        <w:rFonts w:ascii="Courier New" w:hAnsi="Courier New" w:hint="default"/>
      </w:rPr>
    </w:lvl>
    <w:lvl w:ilvl="2" w:tplc="4016E560">
      <w:start w:val="1"/>
      <w:numFmt w:val="bullet"/>
      <w:lvlText w:val=""/>
      <w:lvlJc w:val="left"/>
      <w:pPr>
        <w:ind w:left="2160" w:hanging="360"/>
      </w:pPr>
      <w:rPr>
        <w:rFonts w:ascii="Wingdings" w:hAnsi="Wingdings" w:hint="default"/>
      </w:rPr>
    </w:lvl>
    <w:lvl w:ilvl="3" w:tplc="137A7300">
      <w:start w:val="1"/>
      <w:numFmt w:val="bullet"/>
      <w:lvlText w:val=""/>
      <w:lvlJc w:val="left"/>
      <w:pPr>
        <w:ind w:left="2880" w:hanging="360"/>
      </w:pPr>
      <w:rPr>
        <w:rFonts w:ascii="Symbol" w:hAnsi="Symbol" w:hint="default"/>
      </w:rPr>
    </w:lvl>
    <w:lvl w:ilvl="4" w:tplc="63369430">
      <w:start w:val="1"/>
      <w:numFmt w:val="bullet"/>
      <w:lvlText w:val="o"/>
      <w:lvlJc w:val="left"/>
      <w:pPr>
        <w:ind w:left="3600" w:hanging="360"/>
      </w:pPr>
      <w:rPr>
        <w:rFonts w:ascii="Courier New" w:hAnsi="Courier New" w:hint="default"/>
      </w:rPr>
    </w:lvl>
    <w:lvl w:ilvl="5" w:tplc="86EED9F0">
      <w:start w:val="1"/>
      <w:numFmt w:val="bullet"/>
      <w:lvlText w:val=""/>
      <w:lvlJc w:val="left"/>
      <w:pPr>
        <w:ind w:left="4320" w:hanging="360"/>
      </w:pPr>
      <w:rPr>
        <w:rFonts w:ascii="Wingdings" w:hAnsi="Wingdings" w:hint="default"/>
      </w:rPr>
    </w:lvl>
    <w:lvl w:ilvl="6" w:tplc="5698A016">
      <w:start w:val="1"/>
      <w:numFmt w:val="bullet"/>
      <w:lvlText w:val=""/>
      <w:lvlJc w:val="left"/>
      <w:pPr>
        <w:ind w:left="5040" w:hanging="360"/>
      </w:pPr>
      <w:rPr>
        <w:rFonts w:ascii="Symbol" w:hAnsi="Symbol" w:hint="default"/>
      </w:rPr>
    </w:lvl>
    <w:lvl w:ilvl="7" w:tplc="DC1A4E26">
      <w:start w:val="1"/>
      <w:numFmt w:val="bullet"/>
      <w:lvlText w:val="o"/>
      <w:lvlJc w:val="left"/>
      <w:pPr>
        <w:ind w:left="5760" w:hanging="360"/>
      </w:pPr>
      <w:rPr>
        <w:rFonts w:ascii="Courier New" w:hAnsi="Courier New" w:hint="default"/>
      </w:rPr>
    </w:lvl>
    <w:lvl w:ilvl="8" w:tplc="6E9255EC">
      <w:start w:val="1"/>
      <w:numFmt w:val="bullet"/>
      <w:lvlText w:val=""/>
      <w:lvlJc w:val="left"/>
      <w:pPr>
        <w:ind w:left="6480" w:hanging="360"/>
      </w:pPr>
      <w:rPr>
        <w:rFonts w:ascii="Wingdings" w:hAnsi="Wingdings" w:hint="default"/>
      </w:rPr>
    </w:lvl>
  </w:abstractNum>
  <w:abstractNum w:abstractNumId="30" w15:restartNumberingAfterBreak="0">
    <w:nsid w:val="53074036"/>
    <w:multiLevelType w:val="hybridMultilevel"/>
    <w:tmpl w:val="9EE2E8D2"/>
    <w:lvl w:ilvl="0" w:tplc="7A081D7E">
      <w:start w:val="1"/>
      <w:numFmt w:val="bullet"/>
      <w:lvlText w:val=""/>
      <w:lvlJc w:val="left"/>
      <w:pPr>
        <w:ind w:left="720" w:hanging="360"/>
      </w:pPr>
      <w:rPr>
        <w:rFonts w:ascii="Symbol" w:hAnsi="Symbol" w:hint="default"/>
      </w:rPr>
    </w:lvl>
    <w:lvl w:ilvl="1" w:tplc="EDBAA0BE">
      <w:start w:val="1"/>
      <w:numFmt w:val="bullet"/>
      <w:lvlText w:val="o"/>
      <w:lvlJc w:val="left"/>
      <w:pPr>
        <w:ind w:left="1440" w:hanging="360"/>
      </w:pPr>
      <w:rPr>
        <w:rFonts w:ascii="Courier New" w:hAnsi="Courier New" w:hint="default"/>
      </w:rPr>
    </w:lvl>
    <w:lvl w:ilvl="2" w:tplc="467A330C">
      <w:start w:val="1"/>
      <w:numFmt w:val="bullet"/>
      <w:lvlText w:val=""/>
      <w:lvlJc w:val="left"/>
      <w:pPr>
        <w:ind w:left="2160" w:hanging="360"/>
      </w:pPr>
      <w:rPr>
        <w:rFonts w:ascii="Wingdings" w:hAnsi="Wingdings" w:hint="default"/>
      </w:rPr>
    </w:lvl>
    <w:lvl w:ilvl="3" w:tplc="C280618E">
      <w:start w:val="1"/>
      <w:numFmt w:val="bullet"/>
      <w:lvlText w:val=""/>
      <w:lvlJc w:val="left"/>
      <w:pPr>
        <w:ind w:left="2880" w:hanging="360"/>
      </w:pPr>
      <w:rPr>
        <w:rFonts w:ascii="Symbol" w:hAnsi="Symbol" w:hint="default"/>
      </w:rPr>
    </w:lvl>
    <w:lvl w:ilvl="4" w:tplc="EE7A62D6">
      <w:start w:val="1"/>
      <w:numFmt w:val="bullet"/>
      <w:lvlText w:val="o"/>
      <w:lvlJc w:val="left"/>
      <w:pPr>
        <w:ind w:left="3600" w:hanging="360"/>
      </w:pPr>
      <w:rPr>
        <w:rFonts w:ascii="Courier New" w:hAnsi="Courier New" w:hint="default"/>
      </w:rPr>
    </w:lvl>
    <w:lvl w:ilvl="5" w:tplc="1BD8989A">
      <w:start w:val="1"/>
      <w:numFmt w:val="bullet"/>
      <w:lvlText w:val=""/>
      <w:lvlJc w:val="left"/>
      <w:pPr>
        <w:ind w:left="4320" w:hanging="360"/>
      </w:pPr>
      <w:rPr>
        <w:rFonts w:ascii="Wingdings" w:hAnsi="Wingdings" w:hint="default"/>
      </w:rPr>
    </w:lvl>
    <w:lvl w:ilvl="6" w:tplc="B26C6336">
      <w:start w:val="1"/>
      <w:numFmt w:val="bullet"/>
      <w:lvlText w:val=""/>
      <w:lvlJc w:val="left"/>
      <w:pPr>
        <w:ind w:left="5040" w:hanging="360"/>
      </w:pPr>
      <w:rPr>
        <w:rFonts w:ascii="Symbol" w:hAnsi="Symbol" w:hint="default"/>
      </w:rPr>
    </w:lvl>
    <w:lvl w:ilvl="7" w:tplc="9A1A497E">
      <w:start w:val="1"/>
      <w:numFmt w:val="bullet"/>
      <w:lvlText w:val="o"/>
      <w:lvlJc w:val="left"/>
      <w:pPr>
        <w:ind w:left="5760" w:hanging="360"/>
      </w:pPr>
      <w:rPr>
        <w:rFonts w:ascii="Courier New" w:hAnsi="Courier New" w:hint="default"/>
      </w:rPr>
    </w:lvl>
    <w:lvl w:ilvl="8" w:tplc="B89A991C">
      <w:start w:val="1"/>
      <w:numFmt w:val="bullet"/>
      <w:lvlText w:val=""/>
      <w:lvlJc w:val="left"/>
      <w:pPr>
        <w:ind w:left="6480" w:hanging="360"/>
      </w:pPr>
      <w:rPr>
        <w:rFonts w:ascii="Wingdings" w:hAnsi="Wingdings" w:hint="default"/>
      </w:rPr>
    </w:lvl>
  </w:abstractNum>
  <w:abstractNum w:abstractNumId="31" w15:restartNumberingAfterBreak="0">
    <w:nsid w:val="58882B6E"/>
    <w:multiLevelType w:val="hybridMultilevel"/>
    <w:tmpl w:val="00308F48"/>
    <w:lvl w:ilvl="0" w:tplc="5DB69810">
      <w:start w:val="10"/>
      <w:numFmt w:val="decimal"/>
      <w:lvlText w:val="%1."/>
      <w:lvlJc w:val="left"/>
      <w:pPr>
        <w:ind w:left="720" w:hanging="360"/>
      </w:pPr>
    </w:lvl>
    <w:lvl w:ilvl="1" w:tplc="21CE311C">
      <w:start w:val="1"/>
      <w:numFmt w:val="lowerLetter"/>
      <w:lvlText w:val="%2."/>
      <w:lvlJc w:val="left"/>
      <w:pPr>
        <w:ind w:left="1440" w:hanging="360"/>
      </w:pPr>
    </w:lvl>
    <w:lvl w:ilvl="2" w:tplc="51245604">
      <w:start w:val="1"/>
      <w:numFmt w:val="lowerRoman"/>
      <w:lvlText w:val="%3."/>
      <w:lvlJc w:val="right"/>
      <w:pPr>
        <w:ind w:left="2160" w:hanging="180"/>
      </w:pPr>
    </w:lvl>
    <w:lvl w:ilvl="3" w:tplc="3C7847D0">
      <w:start w:val="1"/>
      <w:numFmt w:val="decimal"/>
      <w:lvlText w:val="%4."/>
      <w:lvlJc w:val="left"/>
      <w:pPr>
        <w:ind w:left="2880" w:hanging="360"/>
      </w:pPr>
    </w:lvl>
    <w:lvl w:ilvl="4" w:tplc="509E1CA8">
      <w:start w:val="1"/>
      <w:numFmt w:val="lowerLetter"/>
      <w:lvlText w:val="%5."/>
      <w:lvlJc w:val="left"/>
      <w:pPr>
        <w:ind w:left="3600" w:hanging="360"/>
      </w:pPr>
    </w:lvl>
    <w:lvl w:ilvl="5" w:tplc="B7E8CDC6">
      <w:start w:val="1"/>
      <w:numFmt w:val="lowerRoman"/>
      <w:lvlText w:val="%6."/>
      <w:lvlJc w:val="right"/>
      <w:pPr>
        <w:ind w:left="4320" w:hanging="180"/>
      </w:pPr>
    </w:lvl>
    <w:lvl w:ilvl="6" w:tplc="BD365616">
      <w:start w:val="1"/>
      <w:numFmt w:val="decimal"/>
      <w:lvlText w:val="%7."/>
      <w:lvlJc w:val="left"/>
      <w:pPr>
        <w:ind w:left="5040" w:hanging="360"/>
      </w:pPr>
    </w:lvl>
    <w:lvl w:ilvl="7" w:tplc="20B40652">
      <w:start w:val="1"/>
      <w:numFmt w:val="lowerLetter"/>
      <w:lvlText w:val="%8."/>
      <w:lvlJc w:val="left"/>
      <w:pPr>
        <w:ind w:left="5760" w:hanging="360"/>
      </w:pPr>
    </w:lvl>
    <w:lvl w:ilvl="8" w:tplc="EED0408C">
      <w:start w:val="1"/>
      <w:numFmt w:val="lowerRoman"/>
      <w:lvlText w:val="%9."/>
      <w:lvlJc w:val="right"/>
      <w:pPr>
        <w:ind w:left="6480" w:hanging="180"/>
      </w:pPr>
    </w:lvl>
  </w:abstractNum>
  <w:abstractNum w:abstractNumId="32" w15:restartNumberingAfterBreak="0">
    <w:nsid w:val="5DBF2E41"/>
    <w:multiLevelType w:val="multilevel"/>
    <w:tmpl w:val="3A1E0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93BCAA"/>
    <w:multiLevelType w:val="hybridMultilevel"/>
    <w:tmpl w:val="18F030A0"/>
    <w:lvl w:ilvl="0" w:tplc="DF322E0E">
      <w:start w:val="1"/>
      <w:numFmt w:val="bullet"/>
      <w:lvlText w:val=""/>
      <w:lvlJc w:val="left"/>
      <w:pPr>
        <w:ind w:left="720" w:hanging="360"/>
      </w:pPr>
      <w:rPr>
        <w:rFonts w:ascii="Symbol" w:hAnsi="Symbol" w:hint="default"/>
      </w:rPr>
    </w:lvl>
    <w:lvl w:ilvl="1" w:tplc="38766920">
      <w:start w:val="1"/>
      <w:numFmt w:val="bullet"/>
      <w:lvlText w:val="o"/>
      <w:lvlJc w:val="left"/>
      <w:pPr>
        <w:ind w:left="1440" w:hanging="360"/>
      </w:pPr>
      <w:rPr>
        <w:rFonts w:ascii="Courier New" w:hAnsi="Courier New" w:hint="default"/>
      </w:rPr>
    </w:lvl>
    <w:lvl w:ilvl="2" w:tplc="6CB4D224">
      <w:start w:val="1"/>
      <w:numFmt w:val="bullet"/>
      <w:lvlText w:val=""/>
      <w:lvlJc w:val="left"/>
      <w:pPr>
        <w:ind w:left="2160" w:hanging="360"/>
      </w:pPr>
      <w:rPr>
        <w:rFonts w:ascii="Wingdings" w:hAnsi="Wingdings" w:hint="default"/>
      </w:rPr>
    </w:lvl>
    <w:lvl w:ilvl="3" w:tplc="49F48E5C">
      <w:start w:val="1"/>
      <w:numFmt w:val="bullet"/>
      <w:lvlText w:val=""/>
      <w:lvlJc w:val="left"/>
      <w:pPr>
        <w:ind w:left="2880" w:hanging="360"/>
      </w:pPr>
      <w:rPr>
        <w:rFonts w:ascii="Symbol" w:hAnsi="Symbol" w:hint="default"/>
      </w:rPr>
    </w:lvl>
    <w:lvl w:ilvl="4" w:tplc="E248896A">
      <w:start w:val="1"/>
      <w:numFmt w:val="bullet"/>
      <w:lvlText w:val="o"/>
      <w:lvlJc w:val="left"/>
      <w:pPr>
        <w:ind w:left="3600" w:hanging="360"/>
      </w:pPr>
      <w:rPr>
        <w:rFonts w:ascii="Courier New" w:hAnsi="Courier New" w:hint="default"/>
      </w:rPr>
    </w:lvl>
    <w:lvl w:ilvl="5" w:tplc="4D7CEB40">
      <w:start w:val="1"/>
      <w:numFmt w:val="bullet"/>
      <w:lvlText w:val=""/>
      <w:lvlJc w:val="left"/>
      <w:pPr>
        <w:ind w:left="4320" w:hanging="360"/>
      </w:pPr>
      <w:rPr>
        <w:rFonts w:ascii="Wingdings" w:hAnsi="Wingdings" w:hint="default"/>
      </w:rPr>
    </w:lvl>
    <w:lvl w:ilvl="6" w:tplc="9DE855FC">
      <w:start w:val="1"/>
      <w:numFmt w:val="bullet"/>
      <w:lvlText w:val=""/>
      <w:lvlJc w:val="left"/>
      <w:pPr>
        <w:ind w:left="5040" w:hanging="360"/>
      </w:pPr>
      <w:rPr>
        <w:rFonts w:ascii="Symbol" w:hAnsi="Symbol" w:hint="default"/>
      </w:rPr>
    </w:lvl>
    <w:lvl w:ilvl="7" w:tplc="33DE475A">
      <w:start w:val="1"/>
      <w:numFmt w:val="bullet"/>
      <w:lvlText w:val="o"/>
      <w:lvlJc w:val="left"/>
      <w:pPr>
        <w:ind w:left="5760" w:hanging="360"/>
      </w:pPr>
      <w:rPr>
        <w:rFonts w:ascii="Courier New" w:hAnsi="Courier New" w:hint="default"/>
      </w:rPr>
    </w:lvl>
    <w:lvl w:ilvl="8" w:tplc="CEC6FCFC">
      <w:start w:val="1"/>
      <w:numFmt w:val="bullet"/>
      <w:lvlText w:val=""/>
      <w:lvlJc w:val="left"/>
      <w:pPr>
        <w:ind w:left="6480" w:hanging="360"/>
      </w:pPr>
      <w:rPr>
        <w:rFonts w:ascii="Wingdings" w:hAnsi="Wingdings" w:hint="default"/>
      </w:rPr>
    </w:lvl>
  </w:abstractNum>
  <w:abstractNum w:abstractNumId="34" w15:restartNumberingAfterBreak="0">
    <w:nsid w:val="6F5348E9"/>
    <w:multiLevelType w:val="hybridMultilevel"/>
    <w:tmpl w:val="EBEC4C90"/>
    <w:lvl w:ilvl="0" w:tplc="C05C21FE">
      <w:start w:val="1"/>
      <w:numFmt w:val="bullet"/>
      <w:lvlText w:val=""/>
      <w:lvlJc w:val="left"/>
      <w:pPr>
        <w:ind w:left="720" w:hanging="360"/>
      </w:pPr>
      <w:rPr>
        <w:rFonts w:ascii="Symbol" w:hAnsi="Symbol" w:hint="default"/>
      </w:rPr>
    </w:lvl>
    <w:lvl w:ilvl="1" w:tplc="579A1224">
      <w:start w:val="1"/>
      <w:numFmt w:val="bullet"/>
      <w:lvlText w:val="o"/>
      <w:lvlJc w:val="left"/>
      <w:pPr>
        <w:ind w:left="1440" w:hanging="360"/>
      </w:pPr>
      <w:rPr>
        <w:rFonts w:ascii="Courier New" w:hAnsi="Courier New" w:hint="default"/>
      </w:rPr>
    </w:lvl>
    <w:lvl w:ilvl="2" w:tplc="71A08F8E">
      <w:start w:val="1"/>
      <w:numFmt w:val="bullet"/>
      <w:lvlText w:val=""/>
      <w:lvlJc w:val="left"/>
      <w:pPr>
        <w:ind w:left="2160" w:hanging="360"/>
      </w:pPr>
      <w:rPr>
        <w:rFonts w:ascii="Wingdings" w:hAnsi="Wingdings" w:hint="default"/>
      </w:rPr>
    </w:lvl>
    <w:lvl w:ilvl="3" w:tplc="A24A8D44">
      <w:start w:val="1"/>
      <w:numFmt w:val="bullet"/>
      <w:lvlText w:val=""/>
      <w:lvlJc w:val="left"/>
      <w:pPr>
        <w:ind w:left="2880" w:hanging="360"/>
      </w:pPr>
      <w:rPr>
        <w:rFonts w:ascii="Symbol" w:hAnsi="Symbol" w:hint="default"/>
      </w:rPr>
    </w:lvl>
    <w:lvl w:ilvl="4" w:tplc="1066738A">
      <w:start w:val="1"/>
      <w:numFmt w:val="bullet"/>
      <w:lvlText w:val="o"/>
      <w:lvlJc w:val="left"/>
      <w:pPr>
        <w:ind w:left="3600" w:hanging="360"/>
      </w:pPr>
      <w:rPr>
        <w:rFonts w:ascii="Courier New" w:hAnsi="Courier New" w:hint="default"/>
      </w:rPr>
    </w:lvl>
    <w:lvl w:ilvl="5" w:tplc="F7EE25D4">
      <w:start w:val="1"/>
      <w:numFmt w:val="bullet"/>
      <w:lvlText w:val=""/>
      <w:lvlJc w:val="left"/>
      <w:pPr>
        <w:ind w:left="4320" w:hanging="360"/>
      </w:pPr>
      <w:rPr>
        <w:rFonts w:ascii="Wingdings" w:hAnsi="Wingdings" w:hint="default"/>
      </w:rPr>
    </w:lvl>
    <w:lvl w:ilvl="6" w:tplc="8B4C5B98">
      <w:start w:val="1"/>
      <w:numFmt w:val="bullet"/>
      <w:lvlText w:val=""/>
      <w:lvlJc w:val="left"/>
      <w:pPr>
        <w:ind w:left="5040" w:hanging="360"/>
      </w:pPr>
      <w:rPr>
        <w:rFonts w:ascii="Symbol" w:hAnsi="Symbol" w:hint="default"/>
      </w:rPr>
    </w:lvl>
    <w:lvl w:ilvl="7" w:tplc="6562BC2A">
      <w:start w:val="1"/>
      <w:numFmt w:val="bullet"/>
      <w:lvlText w:val="o"/>
      <w:lvlJc w:val="left"/>
      <w:pPr>
        <w:ind w:left="5760" w:hanging="360"/>
      </w:pPr>
      <w:rPr>
        <w:rFonts w:ascii="Courier New" w:hAnsi="Courier New" w:hint="default"/>
      </w:rPr>
    </w:lvl>
    <w:lvl w:ilvl="8" w:tplc="4DBECAD0">
      <w:start w:val="1"/>
      <w:numFmt w:val="bullet"/>
      <w:lvlText w:val=""/>
      <w:lvlJc w:val="left"/>
      <w:pPr>
        <w:ind w:left="6480" w:hanging="360"/>
      </w:pPr>
      <w:rPr>
        <w:rFonts w:ascii="Wingdings" w:hAnsi="Wingdings" w:hint="default"/>
      </w:rPr>
    </w:lvl>
  </w:abstractNum>
  <w:abstractNum w:abstractNumId="35" w15:restartNumberingAfterBreak="0">
    <w:nsid w:val="77EB80B8"/>
    <w:multiLevelType w:val="hybridMultilevel"/>
    <w:tmpl w:val="87D2F22A"/>
    <w:lvl w:ilvl="0" w:tplc="B91E4492">
      <w:start w:val="1"/>
      <w:numFmt w:val="bullet"/>
      <w:lvlText w:val=""/>
      <w:lvlJc w:val="left"/>
      <w:pPr>
        <w:ind w:left="720" w:hanging="360"/>
      </w:pPr>
      <w:rPr>
        <w:rFonts w:ascii="Symbol" w:hAnsi="Symbol" w:hint="default"/>
      </w:rPr>
    </w:lvl>
    <w:lvl w:ilvl="1" w:tplc="176CCE62">
      <w:start w:val="1"/>
      <w:numFmt w:val="bullet"/>
      <w:lvlText w:val="o"/>
      <w:lvlJc w:val="left"/>
      <w:pPr>
        <w:ind w:left="1440" w:hanging="360"/>
      </w:pPr>
      <w:rPr>
        <w:rFonts w:ascii="Courier New" w:hAnsi="Courier New" w:hint="default"/>
      </w:rPr>
    </w:lvl>
    <w:lvl w:ilvl="2" w:tplc="0C86F00C">
      <w:start w:val="1"/>
      <w:numFmt w:val="bullet"/>
      <w:lvlText w:val=""/>
      <w:lvlJc w:val="left"/>
      <w:pPr>
        <w:ind w:left="2160" w:hanging="360"/>
      </w:pPr>
      <w:rPr>
        <w:rFonts w:ascii="Wingdings" w:hAnsi="Wingdings" w:hint="default"/>
      </w:rPr>
    </w:lvl>
    <w:lvl w:ilvl="3" w:tplc="B26C8A18">
      <w:start w:val="1"/>
      <w:numFmt w:val="bullet"/>
      <w:lvlText w:val=""/>
      <w:lvlJc w:val="left"/>
      <w:pPr>
        <w:ind w:left="2880" w:hanging="360"/>
      </w:pPr>
      <w:rPr>
        <w:rFonts w:ascii="Symbol" w:hAnsi="Symbol" w:hint="default"/>
      </w:rPr>
    </w:lvl>
    <w:lvl w:ilvl="4" w:tplc="229C37FE">
      <w:start w:val="1"/>
      <w:numFmt w:val="bullet"/>
      <w:lvlText w:val="o"/>
      <w:lvlJc w:val="left"/>
      <w:pPr>
        <w:ind w:left="3600" w:hanging="360"/>
      </w:pPr>
      <w:rPr>
        <w:rFonts w:ascii="Courier New" w:hAnsi="Courier New" w:hint="default"/>
      </w:rPr>
    </w:lvl>
    <w:lvl w:ilvl="5" w:tplc="83EEACAC">
      <w:start w:val="1"/>
      <w:numFmt w:val="bullet"/>
      <w:lvlText w:val=""/>
      <w:lvlJc w:val="left"/>
      <w:pPr>
        <w:ind w:left="4320" w:hanging="360"/>
      </w:pPr>
      <w:rPr>
        <w:rFonts w:ascii="Wingdings" w:hAnsi="Wingdings" w:hint="default"/>
      </w:rPr>
    </w:lvl>
    <w:lvl w:ilvl="6" w:tplc="C84A41FC">
      <w:start w:val="1"/>
      <w:numFmt w:val="bullet"/>
      <w:lvlText w:val=""/>
      <w:lvlJc w:val="left"/>
      <w:pPr>
        <w:ind w:left="5040" w:hanging="360"/>
      </w:pPr>
      <w:rPr>
        <w:rFonts w:ascii="Symbol" w:hAnsi="Symbol" w:hint="default"/>
      </w:rPr>
    </w:lvl>
    <w:lvl w:ilvl="7" w:tplc="B57246D6">
      <w:start w:val="1"/>
      <w:numFmt w:val="bullet"/>
      <w:lvlText w:val="o"/>
      <w:lvlJc w:val="left"/>
      <w:pPr>
        <w:ind w:left="5760" w:hanging="360"/>
      </w:pPr>
      <w:rPr>
        <w:rFonts w:ascii="Courier New" w:hAnsi="Courier New" w:hint="default"/>
      </w:rPr>
    </w:lvl>
    <w:lvl w:ilvl="8" w:tplc="CD0857DA">
      <w:start w:val="1"/>
      <w:numFmt w:val="bullet"/>
      <w:lvlText w:val=""/>
      <w:lvlJc w:val="left"/>
      <w:pPr>
        <w:ind w:left="6480" w:hanging="360"/>
      </w:pPr>
      <w:rPr>
        <w:rFonts w:ascii="Wingdings" w:hAnsi="Wingdings" w:hint="default"/>
      </w:rPr>
    </w:lvl>
  </w:abstractNum>
  <w:abstractNum w:abstractNumId="36" w15:restartNumberingAfterBreak="0">
    <w:nsid w:val="7C9379A3"/>
    <w:multiLevelType w:val="multilevel"/>
    <w:tmpl w:val="697A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DE022C"/>
    <w:multiLevelType w:val="multilevel"/>
    <w:tmpl w:val="DFCE7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DFD1565"/>
    <w:multiLevelType w:val="hybridMultilevel"/>
    <w:tmpl w:val="FCC83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2703371">
    <w:abstractNumId w:val="31"/>
  </w:num>
  <w:num w:numId="2" w16cid:durableId="697513335">
    <w:abstractNumId w:val="23"/>
  </w:num>
  <w:num w:numId="3" w16cid:durableId="1549220033">
    <w:abstractNumId w:val="4"/>
  </w:num>
  <w:num w:numId="4" w16cid:durableId="1919241978">
    <w:abstractNumId w:val="5"/>
  </w:num>
  <w:num w:numId="5" w16cid:durableId="1883977608">
    <w:abstractNumId w:val="30"/>
  </w:num>
  <w:num w:numId="6" w16cid:durableId="1793211348">
    <w:abstractNumId w:val="10"/>
  </w:num>
  <w:num w:numId="7" w16cid:durableId="1623876244">
    <w:abstractNumId w:val="16"/>
  </w:num>
  <w:num w:numId="8" w16cid:durableId="1369722109">
    <w:abstractNumId w:val="26"/>
  </w:num>
  <w:num w:numId="9" w16cid:durableId="1858152112">
    <w:abstractNumId w:val="13"/>
  </w:num>
  <w:num w:numId="10" w16cid:durableId="2064088217">
    <w:abstractNumId w:val="35"/>
  </w:num>
  <w:num w:numId="11" w16cid:durableId="1291936430">
    <w:abstractNumId w:val="15"/>
  </w:num>
  <w:num w:numId="12" w16cid:durableId="1361666429">
    <w:abstractNumId w:val="18"/>
  </w:num>
  <w:num w:numId="13" w16cid:durableId="711196766">
    <w:abstractNumId w:val="9"/>
  </w:num>
  <w:num w:numId="14" w16cid:durableId="279652504">
    <w:abstractNumId w:val="20"/>
  </w:num>
  <w:num w:numId="15" w16cid:durableId="51119040">
    <w:abstractNumId w:val="25"/>
  </w:num>
  <w:num w:numId="16" w16cid:durableId="297151258">
    <w:abstractNumId w:val="33"/>
  </w:num>
  <w:num w:numId="17" w16cid:durableId="332487915">
    <w:abstractNumId w:val="6"/>
  </w:num>
  <w:num w:numId="18" w16cid:durableId="865751419">
    <w:abstractNumId w:val="34"/>
  </w:num>
  <w:num w:numId="19" w16cid:durableId="1660572121">
    <w:abstractNumId w:val="3"/>
  </w:num>
  <w:num w:numId="20" w16cid:durableId="675767173">
    <w:abstractNumId w:val="7"/>
  </w:num>
  <w:num w:numId="21" w16cid:durableId="704020427">
    <w:abstractNumId w:val="29"/>
  </w:num>
  <w:num w:numId="22" w16cid:durableId="1279603216">
    <w:abstractNumId w:val="19"/>
  </w:num>
  <w:num w:numId="23" w16cid:durableId="80832875">
    <w:abstractNumId w:val="21"/>
  </w:num>
  <w:num w:numId="24" w16cid:durableId="1473406174">
    <w:abstractNumId w:val="27"/>
  </w:num>
  <w:num w:numId="25" w16cid:durableId="373694226">
    <w:abstractNumId w:val="14"/>
  </w:num>
  <w:num w:numId="26" w16cid:durableId="1069038311">
    <w:abstractNumId w:val="1"/>
  </w:num>
  <w:num w:numId="27" w16cid:durableId="1544710765">
    <w:abstractNumId w:val="17"/>
  </w:num>
  <w:num w:numId="28" w16cid:durableId="2079863525">
    <w:abstractNumId w:val="0"/>
  </w:num>
  <w:num w:numId="29" w16cid:durableId="1195771094">
    <w:abstractNumId w:val="24"/>
  </w:num>
  <w:num w:numId="30" w16cid:durableId="2079014848">
    <w:abstractNumId w:val="32"/>
  </w:num>
  <w:num w:numId="31" w16cid:durableId="715735723">
    <w:abstractNumId w:val="12"/>
  </w:num>
  <w:num w:numId="32" w16cid:durableId="1139760277">
    <w:abstractNumId w:val="22"/>
  </w:num>
  <w:num w:numId="33" w16cid:durableId="1254824469">
    <w:abstractNumId w:val="36"/>
  </w:num>
  <w:num w:numId="34" w16cid:durableId="282467956">
    <w:abstractNumId w:val="11"/>
  </w:num>
  <w:num w:numId="35" w16cid:durableId="965042116">
    <w:abstractNumId w:val="2"/>
  </w:num>
  <w:num w:numId="36" w16cid:durableId="841819406">
    <w:abstractNumId w:val="37"/>
  </w:num>
  <w:num w:numId="37" w16cid:durableId="2035812501">
    <w:abstractNumId w:val="38"/>
  </w:num>
  <w:num w:numId="38" w16cid:durableId="1605576365">
    <w:abstractNumId w:val="8"/>
  </w:num>
  <w:num w:numId="39" w16cid:durableId="131869543">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82E"/>
    <w:rsid w:val="00003939"/>
    <w:rsid w:val="00003F23"/>
    <w:rsid w:val="00007A15"/>
    <w:rsid w:val="00007CA4"/>
    <w:rsid w:val="000158E6"/>
    <w:rsid w:val="00015AA6"/>
    <w:rsid w:val="00016B33"/>
    <w:rsid w:val="00016F8B"/>
    <w:rsid w:val="00017301"/>
    <w:rsid w:val="0002122E"/>
    <w:rsid w:val="0002157D"/>
    <w:rsid w:val="00021A32"/>
    <w:rsid w:val="000234EC"/>
    <w:rsid w:val="00025664"/>
    <w:rsid w:val="000370C1"/>
    <w:rsid w:val="000412D1"/>
    <w:rsid w:val="000414ED"/>
    <w:rsid w:val="00041CCF"/>
    <w:rsid w:val="000432F3"/>
    <w:rsid w:val="000442C2"/>
    <w:rsid w:val="00044F74"/>
    <w:rsid w:val="0004525F"/>
    <w:rsid w:val="00051192"/>
    <w:rsid w:val="00054997"/>
    <w:rsid w:val="00055ECF"/>
    <w:rsid w:val="000565F4"/>
    <w:rsid w:val="00057183"/>
    <w:rsid w:val="00057B1E"/>
    <w:rsid w:val="00060348"/>
    <w:rsid w:val="00061430"/>
    <w:rsid w:val="00062CF0"/>
    <w:rsid w:val="00065239"/>
    <w:rsid w:val="0006580F"/>
    <w:rsid w:val="00070379"/>
    <w:rsid w:val="0007118D"/>
    <w:rsid w:val="00071D21"/>
    <w:rsid w:val="00072628"/>
    <w:rsid w:val="0007450B"/>
    <w:rsid w:val="000745AC"/>
    <w:rsid w:val="00075840"/>
    <w:rsid w:val="000770CF"/>
    <w:rsid w:val="0008297A"/>
    <w:rsid w:val="00085AC5"/>
    <w:rsid w:val="00090096"/>
    <w:rsid w:val="000975D1"/>
    <w:rsid w:val="000A2B7A"/>
    <w:rsid w:val="000A311B"/>
    <w:rsid w:val="000A6D62"/>
    <w:rsid w:val="000B34F5"/>
    <w:rsid w:val="000B45A2"/>
    <w:rsid w:val="000B5F64"/>
    <w:rsid w:val="000B631F"/>
    <w:rsid w:val="000B7D09"/>
    <w:rsid w:val="000C0882"/>
    <w:rsid w:val="000C2494"/>
    <w:rsid w:val="000C3F9F"/>
    <w:rsid w:val="000C6225"/>
    <w:rsid w:val="000D0C4B"/>
    <w:rsid w:val="000D18BA"/>
    <w:rsid w:val="000D234D"/>
    <w:rsid w:val="000D2C8C"/>
    <w:rsid w:val="000D33D2"/>
    <w:rsid w:val="000D4324"/>
    <w:rsid w:val="000D53D5"/>
    <w:rsid w:val="000D65D5"/>
    <w:rsid w:val="000E2BE8"/>
    <w:rsid w:val="000E314E"/>
    <w:rsid w:val="000E3C65"/>
    <w:rsid w:val="000E3E0A"/>
    <w:rsid w:val="000E4D47"/>
    <w:rsid w:val="000E6614"/>
    <w:rsid w:val="000F19EF"/>
    <w:rsid w:val="000F59BE"/>
    <w:rsid w:val="000F76A8"/>
    <w:rsid w:val="00101A9E"/>
    <w:rsid w:val="00102239"/>
    <w:rsid w:val="001035DA"/>
    <w:rsid w:val="001071D2"/>
    <w:rsid w:val="00107D0A"/>
    <w:rsid w:val="00110DBD"/>
    <w:rsid w:val="0011149E"/>
    <w:rsid w:val="00111F24"/>
    <w:rsid w:val="0011468E"/>
    <w:rsid w:val="00114E0A"/>
    <w:rsid w:val="00115A50"/>
    <w:rsid w:val="00116252"/>
    <w:rsid w:val="00116993"/>
    <w:rsid w:val="001176ED"/>
    <w:rsid w:val="00120C4A"/>
    <w:rsid w:val="001249E2"/>
    <w:rsid w:val="00125A9E"/>
    <w:rsid w:val="00126E28"/>
    <w:rsid w:val="00131594"/>
    <w:rsid w:val="00131AB5"/>
    <w:rsid w:val="00132C1F"/>
    <w:rsid w:val="00134933"/>
    <w:rsid w:val="00143724"/>
    <w:rsid w:val="001437D2"/>
    <w:rsid w:val="00151648"/>
    <w:rsid w:val="00151C44"/>
    <w:rsid w:val="00152041"/>
    <w:rsid w:val="0015251B"/>
    <w:rsid w:val="00152C0E"/>
    <w:rsid w:val="00153B74"/>
    <w:rsid w:val="001549E0"/>
    <w:rsid w:val="00161444"/>
    <w:rsid w:val="00167BD1"/>
    <w:rsid w:val="00171893"/>
    <w:rsid w:val="001730B9"/>
    <w:rsid w:val="00173177"/>
    <w:rsid w:val="00181FB3"/>
    <w:rsid w:val="00182043"/>
    <w:rsid w:val="001852B4"/>
    <w:rsid w:val="00187437"/>
    <w:rsid w:val="001924F9"/>
    <w:rsid w:val="00197828"/>
    <w:rsid w:val="001A04E1"/>
    <w:rsid w:val="001A0ADB"/>
    <w:rsid w:val="001A0D8F"/>
    <w:rsid w:val="001A12B5"/>
    <w:rsid w:val="001A2581"/>
    <w:rsid w:val="001A2607"/>
    <w:rsid w:val="001A3D23"/>
    <w:rsid w:val="001A4398"/>
    <w:rsid w:val="001B253B"/>
    <w:rsid w:val="001B324B"/>
    <w:rsid w:val="001B49DE"/>
    <w:rsid w:val="001B6968"/>
    <w:rsid w:val="001B7DC5"/>
    <w:rsid w:val="001C086F"/>
    <w:rsid w:val="001C1874"/>
    <w:rsid w:val="001C491C"/>
    <w:rsid w:val="001C6E5F"/>
    <w:rsid w:val="001C6F03"/>
    <w:rsid w:val="001C743F"/>
    <w:rsid w:val="001C7B44"/>
    <w:rsid w:val="001D6686"/>
    <w:rsid w:val="001D6847"/>
    <w:rsid w:val="001D6CAB"/>
    <w:rsid w:val="001E607B"/>
    <w:rsid w:val="001E6779"/>
    <w:rsid w:val="001E7D13"/>
    <w:rsid w:val="001F68D0"/>
    <w:rsid w:val="002007CE"/>
    <w:rsid w:val="0020093C"/>
    <w:rsid w:val="002009F2"/>
    <w:rsid w:val="00201EA5"/>
    <w:rsid w:val="00202E55"/>
    <w:rsid w:val="002038D5"/>
    <w:rsid w:val="002057BF"/>
    <w:rsid w:val="002129CD"/>
    <w:rsid w:val="00212A4C"/>
    <w:rsid w:val="0021322A"/>
    <w:rsid w:val="00214A36"/>
    <w:rsid w:val="002152AE"/>
    <w:rsid w:val="00215370"/>
    <w:rsid w:val="002165E3"/>
    <w:rsid w:val="00220CCE"/>
    <w:rsid w:val="00221E5A"/>
    <w:rsid w:val="00223F5D"/>
    <w:rsid w:val="0022642B"/>
    <w:rsid w:val="00227110"/>
    <w:rsid w:val="00232293"/>
    <w:rsid w:val="00233AFE"/>
    <w:rsid w:val="00236119"/>
    <w:rsid w:val="00236B80"/>
    <w:rsid w:val="00237282"/>
    <w:rsid w:val="00240DF4"/>
    <w:rsid w:val="002430DB"/>
    <w:rsid w:val="002434A9"/>
    <w:rsid w:val="00243FCF"/>
    <w:rsid w:val="00245A41"/>
    <w:rsid w:val="00246172"/>
    <w:rsid w:val="00247293"/>
    <w:rsid w:val="002472F6"/>
    <w:rsid w:val="002508DB"/>
    <w:rsid w:val="00251524"/>
    <w:rsid w:val="00251BB0"/>
    <w:rsid w:val="0025593F"/>
    <w:rsid w:val="00256603"/>
    <w:rsid w:val="002604BC"/>
    <w:rsid w:val="00261E9E"/>
    <w:rsid w:val="002631E7"/>
    <w:rsid w:val="00263385"/>
    <w:rsid w:val="00264F10"/>
    <w:rsid w:val="002707A7"/>
    <w:rsid w:val="00270923"/>
    <w:rsid w:val="00271A40"/>
    <w:rsid w:val="0027545D"/>
    <w:rsid w:val="00276C02"/>
    <w:rsid w:val="00277B93"/>
    <w:rsid w:val="0027F907"/>
    <w:rsid w:val="002847C4"/>
    <w:rsid w:val="00287F59"/>
    <w:rsid w:val="00293047"/>
    <w:rsid w:val="00295E34"/>
    <w:rsid w:val="002A0123"/>
    <w:rsid w:val="002A2595"/>
    <w:rsid w:val="002A3372"/>
    <w:rsid w:val="002A4B51"/>
    <w:rsid w:val="002B021C"/>
    <w:rsid w:val="002B1E25"/>
    <w:rsid w:val="002B25AF"/>
    <w:rsid w:val="002B2DF9"/>
    <w:rsid w:val="002B36A8"/>
    <w:rsid w:val="002B6932"/>
    <w:rsid w:val="002C07BA"/>
    <w:rsid w:val="002C581D"/>
    <w:rsid w:val="002D26AD"/>
    <w:rsid w:val="002D2A71"/>
    <w:rsid w:val="002E106D"/>
    <w:rsid w:val="002E1933"/>
    <w:rsid w:val="002E6543"/>
    <w:rsid w:val="002E6A95"/>
    <w:rsid w:val="002F0084"/>
    <w:rsid w:val="00300101"/>
    <w:rsid w:val="00310335"/>
    <w:rsid w:val="00312F13"/>
    <w:rsid w:val="00313D7F"/>
    <w:rsid w:val="00316212"/>
    <w:rsid w:val="00317A02"/>
    <w:rsid w:val="00317A0E"/>
    <w:rsid w:val="003203EF"/>
    <w:rsid w:val="003233B0"/>
    <w:rsid w:val="00323C5C"/>
    <w:rsid w:val="00323F75"/>
    <w:rsid w:val="003254DD"/>
    <w:rsid w:val="00327769"/>
    <w:rsid w:val="00327CAA"/>
    <w:rsid w:val="00330940"/>
    <w:rsid w:val="00331AF6"/>
    <w:rsid w:val="00332587"/>
    <w:rsid w:val="00336ECE"/>
    <w:rsid w:val="003373BA"/>
    <w:rsid w:val="00340F09"/>
    <w:rsid w:val="003416EE"/>
    <w:rsid w:val="00344E0C"/>
    <w:rsid w:val="00346479"/>
    <w:rsid w:val="00350303"/>
    <w:rsid w:val="0035317C"/>
    <w:rsid w:val="003538F8"/>
    <w:rsid w:val="003553C0"/>
    <w:rsid w:val="0035639A"/>
    <w:rsid w:val="003603DD"/>
    <w:rsid w:val="00361DF1"/>
    <w:rsid w:val="00374C9B"/>
    <w:rsid w:val="00375AB2"/>
    <w:rsid w:val="00380043"/>
    <w:rsid w:val="003818A8"/>
    <w:rsid w:val="00385C1C"/>
    <w:rsid w:val="003864DD"/>
    <w:rsid w:val="00387405"/>
    <w:rsid w:val="0038763F"/>
    <w:rsid w:val="00390DE3"/>
    <w:rsid w:val="0039121B"/>
    <w:rsid w:val="0039189B"/>
    <w:rsid w:val="00391DD4"/>
    <w:rsid w:val="00392884"/>
    <w:rsid w:val="00393603"/>
    <w:rsid w:val="00394A98"/>
    <w:rsid w:val="00395AC3"/>
    <w:rsid w:val="00396E3F"/>
    <w:rsid w:val="00397609"/>
    <w:rsid w:val="003A1AB8"/>
    <w:rsid w:val="003A6273"/>
    <w:rsid w:val="003A6A06"/>
    <w:rsid w:val="003A754C"/>
    <w:rsid w:val="003A7E58"/>
    <w:rsid w:val="003B0180"/>
    <w:rsid w:val="003B2A59"/>
    <w:rsid w:val="003B3E89"/>
    <w:rsid w:val="003B591A"/>
    <w:rsid w:val="003B703A"/>
    <w:rsid w:val="003B78D5"/>
    <w:rsid w:val="003B7900"/>
    <w:rsid w:val="003B7BA5"/>
    <w:rsid w:val="003C6A85"/>
    <w:rsid w:val="003D0195"/>
    <w:rsid w:val="003D5AA5"/>
    <w:rsid w:val="003E17E4"/>
    <w:rsid w:val="003E3A5A"/>
    <w:rsid w:val="003E7701"/>
    <w:rsid w:val="003F2E99"/>
    <w:rsid w:val="003F4664"/>
    <w:rsid w:val="003F55BE"/>
    <w:rsid w:val="003F7EE4"/>
    <w:rsid w:val="00401A9F"/>
    <w:rsid w:val="00402790"/>
    <w:rsid w:val="004059E4"/>
    <w:rsid w:val="00405BCC"/>
    <w:rsid w:val="00407A65"/>
    <w:rsid w:val="00407FE9"/>
    <w:rsid w:val="00411CEE"/>
    <w:rsid w:val="004124E2"/>
    <w:rsid w:val="00415307"/>
    <w:rsid w:val="00417665"/>
    <w:rsid w:val="00423B86"/>
    <w:rsid w:val="00423DBE"/>
    <w:rsid w:val="00424E34"/>
    <w:rsid w:val="00426B0B"/>
    <w:rsid w:val="004305AE"/>
    <w:rsid w:val="004312E9"/>
    <w:rsid w:val="00434F71"/>
    <w:rsid w:val="00436435"/>
    <w:rsid w:val="004376C3"/>
    <w:rsid w:val="00437A89"/>
    <w:rsid w:val="00440672"/>
    <w:rsid w:val="0044341E"/>
    <w:rsid w:val="00444DF8"/>
    <w:rsid w:val="0044549D"/>
    <w:rsid w:val="00445B7E"/>
    <w:rsid w:val="00446074"/>
    <w:rsid w:val="0044631D"/>
    <w:rsid w:val="00447EFB"/>
    <w:rsid w:val="00450F46"/>
    <w:rsid w:val="004578CB"/>
    <w:rsid w:val="00462C9E"/>
    <w:rsid w:val="0046310F"/>
    <w:rsid w:val="0046359A"/>
    <w:rsid w:val="00464971"/>
    <w:rsid w:val="00466472"/>
    <w:rsid w:val="00466E14"/>
    <w:rsid w:val="00467A1D"/>
    <w:rsid w:val="004703C7"/>
    <w:rsid w:val="00471BB0"/>
    <w:rsid w:val="00472D83"/>
    <w:rsid w:val="00474698"/>
    <w:rsid w:val="00482126"/>
    <w:rsid w:val="00483B63"/>
    <w:rsid w:val="00483CD7"/>
    <w:rsid w:val="00484758"/>
    <w:rsid w:val="00484924"/>
    <w:rsid w:val="0048569E"/>
    <w:rsid w:val="004874CC"/>
    <w:rsid w:val="0048789D"/>
    <w:rsid w:val="00487EE8"/>
    <w:rsid w:val="00490D68"/>
    <w:rsid w:val="0049244F"/>
    <w:rsid w:val="00492743"/>
    <w:rsid w:val="00493E9E"/>
    <w:rsid w:val="004952ED"/>
    <w:rsid w:val="004A0E9A"/>
    <w:rsid w:val="004A38B4"/>
    <w:rsid w:val="004B27DB"/>
    <w:rsid w:val="004B6524"/>
    <w:rsid w:val="004B6E30"/>
    <w:rsid w:val="004B6FE6"/>
    <w:rsid w:val="004C0F06"/>
    <w:rsid w:val="004C129D"/>
    <w:rsid w:val="004C1B5B"/>
    <w:rsid w:val="004C20F2"/>
    <w:rsid w:val="004C3F7F"/>
    <w:rsid w:val="004C6FDF"/>
    <w:rsid w:val="004C7808"/>
    <w:rsid w:val="004D08BE"/>
    <w:rsid w:val="004D35AB"/>
    <w:rsid w:val="004D4B06"/>
    <w:rsid w:val="004E38FE"/>
    <w:rsid w:val="004F0284"/>
    <w:rsid w:val="004F1416"/>
    <w:rsid w:val="004F278F"/>
    <w:rsid w:val="004F6C71"/>
    <w:rsid w:val="00500193"/>
    <w:rsid w:val="00500940"/>
    <w:rsid w:val="00500BCE"/>
    <w:rsid w:val="00502B84"/>
    <w:rsid w:val="00506DA4"/>
    <w:rsid w:val="00512E48"/>
    <w:rsid w:val="00514C23"/>
    <w:rsid w:val="005179A8"/>
    <w:rsid w:val="00521CBD"/>
    <w:rsid w:val="005347FF"/>
    <w:rsid w:val="00535263"/>
    <w:rsid w:val="00541C81"/>
    <w:rsid w:val="00542D2E"/>
    <w:rsid w:val="00550C9B"/>
    <w:rsid w:val="0055197C"/>
    <w:rsid w:val="00552CCA"/>
    <w:rsid w:val="00553D05"/>
    <w:rsid w:val="005555ED"/>
    <w:rsid w:val="00555C7A"/>
    <w:rsid w:val="00556CD9"/>
    <w:rsid w:val="00565957"/>
    <w:rsid w:val="00565D9A"/>
    <w:rsid w:val="00571AB6"/>
    <w:rsid w:val="00575276"/>
    <w:rsid w:val="005753CF"/>
    <w:rsid w:val="00576433"/>
    <w:rsid w:val="00576788"/>
    <w:rsid w:val="0058402A"/>
    <w:rsid w:val="0058570F"/>
    <w:rsid w:val="00590872"/>
    <w:rsid w:val="005964BD"/>
    <w:rsid w:val="005A06A4"/>
    <w:rsid w:val="005A100A"/>
    <w:rsid w:val="005A2746"/>
    <w:rsid w:val="005A2C9A"/>
    <w:rsid w:val="005A3A4F"/>
    <w:rsid w:val="005A7662"/>
    <w:rsid w:val="005B2ADA"/>
    <w:rsid w:val="005B320D"/>
    <w:rsid w:val="005B42F1"/>
    <w:rsid w:val="005B5570"/>
    <w:rsid w:val="005B675A"/>
    <w:rsid w:val="005C2DF1"/>
    <w:rsid w:val="005C3E74"/>
    <w:rsid w:val="005C5518"/>
    <w:rsid w:val="005C6E91"/>
    <w:rsid w:val="005C7F6B"/>
    <w:rsid w:val="005D1E66"/>
    <w:rsid w:val="005D3F4B"/>
    <w:rsid w:val="005D4205"/>
    <w:rsid w:val="005D51D2"/>
    <w:rsid w:val="005D5D9F"/>
    <w:rsid w:val="005E373C"/>
    <w:rsid w:val="005E4234"/>
    <w:rsid w:val="005E4A44"/>
    <w:rsid w:val="005E4DA7"/>
    <w:rsid w:val="005E69EC"/>
    <w:rsid w:val="005F25E4"/>
    <w:rsid w:val="005F2A72"/>
    <w:rsid w:val="005F319E"/>
    <w:rsid w:val="005F3DA0"/>
    <w:rsid w:val="005F5BEB"/>
    <w:rsid w:val="00600A23"/>
    <w:rsid w:val="00600D58"/>
    <w:rsid w:val="006037F3"/>
    <w:rsid w:val="006053E8"/>
    <w:rsid w:val="00611071"/>
    <w:rsid w:val="00611CD4"/>
    <w:rsid w:val="0061243B"/>
    <w:rsid w:val="00612BF2"/>
    <w:rsid w:val="006133DB"/>
    <w:rsid w:val="006133EA"/>
    <w:rsid w:val="00617485"/>
    <w:rsid w:val="0061759A"/>
    <w:rsid w:val="00617ECC"/>
    <w:rsid w:val="0062095D"/>
    <w:rsid w:val="0062158A"/>
    <w:rsid w:val="006243EC"/>
    <w:rsid w:val="00630806"/>
    <w:rsid w:val="00630DD3"/>
    <w:rsid w:val="0063385D"/>
    <w:rsid w:val="00635F04"/>
    <w:rsid w:val="006368A2"/>
    <w:rsid w:val="006371FD"/>
    <w:rsid w:val="00641B7C"/>
    <w:rsid w:val="00642CF7"/>
    <w:rsid w:val="00642F5A"/>
    <w:rsid w:val="0064402C"/>
    <w:rsid w:val="00646405"/>
    <w:rsid w:val="00647001"/>
    <w:rsid w:val="0064733E"/>
    <w:rsid w:val="006514F5"/>
    <w:rsid w:val="00652320"/>
    <w:rsid w:val="00656ED0"/>
    <w:rsid w:val="006572AB"/>
    <w:rsid w:val="00660F60"/>
    <w:rsid w:val="00663D21"/>
    <w:rsid w:val="00664ABD"/>
    <w:rsid w:val="00664DC0"/>
    <w:rsid w:val="00666296"/>
    <w:rsid w:val="00673F2F"/>
    <w:rsid w:val="006751CB"/>
    <w:rsid w:val="00676836"/>
    <w:rsid w:val="00677986"/>
    <w:rsid w:val="00680A90"/>
    <w:rsid w:val="006821C7"/>
    <w:rsid w:val="006833EB"/>
    <w:rsid w:val="006873F0"/>
    <w:rsid w:val="00690FD6"/>
    <w:rsid w:val="00691EB0"/>
    <w:rsid w:val="0069295F"/>
    <w:rsid w:val="00692D9B"/>
    <w:rsid w:val="0069372C"/>
    <w:rsid w:val="00694EAC"/>
    <w:rsid w:val="006A11EC"/>
    <w:rsid w:val="006A13A4"/>
    <w:rsid w:val="006A462B"/>
    <w:rsid w:val="006A4FB4"/>
    <w:rsid w:val="006A5EB6"/>
    <w:rsid w:val="006B0781"/>
    <w:rsid w:val="006B0F85"/>
    <w:rsid w:val="006B4861"/>
    <w:rsid w:val="006B69E5"/>
    <w:rsid w:val="006C12D9"/>
    <w:rsid w:val="006C2B8D"/>
    <w:rsid w:val="006C2E19"/>
    <w:rsid w:val="006C5D6D"/>
    <w:rsid w:val="006C669A"/>
    <w:rsid w:val="006C7D79"/>
    <w:rsid w:val="006D0968"/>
    <w:rsid w:val="006D1F3A"/>
    <w:rsid w:val="006D33CA"/>
    <w:rsid w:val="006D3D5F"/>
    <w:rsid w:val="006D7060"/>
    <w:rsid w:val="006D7619"/>
    <w:rsid w:val="006E0E38"/>
    <w:rsid w:val="006E305F"/>
    <w:rsid w:val="006E4655"/>
    <w:rsid w:val="006F39A0"/>
    <w:rsid w:val="007011EC"/>
    <w:rsid w:val="007018E7"/>
    <w:rsid w:val="00702195"/>
    <w:rsid w:val="00703E6A"/>
    <w:rsid w:val="007046C9"/>
    <w:rsid w:val="00706C66"/>
    <w:rsid w:val="00707121"/>
    <w:rsid w:val="0071245D"/>
    <w:rsid w:val="007142FC"/>
    <w:rsid w:val="007174B2"/>
    <w:rsid w:val="00717746"/>
    <w:rsid w:val="00720DE8"/>
    <w:rsid w:val="0072272E"/>
    <w:rsid w:val="007227A9"/>
    <w:rsid w:val="0072413A"/>
    <w:rsid w:val="00724CC8"/>
    <w:rsid w:val="00725353"/>
    <w:rsid w:val="007253DE"/>
    <w:rsid w:val="00731489"/>
    <w:rsid w:val="0073187A"/>
    <w:rsid w:val="00733C26"/>
    <w:rsid w:val="00734621"/>
    <w:rsid w:val="0073574B"/>
    <w:rsid w:val="00736891"/>
    <w:rsid w:val="0073F518"/>
    <w:rsid w:val="00743493"/>
    <w:rsid w:val="007458CE"/>
    <w:rsid w:val="0075255C"/>
    <w:rsid w:val="00752C77"/>
    <w:rsid w:val="00752F98"/>
    <w:rsid w:val="0075495E"/>
    <w:rsid w:val="00756FCD"/>
    <w:rsid w:val="00765E30"/>
    <w:rsid w:val="007710B0"/>
    <w:rsid w:val="007731EC"/>
    <w:rsid w:val="00773A0E"/>
    <w:rsid w:val="00773FD2"/>
    <w:rsid w:val="007742DF"/>
    <w:rsid w:val="00775D75"/>
    <w:rsid w:val="00782CBB"/>
    <w:rsid w:val="00783108"/>
    <w:rsid w:val="00783490"/>
    <w:rsid w:val="007837B1"/>
    <w:rsid w:val="007849C3"/>
    <w:rsid w:val="00786035"/>
    <w:rsid w:val="00790424"/>
    <w:rsid w:val="00795519"/>
    <w:rsid w:val="007961DC"/>
    <w:rsid w:val="00797C9A"/>
    <w:rsid w:val="00797E58"/>
    <w:rsid w:val="007A053C"/>
    <w:rsid w:val="007A14C5"/>
    <w:rsid w:val="007A3C54"/>
    <w:rsid w:val="007A3E74"/>
    <w:rsid w:val="007A4E7B"/>
    <w:rsid w:val="007B0871"/>
    <w:rsid w:val="007B16D6"/>
    <w:rsid w:val="007B2616"/>
    <w:rsid w:val="007B3313"/>
    <w:rsid w:val="007B4323"/>
    <w:rsid w:val="007B5916"/>
    <w:rsid w:val="007B6C66"/>
    <w:rsid w:val="007B7747"/>
    <w:rsid w:val="007B7DD1"/>
    <w:rsid w:val="007C0063"/>
    <w:rsid w:val="007C0C6B"/>
    <w:rsid w:val="007C12FD"/>
    <w:rsid w:val="007C291C"/>
    <w:rsid w:val="007C3368"/>
    <w:rsid w:val="007C611D"/>
    <w:rsid w:val="007C6C28"/>
    <w:rsid w:val="007D176F"/>
    <w:rsid w:val="007D27F8"/>
    <w:rsid w:val="007D7371"/>
    <w:rsid w:val="007E02D0"/>
    <w:rsid w:val="007E075D"/>
    <w:rsid w:val="007E3322"/>
    <w:rsid w:val="007E41D9"/>
    <w:rsid w:val="007F0A68"/>
    <w:rsid w:val="007F2EED"/>
    <w:rsid w:val="007F3408"/>
    <w:rsid w:val="007F469E"/>
    <w:rsid w:val="007F579B"/>
    <w:rsid w:val="007F7F13"/>
    <w:rsid w:val="00801261"/>
    <w:rsid w:val="00802EC8"/>
    <w:rsid w:val="00803B1B"/>
    <w:rsid w:val="0080428C"/>
    <w:rsid w:val="00804770"/>
    <w:rsid w:val="00804F69"/>
    <w:rsid w:val="00807D91"/>
    <w:rsid w:val="00811606"/>
    <w:rsid w:val="00814551"/>
    <w:rsid w:val="00815E18"/>
    <w:rsid w:val="0081769E"/>
    <w:rsid w:val="00820B37"/>
    <w:rsid w:val="008234D8"/>
    <w:rsid w:val="00830890"/>
    <w:rsid w:val="008314D7"/>
    <w:rsid w:val="00835505"/>
    <w:rsid w:val="008370D1"/>
    <w:rsid w:val="00840CE1"/>
    <w:rsid w:val="008462F9"/>
    <w:rsid w:val="00846642"/>
    <w:rsid w:val="008478F5"/>
    <w:rsid w:val="00847BCF"/>
    <w:rsid w:val="00847E9B"/>
    <w:rsid w:val="0086014C"/>
    <w:rsid w:val="008613B4"/>
    <w:rsid w:val="0086348C"/>
    <w:rsid w:val="00864AD4"/>
    <w:rsid w:val="0086647D"/>
    <w:rsid w:val="00872D09"/>
    <w:rsid w:val="00873F13"/>
    <w:rsid w:val="00875056"/>
    <w:rsid w:val="00875122"/>
    <w:rsid w:val="0088052F"/>
    <w:rsid w:val="00881ABC"/>
    <w:rsid w:val="0088267C"/>
    <w:rsid w:val="00882858"/>
    <w:rsid w:val="008841E9"/>
    <w:rsid w:val="0088424F"/>
    <w:rsid w:val="00884B67"/>
    <w:rsid w:val="00893147"/>
    <w:rsid w:val="0089742E"/>
    <w:rsid w:val="008A0A7A"/>
    <w:rsid w:val="008A1135"/>
    <w:rsid w:val="008A148A"/>
    <w:rsid w:val="008A4E0B"/>
    <w:rsid w:val="008A7048"/>
    <w:rsid w:val="008B0F34"/>
    <w:rsid w:val="008B1CD2"/>
    <w:rsid w:val="008B271D"/>
    <w:rsid w:val="008B2D1B"/>
    <w:rsid w:val="008C41C4"/>
    <w:rsid w:val="008C5A25"/>
    <w:rsid w:val="008D11CD"/>
    <w:rsid w:val="008D5067"/>
    <w:rsid w:val="008D55CE"/>
    <w:rsid w:val="008D67D7"/>
    <w:rsid w:val="008D73A4"/>
    <w:rsid w:val="008D7463"/>
    <w:rsid w:val="008D790C"/>
    <w:rsid w:val="008DF835"/>
    <w:rsid w:val="008E0ED4"/>
    <w:rsid w:val="008E10C3"/>
    <w:rsid w:val="008E188F"/>
    <w:rsid w:val="008E2FDB"/>
    <w:rsid w:val="008E436D"/>
    <w:rsid w:val="008E55D3"/>
    <w:rsid w:val="008F0D7C"/>
    <w:rsid w:val="008F29AC"/>
    <w:rsid w:val="008F357E"/>
    <w:rsid w:val="008F35C6"/>
    <w:rsid w:val="008F45E1"/>
    <w:rsid w:val="008F48C8"/>
    <w:rsid w:val="00901B7A"/>
    <w:rsid w:val="00901DC5"/>
    <w:rsid w:val="00905802"/>
    <w:rsid w:val="00906A8E"/>
    <w:rsid w:val="00907DCA"/>
    <w:rsid w:val="0091088A"/>
    <w:rsid w:val="00914550"/>
    <w:rsid w:val="00916328"/>
    <w:rsid w:val="00920225"/>
    <w:rsid w:val="00925B05"/>
    <w:rsid w:val="00926065"/>
    <w:rsid w:val="009322A4"/>
    <w:rsid w:val="00936575"/>
    <w:rsid w:val="009409B3"/>
    <w:rsid w:val="0094462D"/>
    <w:rsid w:val="00944F4F"/>
    <w:rsid w:val="00950992"/>
    <w:rsid w:val="00951F07"/>
    <w:rsid w:val="009523B9"/>
    <w:rsid w:val="00954859"/>
    <w:rsid w:val="00955925"/>
    <w:rsid w:val="00957DD5"/>
    <w:rsid w:val="00960D12"/>
    <w:rsid w:val="009619B0"/>
    <w:rsid w:val="00965058"/>
    <w:rsid w:val="00970EA3"/>
    <w:rsid w:val="00972A4B"/>
    <w:rsid w:val="00973CE4"/>
    <w:rsid w:val="00975276"/>
    <w:rsid w:val="00976078"/>
    <w:rsid w:val="009805DF"/>
    <w:rsid w:val="00980ADE"/>
    <w:rsid w:val="00983B60"/>
    <w:rsid w:val="00984E46"/>
    <w:rsid w:val="009851AB"/>
    <w:rsid w:val="0098782E"/>
    <w:rsid w:val="00987E55"/>
    <w:rsid w:val="00991371"/>
    <w:rsid w:val="009928B4"/>
    <w:rsid w:val="00993CC0"/>
    <w:rsid w:val="009978EA"/>
    <w:rsid w:val="009A3268"/>
    <w:rsid w:val="009A60AD"/>
    <w:rsid w:val="009A6B2D"/>
    <w:rsid w:val="009A750F"/>
    <w:rsid w:val="009A7CC1"/>
    <w:rsid w:val="009B150D"/>
    <w:rsid w:val="009B3338"/>
    <w:rsid w:val="009B5134"/>
    <w:rsid w:val="009B6DC2"/>
    <w:rsid w:val="009B7E1E"/>
    <w:rsid w:val="009B7F28"/>
    <w:rsid w:val="009C0454"/>
    <w:rsid w:val="009C41E9"/>
    <w:rsid w:val="009C584C"/>
    <w:rsid w:val="009C7139"/>
    <w:rsid w:val="009C74E0"/>
    <w:rsid w:val="009D0C2E"/>
    <w:rsid w:val="009D1B04"/>
    <w:rsid w:val="009D7AE4"/>
    <w:rsid w:val="009E2D71"/>
    <w:rsid w:val="009E43CF"/>
    <w:rsid w:val="009E52CA"/>
    <w:rsid w:val="009E5E8C"/>
    <w:rsid w:val="009E621C"/>
    <w:rsid w:val="009F064E"/>
    <w:rsid w:val="009F11A8"/>
    <w:rsid w:val="009F5087"/>
    <w:rsid w:val="009F675B"/>
    <w:rsid w:val="00A02D9D"/>
    <w:rsid w:val="00A03B94"/>
    <w:rsid w:val="00A04157"/>
    <w:rsid w:val="00A0421B"/>
    <w:rsid w:val="00A0439B"/>
    <w:rsid w:val="00A05A2D"/>
    <w:rsid w:val="00A07E12"/>
    <w:rsid w:val="00A10245"/>
    <w:rsid w:val="00A1110D"/>
    <w:rsid w:val="00A15D1A"/>
    <w:rsid w:val="00A2280F"/>
    <w:rsid w:val="00A23F8D"/>
    <w:rsid w:val="00A3063B"/>
    <w:rsid w:val="00A30642"/>
    <w:rsid w:val="00A3212F"/>
    <w:rsid w:val="00A3669A"/>
    <w:rsid w:val="00A36B96"/>
    <w:rsid w:val="00A37AD2"/>
    <w:rsid w:val="00A406C9"/>
    <w:rsid w:val="00A41351"/>
    <w:rsid w:val="00A429CC"/>
    <w:rsid w:val="00A438CD"/>
    <w:rsid w:val="00A4529D"/>
    <w:rsid w:val="00A6298E"/>
    <w:rsid w:val="00A6519B"/>
    <w:rsid w:val="00A67A8C"/>
    <w:rsid w:val="00A70CB9"/>
    <w:rsid w:val="00A73D41"/>
    <w:rsid w:val="00A7511A"/>
    <w:rsid w:val="00A75A56"/>
    <w:rsid w:val="00A77062"/>
    <w:rsid w:val="00A77C0B"/>
    <w:rsid w:val="00A804B6"/>
    <w:rsid w:val="00A8289F"/>
    <w:rsid w:val="00A874E3"/>
    <w:rsid w:val="00A91C2F"/>
    <w:rsid w:val="00A92342"/>
    <w:rsid w:val="00AA2364"/>
    <w:rsid w:val="00AA335B"/>
    <w:rsid w:val="00AA5D6C"/>
    <w:rsid w:val="00AB0308"/>
    <w:rsid w:val="00AB1338"/>
    <w:rsid w:val="00AB6319"/>
    <w:rsid w:val="00AB63BB"/>
    <w:rsid w:val="00AB6809"/>
    <w:rsid w:val="00AC2052"/>
    <w:rsid w:val="00AC32AB"/>
    <w:rsid w:val="00AC34F1"/>
    <w:rsid w:val="00AC6D66"/>
    <w:rsid w:val="00AC73C3"/>
    <w:rsid w:val="00AC7C83"/>
    <w:rsid w:val="00AD1057"/>
    <w:rsid w:val="00AD1ABD"/>
    <w:rsid w:val="00AD4EE4"/>
    <w:rsid w:val="00AE1198"/>
    <w:rsid w:val="00AE1A24"/>
    <w:rsid w:val="00AE24AD"/>
    <w:rsid w:val="00AE4D66"/>
    <w:rsid w:val="00AF56CC"/>
    <w:rsid w:val="00AF637D"/>
    <w:rsid w:val="00AF7708"/>
    <w:rsid w:val="00B01467"/>
    <w:rsid w:val="00B0525D"/>
    <w:rsid w:val="00B05E11"/>
    <w:rsid w:val="00B14A83"/>
    <w:rsid w:val="00B151DC"/>
    <w:rsid w:val="00B24933"/>
    <w:rsid w:val="00B24FFB"/>
    <w:rsid w:val="00B259DE"/>
    <w:rsid w:val="00B26DCC"/>
    <w:rsid w:val="00B278EC"/>
    <w:rsid w:val="00B3011E"/>
    <w:rsid w:val="00B311E7"/>
    <w:rsid w:val="00B3266B"/>
    <w:rsid w:val="00B33177"/>
    <w:rsid w:val="00B335A1"/>
    <w:rsid w:val="00B338BE"/>
    <w:rsid w:val="00B34AA2"/>
    <w:rsid w:val="00B350C6"/>
    <w:rsid w:val="00B37750"/>
    <w:rsid w:val="00B3790D"/>
    <w:rsid w:val="00B40F1F"/>
    <w:rsid w:val="00B4278C"/>
    <w:rsid w:val="00B44C5C"/>
    <w:rsid w:val="00B508A5"/>
    <w:rsid w:val="00B573C5"/>
    <w:rsid w:val="00B614CB"/>
    <w:rsid w:val="00B631E6"/>
    <w:rsid w:val="00B633FC"/>
    <w:rsid w:val="00B63A74"/>
    <w:rsid w:val="00B63CBE"/>
    <w:rsid w:val="00B7450A"/>
    <w:rsid w:val="00B816A5"/>
    <w:rsid w:val="00B81C57"/>
    <w:rsid w:val="00B85159"/>
    <w:rsid w:val="00B921D2"/>
    <w:rsid w:val="00B922B0"/>
    <w:rsid w:val="00B93E7F"/>
    <w:rsid w:val="00B9560F"/>
    <w:rsid w:val="00B97427"/>
    <w:rsid w:val="00BA1DA8"/>
    <w:rsid w:val="00BA24D8"/>
    <w:rsid w:val="00BA51F1"/>
    <w:rsid w:val="00BA6532"/>
    <w:rsid w:val="00BA6699"/>
    <w:rsid w:val="00BA6720"/>
    <w:rsid w:val="00BA7287"/>
    <w:rsid w:val="00BB1D5B"/>
    <w:rsid w:val="00BB2CBD"/>
    <w:rsid w:val="00BB3019"/>
    <w:rsid w:val="00BB3301"/>
    <w:rsid w:val="00BB3DB8"/>
    <w:rsid w:val="00BB4287"/>
    <w:rsid w:val="00BB6B00"/>
    <w:rsid w:val="00BC1FA1"/>
    <w:rsid w:val="00BC5851"/>
    <w:rsid w:val="00BC5902"/>
    <w:rsid w:val="00BC69B2"/>
    <w:rsid w:val="00BD1AFD"/>
    <w:rsid w:val="00BD2188"/>
    <w:rsid w:val="00BD21C5"/>
    <w:rsid w:val="00BD3E53"/>
    <w:rsid w:val="00BD56AD"/>
    <w:rsid w:val="00BE0DCF"/>
    <w:rsid w:val="00BE1C67"/>
    <w:rsid w:val="00BE2560"/>
    <w:rsid w:val="00BE28E9"/>
    <w:rsid w:val="00BF3371"/>
    <w:rsid w:val="00BF3695"/>
    <w:rsid w:val="00BF49BC"/>
    <w:rsid w:val="00BF74ED"/>
    <w:rsid w:val="00C00731"/>
    <w:rsid w:val="00C02967"/>
    <w:rsid w:val="00C02C54"/>
    <w:rsid w:val="00C04CF7"/>
    <w:rsid w:val="00C0519E"/>
    <w:rsid w:val="00C122EB"/>
    <w:rsid w:val="00C12E49"/>
    <w:rsid w:val="00C1453F"/>
    <w:rsid w:val="00C167F3"/>
    <w:rsid w:val="00C2059B"/>
    <w:rsid w:val="00C318ED"/>
    <w:rsid w:val="00C35947"/>
    <w:rsid w:val="00C36622"/>
    <w:rsid w:val="00C36CC2"/>
    <w:rsid w:val="00C37C7B"/>
    <w:rsid w:val="00C37F6F"/>
    <w:rsid w:val="00C415CB"/>
    <w:rsid w:val="00C44529"/>
    <w:rsid w:val="00C456CC"/>
    <w:rsid w:val="00C50535"/>
    <w:rsid w:val="00C50675"/>
    <w:rsid w:val="00C50DB2"/>
    <w:rsid w:val="00C5135A"/>
    <w:rsid w:val="00C51749"/>
    <w:rsid w:val="00C52964"/>
    <w:rsid w:val="00C548D1"/>
    <w:rsid w:val="00C560C4"/>
    <w:rsid w:val="00C565E2"/>
    <w:rsid w:val="00C57367"/>
    <w:rsid w:val="00C57684"/>
    <w:rsid w:val="00C64E13"/>
    <w:rsid w:val="00C71401"/>
    <w:rsid w:val="00C728C9"/>
    <w:rsid w:val="00C73D8F"/>
    <w:rsid w:val="00C74282"/>
    <w:rsid w:val="00C748CF"/>
    <w:rsid w:val="00C75D2B"/>
    <w:rsid w:val="00C766F1"/>
    <w:rsid w:val="00C7727F"/>
    <w:rsid w:val="00C82459"/>
    <w:rsid w:val="00C82642"/>
    <w:rsid w:val="00C90734"/>
    <w:rsid w:val="00C9280B"/>
    <w:rsid w:val="00C95316"/>
    <w:rsid w:val="00C95AA4"/>
    <w:rsid w:val="00CA179F"/>
    <w:rsid w:val="00CA6E33"/>
    <w:rsid w:val="00CB0116"/>
    <w:rsid w:val="00CB1CD1"/>
    <w:rsid w:val="00CB642F"/>
    <w:rsid w:val="00CB6830"/>
    <w:rsid w:val="00CB75EF"/>
    <w:rsid w:val="00CC31B0"/>
    <w:rsid w:val="00CC6006"/>
    <w:rsid w:val="00CD0EBB"/>
    <w:rsid w:val="00CD1587"/>
    <w:rsid w:val="00CD1D34"/>
    <w:rsid w:val="00CD394B"/>
    <w:rsid w:val="00CD4D57"/>
    <w:rsid w:val="00CD5E5A"/>
    <w:rsid w:val="00CD7F16"/>
    <w:rsid w:val="00CE0FDA"/>
    <w:rsid w:val="00CE230A"/>
    <w:rsid w:val="00CE69E0"/>
    <w:rsid w:val="00CE7672"/>
    <w:rsid w:val="00CE7F1C"/>
    <w:rsid w:val="00CF305A"/>
    <w:rsid w:val="00CF5850"/>
    <w:rsid w:val="00CF5C0B"/>
    <w:rsid w:val="00CF62E7"/>
    <w:rsid w:val="00D00E65"/>
    <w:rsid w:val="00D022EB"/>
    <w:rsid w:val="00D029EA"/>
    <w:rsid w:val="00D14642"/>
    <w:rsid w:val="00D16C2C"/>
    <w:rsid w:val="00D2410F"/>
    <w:rsid w:val="00D24B70"/>
    <w:rsid w:val="00D2675D"/>
    <w:rsid w:val="00D323B5"/>
    <w:rsid w:val="00D33E5A"/>
    <w:rsid w:val="00D3459D"/>
    <w:rsid w:val="00D40292"/>
    <w:rsid w:val="00D4048F"/>
    <w:rsid w:val="00D40C57"/>
    <w:rsid w:val="00D40D4F"/>
    <w:rsid w:val="00D432FC"/>
    <w:rsid w:val="00D5037D"/>
    <w:rsid w:val="00D5219A"/>
    <w:rsid w:val="00D5252E"/>
    <w:rsid w:val="00D52880"/>
    <w:rsid w:val="00D5330A"/>
    <w:rsid w:val="00D556E5"/>
    <w:rsid w:val="00D55E03"/>
    <w:rsid w:val="00D567CE"/>
    <w:rsid w:val="00D6170F"/>
    <w:rsid w:val="00D627FB"/>
    <w:rsid w:val="00D64C63"/>
    <w:rsid w:val="00D66BEA"/>
    <w:rsid w:val="00D6710C"/>
    <w:rsid w:val="00D67C8F"/>
    <w:rsid w:val="00D70692"/>
    <w:rsid w:val="00D769BA"/>
    <w:rsid w:val="00D82FCD"/>
    <w:rsid w:val="00D84FCE"/>
    <w:rsid w:val="00D85017"/>
    <w:rsid w:val="00D85C3B"/>
    <w:rsid w:val="00D87870"/>
    <w:rsid w:val="00D91B18"/>
    <w:rsid w:val="00D939FD"/>
    <w:rsid w:val="00D93A45"/>
    <w:rsid w:val="00D9452F"/>
    <w:rsid w:val="00D94602"/>
    <w:rsid w:val="00D94610"/>
    <w:rsid w:val="00D95C31"/>
    <w:rsid w:val="00D9619B"/>
    <w:rsid w:val="00DA1F34"/>
    <w:rsid w:val="00DA20E4"/>
    <w:rsid w:val="00DA4878"/>
    <w:rsid w:val="00DA4F20"/>
    <w:rsid w:val="00DA7870"/>
    <w:rsid w:val="00DB2562"/>
    <w:rsid w:val="00DB4D7E"/>
    <w:rsid w:val="00DB6033"/>
    <w:rsid w:val="00DB6686"/>
    <w:rsid w:val="00DB72FE"/>
    <w:rsid w:val="00DC023D"/>
    <w:rsid w:val="00DC1622"/>
    <w:rsid w:val="00DC36D1"/>
    <w:rsid w:val="00DC3E16"/>
    <w:rsid w:val="00DC51E6"/>
    <w:rsid w:val="00DC5FAA"/>
    <w:rsid w:val="00DD04E8"/>
    <w:rsid w:val="00DD2D2A"/>
    <w:rsid w:val="00DD3343"/>
    <w:rsid w:val="00DD5BDC"/>
    <w:rsid w:val="00DD7B83"/>
    <w:rsid w:val="00DE06FD"/>
    <w:rsid w:val="00DE08CF"/>
    <w:rsid w:val="00DE11E8"/>
    <w:rsid w:val="00DE3C35"/>
    <w:rsid w:val="00DE4539"/>
    <w:rsid w:val="00DF0EFB"/>
    <w:rsid w:val="00DF112C"/>
    <w:rsid w:val="00DF1745"/>
    <w:rsid w:val="00DF1DD6"/>
    <w:rsid w:val="00DF2BF6"/>
    <w:rsid w:val="00DF34DE"/>
    <w:rsid w:val="00DF7DAD"/>
    <w:rsid w:val="00E00C12"/>
    <w:rsid w:val="00E12769"/>
    <w:rsid w:val="00E17243"/>
    <w:rsid w:val="00E22DF1"/>
    <w:rsid w:val="00E2410C"/>
    <w:rsid w:val="00E305AE"/>
    <w:rsid w:val="00E32A1D"/>
    <w:rsid w:val="00E338E8"/>
    <w:rsid w:val="00E341FB"/>
    <w:rsid w:val="00E35B30"/>
    <w:rsid w:val="00E37874"/>
    <w:rsid w:val="00E40114"/>
    <w:rsid w:val="00E42228"/>
    <w:rsid w:val="00E50C95"/>
    <w:rsid w:val="00E519BA"/>
    <w:rsid w:val="00E51F92"/>
    <w:rsid w:val="00E52613"/>
    <w:rsid w:val="00E52E62"/>
    <w:rsid w:val="00E53493"/>
    <w:rsid w:val="00E5496F"/>
    <w:rsid w:val="00E55387"/>
    <w:rsid w:val="00E5573C"/>
    <w:rsid w:val="00E615FE"/>
    <w:rsid w:val="00E622C4"/>
    <w:rsid w:val="00E63E37"/>
    <w:rsid w:val="00E71FE7"/>
    <w:rsid w:val="00E72646"/>
    <w:rsid w:val="00E72DB6"/>
    <w:rsid w:val="00E7540B"/>
    <w:rsid w:val="00E8025E"/>
    <w:rsid w:val="00E81721"/>
    <w:rsid w:val="00E81D7D"/>
    <w:rsid w:val="00E83E56"/>
    <w:rsid w:val="00E923AD"/>
    <w:rsid w:val="00E934AF"/>
    <w:rsid w:val="00EA00B4"/>
    <w:rsid w:val="00EA0F71"/>
    <w:rsid w:val="00EB0D11"/>
    <w:rsid w:val="00EB21CF"/>
    <w:rsid w:val="00EB2857"/>
    <w:rsid w:val="00EB451E"/>
    <w:rsid w:val="00EB560E"/>
    <w:rsid w:val="00EC185F"/>
    <w:rsid w:val="00EC338E"/>
    <w:rsid w:val="00EC50D7"/>
    <w:rsid w:val="00EC5D53"/>
    <w:rsid w:val="00EC6D4B"/>
    <w:rsid w:val="00EC6DDE"/>
    <w:rsid w:val="00EC71B5"/>
    <w:rsid w:val="00ED1497"/>
    <w:rsid w:val="00ED44D7"/>
    <w:rsid w:val="00ED5BA2"/>
    <w:rsid w:val="00EE18B1"/>
    <w:rsid w:val="00EE67D3"/>
    <w:rsid w:val="00EE6F09"/>
    <w:rsid w:val="00EF0848"/>
    <w:rsid w:val="00EF141F"/>
    <w:rsid w:val="00EF254E"/>
    <w:rsid w:val="00EF2E60"/>
    <w:rsid w:val="00EF4019"/>
    <w:rsid w:val="00EF576D"/>
    <w:rsid w:val="00EF771B"/>
    <w:rsid w:val="00F00B16"/>
    <w:rsid w:val="00F04F9D"/>
    <w:rsid w:val="00F05DC9"/>
    <w:rsid w:val="00F07AE5"/>
    <w:rsid w:val="00F1087C"/>
    <w:rsid w:val="00F135D5"/>
    <w:rsid w:val="00F159F3"/>
    <w:rsid w:val="00F15A3F"/>
    <w:rsid w:val="00F221E7"/>
    <w:rsid w:val="00F242E1"/>
    <w:rsid w:val="00F27871"/>
    <w:rsid w:val="00F35024"/>
    <w:rsid w:val="00F36586"/>
    <w:rsid w:val="00F44600"/>
    <w:rsid w:val="00F4508F"/>
    <w:rsid w:val="00F46302"/>
    <w:rsid w:val="00F46631"/>
    <w:rsid w:val="00F4788C"/>
    <w:rsid w:val="00F51711"/>
    <w:rsid w:val="00F53C79"/>
    <w:rsid w:val="00F5572B"/>
    <w:rsid w:val="00F56473"/>
    <w:rsid w:val="00F579B7"/>
    <w:rsid w:val="00F62195"/>
    <w:rsid w:val="00F6348E"/>
    <w:rsid w:val="00F6389A"/>
    <w:rsid w:val="00F640E4"/>
    <w:rsid w:val="00F645DE"/>
    <w:rsid w:val="00F66F71"/>
    <w:rsid w:val="00F67BC5"/>
    <w:rsid w:val="00F70588"/>
    <w:rsid w:val="00F739EA"/>
    <w:rsid w:val="00F75029"/>
    <w:rsid w:val="00F757C8"/>
    <w:rsid w:val="00F75C53"/>
    <w:rsid w:val="00F77B90"/>
    <w:rsid w:val="00F80AB4"/>
    <w:rsid w:val="00F81546"/>
    <w:rsid w:val="00F828D6"/>
    <w:rsid w:val="00F936D7"/>
    <w:rsid w:val="00FA0D41"/>
    <w:rsid w:val="00FA1644"/>
    <w:rsid w:val="00FA2F73"/>
    <w:rsid w:val="00FA398C"/>
    <w:rsid w:val="00FA3B83"/>
    <w:rsid w:val="00FA407E"/>
    <w:rsid w:val="00FA4B37"/>
    <w:rsid w:val="00FA4FCA"/>
    <w:rsid w:val="00FA65E5"/>
    <w:rsid w:val="00FA6676"/>
    <w:rsid w:val="00FB09E3"/>
    <w:rsid w:val="00FB1875"/>
    <w:rsid w:val="00FB448E"/>
    <w:rsid w:val="00FC0AF8"/>
    <w:rsid w:val="00FC1D17"/>
    <w:rsid w:val="00FC24E5"/>
    <w:rsid w:val="00FC3F55"/>
    <w:rsid w:val="00FD1255"/>
    <w:rsid w:val="00FD1580"/>
    <w:rsid w:val="00FD2863"/>
    <w:rsid w:val="00FD2ED1"/>
    <w:rsid w:val="00FD2EE7"/>
    <w:rsid w:val="00FD459C"/>
    <w:rsid w:val="00FD4B01"/>
    <w:rsid w:val="00FE0503"/>
    <w:rsid w:val="00FE11EF"/>
    <w:rsid w:val="00FE2758"/>
    <w:rsid w:val="00FE2F46"/>
    <w:rsid w:val="00FF1F63"/>
    <w:rsid w:val="00FF4175"/>
    <w:rsid w:val="01029BDA"/>
    <w:rsid w:val="01082F49"/>
    <w:rsid w:val="014EBBC9"/>
    <w:rsid w:val="016763EF"/>
    <w:rsid w:val="0167E4DC"/>
    <w:rsid w:val="01921175"/>
    <w:rsid w:val="01A89B5E"/>
    <w:rsid w:val="01B92FE4"/>
    <w:rsid w:val="02EE1CE6"/>
    <w:rsid w:val="033DB6A8"/>
    <w:rsid w:val="03475B78"/>
    <w:rsid w:val="03587E0C"/>
    <w:rsid w:val="03618D65"/>
    <w:rsid w:val="03934F5B"/>
    <w:rsid w:val="048A4332"/>
    <w:rsid w:val="04C432C1"/>
    <w:rsid w:val="04D144D2"/>
    <w:rsid w:val="05817E01"/>
    <w:rsid w:val="05828978"/>
    <w:rsid w:val="059C1FE6"/>
    <w:rsid w:val="05D896B7"/>
    <w:rsid w:val="05E5D9F7"/>
    <w:rsid w:val="0619B582"/>
    <w:rsid w:val="0642C801"/>
    <w:rsid w:val="06472A72"/>
    <w:rsid w:val="06DF9894"/>
    <w:rsid w:val="06E48F84"/>
    <w:rsid w:val="06EB622B"/>
    <w:rsid w:val="0709A940"/>
    <w:rsid w:val="072BA970"/>
    <w:rsid w:val="07421478"/>
    <w:rsid w:val="075948FF"/>
    <w:rsid w:val="0776DB98"/>
    <w:rsid w:val="08251D2E"/>
    <w:rsid w:val="084275B6"/>
    <w:rsid w:val="08508295"/>
    <w:rsid w:val="0854B802"/>
    <w:rsid w:val="087EFBDD"/>
    <w:rsid w:val="089F5CEA"/>
    <w:rsid w:val="08B92617"/>
    <w:rsid w:val="08F91DD0"/>
    <w:rsid w:val="090AABCE"/>
    <w:rsid w:val="090E2951"/>
    <w:rsid w:val="095BE17F"/>
    <w:rsid w:val="09E5D015"/>
    <w:rsid w:val="0A1A3378"/>
    <w:rsid w:val="0A7E2F2A"/>
    <w:rsid w:val="0AB6EF1E"/>
    <w:rsid w:val="0B3B2406"/>
    <w:rsid w:val="0B3E0C3C"/>
    <w:rsid w:val="0B61E9EB"/>
    <w:rsid w:val="0B684687"/>
    <w:rsid w:val="0B7E83FD"/>
    <w:rsid w:val="0BB046AE"/>
    <w:rsid w:val="0BB6C8A0"/>
    <w:rsid w:val="0BE758D9"/>
    <w:rsid w:val="0C0D5D46"/>
    <w:rsid w:val="0C18DF21"/>
    <w:rsid w:val="0D1B7F7E"/>
    <w:rsid w:val="0D6E77EB"/>
    <w:rsid w:val="0DBCC41B"/>
    <w:rsid w:val="0E4B3373"/>
    <w:rsid w:val="0F227F61"/>
    <w:rsid w:val="0F230D66"/>
    <w:rsid w:val="0F4BB4BB"/>
    <w:rsid w:val="0F6DCEED"/>
    <w:rsid w:val="0FD11592"/>
    <w:rsid w:val="0FDFB63D"/>
    <w:rsid w:val="0FF0D6CD"/>
    <w:rsid w:val="0FF9E1A2"/>
    <w:rsid w:val="101B02A7"/>
    <w:rsid w:val="107AC2D4"/>
    <w:rsid w:val="1080A600"/>
    <w:rsid w:val="10A4E437"/>
    <w:rsid w:val="10AAEEBB"/>
    <w:rsid w:val="10B2621F"/>
    <w:rsid w:val="10BE657E"/>
    <w:rsid w:val="10C17A25"/>
    <w:rsid w:val="1112CBBC"/>
    <w:rsid w:val="119141D2"/>
    <w:rsid w:val="11E360DD"/>
    <w:rsid w:val="12117C36"/>
    <w:rsid w:val="1249F481"/>
    <w:rsid w:val="12AC4FF7"/>
    <w:rsid w:val="12EA21B5"/>
    <w:rsid w:val="13106B39"/>
    <w:rsid w:val="131C2FAC"/>
    <w:rsid w:val="1329575D"/>
    <w:rsid w:val="13415572"/>
    <w:rsid w:val="13A458D1"/>
    <w:rsid w:val="14015523"/>
    <w:rsid w:val="1463A959"/>
    <w:rsid w:val="14DE78BB"/>
    <w:rsid w:val="15C491EA"/>
    <w:rsid w:val="15C79D3B"/>
    <w:rsid w:val="15F2ED2B"/>
    <w:rsid w:val="16077481"/>
    <w:rsid w:val="16394F78"/>
    <w:rsid w:val="164C03CD"/>
    <w:rsid w:val="166A0D66"/>
    <w:rsid w:val="169D995E"/>
    <w:rsid w:val="16BAE8B0"/>
    <w:rsid w:val="16F0A274"/>
    <w:rsid w:val="173FEF16"/>
    <w:rsid w:val="17CD37A3"/>
    <w:rsid w:val="17D0298A"/>
    <w:rsid w:val="17F9196A"/>
    <w:rsid w:val="184B5F22"/>
    <w:rsid w:val="1876C03F"/>
    <w:rsid w:val="18BB9758"/>
    <w:rsid w:val="19000BC9"/>
    <w:rsid w:val="191E5AF9"/>
    <w:rsid w:val="1994BD7C"/>
    <w:rsid w:val="19CA37E8"/>
    <w:rsid w:val="1A7E684C"/>
    <w:rsid w:val="1A8743BA"/>
    <w:rsid w:val="1AE78CA7"/>
    <w:rsid w:val="1B1932FF"/>
    <w:rsid w:val="1B587948"/>
    <w:rsid w:val="1B8EC639"/>
    <w:rsid w:val="1C37103C"/>
    <w:rsid w:val="1C54E0A7"/>
    <w:rsid w:val="1CE2D25F"/>
    <w:rsid w:val="1D4D87D6"/>
    <w:rsid w:val="1D646377"/>
    <w:rsid w:val="1D723C81"/>
    <w:rsid w:val="1D939F5C"/>
    <w:rsid w:val="1DC1E2DD"/>
    <w:rsid w:val="1DFD6FEB"/>
    <w:rsid w:val="1E17064C"/>
    <w:rsid w:val="1E38BA50"/>
    <w:rsid w:val="1E3DBE02"/>
    <w:rsid w:val="1E46B0A9"/>
    <w:rsid w:val="1E840142"/>
    <w:rsid w:val="1EE8F8DD"/>
    <w:rsid w:val="1EEA9689"/>
    <w:rsid w:val="1F12A6BA"/>
    <w:rsid w:val="1F425B42"/>
    <w:rsid w:val="1F705D34"/>
    <w:rsid w:val="1FED2820"/>
    <w:rsid w:val="1FFEB400"/>
    <w:rsid w:val="2019A461"/>
    <w:rsid w:val="20236626"/>
    <w:rsid w:val="207A3EB5"/>
    <w:rsid w:val="2093C702"/>
    <w:rsid w:val="20A1D30E"/>
    <w:rsid w:val="20AA19B1"/>
    <w:rsid w:val="20CBDD1D"/>
    <w:rsid w:val="213B2C5C"/>
    <w:rsid w:val="213B69B1"/>
    <w:rsid w:val="213D57E4"/>
    <w:rsid w:val="214CCDD8"/>
    <w:rsid w:val="2189863D"/>
    <w:rsid w:val="21B08347"/>
    <w:rsid w:val="2269B42F"/>
    <w:rsid w:val="22727D56"/>
    <w:rsid w:val="2283B35F"/>
    <w:rsid w:val="229E18CE"/>
    <w:rsid w:val="229EEAF3"/>
    <w:rsid w:val="22E1A6C5"/>
    <w:rsid w:val="238B913F"/>
    <w:rsid w:val="23923358"/>
    <w:rsid w:val="23C13A62"/>
    <w:rsid w:val="23F6363F"/>
    <w:rsid w:val="24152FE8"/>
    <w:rsid w:val="2417E69B"/>
    <w:rsid w:val="2466C43F"/>
    <w:rsid w:val="24891E81"/>
    <w:rsid w:val="248926A7"/>
    <w:rsid w:val="24D96CAB"/>
    <w:rsid w:val="2516E75C"/>
    <w:rsid w:val="25A7D642"/>
    <w:rsid w:val="2622244A"/>
    <w:rsid w:val="262698EC"/>
    <w:rsid w:val="26721B57"/>
    <w:rsid w:val="267DB4C6"/>
    <w:rsid w:val="26B52065"/>
    <w:rsid w:val="270E83B4"/>
    <w:rsid w:val="27213662"/>
    <w:rsid w:val="273F695E"/>
    <w:rsid w:val="2784A9C1"/>
    <w:rsid w:val="2789E3D4"/>
    <w:rsid w:val="27ACFFDE"/>
    <w:rsid w:val="27EDB937"/>
    <w:rsid w:val="280660A9"/>
    <w:rsid w:val="28067CA3"/>
    <w:rsid w:val="280CA3E7"/>
    <w:rsid w:val="28BACACE"/>
    <w:rsid w:val="28DCFCCB"/>
    <w:rsid w:val="28FE5574"/>
    <w:rsid w:val="29033BE7"/>
    <w:rsid w:val="29459167"/>
    <w:rsid w:val="29553D6E"/>
    <w:rsid w:val="29CE2962"/>
    <w:rsid w:val="29E81C8D"/>
    <w:rsid w:val="2A0A30FC"/>
    <w:rsid w:val="2A1DCDD1"/>
    <w:rsid w:val="2A283DC0"/>
    <w:rsid w:val="2A4EEB51"/>
    <w:rsid w:val="2A78D2B8"/>
    <w:rsid w:val="2AB092D1"/>
    <w:rsid w:val="2AB26A9F"/>
    <w:rsid w:val="2ACE1A74"/>
    <w:rsid w:val="2AEDCAE8"/>
    <w:rsid w:val="2B2E6031"/>
    <w:rsid w:val="2B2F4269"/>
    <w:rsid w:val="2B313CC3"/>
    <w:rsid w:val="2BCF4FC8"/>
    <w:rsid w:val="2BDFB5FC"/>
    <w:rsid w:val="2BE24AD2"/>
    <w:rsid w:val="2C56D600"/>
    <w:rsid w:val="2C90D074"/>
    <w:rsid w:val="2CB72A51"/>
    <w:rsid w:val="2CCC7BE1"/>
    <w:rsid w:val="2E627737"/>
    <w:rsid w:val="2EBF3E18"/>
    <w:rsid w:val="2ED0DBC8"/>
    <w:rsid w:val="2F3E06F8"/>
    <w:rsid w:val="2F43776F"/>
    <w:rsid w:val="2F4703C9"/>
    <w:rsid w:val="2F697CE4"/>
    <w:rsid w:val="2FADA820"/>
    <w:rsid w:val="2FDB67AB"/>
    <w:rsid w:val="2FE04DC9"/>
    <w:rsid w:val="2FFEA6EF"/>
    <w:rsid w:val="30009554"/>
    <w:rsid w:val="3044B9C1"/>
    <w:rsid w:val="30A99540"/>
    <w:rsid w:val="30C42BB4"/>
    <w:rsid w:val="30DB3D3E"/>
    <w:rsid w:val="30EADC86"/>
    <w:rsid w:val="30FDEA99"/>
    <w:rsid w:val="3123019E"/>
    <w:rsid w:val="315771D4"/>
    <w:rsid w:val="319015D6"/>
    <w:rsid w:val="31997424"/>
    <w:rsid w:val="31A885BE"/>
    <w:rsid w:val="31AFC0E5"/>
    <w:rsid w:val="31EB8F4E"/>
    <w:rsid w:val="3241C140"/>
    <w:rsid w:val="326CC023"/>
    <w:rsid w:val="327B860A"/>
    <w:rsid w:val="329FE720"/>
    <w:rsid w:val="32CF3AC6"/>
    <w:rsid w:val="32DFE040"/>
    <w:rsid w:val="33478919"/>
    <w:rsid w:val="33A9B3CC"/>
    <w:rsid w:val="34ACFC9B"/>
    <w:rsid w:val="35415483"/>
    <w:rsid w:val="3552FE5D"/>
    <w:rsid w:val="35947247"/>
    <w:rsid w:val="35C95F92"/>
    <w:rsid w:val="35EB22E1"/>
    <w:rsid w:val="360BDC3E"/>
    <w:rsid w:val="36173136"/>
    <w:rsid w:val="36770833"/>
    <w:rsid w:val="368635A3"/>
    <w:rsid w:val="36C1BA2A"/>
    <w:rsid w:val="36CBD43B"/>
    <w:rsid w:val="36D5FE3A"/>
    <w:rsid w:val="3701C483"/>
    <w:rsid w:val="37BBDFC0"/>
    <w:rsid w:val="37DD7B37"/>
    <w:rsid w:val="380C593D"/>
    <w:rsid w:val="387E57C4"/>
    <w:rsid w:val="38805C6A"/>
    <w:rsid w:val="389C8F40"/>
    <w:rsid w:val="38DB50DE"/>
    <w:rsid w:val="38DCBCC1"/>
    <w:rsid w:val="392A545B"/>
    <w:rsid w:val="393B09A9"/>
    <w:rsid w:val="39AD8349"/>
    <w:rsid w:val="39BD7CA4"/>
    <w:rsid w:val="39C4E0C1"/>
    <w:rsid w:val="39D9A381"/>
    <w:rsid w:val="3AB335EE"/>
    <w:rsid w:val="3ADA8587"/>
    <w:rsid w:val="3B042003"/>
    <w:rsid w:val="3B16A5CA"/>
    <w:rsid w:val="3B1CB2E8"/>
    <w:rsid w:val="3B89839E"/>
    <w:rsid w:val="3BAA11A9"/>
    <w:rsid w:val="3C0E60AF"/>
    <w:rsid w:val="3C0E736A"/>
    <w:rsid w:val="3CE03BED"/>
    <w:rsid w:val="3D29EE9E"/>
    <w:rsid w:val="3D842E9B"/>
    <w:rsid w:val="3DAA3A12"/>
    <w:rsid w:val="3DAEFC0C"/>
    <w:rsid w:val="3E0407D2"/>
    <w:rsid w:val="3E298F1B"/>
    <w:rsid w:val="3E2E4F78"/>
    <w:rsid w:val="3E37EFD4"/>
    <w:rsid w:val="3E6D0691"/>
    <w:rsid w:val="3E8B1735"/>
    <w:rsid w:val="3ECA83AC"/>
    <w:rsid w:val="3F7EDF02"/>
    <w:rsid w:val="3F8FE382"/>
    <w:rsid w:val="3FAB2F13"/>
    <w:rsid w:val="3FFB52E1"/>
    <w:rsid w:val="4003667B"/>
    <w:rsid w:val="400E510E"/>
    <w:rsid w:val="403484AF"/>
    <w:rsid w:val="404504AF"/>
    <w:rsid w:val="404B3005"/>
    <w:rsid w:val="404F1F9E"/>
    <w:rsid w:val="40620B40"/>
    <w:rsid w:val="4097A61B"/>
    <w:rsid w:val="40A96E7B"/>
    <w:rsid w:val="40BFD239"/>
    <w:rsid w:val="40E7C587"/>
    <w:rsid w:val="41038A98"/>
    <w:rsid w:val="419AC890"/>
    <w:rsid w:val="4251E01F"/>
    <w:rsid w:val="426B634C"/>
    <w:rsid w:val="42BB5D3F"/>
    <w:rsid w:val="4333FA8C"/>
    <w:rsid w:val="4335DBC6"/>
    <w:rsid w:val="438697D6"/>
    <w:rsid w:val="43FD43B6"/>
    <w:rsid w:val="44436E6D"/>
    <w:rsid w:val="4547A57E"/>
    <w:rsid w:val="45747630"/>
    <w:rsid w:val="45A436F7"/>
    <w:rsid w:val="45B50E1B"/>
    <w:rsid w:val="45FED49E"/>
    <w:rsid w:val="4604B2FA"/>
    <w:rsid w:val="462F1F3C"/>
    <w:rsid w:val="4636B06B"/>
    <w:rsid w:val="4682C55F"/>
    <w:rsid w:val="46DD020E"/>
    <w:rsid w:val="47075F25"/>
    <w:rsid w:val="471331D4"/>
    <w:rsid w:val="474C80B1"/>
    <w:rsid w:val="475F6961"/>
    <w:rsid w:val="478AD478"/>
    <w:rsid w:val="4794A9E9"/>
    <w:rsid w:val="47D5A737"/>
    <w:rsid w:val="48050B27"/>
    <w:rsid w:val="4844796A"/>
    <w:rsid w:val="4846EBDD"/>
    <w:rsid w:val="489E8596"/>
    <w:rsid w:val="48EDB616"/>
    <w:rsid w:val="492752ED"/>
    <w:rsid w:val="492E35AE"/>
    <w:rsid w:val="49D2FC4A"/>
    <w:rsid w:val="49FBEB41"/>
    <w:rsid w:val="4A4B30F2"/>
    <w:rsid w:val="4B209DA8"/>
    <w:rsid w:val="4B444C85"/>
    <w:rsid w:val="4B4D7238"/>
    <w:rsid w:val="4B69C40C"/>
    <w:rsid w:val="4B87998A"/>
    <w:rsid w:val="4B8A722F"/>
    <w:rsid w:val="4B974E5B"/>
    <w:rsid w:val="4B9A9B19"/>
    <w:rsid w:val="4BA667C7"/>
    <w:rsid w:val="4C0CD764"/>
    <w:rsid w:val="4C52BF11"/>
    <w:rsid w:val="4CE58606"/>
    <w:rsid w:val="4D2816A7"/>
    <w:rsid w:val="4D5BF08C"/>
    <w:rsid w:val="4D5DB842"/>
    <w:rsid w:val="4D768285"/>
    <w:rsid w:val="4D898DA1"/>
    <w:rsid w:val="4DDC3170"/>
    <w:rsid w:val="4DF9058C"/>
    <w:rsid w:val="4E17F972"/>
    <w:rsid w:val="4E6BE6C3"/>
    <w:rsid w:val="4E97314E"/>
    <w:rsid w:val="4EE6535A"/>
    <w:rsid w:val="4F24DF1A"/>
    <w:rsid w:val="4F2DB404"/>
    <w:rsid w:val="4F50D190"/>
    <w:rsid w:val="4F657C5B"/>
    <w:rsid w:val="4F66C5FE"/>
    <w:rsid w:val="4F9352D4"/>
    <w:rsid w:val="4FB0DD48"/>
    <w:rsid w:val="502841B7"/>
    <w:rsid w:val="5060EF2B"/>
    <w:rsid w:val="506BFFFF"/>
    <w:rsid w:val="50AAEE52"/>
    <w:rsid w:val="50D88D7A"/>
    <w:rsid w:val="511FAFDA"/>
    <w:rsid w:val="51F25D09"/>
    <w:rsid w:val="51F2C308"/>
    <w:rsid w:val="52425827"/>
    <w:rsid w:val="52F1762F"/>
    <w:rsid w:val="534F1989"/>
    <w:rsid w:val="53537D72"/>
    <w:rsid w:val="5387F103"/>
    <w:rsid w:val="53BEC783"/>
    <w:rsid w:val="5434DC8A"/>
    <w:rsid w:val="544B24CB"/>
    <w:rsid w:val="547FC93A"/>
    <w:rsid w:val="553DAEC9"/>
    <w:rsid w:val="555A393A"/>
    <w:rsid w:val="55737E3F"/>
    <w:rsid w:val="55B98C22"/>
    <w:rsid w:val="565BC1E0"/>
    <w:rsid w:val="5693555B"/>
    <w:rsid w:val="569DB698"/>
    <w:rsid w:val="56CF0983"/>
    <w:rsid w:val="56DB158F"/>
    <w:rsid w:val="5702244A"/>
    <w:rsid w:val="570B1518"/>
    <w:rsid w:val="57133FBA"/>
    <w:rsid w:val="5806F7CD"/>
    <w:rsid w:val="582481F9"/>
    <w:rsid w:val="5853FD4B"/>
    <w:rsid w:val="58609FE7"/>
    <w:rsid w:val="58FF9DF4"/>
    <w:rsid w:val="59375174"/>
    <w:rsid w:val="59B1C66E"/>
    <w:rsid w:val="59EBC9D3"/>
    <w:rsid w:val="59EE8956"/>
    <w:rsid w:val="5A0B6E75"/>
    <w:rsid w:val="5A764734"/>
    <w:rsid w:val="5A827CF3"/>
    <w:rsid w:val="5AB8DF43"/>
    <w:rsid w:val="5B14C334"/>
    <w:rsid w:val="5B3E1235"/>
    <w:rsid w:val="5BA1A990"/>
    <w:rsid w:val="5BC36DF8"/>
    <w:rsid w:val="5BCC1DCE"/>
    <w:rsid w:val="5BD6B5DF"/>
    <w:rsid w:val="5CD3AB83"/>
    <w:rsid w:val="5CD7F612"/>
    <w:rsid w:val="5CF38B29"/>
    <w:rsid w:val="5D28BF5F"/>
    <w:rsid w:val="5D2BAD34"/>
    <w:rsid w:val="5D610B72"/>
    <w:rsid w:val="5D66F395"/>
    <w:rsid w:val="5D99B7DE"/>
    <w:rsid w:val="5DB3368A"/>
    <w:rsid w:val="5DD3BBA7"/>
    <w:rsid w:val="5E2336ED"/>
    <w:rsid w:val="5E29B284"/>
    <w:rsid w:val="5EA916B5"/>
    <w:rsid w:val="5ED44BD0"/>
    <w:rsid w:val="5F38C855"/>
    <w:rsid w:val="5F8DDA2A"/>
    <w:rsid w:val="5FA1E2DE"/>
    <w:rsid w:val="5FAD1E43"/>
    <w:rsid w:val="5FB01A42"/>
    <w:rsid w:val="5FCA505C"/>
    <w:rsid w:val="5FE2E76C"/>
    <w:rsid w:val="60AA47B1"/>
    <w:rsid w:val="60BB0093"/>
    <w:rsid w:val="614150F8"/>
    <w:rsid w:val="6159C10A"/>
    <w:rsid w:val="6183E674"/>
    <w:rsid w:val="621D9D21"/>
    <w:rsid w:val="62245FF8"/>
    <w:rsid w:val="624B1482"/>
    <w:rsid w:val="6254E24D"/>
    <w:rsid w:val="6264CF76"/>
    <w:rsid w:val="6271D8EB"/>
    <w:rsid w:val="628A61F2"/>
    <w:rsid w:val="62986428"/>
    <w:rsid w:val="62E8090D"/>
    <w:rsid w:val="62EF1D47"/>
    <w:rsid w:val="632761B5"/>
    <w:rsid w:val="643428C9"/>
    <w:rsid w:val="64373B8B"/>
    <w:rsid w:val="64810E07"/>
    <w:rsid w:val="64BC9BD3"/>
    <w:rsid w:val="64E54755"/>
    <w:rsid w:val="64F43341"/>
    <w:rsid w:val="64FDCC24"/>
    <w:rsid w:val="65247933"/>
    <w:rsid w:val="6534FD54"/>
    <w:rsid w:val="6554CE31"/>
    <w:rsid w:val="65696A57"/>
    <w:rsid w:val="6571EED6"/>
    <w:rsid w:val="65C10018"/>
    <w:rsid w:val="66352D2B"/>
    <w:rsid w:val="666649B4"/>
    <w:rsid w:val="668F12E2"/>
    <w:rsid w:val="66A00FCB"/>
    <w:rsid w:val="678C12CC"/>
    <w:rsid w:val="67FB3C14"/>
    <w:rsid w:val="680D21D5"/>
    <w:rsid w:val="6887846E"/>
    <w:rsid w:val="689E9738"/>
    <w:rsid w:val="690A665A"/>
    <w:rsid w:val="694FF437"/>
    <w:rsid w:val="698A9E45"/>
    <w:rsid w:val="69DC6AC5"/>
    <w:rsid w:val="69FCEE51"/>
    <w:rsid w:val="6A26FC51"/>
    <w:rsid w:val="6A6C2D66"/>
    <w:rsid w:val="6AFA108C"/>
    <w:rsid w:val="6AFFB2B9"/>
    <w:rsid w:val="6B1C4C47"/>
    <w:rsid w:val="6B2EE002"/>
    <w:rsid w:val="6B82C4FC"/>
    <w:rsid w:val="6B863392"/>
    <w:rsid w:val="6BA5E3A3"/>
    <w:rsid w:val="6C05FD38"/>
    <w:rsid w:val="6C2841C0"/>
    <w:rsid w:val="6CAA0F03"/>
    <w:rsid w:val="6CCF6E41"/>
    <w:rsid w:val="6CD9FE17"/>
    <w:rsid w:val="6CE7A9F2"/>
    <w:rsid w:val="6D215A06"/>
    <w:rsid w:val="6D2327CB"/>
    <w:rsid w:val="6D36FFAD"/>
    <w:rsid w:val="6D8FC607"/>
    <w:rsid w:val="6DB83C29"/>
    <w:rsid w:val="6DE4960F"/>
    <w:rsid w:val="6DEDC55C"/>
    <w:rsid w:val="6E0E21EB"/>
    <w:rsid w:val="6E75D138"/>
    <w:rsid w:val="6EA6F6CF"/>
    <w:rsid w:val="6EB922EB"/>
    <w:rsid w:val="6EC7E9F3"/>
    <w:rsid w:val="6EEA564C"/>
    <w:rsid w:val="6EF0DB42"/>
    <w:rsid w:val="6F145E77"/>
    <w:rsid w:val="6F3C5008"/>
    <w:rsid w:val="6F6EDC99"/>
    <w:rsid w:val="6F8A56E9"/>
    <w:rsid w:val="6FB86F81"/>
    <w:rsid w:val="6FCA6A5B"/>
    <w:rsid w:val="6FCD7423"/>
    <w:rsid w:val="6FCFC079"/>
    <w:rsid w:val="6FDC9141"/>
    <w:rsid w:val="708C40D5"/>
    <w:rsid w:val="70A52AD3"/>
    <w:rsid w:val="70C052CC"/>
    <w:rsid w:val="70C6657E"/>
    <w:rsid w:val="70E9BB22"/>
    <w:rsid w:val="71464256"/>
    <w:rsid w:val="7146744B"/>
    <w:rsid w:val="714EE970"/>
    <w:rsid w:val="717BB547"/>
    <w:rsid w:val="719B7A93"/>
    <w:rsid w:val="71F26171"/>
    <w:rsid w:val="72B29319"/>
    <w:rsid w:val="731E5548"/>
    <w:rsid w:val="732C2A4B"/>
    <w:rsid w:val="7359FBE3"/>
    <w:rsid w:val="736DF452"/>
    <w:rsid w:val="73716C8A"/>
    <w:rsid w:val="738EBFD5"/>
    <w:rsid w:val="73ADDB15"/>
    <w:rsid w:val="73BA52CC"/>
    <w:rsid w:val="73C767CE"/>
    <w:rsid w:val="73CC240D"/>
    <w:rsid w:val="73F77505"/>
    <w:rsid w:val="74E7EBC4"/>
    <w:rsid w:val="7512A954"/>
    <w:rsid w:val="75624538"/>
    <w:rsid w:val="75B8CC8D"/>
    <w:rsid w:val="75C46497"/>
    <w:rsid w:val="75DEC161"/>
    <w:rsid w:val="75E6D48C"/>
    <w:rsid w:val="763026EC"/>
    <w:rsid w:val="76840E18"/>
    <w:rsid w:val="768A76FC"/>
    <w:rsid w:val="76913FC3"/>
    <w:rsid w:val="76993275"/>
    <w:rsid w:val="76C1804B"/>
    <w:rsid w:val="76E418AC"/>
    <w:rsid w:val="76EE515F"/>
    <w:rsid w:val="77030396"/>
    <w:rsid w:val="7704DB88"/>
    <w:rsid w:val="772FA842"/>
    <w:rsid w:val="7770C6BC"/>
    <w:rsid w:val="779E716F"/>
    <w:rsid w:val="779F5A3B"/>
    <w:rsid w:val="77C7E1C0"/>
    <w:rsid w:val="780ECA0C"/>
    <w:rsid w:val="784A95C8"/>
    <w:rsid w:val="785146FE"/>
    <w:rsid w:val="78B9F8CC"/>
    <w:rsid w:val="796436F1"/>
    <w:rsid w:val="7979F7D7"/>
    <w:rsid w:val="7989E9FE"/>
    <w:rsid w:val="79B1BDCB"/>
    <w:rsid w:val="79C6309E"/>
    <w:rsid w:val="7A2E947A"/>
    <w:rsid w:val="7A3CA135"/>
    <w:rsid w:val="7A4D37A2"/>
    <w:rsid w:val="7A80CAA3"/>
    <w:rsid w:val="7A80D547"/>
    <w:rsid w:val="7A950B02"/>
    <w:rsid w:val="7AAD9CC7"/>
    <w:rsid w:val="7AB4F1D3"/>
    <w:rsid w:val="7AB8E181"/>
    <w:rsid w:val="7AC3FB7E"/>
    <w:rsid w:val="7B2D7785"/>
    <w:rsid w:val="7BA55C8E"/>
    <w:rsid w:val="7BAC25CD"/>
    <w:rsid w:val="7C2C3EDC"/>
    <w:rsid w:val="7C53E383"/>
    <w:rsid w:val="7CAACE35"/>
    <w:rsid w:val="7CC55429"/>
    <w:rsid w:val="7CEFECC7"/>
    <w:rsid w:val="7D1CDCF3"/>
    <w:rsid w:val="7D6D287C"/>
    <w:rsid w:val="7D7BFDD2"/>
    <w:rsid w:val="7DC7D06D"/>
    <w:rsid w:val="7DF09616"/>
    <w:rsid w:val="7E1E81EC"/>
    <w:rsid w:val="7E897C3D"/>
    <w:rsid w:val="7E9B9839"/>
    <w:rsid w:val="7EE15E97"/>
    <w:rsid w:val="7F0FF666"/>
    <w:rsid w:val="7F4BCAD2"/>
    <w:rsid w:val="7F85DF11"/>
    <w:rsid w:val="7FB0145C"/>
    <w:rsid w:val="7FCF99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3DB03E"/>
  <w15:chartTrackingRefBased/>
  <w15:docId w15:val="{60BC5A34-F448-BF47-A5AF-1B1322FF4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872"/>
  </w:style>
  <w:style w:type="paragraph" w:styleId="Heading1">
    <w:name w:val="heading 1"/>
    <w:basedOn w:val="Normal"/>
    <w:next w:val="Normal"/>
    <w:link w:val="Heading1Char"/>
    <w:uiPriority w:val="9"/>
    <w:qFormat/>
    <w:rsid w:val="009878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78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78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878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78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78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78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78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78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8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78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78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878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78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78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78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78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782E"/>
    <w:rPr>
      <w:rFonts w:eastAsiaTheme="majorEastAsia" w:cstheme="majorBidi"/>
      <w:color w:val="272727" w:themeColor="text1" w:themeTint="D8"/>
    </w:rPr>
  </w:style>
  <w:style w:type="paragraph" w:styleId="Title">
    <w:name w:val="Title"/>
    <w:basedOn w:val="Normal"/>
    <w:next w:val="Normal"/>
    <w:link w:val="TitleChar"/>
    <w:uiPriority w:val="10"/>
    <w:qFormat/>
    <w:rsid w:val="009878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7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78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78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782E"/>
    <w:pPr>
      <w:spacing w:before="160"/>
      <w:jc w:val="center"/>
    </w:pPr>
    <w:rPr>
      <w:i/>
      <w:iCs/>
      <w:color w:val="404040" w:themeColor="text1" w:themeTint="BF"/>
    </w:rPr>
  </w:style>
  <w:style w:type="character" w:customStyle="1" w:styleId="QuoteChar">
    <w:name w:val="Quote Char"/>
    <w:basedOn w:val="DefaultParagraphFont"/>
    <w:link w:val="Quote"/>
    <w:uiPriority w:val="29"/>
    <w:rsid w:val="0098782E"/>
    <w:rPr>
      <w:i/>
      <w:iCs/>
      <w:color w:val="404040" w:themeColor="text1" w:themeTint="BF"/>
    </w:rPr>
  </w:style>
  <w:style w:type="paragraph" w:styleId="ListParagraph">
    <w:name w:val="List Paragraph"/>
    <w:basedOn w:val="Normal"/>
    <w:uiPriority w:val="34"/>
    <w:qFormat/>
    <w:rsid w:val="0098782E"/>
    <w:pPr>
      <w:ind w:left="720"/>
      <w:contextualSpacing/>
    </w:pPr>
  </w:style>
  <w:style w:type="character" w:styleId="IntenseEmphasis">
    <w:name w:val="Intense Emphasis"/>
    <w:basedOn w:val="DefaultParagraphFont"/>
    <w:uiPriority w:val="21"/>
    <w:qFormat/>
    <w:rsid w:val="0098782E"/>
    <w:rPr>
      <w:i/>
      <w:iCs/>
      <w:color w:val="0F4761" w:themeColor="accent1" w:themeShade="BF"/>
    </w:rPr>
  </w:style>
  <w:style w:type="paragraph" w:styleId="IntenseQuote">
    <w:name w:val="Intense Quote"/>
    <w:basedOn w:val="Normal"/>
    <w:next w:val="Normal"/>
    <w:link w:val="IntenseQuoteChar"/>
    <w:uiPriority w:val="30"/>
    <w:qFormat/>
    <w:rsid w:val="009878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782E"/>
    <w:rPr>
      <w:i/>
      <w:iCs/>
      <w:color w:val="0F4761" w:themeColor="accent1" w:themeShade="BF"/>
    </w:rPr>
  </w:style>
  <w:style w:type="character" w:styleId="IntenseReference">
    <w:name w:val="Intense Reference"/>
    <w:basedOn w:val="DefaultParagraphFont"/>
    <w:uiPriority w:val="32"/>
    <w:qFormat/>
    <w:rsid w:val="0098782E"/>
    <w:rPr>
      <w:b/>
      <w:bCs/>
      <w:smallCaps/>
      <w:color w:val="0F4761" w:themeColor="accent1" w:themeShade="BF"/>
      <w:spacing w:val="5"/>
    </w:rPr>
  </w:style>
  <w:style w:type="character" w:styleId="Strong">
    <w:name w:val="Strong"/>
    <w:basedOn w:val="DefaultParagraphFont"/>
    <w:uiPriority w:val="22"/>
    <w:qFormat/>
    <w:rsid w:val="0098782E"/>
    <w:rPr>
      <w:b/>
      <w:bCs/>
    </w:rPr>
  </w:style>
  <w:style w:type="character" w:customStyle="1" w:styleId="vkekvd">
    <w:name w:val="vkekvd"/>
    <w:basedOn w:val="DefaultParagraphFont"/>
    <w:rsid w:val="0098782E"/>
  </w:style>
  <w:style w:type="paragraph" w:customStyle="1" w:styleId="df3vjf">
    <w:name w:val="df3vjf"/>
    <w:basedOn w:val="Normal"/>
    <w:rsid w:val="0098782E"/>
    <w:pPr>
      <w:spacing w:before="100" w:beforeAutospacing="1" w:after="100" w:afterAutospacing="1" w:line="240" w:lineRule="auto"/>
    </w:pPr>
    <w:rPr>
      <w:rFonts w:ascii="Times New Roman" w:hAnsi="Times New Roman" w:cs="Times New Roman"/>
      <w:kern w:val="0"/>
      <w14:ligatures w14:val="none"/>
    </w:rPr>
  </w:style>
  <w:style w:type="character" w:customStyle="1" w:styleId="t286pc">
    <w:name w:val="t286pc"/>
    <w:basedOn w:val="DefaultParagraphFont"/>
    <w:rsid w:val="0098782E"/>
  </w:style>
  <w:style w:type="character" w:customStyle="1" w:styleId="ifmvxd">
    <w:name w:val="ifmvxd"/>
    <w:basedOn w:val="DefaultParagraphFont"/>
    <w:rsid w:val="0098782E"/>
  </w:style>
  <w:style w:type="character" w:customStyle="1" w:styleId="ijm6od">
    <w:name w:val="ijm6od"/>
    <w:basedOn w:val="DefaultParagraphFont"/>
    <w:rsid w:val="0098782E"/>
  </w:style>
  <w:style w:type="character" w:styleId="Hyperlink">
    <w:name w:val="Hyperlink"/>
    <w:basedOn w:val="DefaultParagraphFont"/>
    <w:uiPriority w:val="99"/>
    <w:unhideWhenUsed/>
    <w:rsid w:val="2ED0DBC8"/>
    <w:rPr>
      <w:color w:val="467886"/>
      <w:u w:val="single"/>
    </w:rPr>
  </w:style>
  <w:style w:type="paragraph" w:styleId="Header">
    <w:name w:val="header"/>
    <w:basedOn w:val="Normal"/>
    <w:uiPriority w:val="99"/>
    <w:unhideWhenUsed/>
    <w:rsid w:val="2ED0DBC8"/>
    <w:pPr>
      <w:tabs>
        <w:tab w:val="center" w:pos="4680"/>
        <w:tab w:val="right" w:pos="9360"/>
      </w:tabs>
      <w:spacing w:after="0" w:line="240" w:lineRule="auto"/>
    </w:pPr>
  </w:style>
  <w:style w:type="paragraph" w:styleId="Footer">
    <w:name w:val="footer"/>
    <w:basedOn w:val="Normal"/>
    <w:uiPriority w:val="99"/>
    <w:unhideWhenUsed/>
    <w:rsid w:val="2ED0DBC8"/>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9304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93047"/>
    <w:pPr>
      <w:spacing w:after="100"/>
    </w:pPr>
  </w:style>
  <w:style w:type="paragraph" w:styleId="TOC2">
    <w:name w:val="toc 2"/>
    <w:basedOn w:val="Normal"/>
    <w:next w:val="Normal"/>
    <w:autoRedefine/>
    <w:uiPriority w:val="39"/>
    <w:unhideWhenUsed/>
    <w:rsid w:val="00293047"/>
    <w:pPr>
      <w:spacing w:after="100"/>
      <w:ind w:left="240"/>
    </w:pPr>
  </w:style>
  <w:style w:type="paragraph" w:styleId="TOC3">
    <w:name w:val="toc 3"/>
    <w:basedOn w:val="Normal"/>
    <w:next w:val="Normal"/>
    <w:autoRedefine/>
    <w:uiPriority w:val="39"/>
    <w:unhideWhenUsed/>
    <w:rsid w:val="00293047"/>
    <w:pPr>
      <w:spacing w:after="100"/>
      <w:ind w:left="480"/>
    </w:pPr>
  </w:style>
  <w:style w:type="character" w:styleId="UnresolvedMention">
    <w:name w:val="Unresolved Mention"/>
    <w:basedOn w:val="DefaultParagraphFont"/>
    <w:uiPriority w:val="99"/>
    <w:semiHidden/>
    <w:unhideWhenUsed/>
    <w:rsid w:val="00641B7C"/>
    <w:rPr>
      <w:color w:val="605E5C"/>
      <w:shd w:val="clear" w:color="auto" w:fill="E1DFDD"/>
    </w:rPr>
  </w:style>
  <w:style w:type="paragraph" w:styleId="NormalWeb">
    <w:name w:val="Normal (Web)"/>
    <w:basedOn w:val="Normal"/>
    <w:uiPriority w:val="99"/>
    <w:semiHidden/>
    <w:unhideWhenUsed/>
    <w:rsid w:val="0064402C"/>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paragraph" w:styleId="TOC4">
    <w:name w:val="toc 4"/>
    <w:basedOn w:val="Normal"/>
    <w:next w:val="Normal"/>
    <w:autoRedefine/>
    <w:uiPriority w:val="39"/>
    <w:unhideWhenUsed/>
    <w:rsid w:val="00FA1644"/>
    <w:pPr>
      <w:spacing w:after="100"/>
      <w:ind w:left="720"/>
    </w:pPr>
    <w:rPr>
      <w:lang w:eastAsia="zh-CN"/>
    </w:rPr>
  </w:style>
  <w:style w:type="paragraph" w:styleId="TOC5">
    <w:name w:val="toc 5"/>
    <w:basedOn w:val="Normal"/>
    <w:next w:val="Normal"/>
    <w:autoRedefine/>
    <w:uiPriority w:val="39"/>
    <w:unhideWhenUsed/>
    <w:rsid w:val="00FA1644"/>
    <w:pPr>
      <w:spacing w:after="100"/>
      <w:ind w:left="960"/>
    </w:pPr>
    <w:rPr>
      <w:lang w:eastAsia="zh-CN"/>
    </w:rPr>
  </w:style>
  <w:style w:type="paragraph" w:styleId="TOC6">
    <w:name w:val="toc 6"/>
    <w:basedOn w:val="Normal"/>
    <w:next w:val="Normal"/>
    <w:autoRedefine/>
    <w:uiPriority w:val="39"/>
    <w:unhideWhenUsed/>
    <w:rsid w:val="00FA1644"/>
    <w:pPr>
      <w:spacing w:after="100"/>
      <w:ind w:left="1200"/>
    </w:pPr>
    <w:rPr>
      <w:lang w:eastAsia="zh-CN"/>
    </w:rPr>
  </w:style>
  <w:style w:type="paragraph" w:styleId="TOC7">
    <w:name w:val="toc 7"/>
    <w:basedOn w:val="Normal"/>
    <w:next w:val="Normal"/>
    <w:autoRedefine/>
    <w:uiPriority w:val="39"/>
    <w:unhideWhenUsed/>
    <w:rsid w:val="00FA1644"/>
    <w:pPr>
      <w:spacing w:after="100"/>
      <w:ind w:left="1440"/>
    </w:pPr>
    <w:rPr>
      <w:lang w:eastAsia="zh-CN"/>
    </w:rPr>
  </w:style>
  <w:style w:type="paragraph" w:styleId="TOC8">
    <w:name w:val="toc 8"/>
    <w:basedOn w:val="Normal"/>
    <w:next w:val="Normal"/>
    <w:autoRedefine/>
    <w:uiPriority w:val="39"/>
    <w:unhideWhenUsed/>
    <w:rsid w:val="00FA1644"/>
    <w:pPr>
      <w:spacing w:after="100"/>
      <w:ind w:left="1680"/>
    </w:pPr>
    <w:rPr>
      <w:lang w:eastAsia="zh-CN"/>
    </w:rPr>
  </w:style>
  <w:style w:type="paragraph" w:styleId="TOC9">
    <w:name w:val="toc 9"/>
    <w:basedOn w:val="Normal"/>
    <w:next w:val="Normal"/>
    <w:autoRedefine/>
    <w:uiPriority w:val="39"/>
    <w:unhideWhenUsed/>
    <w:rsid w:val="00FA1644"/>
    <w:pPr>
      <w:spacing w:after="100"/>
      <w:ind w:left="1920"/>
    </w:pPr>
    <w:rPr>
      <w:lang w:eastAsia="zh-CN"/>
    </w:rPr>
  </w:style>
  <w:style w:type="paragraph" w:styleId="Revision">
    <w:name w:val="Revision"/>
    <w:hidden/>
    <w:uiPriority w:val="99"/>
    <w:semiHidden/>
    <w:rsid w:val="007D176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hyperlink" Target="https://www.nice.org.uk/guidance/ta924" TargetMode="External"/><Relationship Id="rId3" Type="http://schemas.openxmlformats.org/officeDocument/2006/relationships/customXml" Target="../customXml/item3.xml"/><Relationship Id="rId21" Type="http://schemas.openxmlformats.org/officeDocument/2006/relationships/image" Target="media/image7.png"/><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casp-uk.net/casp-tools-checklist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limness.com.ua/" TargetMode="External"/><Relationship Id="rId20" Type="http://schemas.openxmlformats.org/officeDocument/2006/relationships/customXml" Target="ink/ink1.xml"/><Relationship Id="rId29" Type="http://schemas.openxmlformats.org/officeDocument/2006/relationships/hyperlink" Target="https://openresearch.surrey.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hyperlink" Target="https://www.wma.net/" TargetMode="External"/><Relationship Id="rId10" Type="http://schemas.openxmlformats.org/officeDocument/2006/relationships/endnotes" Target="endnotes.xml"/><Relationship Id="rId19" Type="http://schemas.openxmlformats.org/officeDocument/2006/relationships/hyperlink" Target="https://www.oncall.news/p/a-two-tier-nhs"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hyperlink" Target="https://openresearch.surrey.ac.uk/" TargetMode="External"/><Relationship Id="rId30"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4T14:37:46.618"/>
    </inkml:context>
    <inkml:brush xml:id="br0">
      <inkml:brushProperty name="width" value="0.025" units="cm"/>
      <inkml:brushProperty name="height" value="0.025" units="cm"/>
    </inkml:brush>
  </inkml:definitions>
  <inkml:trace contextRef="#ctx0" brushRef="#br0">1 1 19495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9CED45-7D54-42BB-9F36-F834126232C5}">
  <we:reference id="wa104381727" version="1.0.1.0" store="en-US" storeType="OMEX"/>
  <we:alternateReferences>
    <we:reference id="wa104381727" version="1.0.1.0" store="wa104381727" storeType="OMEX"/>
  </we:alternateReferences>
  <we:properties>
    <we:property name="documentId" value="&quot;cdec0ee460322de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7" ma:contentTypeDescription="Create a new document." ma:contentTypeScope="" ma:versionID="71b4f4b98d2256bb9b029929fe445836">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8987230a5055c31e633a4c2fd98aa04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AutoTags" minOccurs="0"/>
                <xsd:element ref="ns3:MediaLengthInSeconds" minOccurs="0"/>
                <xsd:element ref="ns3:_activity"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OCR" ma:index="2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C304F6-6C4A-4999-B679-58804428B0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C0CCA3-9B84-4BAF-B198-DBE9DB1B55A8}">
  <ds:schemaRefs>
    <ds:schemaRef ds:uri="http://schemas.microsoft.com/sharepoint/v3/contenttype/forms"/>
  </ds:schemaRefs>
</ds:datastoreItem>
</file>

<file path=customXml/itemProps3.xml><?xml version="1.0" encoding="utf-8"?>
<ds:datastoreItem xmlns:ds="http://schemas.openxmlformats.org/officeDocument/2006/customXml" ds:itemID="{C277290B-7682-43BD-8320-3C7F1CE48466}">
  <ds:schemaRefs>
    <ds:schemaRef ds:uri="http://schemas.microsoft.com/office/2006/metadata/properties"/>
    <ds:schemaRef ds:uri="http://schemas.microsoft.com/office/infopath/2007/PartnerControls"/>
    <ds:schemaRef ds:uri="5c225c8a-d58b-4f92-9659-fc93657787ef"/>
  </ds:schemaRefs>
</ds:datastoreItem>
</file>

<file path=customXml/itemProps4.xml><?xml version="1.0" encoding="utf-8"?>
<ds:datastoreItem xmlns:ds="http://schemas.openxmlformats.org/officeDocument/2006/customXml" ds:itemID="{92F9D449-4C62-40BA-8CA2-310D7341C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15713</TotalTime>
  <Pages>72</Pages>
  <Words>18844</Words>
  <Characters>107412</Characters>
  <Application>Microsoft Office Word</Application>
  <DocSecurity>0</DocSecurity>
  <Lines>895</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socikwa69@gmail.com</dc:creator>
  <cp:keywords/>
  <dc:description/>
  <cp:lastModifiedBy>Nomathemba Socikwa (2128581)</cp:lastModifiedBy>
  <cp:revision>1025</cp:revision>
  <dcterms:created xsi:type="dcterms:W3CDTF">2026-04-06T08:34:00Z</dcterms:created>
  <dcterms:modified xsi:type="dcterms:W3CDTF">2026-05-19T19:31:00Z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