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BE88181" w:rsidR="00394EC0" w:rsidRDefault="00B618F1" w:rsidP="00B618F1">
      <w:r>
        <w:rPr>
          <w:noProof/>
        </w:rPr>
        <w:drawing>
          <wp:inline distT="0" distB="0" distL="0" distR="0" wp14:anchorId="4CA1D401" wp14:editId="774EFA62">
            <wp:extent cx="2457450" cy="89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57450" cy="895350"/>
                    </a:xfrm>
                    <a:prstGeom prst="rect">
                      <a:avLst/>
                    </a:prstGeom>
                  </pic:spPr>
                </pic:pic>
              </a:graphicData>
            </a:graphic>
          </wp:inline>
        </w:drawing>
      </w:r>
    </w:p>
    <w:p w14:paraId="43A9A81A" w14:textId="063FC411" w:rsidR="00EB3B88" w:rsidRDefault="00EB3B88" w:rsidP="00EB3B88">
      <w:pPr>
        <w:jc w:val="center"/>
        <w:rPr>
          <w:sz w:val="32"/>
          <w:szCs w:val="32"/>
        </w:rPr>
      </w:pPr>
    </w:p>
    <w:p w14:paraId="2317EBF9" w14:textId="77777777" w:rsidR="00EB3B88" w:rsidRDefault="00EB3B88" w:rsidP="00EB3B88">
      <w:pPr>
        <w:jc w:val="center"/>
        <w:rPr>
          <w:sz w:val="32"/>
          <w:szCs w:val="32"/>
        </w:rPr>
      </w:pPr>
    </w:p>
    <w:p w14:paraId="11BD0E1A" w14:textId="5EA2B573" w:rsidR="00B618F1" w:rsidRPr="00EB3B88" w:rsidRDefault="00B618F1" w:rsidP="00EB3B88">
      <w:pPr>
        <w:jc w:val="center"/>
        <w:rPr>
          <w:sz w:val="32"/>
          <w:szCs w:val="32"/>
        </w:rPr>
      </w:pPr>
      <w:r w:rsidRPr="00EB3B88">
        <w:rPr>
          <w:sz w:val="32"/>
          <w:szCs w:val="32"/>
        </w:rPr>
        <w:t>Programme: BA Business Management</w:t>
      </w:r>
    </w:p>
    <w:p w14:paraId="7E6901F2" w14:textId="77777777" w:rsidR="000F2476" w:rsidRPr="00EB3B88" w:rsidRDefault="000F2476" w:rsidP="00EB3B88">
      <w:pPr>
        <w:jc w:val="center"/>
        <w:rPr>
          <w:color w:val="000000"/>
          <w:sz w:val="32"/>
          <w:szCs w:val="32"/>
        </w:rPr>
      </w:pPr>
      <w:r w:rsidRPr="00EB3B88">
        <w:rPr>
          <w:color w:val="000000"/>
          <w:sz w:val="32"/>
          <w:szCs w:val="32"/>
        </w:rPr>
        <w:t>Module: Academic skills</w:t>
      </w:r>
    </w:p>
    <w:p w14:paraId="7BE909CB" w14:textId="640BB335" w:rsidR="00B618F1" w:rsidRPr="00EB3B88" w:rsidRDefault="000F2476" w:rsidP="00EB3B88">
      <w:pPr>
        <w:jc w:val="center"/>
        <w:rPr>
          <w:sz w:val="32"/>
          <w:szCs w:val="32"/>
        </w:rPr>
      </w:pPr>
      <w:r w:rsidRPr="00EB3B88">
        <w:rPr>
          <w:sz w:val="32"/>
          <w:szCs w:val="32"/>
        </w:rPr>
        <w:t>Module Code: LCBB4006</w:t>
      </w:r>
    </w:p>
    <w:p w14:paraId="2FE6E739" w14:textId="125FC62F" w:rsidR="0037703F" w:rsidRPr="00EB3B88" w:rsidRDefault="0037703F" w:rsidP="00EB3B88">
      <w:pPr>
        <w:jc w:val="center"/>
        <w:rPr>
          <w:color w:val="000000"/>
          <w:sz w:val="32"/>
          <w:szCs w:val="32"/>
        </w:rPr>
      </w:pPr>
      <w:r w:rsidRPr="00EB3B88">
        <w:rPr>
          <w:color w:val="000000"/>
          <w:sz w:val="32"/>
          <w:szCs w:val="32"/>
        </w:rPr>
        <w:t>Lecturer(s):</w:t>
      </w:r>
      <w:r w:rsidR="001C73B3" w:rsidRPr="00EB3B88">
        <w:rPr>
          <w:color w:val="000000"/>
          <w:sz w:val="32"/>
          <w:szCs w:val="32"/>
        </w:rPr>
        <w:t xml:space="preserve"> </w:t>
      </w:r>
      <w:r w:rsidR="00CD0DF7" w:rsidRPr="00EB3B88">
        <w:rPr>
          <w:color w:val="000000"/>
          <w:sz w:val="32"/>
          <w:szCs w:val="32"/>
        </w:rPr>
        <w:t>Lizeta Demetriou</w:t>
      </w:r>
    </w:p>
    <w:p w14:paraId="21E34052" w14:textId="77777777" w:rsidR="007C5077" w:rsidRDefault="005E52B8" w:rsidP="007C5077">
      <w:pPr>
        <w:jc w:val="center"/>
        <w:rPr>
          <w:color w:val="000000"/>
          <w:sz w:val="32"/>
          <w:szCs w:val="32"/>
        </w:rPr>
      </w:pPr>
      <w:r w:rsidRPr="00EB3B88">
        <w:rPr>
          <w:color w:val="000000"/>
          <w:sz w:val="32"/>
          <w:szCs w:val="32"/>
        </w:rPr>
        <w:t>Assignment Title: Academic Skill</w:t>
      </w:r>
      <w:r w:rsidR="007C5077">
        <w:rPr>
          <w:color w:val="000000"/>
          <w:sz w:val="32"/>
          <w:szCs w:val="32"/>
        </w:rPr>
        <w:t>s</w:t>
      </w:r>
    </w:p>
    <w:p w14:paraId="657CE3DE" w14:textId="05EA0A96" w:rsidR="007C5077" w:rsidRDefault="007C5077" w:rsidP="007C5077">
      <w:pPr>
        <w:jc w:val="center"/>
        <w:rPr>
          <w:color w:val="000000"/>
          <w:sz w:val="32"/>
          <w:szCs w:val="32"/>
        </w:rPr>
      </w:pPr>
      <w:r>
        <w:rPr>
          <w:color w:val="000000"/>
          <w:sz w:val="32"/>
          <w:szCs w:val="32"/>
        </w:rPr>
        <w:t>Student Name:</w:t>
      </w:r>
      <w:r w:rsidR="00A32DCB">
        <w:rPr>
          <w:color w:val="000000"/>
          <w:sz w:val="32"/>
          <w:szCs w:val="32"/>
        </w:rPr>
        <w:t xml:space="preserve"> Andrei Julea</w:t>
      </w:r>
    </w:p>
    <w:p w14:paraId="0000000C" w14:textId="2A236836" w:rsidR="00394EC0" w:rsidRPr="007C5077" w:rsidRDefault="007C5077" w:rsidP="007C5077">
      <w:pPr>
        <w:jc w:val="center"/>
        <w:rPr>
          <w:color w:val="000000"/>
          <w:sz w:val="32"/>
          <w:szCs w:val="32"/>
        </w:rPr>
      </w:pPr>
      <w:r>
        <w:rPr>
          <w:color w:val="000000"/>
          <w:sz w:val="32"/>
          <w:szCs w:val="32"/>
        </w:rPr>
        <w:t xml:space="preserve">Student ID: </w:t>
      </w:r>
      <w:r w:rsidR="00A32DCB">
        <w:rPr>
          <w:color w:val="000000"/>
          <w:sz w:val="32"/>
          <w:szCs w:val="32"/>
        </w:rPr>
        <w:t>2133626</w:t>
      </w:r>
      <w:r w:rsidR="008726B0">
        <w:br w:type="page"/>
      </w:r>
    </w:p>
    <w:sdt>
      <w:sdtPr>
        <w:rPr>
          <w:rFonts w:eastAsia="Times New Roman" w:cs="Times New Roman"/>
          <w:b/>
          <w:bCs w:val="0"/>
          <w:sz w:val="24"/>
          <w:szCs w:val="24"/>
          <w:lang w:eastAsia="en-US" w:bidi="bn-BD"/>
        </w:rPr>
        <w:id w:val="533857185"/>
        <w:docPartObj>
          <w:docPartGallery w:val="Table of Contents"/>
          <w:docPartUnique/>
        </w:docPartObj>
      </w:sdtPr>
      <w:sdtEndPr>
        <w:rPr>
          <w:b w:val="0"/>
          <w:noProof/>
        </w:rPr>
      </w:sdtEndPr>
      <w:sdtContent>
        <w:p w14:paraId="31C9C09A" w14:textId="2CB3FC77" w:rsidR="008726B0" w:rsidRDefault="008726B0" w:rsidP="00265F43">
          <w:pPr>
            <w:pStyle w:val="TOCHeading"/>
            <w:jc w:val="center"/>
          </w:pPr>
          <w:r>
            <w:t>Contents</w:t>
          </w:r>
        </w:p>
        <w:p w14:paraId="7E4838D2" w14:textId="5986C09E" w:rsidR="00107E7D" w:rsidRDefault="008726B0">
          <w:pPr>
            <w:pStyle w:val="TOC1"/>
            <w:tabs>
              <w:tab w:val="right" w:leader="dot" w:pos="9350"/>
            </w:tabs>
            <w:rPr>
              <w:rFonts w:asciiTheme="minorHAnsi" w:eastAsiaTheme="minorEastAsia" w:hAnsiTheme="minorHAnsi" w:cstheme="minorBidi"/>
              <w:noProof/>
              <w:sz w:val="22"/>
              <w:szCs w:val="22"/>
              <w:lang w:val="en-GB" w:eastAsia="en-GB" w:bidi="ar-SA"/>
            </w:rPr>
          </w:pPr>
          <w:r>
            <w:fldChar w:fldCharType="begin"/>
          </w:r>
          <w:r>
            <w:instrText xml:space="preserve"> TOC \o "1-3" \h \z \u </w:instrText>
          </w:r>
          <w:r>
            <w:fldChar w:fldCharType="separate"/>
          </w:r>
          <w:hyperlink w:anchor="_Toc120915999" w:history="1">
            <w:r w:rsidR="00107E7D" w:rsidRPr="00F3646B">
              <w:rPr>
                <w:rStyle w:val="Hyperlink"/>
                <w:noProof/>
              </w:rPr>
              <w:t>Introduction</w:t>
            </w:r>
            <w:r w:rsidR="00107E7D">
              <w:rPr>
                <w:noProof/>
                <w:webHidden/>
              </w:rPr>
              <w:tab/>
            </w:r>
            <w:r w:rsidR="00107E7D">
              <w:rPr>
                <w:noProof/>
                <w:webHidden/>
              </w:rPr>
              <w:fldChar w:fldCharType="begin"/>
            </w:r>
            <w:r w:rsidR="00107E7D">
              <w:rPr>
                <w:noProof/>
                <w:webHidden/>
              </w:rPr>
              <w:instrText xml:space="preserve"> PAGEREF _Toc120915999 \h </w:instrText>
            </w:r>
            <w:r w:rsidR="00107E7D">
              <w:rPr>
                <w:noProof/>
                <w:webHidden/>
              </w:rPr>
            </w:r>
            <w:r w:rsidR="00107E7D">
              <w:rPr>
                <w:noProof/>
                <w:webHidden/>
              </w:rPr>
              <w:fldChar w:fldCharType="separate"/>
            </w:r>
            <w:r w:rsidR="00107E7D">
              <w:rPr>
                <w:noProof/>
                <w:webHidden/>
              </w:rPr>
              <w:t>3</w:t>
            </w:r>
            <w:r w:rsidR="00107E7D">
              <w:rPr>
                <w:noProof/>
                <w:webHidden/>
              </w:rPr>
              <w:fldChar w:fldCharType="end"/>
            </w:r>
          </w:hyperlink>
        </w:p>
        <w:p w14:paraId="33B8D31D" w14:textId="13F3C83E"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0" w:history="1">
            <w:r w:rsidR="00107E7D" w:rsidRPr="00F3646B">
              <w:rPr>
                <w:rStyle w:val="Hyperlink"/>
                <w:noProof/>
              </w:rPr>
              <w:t>Reading, writing and reasoning</w:t>
            </w:r>
            <w:r w:rsidR="00107E7D">
              <w:rPr>
                <w:noProof/>
                <w:webHidden/>
              </w:rPr>
              <w:tab/>
            </w:r>
            <w:r w:rsidR="00107E7D">
              <w:rPr>
                <w:noProof/>
                <w:webHidden/>
              </w:rPr>
              <w:fldChar w:fldCharType="begin"/>
            </w:r>
            <w:r w:rsidR="00107E7D">
              <w:rPr>
                <w:noProof/>
                <w:webHidden/>
              </w:rPr>
              <w:instrText xml:space="preserve"> PAGEREF _Toc120916000 \h </w:instrText>
            </w:r>
            <w:r w:rsidR="00107E7D">
              <w:rPr>
                <w:noProof/>
                <w:webHidden/>
              </w:rPr>
            </w:r>
            <w:r w:rsidR="00107E7D">
              <w:rPr>
                <w:noProof/>
                <w:webHidden/>
              </w:rPr>
              <w:fldChar w:fldCharType="separate"/>
            </w:r>
            <w:r w:rsidR="00107E7D">
              <w:rPr>
                <w:noProof/>
                <w:webHidden/>
              </w:rPr>
              <w:t>4</w:t>
            </w:r>
            <w:r w:rsidR="00107E7D">
              <w:rPr>
                <w:noProof/>
                <w:webHidden/>
              </w:rPr>
              <w:fldChar w:fldCharType="end"/>
            </w:r>
          </w:hyperlink>
        </w:p>
        <w:p w14:paraId="5487DF11" w14:textId="318B8112"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1" w:history="1">
            <w:r w:rsidR="00107E7D" w:rsidRPr="00F3646B">
              <w:rPr>
                <w:rStyle w:val="Hyperlink"/>
                <w:noProof/>
              </w:rPr>
              <w:t>Summary of the paper</w:t>
            </w:r>
            <w:r w:rsidR="00107E7D">
              <w:rPr>
                <w:noProof/>
                <w:webHidden/>
              </w:rPr>
              <w:tab/>
            </w:r>
            <w:r w:rsidR="00107E7D">
              <w:rPr>
                <w:noProof/>
                <w:webHidden/>
              </w:rPr>
              <w:fldChar w:fldCharType="begin"/>
            </w:r>
            <w:r w:rsidR="00107E7D">
              <w:rPr>
                <w:noProof/>
                <w:webHidden/>
              </w:rPr>
              <w:instrText xml:space="preserve"> PAGEREF _Toc120916001 \h </w:instrText>
            </w:r>
            <w:r w:rsidR="00107E7D">
              <w:rPr>
                <w:noProof/>
                <w:webHidden/>
              </w:rPr>
            </w:r>
            <w:r w:rsidR="00107E7D">
              <w:rPr>
                <w:noProof/>
                <w:webHidden/>
              </w:rPr>
              <w:fldChar w:fldCharType="separate"/>
            </w:r>
            <w:r w:rsidR="00107E7D">
              <w:rPr>
                <w:noProof/>
                <w:webHidden/>
              </w:rPr>
              <w:t>4</w:t>
            </w:r>
            <w:r w:rsidR="00107E7D">
              <w:rPr>
                <w:noProof/>
                <w:webHidden/>
              </w:rPr>
              <w:fldChar w:fldCharType="end"/>
            </w:r>
          </w:hyperlink>
        </w:p>
        <w:p w14:paraId="7B857FB7" w14:textId="66D450EC"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2" w:history="1">
            <w:r w:rsidR="00107E7D" w:rsidRPr="00F3646B">
              <w:rPr>
                <w:rStyle w:val="Hyperlink"/>
                <w:noProof/>
              </w:rPr>
              <w:t>How these skills will help in the improvement in present situation</w:t>
            </w:r>
            <w:r w:rsidR="00107E7D">
              <w:rPr>
                <w:noProof/>
                <w:webHidden/>
              </w:rPr>
              <w:tab/>
            </w:r>
            <w:r w:rsidR="00107E7D">
              <w:rPr>
                <w:noProof/>
                <w:webHidden/>
              </w:rPr>
              <w:fldChar w:fldCharType="begin"/>
            </w:r>
            <w:r w:rsidR="00107E7D">
              <w:rPr>
                <w:noProof/>
                <w:webHidden/>
              </w:rPr>
              <w:instrText xml:space="preserve"> PAGEREF _Toc120916002 \h </w:instrText>
            </w:r>
            <w:r w:rsidR="00107E7D">
              <w:rPr>
                <w:noProof/>
                <w:webHidden/>
              </w:rPr>
            </w:r>
            <w:r w:rsidR="00107E7D">
              <w:rPr>
                <w:noProof/>
                <w:webHidden/>
              </w:rPr>
              <w:fldChar w:fldCharType="separate"/>
            </w:r>
            <w:r w:rsidR="00107E7D">
              <w:rPr>
                <w:noProof/>
                <w:webHidden/>
              </w:rPr>
              <w:t>5</w:t>
            </w:r>
            <w:r w:rsidR="00107E7D">
              <w:rPr>
                <w:noProof/>
                <w:webHidden/>
              </w:rPr>
              <w:fldChar w:fldCharType="end"/>
            </w:r>
          </w:hyperlink>
        </w:p>
        <w:p w14:paraId="4B8188F0" w14:textId="5D9C02B6"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3" w:history="1">
            <w:r w:rsidR="00107E7D" w:rsidRPr="00F3646B">
              <w:rPr>
                <w:rStyle w:val="Hyperlink"/>
                <w:noProof/>
              </w:rPr>
              <w:t>How these skills will help in future situation</w:t>
            </w:r>
            <w:r w:rsidR="00107E7D">
              <w:rPr>
                <w:noProof/>
                <w:webHidden/>
              </w:rPr>
              <w:tab/>
            </w:r>
            <w:r w:rsidR="00107E7D">
              <w:rPr>
                <w:noProof/>
                <w:webHidden/>
              </w:rPr>
              <w:fldChar w:fldCharType="begin"/>
            </w:r>
            <w:r w:rsidR="00107E7D">
              <w:rPr>
                <w:noProof/>
                <w:webHidden/>
              </w:rPr>
              <w:instrText xml:space="preserve"> PAGEREF _Toc120916003 \h </w:instrText>
            </w:r>
            <w:r w:rsidR="00107E7D">
              <w:rPr>
                <w:noProof/>
                <w:webHidden/>
              </w:rPr>
            </w:r>
            <w:r w:rsidR="00107E7D">
              <w:rPr>
                <w:noProof/>
                <w:webHidden/>
              </w:rPr>
              <w:fldChar w:fldCharType="separate"/>
            </w:r>
            <w:r w:rsidR="00107E7D">
              <w:rPr>
                <w:noProof/>
                <w:webHidden/>
              </w:rPr>
              <w:t>5</w:t>
            </w:r>
            <w:r w:rsidR="00107E7D">
              <w:rPr>
                <w:noProof/>
                <w:webHidden/>
              </w:rPr>
              <w:fldChar w:fldCharType="end"/>
            </w:r>
          </w:hyperlink>
        </w:p>
        <w:p w14:paraId="436F49F6" w14:textId="070FC83B"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4" w:history="1">
            <w:r w:rsidR="00107E7D" w:rsidRPr="00F3646B">
              <w:rPr>
                <w:rStyle w:val="Hyperlink"/>
                <w:noProof/>
              </w:rPr>
              <w:t>My ultimate learning from these sources</w:t>
            </w:r>
            <w:r w:rsidR="00107E7D">
              <w:rPr>
                <w:noProof/>
                <w:webHidden/>
              </w:rPr>
              <w:tab/>
            </w:r>
            <w:r w:rsidR="00107E7D">
              <w:rPr>
                <w:noProof/>
                <w:webHidden/>
              </w:rPr>
              <w:fldChar w:fldCharType="begin"/>
            </w:r>
            <w:r w:rsidR="00107E7D">
              <w:rPr>
                <w:noProof/>
                <w:webHidden/>
              </w:rPr>
              <w:instrText xml:space="preserve"> PAGEREF _Toc120916004 \h </w:instrText>
            </w:r>
            <w:r w:rsidR="00107E7D">
              <w:rPr>
                <w:noProof/>
                <w:webHidden/>
              </w:rPr>
            </w:r>
            <w:r w:rsidR="00107E7D">
              <w:rPr>
                <w:noProof/>
                <w:webHidden/>
              </w:rPr>
              <w:fldChar w:fldCharType="separate"/>
            </w:r>
            <w:r w:rsidR="00107E7D">
              <w:rPr>
                <w:noProof/>
                <w:webHidden/>
              </w:rPr>
              <w:t>6</w:t>
            </w:r>
            <w:r w:rsidR="00107E7D">
              <w:rPr>
                <w:noProof/>
                <w:webHidden/>
              </w:rPr>
              <w:fldChar w:fldCharType="end"/>
            </w:r>
          </w:hyperlink>
        </w:p>
        <w:p w14:paraId="1F7535FD" w14:textId="7DE4C2AF"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5" w:history="1">
            <w:r w:rsidR="00107E7D" w:rsidRPr="00F3646B">
              <w:rPr>
                <w:rStyle w:val="Hyperlink"/>
                <w:noProof/>
              </w:rPr>
              <w:t>Conclusion</w:t>
            </w:r>
            <w:r w:rsidR="00107E7D">
              <w:rPr>
                <w:noProof/>
                <w:webHidden/>
              </w:rPr>
              <w:tab/>
            </w:r>
            <w:r w:rsidR="00107E7D">
              <w:rPr>
                <w:noProof/>
                <w:webHidden/>
              </w:rPr>
              <w:fldChar w:fldCharType="begin"/>
            </w:r>
            <w:r w:rsidR="00107E7D">
              <w:rPr>
                <w:noProof/>
                <w:webHidden/>
              </w:rPr>
              <w:instrText xml:space="preserve"> PAGEREF _Toc120916005 \h </w:instrText>
            </w:r>
            <w:r w:rsidR="00107E7D">
              <w:rPr>
                <w:noProof/>
                <w:webHidden/>
              </w:rPr>
            </w:r>
            <w:r w:rsidR="00107E7D">
              <w:rPr>
                <w:noProof/>
                <w:webHidden/>
              </w:rPr>
              <w:fldChar w:fldCharType="separate"/>
            </w:r>
            <w:r w:rsidR="00107E7D">
              <w:rPr>
                <w:noProof/>
                <w:webHidden/>
              </w:rPr>
              <w:t>7</w:t>
            </w:r>
            <w:r w:rsidR="00107E7D">
              <w:rPr>
                <w:noProof/>
                <w:webHidden/>
              </w:rPr>
              <w:fldChar w:fldCharType="end"/>
            </w:r>
          </w:hyperlink>
        </w:p>
        <w:p w14:paraId="6EA4F9A8" w14:textId="63F66172" w:rsidR="00107E7D" w:rsidRDefault="00000000">
          <w:pPr>
            <w:pStyle w:val="TOC1"/>
            <w:tabs>
              <w:tab w:val="right" w:leader="dot" w:pos="9350"/>
            </w:tabs>
            <w:rPr>
              <w:rFonts w:asciiTheme="minorHAnsi" w:eastAsiaTheme="minorEastAsia" w:hAnsiTheme="minorHAnsi" w:cstheme="minorBidi"/>
              <w:noProof/>
              <w:sz w:val="22"/>
              <w:szCs w:val="22"/>
              <w:lang w:val="en-GB" w:eastAsia="en-GB" w:bidi="ar-SA"/>
            </w:rPr>
          </w:pPr>
          <w:hyperlink w:anchor="_Toc120916006" w:history="1">
            <w:r w:rsidR="00107E7D" w:rsidRPr="00F3646B">
              <w:rPr>
                <w:rStyle w:val="Hyperlink"/>
                <w:noProof/>
              </w:rPr>
              <w:t>References</w:t>
            </w:r>
            <w:r w:rsidR="00107E7D">
              <w:rPr>
                <w:noProof/>
                <w:webHidden/>
              </w:rPr>
              <w:tab/>
            </w:r>
            <w:r w:rsidR="00107E7D">
              <w:rPr>
                <w:noProof/>
                <w:webHidden/>
              </w:rPr>
              <w:fldChar w:fldCharType="begin"/>
            </w:r>
            <w:r w:rsidR="00107E7D">
              <w:rPr>
                <w:noProof/>
                <w:webHidden/>
              </w:rPr>
              <w:instrText xml:space="preserve"> PAGEREF _Toc120916006 \h </w:instrText>
            </w:r>
            <w:r w:rsidR="00107E7D">
              <w:rPr>
                <w:noProof/>
                <w:webHidden/>
              </w:rPr>
            </w:r>
            <w:r w:rsidR="00107E7D">
              <w:rPr>
                <w:noProof/>
                <w:webHidden/>
              </w:rPr>
              <w:fldChar w:fldCharType="separate"/>
            </w:r>
            <w:r w:rsidR="00107E7D">
              <w:rPr>
                <w:noProof/>
                <w:webHidden/>
              </w:rPr>
              <w:t>8</w:t>
            </w:r>
            <w:r w:rsidR="00107E7D">
              <w:rPr>
                <w:noProof/>
                <w:webHidden/>
              </w:rPr>
              <w:fldChar w:fldCharType="end"/>
            </w:r>
          </w:hyperlink>
        </w:p>
        <w:p w14:paraId="23EEAFE2" w14:textId="4A0A9E90" w:rsidR="008726B0" w:rsidRDefault="008726B0">
          <w:r>
            <w:rPr>
              <w:b/>
              <w:bCs/>
              <w:noProof/>
            </w:rPr>
            <w:fldChar w:fldCharType="end"/>
          </w:r>
        </w:p>
      </w:sdtContent>
    </w:sdt>
    <w:p w14:paraId="00000015" w14:textId="77777777" w:rsidR="00394EC0" w:rsidRDefault="00394EC0">
      <w:pPr>
        <w:rPr>
          <w:color w:val="000000"/>
        </w:rPr>
      </w:pPr>
    </w:p>
    <w:p w14:paraId="00000016" w14:textId="77777777" w:rsidR="00394EC0" w:rsidRDefault="008726B0">
      <w:pPr>
        <w:rPr>
          <w:color w:val="000000"/>
        </w:rPr>
      </w:pPr>
      <w:r>
        <w:br w:type="page"/>
      </w:r>
    </w:p>
    <w:p w14:paraId="00000017" w14:textId="77777777" w:rsidR="00394EC0" w:rsidRDefault="008726B0">
      <w:pPr>
        <w:pStyle w:val="Heading1"/>
        <w:rPr>
          <w:rFonts w:eastAsia="Times New Roman" w:cs="Times New Roman"/>
          <w:color w:val="000000"/>
        </w:rPr>
      </w:pPr>
      <w:bookmarkStart w:id="0" w:name="_heading=h.30j0zll" w:colFirst="0" w:colLast="0"/>
      <w:bookmarkStart w:id="1" w:name="_Toc120915999"/>
      <w:bookmarkEnd w:id="0"/>
      <w:r>
        <w:rPr>
          <w:rFonts w:eastAsia="Times New Roman" w:cs="Times New Roman"/>
          <w:color w:val="000000"/>
        </w:rPr>
        <w:lastRenderedPageBreak/>
        <w:t>Introduction</w:t>
      </w:r>
      <w:bookmarkEnd w:id="1"/>
    </w:p>
    <w:p w14:paraId="00000018" w14:textId="77777777" w:rsidR="00394EC0" w:rsidRDefault="008726B0">
      <w:pPr>
        <w:rPr>
          <w:color w:val="000000"/>
        </w:rPr>
      </w:pPr>
      <w:r>
        <w:rPr>
          <w:color w:val="000000"/>
        </w:rPr>
        <w:t xml:space="preserve">Reading, writing and reasoning are the fundamental </w:t>
      </w:r>
      <w:r>
        <w:t>tasks</w:t>
      </w:r>
      <w:r>
        <w:rPr>
          <w:color w:val="000000"/>
        </w:rPr>
        <w:t xml:space="preserve"> of the students. Even for </w:t>
      </w:r>
      <w:r>
        <w:t>an ordinary</w:t>
      </w:r>
      <w:r>
        <w:rPr>
          <w:color w:val="000000"/>
        </w:rPr>
        <w:t xml:space="preserve"> human, such skill is a requirement as it helps in the development of </w:t>
      </w:r>
      <w:r>
        <w:t>people's mindset</w:t>
      </w:r>
      <w:r>
        <w:rPr>
          <w:color w:val="000000"/>
        </w:rPr>
        <w:t xml:space="preserve"> and </w:t>
      </w:r>
      <w:r>
        <w:t>prepares</w:t>
      </w:r>
      <w:r>
        <w:rPr>
          <w:color w:val="000000"/>
        </w:rPr>
        <w:t xml:space="preserve"> them to explore the unexplored part (Axelsson, Lundqvist and Sandberg, 2019). This report is focused on the important academic skills </w:t>
      </w:r>
      <w:r>
        <w:t>including</w:t>
      </w:r>
      <w:r>
        <w:rPr>
          <w:color w:val="000000"/>
        </w:rPr>
        <w:t xml:space="preserve"> reading, writing and reasoning based on the paper “Reading, writing and reasoning: A guide for students”.</w:t>
      </w:r>
    </w:p>
    <w:p w14:paraId="00000019" w14:textId="77777777" w:rsidR="00394EC0" w:rsidRDefault="00394EC0">
      <w:pPr>
        <w:rPr>
          <w:color w:val="000000"/>
        </w:rPr>
      </w:pPr>
    </w:p>
    <w:p w14:paraId="0000001A" w14:textId="77777777" w:rsidR="00394EC0" w:rsidRDefault="00394EC0">
      <w:pPr>
        <w:rPr>
          <w:color w:val="000000"/>
        </w:rPr>
      </w:pPr>
    </w:p>
    <w:p w14:paraId="0000001B" w14:textId="77777777" w:rsidR="00394EC0" w:rsidRDefault="008726B0">
      <w:pPr>
        <w:rPr>
          <w:color w:val="000000"/>
        </w:rPr>
      </w:pPr>
      <w:r>
        <w:br w:type="page"/>
      </w:r>
    </w:p>
    <w:p w14:paraId="0000001C" w14:textId="77777777" w:rsidR="00394EC0" w:rsidRDefault="008726B0">
      <w:pPr>
        <w:pStyle w:val="Heading1"/>
        <w:rPr>
          <w:rFonts w:eastAsia="Times New Roman" w:cs="Times New Roman"/>
          <w:color w:val="000000"/>
        </w:rPr>
      </w:pPr>
      <w:bookmarkStart w:id="2" w:name="_heading=h.1fob9te" w:colFirst="0" w:colLast="0"/>
      <w:bookmarkStart w:id="3" w:name="_Toc120916000"/>
      <w:bookmarkEnd w:id="2"/>
      <w:r>
        <w:rPr>
          <w:rFonts w:eastAsia="Times New Roman" w:cs="Times New Roman"/>
          <w:color w:val="000000"/>
        </w:rPr>
        <w:lastRenderedPageBreak/>
        <w:t>Reading, writing and reasoning</w:t>
      </w:r>
      <w:bookmarkEnd w:id="3"/>
    </w:p>
    <w:p w14:paraId="0000001D" w14:textId="77777777" w:rsidR="00394EC0" w:rsidRDefault="008726B0">
      <w:pPr>
        <w:rPr>
          <w:color w:val="000000"/>
        </w:rPr>
      </w:pPr>
      <w:r>
        <w:rPr>
          <w:color w:val="000000"/>
        </w:rPr>
        <w:t xml:space="preserve">Reading is the process of looking at written symbols and getting proper meaning and knowledge from them. Whereas writing is defined as the act of forming visible </w:t>
      </w:r>
      <w:r>
        <w:t>letters</w:t>
      </w:r>
      <w:r>
        <w:rPr>
          <w:color w:val="000000"/>
        </w:rPr>
        <w:t xml:space="preserve"> or characters. Both of these skills are meant to give meaning to something. Reason is defined by Faiebairn and Winch (2011) that it is the coherent </w:t>
      </w:r>
      <w:r>
        <w:t>way</w:t>
      </w:r>
      <w:r>
        <w:rPr>
          <w:color w:val="000000"/>
        </w:rPr>
        <w:t xml:space="preserve"> of thinking so that arguments that are presented in writing are constructed persuasively and rationally. Many studies also found </w:t>
      </w:r>
      <w:r>
        <w:t>that there</w:t>
      </w:r>
      <w:r>
        <w:rPr>
          <w:color w:val="000000"/>
        </w:rPr>
        <w:t xml:space="preserve"> is a good interrelation between these three things. More specifically saying, reading and writing are directly related to each other where both of these are highly </w:t>
      </w:r>
      <w:r>
        <w:t>influenced</w:t>
      </w:r>
      <w:r>
        <w:rPr>
          <w:color w:val="000000"/>
        </w:rPr>
        <w:t xml:space="preserve"> by reasoning ability. Abidin et al. (2020) conducted experiments on the students in order to increase their mathematical reasoning and explored that there is a high correlation with the reasoning ability and becoming skilled at mathematics. </w:t>
      </w:r>
    </w:p>
    <w:p w14:paraId="0000001E" w14:textId="77777777" w:rsidR="00394EC0" w:rsidRDefault="008726B0">
      <w:pPr>
        <w:pStyle w:val="Heading1"/>
        <w:rPr>
          <w:rFonts w:eastAsia="Times New Roman" w:cs="Times New Roman"/>
          <w:color w:val="000000"/>
        </w:rPr>
      </w:pPr>
      <w:bookmarkStart w:id="4" w:name="_heading=h.3znysh7" w:colFirst="0" w:colLast="0"/>
      <w:bookmarkStart w:id="5" w:name="_Toc120916001"/>
      <w:bookmarkEnd w:id="4"/>
      <w:r>
        <w:rPr>
          <w:rFonts w:eastAsia="Times New Roman" w:cs="Times New Roman"/>
          <w:color w:val="000000"/>
        </w:rPr>
        <w:t>Summary of the paper</w:t>
      </w:r>
      <w:bookmarkEnd w:id="5"/>
    </w:p>
    <w:p w14:paraId="0000001F" w14:textId="77777777" w:rsidR="00394EC0" w:rsidRDefault="008726B0">
      <w:pPr>
        <w:rPr>
          <w:color w:val="000000"/>
        </w:rPr>
      </w:pPr>
      <w:r>
        <w:rPr>
          <w:color w:val="000000"/>
        </w:rPr>
        <w:t xml:space="preserve">Intelligent persons often </w:t>
      </w:r>
      <w:r>
        <w:t>lack the serious</w:t>
      </w:r>
      <w:r>
        <w:rPr>
          <w:color w:val="000000"/>
        </w:rPr>
        <w:t xml:space="preserve"> skill of proper writing and reading abilities and it </w:t>
      </w:r>
      <w:r>
        <w:t>sometimes</w:t>
      </w:r>
      <w:r>
        <w:rPr>
          <w:color w:val="000000"/>
        </w:rPr>
        <w:t xml:space="preserve"> hampers their communication </w:t>
      </w:r>
      <w:r>
        <w:t>skills</w:t>
      </w:r>
      <w:r>
        <w:rPr>
          <w:color w:val="000000"/>
        </w:rPr>
        <w:t xml:space="preserve"> to share things in an efficient manner. The study conducted by Faiebairn and Winch (2011) depicted that the lack of success often raises serious questions about whether these people with serious lack in reasoning are often getting negative </w:t>
      </w:r>
      <w:r>
        <w:t>results</w:t>
      </w:r>
      <w:r>
        <w:rPr>
          <w:color w:val="000000"/>
        </w:rPr>
        <w:t xml:space="preserve"> in both their professional and general life. For academic report or assignment writing, the constructive ways of writing and </w:t>
      </w:r>
      <w:r>
        <w:t>reading are so important</w:t>
      </w:r>
      <w:r>
        <w:rPr>
          <w:color w:val="000000"/>
        </w:rPr>
        <w:t xml:space="preserve"> that it is later </w:t>
      </w:r>
      <w:r>
        <w:t>given</w:t>
      </w:r>
      <w:r>
        <w:rPr>
          <w:color w:val="000000"/>
        </w:rPr>
        <w:t xml:space="preserve"> more importance if someone switches to academic life or </w:t>
      </w:r>
      <w:r>
        <w:t>conducts</w:t>
      </w:r>
      <w:r>
        <w:rPr>
          <w:color w:val="000000"/>
        </w:rPr>
        <w:t xml:space="preserve"> various researches (Berbegal‐Mirabent, 2013). Reasoning helps in strengthening the depth of writing that often becomes reliable in the scientific community. Moreover, constructive writing means to follow the scientific writing pattern in </w:t>
      </w:r>
      <w:r>
        <w:t>expressing something</w:t>
      </w:r>
      <w:r>
        <w:rPr>
          <w:color w:val="000000"/>
        </w:rPr>
        <w:t xml:space="preserve">. Again in this perspective, Faiebairn and Winch (2011) said that university </w:t>
      </w:r>
      <w:r>
        <w:t>graduates</w:t>
      </w:r>
      <w:r>
        <w:rPr>
          <w:color w:val="000000"/>
        </w:rPr>
        <w:t xml:space="preserve"> should work in their higher degrees focusing mainly on the academic writing and reading for quality materials to be published that will </w:t>
      </w:r>
      <w:r>
        <w:t>have a significant</w:t>
      </w:r>
      <w:r>
        <w:rPr>
          <w:color w:val="000000"/>
        </w:rPr>
        <w:t xml:space="preserve"> impact on the scientific community. One study conducted on the first grade of primary school that testified </w:t>
      </w:r>
      <w:r>
        <w:t>that children</w:t>
      </w:r>
      <w:r>
        <w:rPr>
          <w:color w:val="000000"/>
        </w:rPr>
        <w:t xml:space="preserve"> with viable writing speed and sentence construction tend to have more intellectual and creative writing ability than the others. In this case, the following research says </w:t>
      </w:r>
      <w:r>
        <w:t>that particular</w:t>
      </w:r>
      <w:r>
        <w:rPr>
          <w:color w:val="000000"/>
        </w:rPr>
        <w:t xml:space="preserve"> readership requires to be </w:t>
      </w:r>
      <w:r>
        <w:t>analyzed</w:t>
      </w:r>
      <w:r>
        <w:rPr>
          <w:color w:val="000000"/>
        </w:rPr>
        <w:t xml:space="preserve"> using different types of essays namely distractive, </w:t>
      </w:r>
      <w:r>
        <w:t>discursive</w:t>
      </w:r>
      <w:r>
        <w:rPr>
          <w:color w:val="000000"/>
        </w:rPr>
        <w:t xml:space="preserve"> and evaluative. </w:t>
      </w:r>
      <w:r>
        <w:t>Readership needs</w:t>
      </w:r>
      <w:r>
        <w:rPr>
          <w:color w:val="000000"/>
        </w:rPr>
        <w:t xml:space="preserve"> clarity, coherence and structure in their writing as it helps in </w:t>
      </w:r>
      <w:r>
        <w:rPr>
          <w:color w:val="000000"/>
        </w:rPr>
        <w:lastRenderedPageBreak/>
        <w:t xml:space="preserve">developing the skills of using proper punctuation, choice of words and </w:t>
      </w:r>
      <w:r>
        <w:t>creating</w:t>
      </w:r>
      <w:r>
        <w:rPr>
          <w:color w:val="000000"/>
        </w:rPr>
        <w:t xml:space="preserve"> logical meaning (Kaur Mehar Singh, 2019). This is crucial for persuasive writing. The authors of the study suggested that, generous but industrial approach is significantly important for reading and writing as it </w:t>
      </w:r>
      <w:r>
        <w:t>involves an adversarial</w:t>
      </w:r>
      <w:r>
        <w:rPr>
          <w:color w:val="000000"/>
        </w:rPr>
        <w:t xml:space="preserve"> approach. </w:t>
      </w:r>
    </w:p>
    <w:p w14:paraId="00000020" w14:textId="77777777" w:rsidR="00394EC0" w:rsidRDefault="008726B0">
      <w:pPr>
        <w:pStyle w:val="Heading1"/>
        <w:rPr>
          <w:rFonts w:eastAsia="Times New Roman" w:cs="Times New Roman"/>
          <w:color w:val="000000"/>
        </w:rPr>
      </w:pPr>
      <w:bookmarkStart w:id="6" w:name="_heading=h.2et92p0" w:colFirst="0" w:colLast="0"/>
      <w:bookmarkStart w:id="7" w:name="_Toc120916002"/>
      <w:bookmarkEnd w:id="6"/>
      <w:r>
        <w:rPr>
          <w:rFonts w:eastAsia="Times New Roman" w:cs="Times New Roman"/>
          <w:color w:val="000000"/>
        </w:rPr>
        <w:t>How these skills will help in the improvement in present situation</w:t>
      </w:r>
      <w:bookmarkEnd w:id="7"/>
    </w:p>
    <w:p w14:paraId="00000021" w14:textId="77777777" w:rsidR="00394EC0" w:rsidRDefault="008726B0">
      <w:pPr>
        <w:rPr>
          <w:color w:val="000000"/>
        </w:rPr>
      </w:pPr>
      <w:r>
        <w:rPr>
          <w:color w:val="000000"/>
        </w:rPr>
        <w:t xml:space="preserve">Reading and writing will significantly help in achieving vocabulary and sentence construction skills. It increases the memorization power as reading </w:t>
      </w:r>
      <w:r>
        <w:t>helps the brain</w:t>
      </w:r>
      <w:r>
        <w:rPr>
          <w:color w:val="000000"/>
        </w:rPr>
        <w:t xml:space="preserve"> to be trained for catching words and important </w:t>
      </w:r>
      <w:r>
        <w:t>sentence</w:t>
      </w:r>
      <w:r>
        <w:rPr>
          <w:color w:val="000000"/>
        </w:rPr>
        <w:t xml:space="preserve"> </w:t>
      </w:r>
      <w:r>
        <w:t>meanings</w:t>
      </w:r>
      <w:r>
        <w:rPr>
          <w:color w:val="000000"/>
        </w:rPr>
        <w:t xml:space="preserve">. Faiebairn and Winch (2011) said in their book in the part of “writing as a student” that writing is all about expressing the inner feelings of an individual which </w:t>
      </w:r>
      <w:r>
        <w:t>requires a high</w:t>
      </w:r>
      <w:r>
        <w:rPr>
          <w:color w:val="000000"/>
        </w:rPr>
        <w:t xml:space="preserve"> level of reading ability as constructive writing requires a lot of information to be used as the source of writing indication. Moreover, creative </w:t>
      </w:r>
      <w:r>
        <w:t>writing</w:t>
      </w:r>
      <w:r>
        <w:rPr>
          <w:color w:val="000000"/>
        </w:rPr>
        <w:t xml:space="preserve"> is not only about writing newer and fictitious things. It is derived from other people’s lifestyle, history, culture, events or even from dreams (Cosgrove, 2021). For this purpose, catching such things </w:t>
      </w:r>
      <w:r>
        <w:t>is</w:t>
      </w:r>
      <w:r>
        <w:rPr>
          <w:color w:val="000000"/>
        </w:rPr>
        <w:t xml:space="preserve"> only properly possible in case of accurate writing and reading </w:t>
      </w:r>
      <w:r>
        <w:t>habits</w:t>
      </w:r>
      <w:r>
        <w:rPr>
          <w:color w:val="000000"/>
        </w:rPr>
        <w:t xml:space="preserve">. Reasoning only adds the breach of continuation in the reading and writing. Even academic students need time to develop their reasoning ability let alone implementing in their writing and reading ability stated by Pazeto et al. (2020). Present situation is the most significant time for developing such abilities because by time it will get more improved and strengthen their ability to the professional level. </w:t>
      </w:r>
    </w:p>
    <w:p w14:paraId="00000022" w14:textId="77777777" w:rsidR="00394EC0" w:rsidRDefault="008726B0">
      <w:pPr>
        <w:pStyle w:val="Heading1"/>
        <w:rPr>
          <w:rFonts w:eastAsia="Times New Roman" w:cs="Times New Roman"/>
          <w:color w:val="000000"/>
        </w:rPr>
      </w:pPr>
      <w:bookmarkStart w:id="8" w:name="_heading=h.tyjcwt" w:colFirst="0" w:colLast="0"/>
      <w:bookmarkStart w:id="9" w:name="_Toc120916003"/>
      <w:bookmarkEnd w:id="8"/>
      <w:r>
        <w:rPr>
          <w:rFonts w:eastAsia="Times New Roman" w:cs="Times New Roman"/>
          <w:color w:val="000000"/>
        </w:rPr>
        <w:t>How these skills will help in future situation</w:t>
      </w:r>
      <w:bookmarkEnd w:id="9"/>
    </w:p>
    <w:p w14:paraId="00000023" w14:textId="77777777" w:rsidR="00394EC0" w:rsidRDefault="008726B0">
      <w:pPr>
        <w:rPr>
          <w:color w:val="000000"/>
        </w:rPr>
      </w:pPr>
      <w:r>
        <w:rPr>
          <w:color w:val="000000"/>
        </w:rPr>
        <w:t xml:space="preserve">Reading as a student includes various steps. For example </w:t>
      </w:r>
      <w:r>
        <w:t>it contains</w:t>
      </w:r>
      <w:r>
        <w:rPr>
          <w:color w:val="000000"/>
        </w:rPr>
        <w:t xml:space="preserve"> the steps like first meaning the written texts that are relevant to the type of work any student is doing or will do in future. </w:t>
      </w:r>
      <w:r>
        <w:t>In the future</w:t>
      </w:r>
      <w:r>
        <w:rPr>
          <w:color w:val="000000"/>
        </w:rPr>
        <w:t xml:space="preserve">, reading will help students to be </w:t>
      </w:r>
      <w:r>
        <w:t>more research</w:t>
      </w:r>
      <w:r>
        <w:rPr>
          <w:color w:val="000000"/>
        </w:rPr>
        <w:t xml:space="preserve"> oriented as reading other papers will excite them to do their own on the </w:t>
      </w:r>
      <w:r>
        <w:t>interesting</w:t>
      </w:r>
      <w:r>
        <w:rPr>
          <w:color w:val="000000"/>
        </w:rPr>
        <w:t xml:space="preserve"> topic. In this case, Faiebairn and Winch (2011) suggested that the reading habit may begin from finding relevant literature and students will be taking notes on such </w:t>
      </w:r>
      <w:r>
        <w:t>topics</w:t>
      </w:r>
      <w:r>
        <w:rPr>
          <w:color w:val="000000"/>
        </w:rPr>
        <w:t xml:space="preserve"> to design their own. </w:t>
      </w:r>
      <w:r>
        <w:t>In the case</w:t>
      </w:r>
      <w:r>
        <w:rPr>
          <w:color w:val="000000"/>
        </w:rPr>
        <w:t xml:space="preserve"> of writing, they mentioned in their book “Reading, Writing and Reasoning: A guide for students” </w:t>
      </w:r>
      <w:r>
        <w:t>in the</w:t>
      </w:r>
      <w:r>
        <w:rPr>
          <w:color w:val="000000"/>
        </w:rPr>
        <w:t xml:space="preserve"> section of “writing as a student” that it begins with writing simple essays and the students don’t even know the difference between the report and essays. But over time, future curiosity helps these students to find their </w:t>
      </w:r>
      <w:r>
        <w:rPr>
          <w:color w:val="000000"/>
        </w:rPr>
        <w:lastRenderedPageBreak/>
        <w:t xml:space="preserve">own writing pattern and correct their mistakes so that the academic and research oriented writings are improved over time. </w:t>
      </w:r>
    </w:p>
    <w:p w14:paraId="00000024" w14:textId="77777777" w:rsidR="00394EC0" w:rsidRDefault="008726B0">
      <w:pPr>
        <w:pStyle w:val="Heading1"/>
        <w:rPr>
          <w:rFonts w:eastAsia="Times New Roman" w:cs="Times New Roman"/>
          <w:color w:val="000000"/>
        </w:rPr>
      </w:pPr>
      <w:bookmarkStart w:id="10" w:name="_heading=h.3dy6vkm" w:colFirst="0" w:colLast="0"/>
      <w:bookmarkStart w:id="11" w:name="_Toc120916004"/>
      <w:bookmarkEnd w:id="10"/>
      <w:r>
        <w:rPr>
          <w:rFonts w:eastAsia="Times New Roman" w:cs="Times New Roman"/>
          <w:color w:val="000000"/>
        </w:rPr>
        <w:t>My ultimate learning from these sources</w:t>
      </w:r>
      <w:bookmarkEnd w:id="11"/>
    </w:p>
    <w:p w14:paraId="00000025" w14:textId="77777777" w:rsidR="00394EC0" w:rsidRDefault="008726B0">
      <w:pPr>
        <w:rPr>
          <w:color w:val="000000"/>
        </w:rPr>
      </w:pPr>
      <w:r>
        <w:rPr>
          <w:color w:val="000000"/>
        </w:rPr>
        <w:t xml:space="preserve">From this book, I primarily learned about the proper definition of reading, writing and reasoning which are commonly uncommon to many students. The authors mentioned in a part of their book that there is a serious issue going out there </w:t>
      </w:r>
      <w:r>
        <w:t>which is the</w:t>
      </w:r>
      <w:r>
        <w:rPr>
          <w:color w:val="000000"/>
        </w:rPr>
        <w:t xml:space="preserve"> lack of proper reading and writing knowledge. There are students out there who </w:t>
      </w:r>
      <w:r>
        <w:t>don't</w:t>
      </w:r>
      <w:r>
        <w:rPr>
          <w:color w:val="000000"/>
        </w:rPr>
        <w:t xml:space="preserve"> </w:t>
      </w:r>
      <w:r>
        <w:t>have a good</w:t>
      </w:r>
      <w:r>
        <w:rPr>
          <w:color w:val="000000"/>
        </w:rPr>
        <w:t xml:space="preserve"> understanding of the constructive writing or reading which they are doing in their everyday life. The authors showed concern about the present and future situation of these things. Although, the corrective actions are also mentioned in the book. I came to learn </w:t>
      </w:r>
      <w:r>
        <w:t>that proper</w:t>
      </w:r>
      <w:r>
        <w:rPr>
          <w:color w:val="000000"/>
        </w:rPr>
        <w:t xml:space="preserve"> writing practice is a must with all the formal and systematic writing styles. Future researchers are also crucial for such issues as reading and writing are key abilities of any student or ordinary human being. After the reading and writing abilities, the writers mentioned another key term which is </w:t>
      </w:r>
      <w:r>
        <w:t>called reasoning</w:t>
      </w:r>
      <w:r>
        <w:rPr>
          <w:color w:val="000000"/>
        </w:rPr>
        <w:t xml:space="preserve">. As mentioned in the above summary of the paper, I came to know that previous </w:t>
      </w:r>
      <w:r>
        <w:t>research</w:t>
      </w:r>
      <w:r>
        <w:rPr>
          <w:color w:val="000000"/>
        </w:rPr>
        <w:t xml:space="preserve"> </w:t>
      </w:r>
      <w:r>
        <w:t>was</w:t>
      </w:r>
      <w:r>
        <w:rPr>
          <w:color w:val="000000"/>
        </w:rPr>
        <w:t xml:space="preserve"> conducted on addressing the issue </w:t>
      </w:r>
      <w:r>
        <w:t>of</w:t>
      </w:r>
      <w:r>
        <w:rPr>
          <w:color w:val="000000"/>
        </w:rPr>
        <w:t xml:space="preserve"> how creative writing and reading abilities are developed among students. One of the studies suggested </w:t>
      </w:r>
      <w:r>
        <w:t>that reasoning</w:t>
      </w:r>
      <w:r>
        <w:rPr>
          <w:color w:val="000000"/>
        </w:rPr>
        <w:t xml:space="preserve"> works as a bridge in between reading and writing as it helps to increase the reasoning power of the brain along with the technical abilities (Calzavara et al., 2019). I understood how critical reasoning can be used in the writing that may lead to the development of </w:t>
      </w:r>
      <w:r>
        <w:t>groundbreaking</w:t>
      </w:r>
      <w:r>
        <w:rPr>
          <w:color w:val="000000"/>
        </w:rPr>
        <w:t xml:space="preserve"> papers like “theory of relativity” written by Albert Einstein or the “theory of gravity” written by Newton (Joanna Pawliczak, 2015). The base starts from the early childhood from the preliminary schooling and </w:t>
      </w:r>
      <w:r>
        <w:t>is</w:t>
      </w:r>
      <w:r>
        <w:rPr>
          <w:color w:val="000000"/>
        </w:rPr>
        <w:t xml:space="preserve"> well-furnished </w:t>
      </w:r>
      <w:r>
        <w:t>after college</w:t>
      </w:r>
      <w:r>
        <w:rPr>
          <w:color w:val="000000"/>
        </w:rPr>
        <w:t xml:space="preserve">. So this paper has significantly increased my reading, writing and reasoning ability. </w:t>
      </w:r>
    </w:p>
    <w:p w14:paraId="00000026" w14:textId="77777777" w:rsidR="00394EC0" w:rsidRDefault="008726B0">
      <w:pPr>
        <w:rPr>
          <w:color w:val="000000"/>
        </w:rPr>
      </w:pPr>
      <w:r>
        <w:br w:type="page"/>
      </w:r>
    </w:p>
    <w:p w14:paraId="00000027" w14:textId="77777777" w:rsidR="00394EC0" w:rsidRDefault="008726B0">
      <w:pPr>
        <w:pStyle w:val="Heading1"/>
        <w:rPr>
          <w:rFonts w:eastAsia="Times New Roman" w:cs="Times New Roman"/>
          <w:color w:val="000000"/>
        </w:rPr>
      </w:pPr>
      <w:bookmarkStart w:id="12" w:name="_heading=h.1t3h5sf" w:colFirst="0" w:colLast="0"/>
      <w:bookmarkStart w:id="13" w:name="_Toc120916005"/>
      <w:bookmarkEnd w:id="12"/>
      <w:r>
        <w:rPr>
          <w:rFonts w:eastAsia="Times New Roman" w:cs="Times New Roman"/>
          <w:color w:val="000000"/>
        </w:rPr>
        <w:lastRenderedPageBreak/>
        <w:t>Conclusion</w:t>
      </w:r>
      <w:bookmarkEnd w:id="13"/>
      <w:r>
        <w:rPr>
          <w:rFonts w:eastAsia="Times New Roman" w:cs="Times New Roman"/>
          <w:color w:val="000000"/>
        </w:rPr>
        <w:t xml:space="preserve"> </w:t>
      </w:r>
    </w:p>
    <w:p w14:paraId="00000028" w14:textId="77777777" w:rsidR="00394EC0" w:rsidRDefault="008726B0">
      <w:pPr>
        <w:rPr>
          <w:color w:val="000000"/>
        </w:rPr>
      </w:pPr>
      <w:r>
        <w:rPr>
          <w:color w:val="000000"/>
        </w:rPr>
        <w:t xml:space="preserve">The ability of reading, writing and reasoning is crucial and is considered as some of the key abilities that students should develop for increasing effectiveness and efficiency in both academic and professional life. These skills significantly impact both the present and future education qualities along </w:t>
      </w:r>
      <w:r>
        <w:t>with the student's</w:t>
      </w:r>
      <w:r>
        <w:rPr>
          <w:color w:val="000000"/>
        </w:rPr>
        <w:t xml:space="preserve"> direction to research and creative writing that may bring </w:t>
      </w:r>
      <w:r>
        <w:t>groundbreaking</w:t>
      </w:r>
      <w:r>
        <w:rPr>
          <w:color w:val="000000"/>
        </w:rPr>
        <w:t xml:space="preserve"> output </w:t>
      </w:r>
      <w:r>
        <w:t>from</w:t>
      </w:r>
      <w:r>
        <w:rPr>
          <w:color w:val="000000"/>
        </w:rPr>
        <w:t xml:space="preserve"> the potential writers. Eventually, the best writers, researchers and key personnel are produced via achieving the reading, writing and reasoning abilities (Sadiku, 2015). </w:t>
      </w:r>
    </w:p>
    <w:p w14:paraId="00000029" w14:textId="77777777" w:rsidR="00394EC0" w:rsidRDefault="008726B0">
      <w:pPr>
        <w:rPr>
          <w:color w:val="000000"/>
        </w:rPr>
      </w:pPr>
      <w:r>
        <w:br w:type="page"/>
      </w:r>
    </w:p>
    <w:p w14:paraId="0000002A" w14:textId="77777777" w:rsidR="00394EC0" w:rsidRDefault="008726B0">
      <w:pPr>
        <w:pStyle w:val="Heading1"/>
        <w:rPr>
          <w:rFonts w:eastAsia="Times New Roman" w:cs="Times New Roman"/>
          <w:color w:val="000000"/>
        </w:rPr>
      </w:pPr>
      <w:bookmarkStart w:id="14" w:name="_Toc120916006"/>
      <w:r>
        <w:rPr>
          <w:rFonts w:eastAsia="Times New Roman" w:cs="Times New Roman"/>
          <w:color w:val="000000"/>
        </w:rPr>
        <w:lastRenderedPageBreak/>
        <w:t>References</w:t>
      </w:r>
      <w:bookmarkEnd w:id="14"/>
    </w:p>
    <w:p w14:paraId="0000002B" w14:textId="77777777" w:rsidR="00394EC0" w:rsidRDefault="008726B0" w:rsidP="00384046">
      <w:pPr>
        <w:spacing w:before="240"/>
      </w:pPr>
      <w:r>
        <w:t xml:space="preserve">Abidin, Z., Utomo, A.C., Pratiwi, V. and Farokhah, L. (2020). PROJECT-BASED LEARNING - LITERACY IN IMPROVING STUDENTS’ MATHEMATICAL REASONING ABILITIES IN ELEMENTARY SCHOOLS. </w:t>
      </w:r>
      <w:r>
        <w:rPr>
          <w:i/>
        </w:rPr>
        <w:t>JMIE (Journal of Madrasah Ibtidaiyah Education)</w:t>
      </w:r>
      <w:r>
        <w:t>, 4(1), p.39. doi:</w:t>
      </w:r>
      <w:hyperlink r:id="rId7">
        <w:r>
          <w:rPr>
            <w:u w:val="single"/>
          </w:rPr>
          <w:t>10.32934/jmie.v4i1.170</w:t>
        </w:r>
      </w:hyperlink>
      <w:r>
        <w:t>.</w:t>
      </w:r>
    </w:p>
    <w:p w14:paraId="0000002C" w14:textId="77777777" w:rsidR="00394EC0" w:rsidRDefault="008726B0" w:rsidP="00384046">
      <w:pPr>
        <w:spacing w:before="240"/>
      </w:pPr>
      <w:r>
        <w:t xml:space="preserve">Axelsson, A., Lundqvist, J. and Sandberg, G. (2019). Influential factors on children’s reading and writing development: the perspective of parents in a Swedish context. </w:t>
      </w:r>
      <w:r>
        <w:rPr>
          <w:i/>
        </w:rPr>
        <w:t>Early Child Development and Care</w:t>
      </w:r>
      <w:r>
        <w:t>, 190(16), pp.1–13. doi:</w:t>
      </w:r>
      <w:hyperlink r:id="rId8">
        <w:r>
          <w:rPr>
            <w:u w:val="single"/>
          </w:rPr>
          <w:t>10.1080/03004430.2019.1590348</w:t>
        </w:r>
      </w:hyperlink>
      <w:r>
        <w:t>.</w:t>
      </w:r>
    </w:p>
    <w:p w14:paraId="0000002D" w14:textId="77777777" w:rsidR="00394EC0" w:rsidRDefault="008726B0" w:rsidP="00384046">
      <w:pPr>
        <w:spacing w:before="240"/>
      </w:pPr>
      <w:r>
        <w:t xml:space="preserve">Berbegal‐Mirabent, J. (2013). Doing Research in Business and Management: An Essential Guide to Planning Your Project20131Mark Saunders and Philip Lewis. Doing Research in Business and Management: An Essential Guide to Planning Your Project. Harlow: Pearson Education 2012. 233 pp., ISBN: 978‐0‐273‐72641‐8 (paperback). </w:t>
      </w:r>
      <w:r>
        <w:rPr>
          <w:i/>
        </w:rPr>
        <w:t>Management Decision</w:t>
      </w:r>
      <w:r>
        <w:t>, 51(6), pp.1311–1316. doi:</w:t>
      </w:r>
      <w:hyperlink r:id="rId9">
        <w:r>
          <w:rPr>
            <w:u w:val="single"/>
          </w:rPr>
          <w:t>10.1108/md-06-2012-0505</w:t>
        </w:r>
      </w:hyperlink>
      <w:r>
        <w:t>.</w:t>
      </w:r>
    </w:p>
    <w:p w14:paraId="0000002E" w14:textId="77777777" w:rsidR="00394EC0" w:rsidRDefault="008726B0" w:rsidP="00384046">
      <w:pPr>
        <w:spacing w:before="240"/>
      </w:pPr>
      <w:r>
        <w:t xml:space="preserve">Calzavara, M., Battini, D., Bogataj, D., Sgarbossa, F. and Zennaro, I. (2019). Aging workforce management in manufacturing systems: state of the art and future research agenda. </w:t>
      </w:r>
      <w:r>
        <w:rPr>
          <w:i/>
        </w:rPr>
        <w:t>International Journal of Production Research</w:t>
      </w:r>
      <w:r>
        <w:t>, 58(3), pp.729–747. doi:</w:t>
      </w:r>
      <w:hyperlink r:id="rId10">
        <w:r>
          <w:rPr>
            <w:u w:val="single"/>
          </w:rPr>
          <w:t>10.1080/00207543.2019.1600759</w:t>
        </w:r>
      </w:hyperlink>
      <w:r>
        <w:t>.</w:t>
      </w:r>
    </w:p>
    <w:p w14:paraId="0000002F" w14:textId="77777777" w:rsidR="00394EC0" w:rsidRDefault="008726B0" w:rsidP="00384046">
      <w:pPr>
        <w:spacing w:before="240"/>
      </w:pPr>
      <w:r>
        <w:t xml:space="preserve">Cosgrove, S.E. (2021). Liminality and process: strategies for the creative writing classroom. </w:t>
      </w:r>
      <w:r>
        <w:rPr>
          <w:i/>
        </w:rPr>
        <w:t>New Writing</w:t>
      </w:r>
      <w:r>
        <w:t>, pp.1–9. doi:</w:t>
      </w:r>
      <w:hyperlink r:id="rId11">
        <w:r>
          <w:rPr>
            <w:u w:val="single"/>
          </w:rPr>
          <w:t>10.1080/14790726.2020.1855201</w:t>
        </w:r>
      </w:hyperlink>
      <w:r>
        <w:t>.</w:t>
      </w:r>
    </w:p>
    <w:p w14:paraId="00000030" w14:textId="77777777" w:rsidR="00394EC0" w:rsidRDefault="008726B0" w:rsidP="00384046">
      <w:pPr>
        <w:spacing w:before="240"/>
      </w:pPr>
      <w:r>
        <w:t xml:space="preserve">Fairbairn, G.J. and Winch, C. (2011). </w:t>
      </w:r>
      <w:r>
        <w:rPr>
          <w:i/>
        </w:rPr>
        <w:t>Reading, writing and reasoning : a guide for students Gavin J. Fairbairn, Christopher Winch.</w:t>
      </w:r>
      <w:r>
        <w:t xml:space="preserve"> Buckingham: Open University Press.</w:t>
      </w:r>
    </w:p>
    <w:p w14:paraId="00000031" w14:textId="77777777" w:rsidR="00394EC0" w:rsidRDefault="008726B0" w:rsidP="00384046">
      <w:pPr>
        <w:spacing w:before="240"/>
      </w:pPr>
      <w:r>
        <w:t xml:space="preserve">Joanna Pawliczak (2015). Creative Writing as a Best Way to Improve Writing Skills of Students. </w:t>
      </w:r>
      <w:r>
        <w:rPr>
          <w:i/>
        </w:rPr>
        <w:t>Sino-US English Teaching</w:t>
      </w:r>
      <w:r>
        <w:t>, 12(5). doi:</w:t>
      </w:r>
      <w:hyperlink r:id="rId12">
        <w:r>
          <w:rPr>
            <w:u w:val="single"/>
          </w:rPr>
          <w:t>10.17265/1539-8072/2015.05.004</w:t>
        </w:r>
      </w:hyperlink>
      <w:r>
        <w:t>.</w:t>
      </w:r>
    </w:p>
    <w:p w14:paraId="00000032" w14:textId="77777777" w:rsidR="00394EC0" w:rsidRDefault="008726B0" w:rsidP="00384046">
      <w:pPr>
        <w:spacing w:before="240"/>
      </w:pPr>
      <w:r>
        <w:t xml:space="preserve">Kaur Mehar Singh, M. (2019). Academic Reading and Writing Challenges Among International EFL Master’s Students in a Malaysian University. </w:t>
      </w:r>
      <w:r>
        <w:rPr>
          <w:i/>
        </w:rPr>
        <w:t>Journal of International Students</w:t>
      </w:r>
      <w:r>
        <w:t>, 9(4), pp.972–992. doi:</w:t>
      </w:r>
      <w:hyperlink r:id="rId13">
        <w:r>
          <w:rPr>
            <w:u w:val="single"/>
          </w:rPr>
          <w:t>10.32674/jis.v9i3.934</w:t>
        </w:r>
      </w:hyperlink>
      <w:r>
        <w:t>.</w:t>
      </w:r>
    </w:p>
    <w:p w14:paraId="00000033" w14:textId="77777777" w:rsidR="00394EC0" w:rsidRDefault="008726B0" w:rsidP="00384046">
      <w:pPr>
        <w:spacing w:before="240"/>
      </w:pPr>
      <w:r>
        <w:lastRenderedPageBreak/>
        <w:t xml:space="preserve">Pazeto, T. de C.B., Dias, N.M., Gomes, C.M.A. and Seabra, A.G. (2020). Prediction of Reading and Writing in Elementary Education through Early Childhood Education. </w:t>
      </w:r>
      <w:r>
        <w:rPr>
          <w:i/>
        </w:rPr>
        <w:t>Psicologia: Ciência e Profissão</w:t>
      </w:r>
      <w:r>
        <w:t>, [online] 40. doi:</w:t>
      </w:r>
      <w:hyperlink r:id="rId14">
        <w:r>
          <w:rPr>
            <w:u w:val="single"/>
          </w:rPr>
          <w:t>10.1590/1982-3703003205497</w:t>
        </w:r>
      </w:hyperlink>
      <w:r>
        <w:t>.</w:t>
      </w:r>
    </w:p>
    <w:p w14:paraId="00000034" w14:textId="77777777" w:rsidR="00394EC0" w:rsidRDefault="008726B0" w:rsidP="00384046">
      <w:pPr>
        <w:spacing w:before="240"/>
      </w:pPr>
      <w:r>
        <w:t xml:space="preserve">Sadiku, L.M. (2015). The Importance of Four Skills Reading, Speaking, Writing, Listening in a Lesson Hour. </w:t>
      </w:r>
      <w:r>
        <w:rPr>
          <w:i/>
        </w:rPr>
        <w:t>European Journal of Language and Literature</w:t>
      </w:r>
      <w:r>
        <w:t>, 1(1), p.29. doi:</w:t>
      </w:r>
      <w:hyperlink r:id="rId15">
        <w:r>
          <w:rPr>
            <w:u w:val="single"/>
          </w:rPr>
          <w:t>10.26417/ejls.v1i1.p29-31</w:t>
        </w:r>
      </w:hyperlink>
      <w:r>
        <w:t>.</w:t>
      </w:r>
    </w:p>
    <w:p w14:paraId="00000035" w14:textId="77777777" w:rsidR="00394EC0" w:rsidRDefault="00394EC0" w:rsidP="00384046">
      <w:pPr>
        <w:spacing w:before="240"/>
      </w:pPr>
    </w:p>
    <w:sectPr w:rsidR="00394EC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EC0"/>
    <w:rsid w:val="000F2476"/>
    <w:rsid w:val="00107E7D"/>
    <w:rsid w:val="001A08BC"/>
    <w:rsid w:val="001C73B3"/>
    <w:rsid w:val="0020445F"/>
    <w:rsid w:val="00265F43"/>
    <w:rsid w:val="002B3FD9"/>
    <w:rsid w:val="0037703F"/>
    <w:rsid w:val="00384046"/>
    <w:rsid w:val="00394EC0"/>
    <w:rsid w:val="003B0A52"/>
    <w:rsid w:val="004362E5"/>
    <w:rsid w:val="005E52B8"/>
    <w:rsid w:val="006F0B5D"/>
    <w:rsid w:val="007C5077"/>
    <w:rsid w:val="007E31F3"/>
    <w:rsid w:val="008726B0"/>
    <w:rsid w:val="00993A9C"/>
    <w:rsid w:val="00A32DCB"/>
    <w:rsid w:val="00B618F1"/>
    <w:rsid w:val="00CA2958"/>
    <w:rsid w:val="00CD0DF7"/>
    <w:rsid w:val="00EB3B88"/>
    <w:rsid w:val="00F112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AA10F"/>
  <w15:docId w15:val="{BE710C2C-04F1-4FF4-8C24-F2DCCB2BF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bn-BD"/>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8BC"/>
    <w:pPr>
      <w:keepNext/>
      <w:keepLines/>
      <w:spacing w:before="480" w:after="0"/>
      <w:outlineLvl w:val="0"/>
    </w:pPr>
    <w:rPr>
      <w:rFonts w:eastAsiaTheme="majorEastAsia" w:cstheme="majorBidi"/>
      <w:bCs/>
      <w:sz w:val="32"/>
      <w:szCs w:val="35"/>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1A08BC"/>
    <w:rPr>
      <w:rFonts w:eastAsiaTheme="majorEastAsia" w:cstheme="majorBidi"/>
      <w:bCs/>
      <w:sz w:val="32"/>
      <w:szCs w:val="35"/>
    </w:rPr>
  </w:style>
  <w:style w:type="paragraph" w:styleId="TOCHeading">
    <w:name w:val="TOC Heading"/>
    <w:basedOn w:val="Heading1"/>
    <w:next w:val="Normal"/>
    <w:uiPriority w:val="39"/>
    <w:semiHidden/>
    <w:unhideWhenUsed/>
    <w:qFormat/>
    <w:rsid w:val="000C2CB7"/>
    <w:pPr>
      <w:spacing w:line="276" w:lineRule="auto"/>
      <w:jc w:val="left"/>
      <w:outlineLvl w:val="9"/>
    </w:pPr>
    <w:rPr>
      <w:szCs w:val="28"/>
      <w:lang w:eastAsia="ja-JP" w:bidi="ar-SA"/>
    </w:rPr>
  </w:style>
  <w:style w:type="paragraph" w:styleId="TOC1">
    <w:name w:val="toc 1"/>
    <w:basedOn w:val="Normal"/>
    <w:next w:val="Normal"/>
    <w:autoRedefine/>
    <w:uiPriority w:val="39"/>
    <w:unhideWhenUsed/>
    <w:rsid w:val="000C2CB7"/>
    <w:pPr>
      <w:spacing w:after="100"/>
    </w:pPr>
  </w:style>
  <w:style w:type="character" w:styleId="Hyperlink">
    <w:name w:val="Hyperlink"/>
    <w:basedOn w:val="DefaultParagraphFont"/>
    <w:uiPriority w:val="99"/>
    <w:unhideWhenUsed/>
    <w:rsid w:val="000C2CB7"/>
    <w:rPr>
      <w:color w:val="0000FF" w:themeColor="hyperlink"/>
      <w:u w:val="single"/>
    </w:rPr>
  </w:style>
  <w:style w:type="paragraph" w:styleId="BalloonText">
    <w:name w:val="Balloon Text"/>
    <w:basedOn w:val="Normal"/>
    <w:link w:val="BalloonTextChar"/>
    <w:uiPriority w:val="99"/>
    <w:semiHidden/>
    <w:unhideWhenUsed/>
    <w:rsid w:val="000C2CB7"/>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sid w:val="000C2CB7"/>
    <w:rPr>
      <w:rFonts w:ascii="Tahoma" w:hAnsi="Tahoma" w:cs="Tahoma"/>
      <w:sz w:val="1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JzqyXtC4BLoYmsQzAMPAWEWDYg==">AMUW2mXFtUR85wL7i0gS+ZhQttZZQJxbWgacINTLfOIlobKB0O0Hcx+ipRuwZMrg/5u8OMXgJyKIOos3DkNj/1zUKq2MYZkkyw/GltuZvWekoutznnA55j/GJcPaXwWkoFD6n+NSSC0wi18+BUSrm1BcGWOfxlIQCRcUtDsiO4fWpOSrOt+9hV0C0uDJ3wBtoJEEU08IvlO1DmIgnU0MHZXXWrurJQUFtaxiJLy03/V17BodAldAnZs=</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8B6B6DC-B112-41EC-941E-279ACF26B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Julea (2133626)</cp:lastModifiedBy>
  <cp:revision>3</cp:revision>
  <dcterms:created xsi:type="dcterms:W3CDTF">2022-12-02T17:26:00Z</dcterms:created>
  <dcterms:modified xsi:type="dcterms:W3CDTF">2022-12-02T18:23:00Z</dcterms:modified>
</cp:coreProperties>
</file>