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00EC1" w14:textId="5B45824D" w:rsidR="00CB1822" w:rsidRDefault="00544211" w:rsidP="00544211">
      <w:pPr>
        <w:pStyle w:val="Heading1"/>
        <w:jc w:val="center"/>
      </w:pPr>
      <w:r>
        <w:t>Chapter 4 – Findings and Discussion Template</w:t>
      </w:r>
    </w:p>
    <w:p w14:paraId="1E575950" w14:textId="77777777" w:rsidR="00544211" w:rsidRDefault="00544211" w:rsidP="00544211"/>
    <w:p w14:paraId="71E8352E" w14:textId="46EF6A47" w:rsidR="00FA04E0" w:rsidRPr="001924CB" w:rsidRDefault="00FA04E0" w:rsidP="00A22F62">
      <w:pPr>
        <w:rPr>
          <w:rFonts w:ascii="Arial" w:hAnsi="Arial" w:cs="Arial"/>
          <w:b/>
          <w:bCs/>
          <w:sz w:val="24"/>
          <w:szCs w:val="24"/>
        </w:rPr>
      </w:pPr>
      <w:r w:rsidRPr="001924CB">
        <w:rPr>
          <w:rFonts w:ascii="Arial" w:hAnsi="Arial" w:cs="Arial"/>
          <w:b/>
          <w:bCs/>
          <w:sz w:val="24"/>
          <w:szCs w:val="24"/>
        </w:rPr>
        <w:t xml:space="preserve">4.1 – Chapter Introduction </w:t>
      </w:r>
    </w:p>
    <w:p w14:paraId="588A2F7F" w14:textId="2F85EA58" w:rsidR="00F90297" w:rsidRPr="00F90297" w:rsidRDefault="003A186E" w:rsidP="0018642B">
      <w:pPr>
        <w:rPr>
          <w:rFonts w:ascii="Arial" w:hAnsi="Arial" w:cs="Arial"/>
        </w:rPr>
      </w:pPr>
      <w:r w:rsidRPr="00A22F62">
        <w:rPr>
          <w:rFonts w:ascii="Arial" w:hAnsi="Arial" w:cs="Arial"/>
        </w:rPr>
        <w:t xml:space="preserve">This chapter critically examines the enduring psychological consequences of childhood sexual abuse (CSA) as individuals transition into adulthood. It </w:t>
      </w:r>
      <w:r w:rsidR="004F5A01" w:rsidRPr="00A22F62">
        <w:rPr>
          <w:rFonts w:ascii="Arial" w:hAnsi="Arial" w:cs="Arial"/>
        </w:rPr>
        <w:t>synthesises</w:t>
      </w:r>
      <w:r w:rsidRPr="00A22F62">
        <w:rPr>
          <w:rFonts w:ascii="Arial" w:hAnsi="Arial" w:cs="Arial"/>
        </w:rPr>
        <w:t xml:space="preserve"> existing empirical research to identify prevalent psychological disturbances, such as post-traumatic stress disorder (PTSD), depression, anxiety, and emotional dysregulation</w:t>
      </w:r>
      <w:r w:rsidR="003A29B8">
        <w:rPr>
          <w:rFonts w:ascii="Arial" w:hAnsi="Arial" w:cs="Arial"/>
        </w:rPr>
        <w:t xml:space="preserve"> </w:t>
      </w:r>
      <w:r w:rsidR="003A29B8" w:rsidRPr="003A29B8">
        <w:rPr>
          <w:rFonts w:ascii="Arial" w:hAnsi="Arial" w:cs="Arial"/>
        </w:rPr>
        <w:t xml:space="preserve">(Akinyemi </w:t>
      </w:r>
      <w:r w:rsidR="003A29B8" w:rsidRPr="002F5D68">
        <w:rPr>
          <w:rFonts w:ascii="Arial" w:hAnsi="Arial" w:cs="Arial"/>
          <w:i/>
          <w:iCs/>
        </w:rPr>
        <w:t>et al</w:t>
      </w:r>
      <w:r w:rsidR="003A29B8" w:rsidRPr="003A29B8">
        <w:rPr>
          <w:rFonts w:ascii="Arial" w:hAnsi="Arial" w:cs="Arial"/>
        </w:rPr>
        <w:t>., 2025)</w:t>
      </w:r>
      <w:r w:rsidR="003A29B8">
        <w:rPr>
          <w:rFonts w:ascii="Arial" w:hAnsi="Arial" w:cs="Arial"/>
        </w:rPr>
        <w:t>.</w:t>
      </w:r>
      <w:r w:rsidRPr="00A22F62">
        <w:rPr>
          <w:rFonts w:ascii="Arial" w:hAnsi="Arial" w:cs="Arial"/>
        </w:rPr>
        <w:t xml:space="preserve"> These themes were derived through a thematic analysis of secondary sources, providing a nuanced understanding of their development and persistence over time</w:t>
      </w:r>
      <w:r w:rsidR="00EB73AE">
        <w:rPr>
          <w:rFonts w:ascii="Arial" w:hAnsi="Arial" w:cs="Arial"/>
        </w:rPr>
        <w:t xml:space="preserve"> </w:t>
      </w:r>
      <w:r w:rsidR="00EB73AE" w:rsidRPr="00EB73AE">
        <w:rPr>
          <w:rFonts w:ascii="Arial" w:hAnsi="Arial" w:cs="Arial"/>
        </w:rPr>
        <w:t xml:space="preserve">(Naeem </w:t>
      </w:r>
      <w:r w:rsidR="00EB73AE" w:rsidRPr="002F5D68">
        <w:rPr>
          <w:rFonts w:ascii="Arial" w:hAnsi="Arial" w:cs="Arial"/>
          <w:i/>
          <w:iCs/>
        </w:rPr>
        <w:t>et al</w:t>
      </w:r>
      <w:r w:rsidR="00EB73AE" w:rsidRPr="00EB73AE">
        <w:rPr>
          <w:rFonts w:ascii="Arial" w:hAnsi="Arial" w:cs="Arial"/>
        </w:rPr>
        <w:t>., 2023)</w:t>
      </w:r>
      <w:r w:rsidR="00EB73AE">
        <w:rPr>
          <w:rFonts w:ascii="Arial" w:hAnsi="Arial" w:cs="Arial"/>
        </w:rPr>
        <w:t xml:space="preserve">. </w:t>
      </w:r>
      <w:r w:rsidRPr="00A22F62">
        <w:rPr>
          <w:rFonts w:ascii="Arial" w:hAnsi="Arial" w:cs="Arial"/>
        </w:rPr>
        <w:t>The chapter further explores how these enduring effects influence adult mental health, daily functioning, and the broader landscape of therapeutic intervention.</w:t>
      </w:r>
      <w:r w:rsidR="00F90297">
        <w:rPr>
          <w:rFonts w:ascii="Arial" w:hAnsi="Arial" w:cs="Arial"/>
        </w:rPr>
        <w:t xml:space="preserve"> </w:t>
      </w:r>
      <w:r w:rsidR="009C6138">
        <w:rPr>
          <w:rFonts w:ascii="Arial" w:hAnsi="Arial" w:cs="Arial"/>
        </w:rPr>
        <w:t xml:space="preserve">It also </w:t>
      </w:r>
      <w:r w:rsidR="00613D65">
        <w:rPr>
          <w:rFonts w:ascii="Arial" w:hAnsi="Arial" w:cs="Arial"/>
        </w:rPr>
        <w:t xml:space="preserve">examines how these long-term effects </w:t>
      </w:r>
      <w:r w:rsidR="00747336">
        <w:rPr>
          <w:rFonts w:ascii="Arial" w:hAnsi="Arial" w:cs="Arial"/>
        </w:rPr>
        <w:t>impact adult mental health, daily functioning, and therapeutic outcomes</w:t>
      </w:r>
      <w:r w:rsidR="00613D65">
        <w:rPr>
          <w:rFonts w:ascii="Arial" w:hAnsi="Arial" w:cs="Arial"/>
        </w:rPr>
        <w:t>. It highlights the overlap and frequent co-occurrence of these psychological responses, showing the complex and multifaceted ways CSA influences adult mental health issues</w:t>
      </w:r>
      <w:r w:rsidR="002E34CF">
        <w:rPr>
          <w:rFonts w:ascii="Arial" w:hAnsi="Arial" w:cs="Arial"/>
        </w:rPr>
        <w:t xml:space="preserve"> </w:t>
      </w:r>
      <w:r w:rsidR="002E34CF" w:rsidRPr="002E34CF">
        <w:rPr>
          <w:rFonts w:ascii="Arial" w:hAnsi="Arial" w:cs="Arial"/>
        </w:rPr>
        <w:t>(IICSA, 2019)</w:t>
      </w:r>
      <w:r w:rsidR="002E34CF">
        <w:rPr>
          <w:rFonts w:ascii="Arial" w:hAnsi="Arial" w:cs="Arial"/>
        </w:rPr>
        <w:t>.</w:t>
      </w:r>
    </w:p>
    <w:p w14:paraId="3EF66F1A" w14:textId="3FC26382" w:rsidR="00FA04E0" w:rsidRPr="001924CB" w:rsidRDefault="00FA04E0" w:rsidP="00A22F62">
      <w:pPr>
        <w:rPr>
          <w:rFonts w:ascii="Arial" w:hAnsi="Arial" w:cs="Arial"/>
          <w:b/>
          <w:bCs/>
          <w:sz w:val="24"/>
          <w:szCs w:val="24"/>
        </w:rPr>
      </w:pPr>
      <w:r w:rsidRPr="001924CB">
        <w:rPr>
          <w:rFonts w:ascii="Arial" w:hAnsi="Arial" w:cs="Arial"/>
          <w:b/>
          <w:bCs/>
          <w:sz w:val="24"/>
          <w:szCs w:val="24"/>
        </w:rPr>
        <w:t xml:space="preserve"> 4.2 – Thematic Analysis </w:t>
      </w:r>
    </w:p>
    <w:p w14:paraId="2381CD0D" w14:textId="694799F8" w:rsidR="00FA04E0" w:rsidRDefault="00C8354B" w:rsidP="0018642B">
      <w:pPr>
        <w:rPr>
          <w:rFonts w:ascii="Arial" w:hAnsi="Arial" w:cs="Arial"/>
        </w:rPr>
      </w:pPr>
      <w:r w:rsidRPr="00A22F62">
        <w:rPr>
          <w:rFonts w:ascii="Arial" w:hAnsi="Arial" w:cs="Arial"/>
        </w:rPr>
        <w:t>Thematic analysis is a widely used qualitative research method that facilitates the identification and interpretation of recurring patterns or themes within a dataset</w:t>
      </w:r>
      <w:r w:rsidR="001D6972" w:rsidRPr="00A22F62">
        <w:rPr>
          <w:rFonts w:ascii="Arial" w:hAnsi="Arial" w:cs="Arial"/>
        </w:rPr>
        <w:t xml:space="preserve"> (Terry </w:t>
      </w:r>
      <w:r w:rsidR="001D6972" w:rsidRPr="00532B25">
        <w:rPr>
          <w:rFonts w:ascii="Arial" w:hAnsi="Arial" w:cs="Arial"/>
          <w:i/>
          <w:iCs/>
        </w:rPr>
        <w:t>et al</w:t>
      </w:r>
      <w:r w:rsidR="001D6972" w:rsidRPr="00A22F62">
        <w:rPr>
          <w:rFonts w:ascii="Arial" w:hAnsi="Arial" w:cs="Arial"/>
        </w:rPr>
        <w:t xml:space="preserve">., 2017). </w:t>
      </w:r>
      <w:r w:rsidRPr="00A22F62">
        <w:rPr>
          <w:rFonts w:ascii="Arial" w:hAnsi="Arial" w:cs="Arial"/>
        </w:rPr>
        <w:t>In this study, an extensive review of existing scholarly literature was conducted to elucidate the long-term mental health consequences associated with childhood sexual abuse</w:t>
      </w:r>
      <w:r w:rsidR="001C6606">
        <w:rPr>
          <w:rFonts w:ascii="Arial" w:hAnsi="Arial" w:cs="Arial"/>
        </w:rPr>
        <w:t xml:space="preserve"> </w:t>
      </w:r>
      <w:r w:rsidRPr="00A22F62">
        <w:rPr>
          <w:rFonts w:ascii="Arial" w:hAnsi="Arial" w:cs="Arial"/>
        </w:rPr>
        <w:t>(CSA). By systematically analysing secondary sources, the research was able to pinpoint prevalent psychological effects</w:t>
      </w:r>
      <w:r w:rsidR="001F7F23" w:rsidRPr="00A22F62">
        <w:rPr>
          <w:rFonts w:ascii="Arial" w:hAnsi="Arial" w:cs="Arial"/>
        </w:rPr>
        <w:t xml:space="preserve">, </w:t>
      </w:r>
      <w:r w:rsidRPr="00A22F62">
        <w:rPr>
          <w:rFonts w:ascii="Arial" w:hAnsi="Arial" w:cs="Arial"/>
        </w:rPr>
        <w:t>including post-traumatic stress disorder (PTSD), depression, anxiety, and emotional dysregulation, thus establishing a foundational framework for this chapter's subsequent discussion</w:t>
      </w:r>
      <w:r w:rsidR="001924CB">
        <w:rPr>
          <w:rFonts w:ascii="Arial" w:hAnsi="Arial" w:cs="Arial"/>
        </w:rPr>
        <w:t xml:space="preserve"> </w:t>
      </w:r>
      <w:r w:rsidR="004D213E" w:rsidRPr="004D213E">
        <w:rPr>
          <w:rFonts w:ascii="Arial" w:hAnsi="Arial" w:cs="Arial"/>
        </w:rPr>
        <w:t>(IICSA, 2019)</w:t>
      </w:r>
      <w:r w:rsidR="004D213E">
        <w:rPr>
          <w:rFonts w:ascii="Arial" w:hAnsi="Arial" w:cs="Arial"/>
        </w:rPr>
        <w:t xml:space="preserve">. </w:t>
      </w:r>
      <w:r w:rsidRPr="00A22F62">
        <w:rPr>
          <w:rFonts w:ascii="Arial" w:hAnsi="Arial" w:cs="Arial"/>
        </w:rPr>
        <w:t xml:space="preserve">This methodological approach enabled a focused and organised examination of </w:t>
      </w:r>
      <w:r w:rsidR="001F7F23" w:rsidRPr="00A22F62">
        <w:rPr>
          <w:rFonts w:ascii="Arial" w:hAnsi="Arial" w:cs="Arial"/>
        </w:rPr>
        <w:t>how</w:t>
      </w:r>
      <w:r w:rsidRPr="00A22F62">
        <w:rPr>
          <w:rFonts w:ascii="Arial" w:hAnsi="Arial" w:cs="Arial"/>
        </w:rPr>
        <w:t xml:space="preserve"> CSA impacts survivors throughout their lives. Additionally, the analysis recognised the influence of contextual factors such as societal stigma and cultural norms, which may further shape the psychological outcomes experienced by survivors, highlighting the complex interplay of individual and sociocultural dimensions in understanding long-term mental health trajectories</w:t>
      </w:r>
      <w:r w:rsidR="00497D57">
        <w:rPr>
          <w:rFonts w:ascii="Arial" w:hAnsi="Arial" w:cs="Arial"/>
        </w:rPr>
        <w:t xml:space="preserve"> </w:t>
      </w:r>
      <w:r w:rsidR="00497D57" w:rsidRPr="00497D57">
        <w:rPr>
          <w:rFonts w:ascii="Arial" w:hAnsi="Arial" w:cs="Arial"/>
        </w:rPr>
        <w:t>(Samuel, 2020)</w:t>
      </w:r>
      <w:r w:rsidR="00497D57">
        <w:rPr>
          <w:rFonts w:ascii="Arial" w:hAnsi="Arial" w:cs="Arial"/>
        </w:rPr>
        <w:t>.</w:t>
      </w:r>
    </w:p>
    <w:p w14:paraId="2FF13059" w14:textId="77777777" w:rsidR="00CA4B36" w:rsidRDefault="00CA4B36" w:rsidP="00A22F62">
      <w:pPr>
        <w:rPr>
          <w:rFonts w:ascii="Arial" w:hAnsi="Arial" w:cs="Arial"/>
        </w:rPr>
      </w:pPr>
    </w:p>
    <w:p w14:paraId="5A3DD866" w14:textId="77777777" w:rsidR="00CA4B36" w:rsidRPr="00A22F62" w:rsidRDefault="00CA4B36" w:rsidP="00A22F62">
      <w:pPr>
        <w:rPr>
          <w:rFonts w:ascii="Arial" w:hAnsi="Arial" w:cs="Arial"/>
        </w:rPr>
      </w:pPr>
    </w:p>
    <w:p w14:paraId="1FECF6BA" w14:textId="3380DE8E" w:rsidR="00774E6D" w:rsidRDefault="00544211" w:rsidP="00CA4B36">
      <w:pPr>
        <w:pStyle w:val="Heading1"/>
        <w:rPr>
          <w:rFonts w:ascii="Arial" w:hAnsi="Arial" w:cs="Arial"/>
          <w:sz w:val="24"/>
          <w:szCs w:val="24"/>
        </w:rPr>
      </w:pPr>
      <w:r w:rsidRPr="001924CB">
        <w:rPr>
          <w:rFonts w:ascii="Arial" w:hAnsi="Arial" w:cs="Arial"/>
          <w:sz w:val="24"/>
          <w:szCs w:val="24"/>
        </w:rPr>
        <w:lastRenderedPageBreak/>
        <w:t xml:space="preserve">4.3 – </w:t>
      </w:r>
      <w:r w:rsidR="00A2430F" w:rsidRPr="001924CB">
        <w:rPr>
          <w:rFonts w:ascii="Arial" w:hAnsi="Arial" w:cs="Arial"/>
          <w:sz w:val="24"/>
          <w:szCs w:val="24"/>
        </w:rPr>
        <w:t>Theme 1: Post-Traumatic Stress Disorder (PTSD) in Adult Survivors of Childhood Sexual Abuse</w:t>
      </w:r>
    </w:p>
    <w:p w14:paraId="3CBCDAEF" w14:textId="77777777" w:rsidR="00CA4B36" w:rsidRPr="00CA4B36" w:rsidRDefault="00CA4B36" w:rsidP="00CA4B36"/>
    <w:p w14:paraId="4F2428AC" w14:textId="3FEA1BA6" w:rsidR="00147A6B" w:rsidRPr="00A22F62" w:rsidRDefault="00147A6B" w:rsidP="0018642B">
      <w:pPr>
        <w:rPr>
          <w:rFonts w:ascii="Arial" w:hAnsi="Arial" w:cs="Arial"/>
        </w:rPr>
      </w:pPr>
      <w:r w:rsidRPr="00A22F62">
        <w:rPr>
          <w:rFonts w:ascii="Arial" w:hAnsi="Arial" w:cs="Arial"/>
          <w:b/>
          <w:bCs/>
        </w:rPr>
        <w:t>Definition and Background</w:t>
      </w:r>
      <w:r w:rsidR="001F7F23" w:rsidRPr="00A22F62">
        <w:rPr>
          <w:rFonts w:ascii="Arial" w:hAnsi="Arial" w:cs="Arial"/>
          <w:b/>
          <w:bCs/>
        </w:rPr>
        <w:t>:</w:t>
      </w:r>
      <w:r w:rsidR="001F7F23" w:rsidRPr="00A22F62">
        <w:rPr>
          <w:rFonts w:ascii="Arial" w:hAnsi="Arial" w:cs="Arial"/>
        </w:rPr>
        <w:t xml:space="preserve"> </w:t>
      </w:r>
      <w:r w:rsidR="00B85768" w:rsidRPr="00A22F62">
        <w:rPr>
          <w:rFonts w:ascii="Arial" w:hAnsi="Arial" w:cs="Arial"/>
        </w:rPr>
        <w:t>Post-Traumatic Stress Disorder (PTSD) is recognised as a complex psychological disorder that can manifest following exposure to traumatic events, such as childhood sexual abuse (CSA)</w:t>
      </w:r>
      <w:r w:rsidR="009F7CEF" w:rsidRPr="00A22F62">
        <w:rPr>
          <w:rFonts w:ascii="Arial" w:hAnsi="Arial" w:cs="Arial"/>
        </w:rPr>
        <w:t xml:space="preserve"> (Bisson </w:t>
      </w:r>
      <w:r w:rsidR="009F7CEF" w:rsidRPr="00532B25">
        <w:rPr>
          <w:rFonts w:ascii="Arial" w:hAnsi="Arial" w:cs="Arial"/>
          <w:i/>
          <w:iCs/>
        </w:rPr>
        <w:t>et al.,</w:t>
      </w:r>
      <w:r w:rsidR="009F7CEF" w:rsidRPr="00A22F62">
        <w:rPr>
          <w:rFonts w:ascii="Arial" w:hAnsi="Arial" w:cs="Arial"/>
        </w:rPr>
        <w:t xml:space="preserve"> 2022).</w:t>
      </w:r>
      <w:r w:rsidR="00B85768" w:rsidRPr="00A22F62">
        <w:rPr>
          <w:rFonts w:ascii="Arial" w:hAnsi="Arial" w:cs="Arial"/>
        </w:rPr>
        <w:t xml:space="preserve"> According to the Diagnostic and Statistical Manual of Mental Disorders, Fifth Edition (DSM-5), the symptomatology of PTSD encompasses intrusive memories, flashbacks, nightmares, avoidance </w:t>
      </w:r>
      <w:r w:rsidR="00164760" w:rsidRPr="00A22F62">
        <w:rPr>
          <w:rFonts w:ascii="Arial" w:hAnsi="Arial" w:cs="Arial"/>
        </w:rPr>
        <w:t>behaviours</w:t>
      </w:r>
      <w:r w:rsidR="00B85768" w:rsidRPr="00A22F62">
        <w:rPr>
          <w:rFonts w:ascii="Arial" w:hAnsi="Arial" w:cs="Arial"/>
        </w:rPr>
        <w:t xml:space="preserve">, emotional numbing, and hyperarousal </w:t>
      </w:r>
      <w:r w:rsidR="00F55611" w:rsidRPr="00A22F62">
        <w:rPr>
          <w:rFonts w:ascii="Arial" w:hAnsi="Arial" w:cs="Arial"/>
        </w:rPr>
        <w:t>(Tolentino and Schmidt, 2018)</w:t>
      </w:r>
      <w:r w:rsidR="00B85768" w:rsidRPr="00A22F62">
        <w:rPr>
          <w:rFonts w:ascii="Arial" w:hAnsi="Arial" w:cs="Arial"/>
        </w:rPr>
        <w:t>. Notably, individuals who have experienced CSA are often subjected to trauma during critical developmental stages, which potentially increases their vulnerability</w:t>
      </w:r>
      <w:r w:rsidR="0048589A" w:rsidRPr="00A22F62">
        <w:rPr>
          <w:rFonts w:ascii="Arial" w:hAnsi="Arial" w:cs="Arial"/>
        </w:rPr>
        <w:t xml:space="preserve"> </w:t>
      </w:r>
      <w:r w:rsidR="00B85768" w:rsidRPr="00A22F62">
        <w:rPr>
          <w:rFonts w:ascii="Arial" w:hAnsi="Arial" w:cs="Arial"/>
        </w:rPr>
        <w:t xml:space="preserve">to prolonged psychological sequelae, including PTSD. This section critically examines the </w:t>
      </w:r>
      <w:r w:rsidR="00774E6D" w:rsidRPr="00A22F62">
        <w:rPr>
          <w:rFonts w:ascii="Arial" w:hAnsi="Arial" w:cs="Arial"/>
        </w:rPr>
        <w:t>aetiology</w:t>
      </w:r>
      <w:r w:rsidR="00B85768" w:rsidRPr="00A22F62">
        <w:rPr>
          <w:rFonts w:ascii="Arial" w:hAnsi="Arial" w:cs="Arial"/>
        </w:rPr>
        <w:t xml:space="preserve"> and persistence of PTSD among CSA survivors, thereby contributing to the broader discourse on the long-term psychological ramifications of childhood abuse</w:t>
      </w:r>
      <w:r w:rsidR="00812C9E" w:rsidRPr="00A22F62">
        <w:rPr>
          <w:rFonts w:ascii="Arial" w:hAnsi="Arial" w:cs="Arial"/>
        </w:rPr>
        <w:t xml:space="preserve"> (Royal College of Psychiatrists, 2025).</w:t>
      </w:r>
    </w:p>
    <w:p w14:paraId="3939391C" w14:textId="33E4F063" w:rsidR="00147A6B" w:rsidRPr="00A22F62" w:rsidRDefault="00147A6B" w:rsidP="00A22F62">
      <w:pPr>
        <w:rPr>
          <w:rFonts w:ascii="Arial" w:hAnsi="Arial" w:cs="Arial"/>
        </w:rPr>
      </w:pPr>
      <w:r w:rsidRPr="00A22F62">
        <w:rPr>
          <w:rFonts w:ascii="Arial" w:hAnsi="Arial" w:cs="Arial"/>
          <w:b/>
          <w:bCs/>
        </w:rPr>
        <w:t>Contextual Relevance and Impact on Research Question</w:t>
      </w:r>
      <w:r w:rsidR="00774E6D" w:rsidRPr="00A22F62">
        <w:rPr>
          <w:rFonts w:ascii="Arial" w:hAnsi="Arial" w:cs="Arial"/>
          <w:b/>
          <w:bCs/>
        </w:rPr>
        <w:t>:</w:t>
      </w:r>
    </w:p>
    <w:p w14:paraId="3E9C991E" w14:textId="732A841A" w:rsidR="00BB4B65" w:rsidRPr="00A22F62" w:rsidRDefault="00C92924" w:rsidP="00186A8B">
      <w:pPr>
        <w:rPr>
          <w:rFonts w:ascii="Arial" w:hAnsi="Arial" w:cs="Arial"/>
        </w:rPr>
      </w:pPr>
      <w:r w:rsidRPr="00A22F62">
        <w:rPr>
          <w:rFonts w:ascii="Arial" w:hAnsi="Arial" w:cs="Arial"/>
        </w:rPr>
        <w:t>PTSD functions as a pivotal conceptual framework in elucidating the enduring impact of childhood sexual abuse (CSA) on adult mental health outcomes</w:t>
      </w:r>
      <w:r w:rsidR="00521BE7">
        <w:rPr>
          <w:rFonts w:ascii="Arial" w:hAnsi="Arial" w:cs="Arial"/>
        </w:rPr>
        <w:t xml:space="preserve"> </w:t>
      </w:r>
      <w:r w:rsidR="00521BE7" w:rsidRPr="00521BE7">
        <w:rPr>
          <w:rFonts w:ascii="Arial" w:hAnsi="Arial" w:cs="Arial"/>
        </w:rPr>
        <w:t xml:space="preserve">(Boumpa </w:t>
      </w:r>
      <w:r w:rsidR="00521BE7" w:rsidRPr="00521BE7">
        <w:rPr>
          <w:rFonts w:ascii="Arial" w:hAnsi="Arial" w:cs="Arial"/>
          <w:i/>
          <w:iCs/>
        </w:rPr>
        <w:t>et al.</w:t>
      </w:r>
      <w:r w:rsidR="00521BE7" w:rsidRPr="00521BE7">
        <w:rPr>
          <w:rFonts w:ascii="Arial" w:hAnsi="Arial" w:cs="Arial"/>
        </w:rPr>
        <w:t>, 2022)</w:t>
      </w:r>
      <w:r w:rsidR="00521BE7">
        <w:rPr>
          <w:rFonts w:ascii="Arial" w:hAnsi="Arial" w:cs="Arial"/>
        </w:rPr>
        <w:t xml:space="preserve">. </w:t>
      </w:r>
      <w:r w:rsidRPr="00A22F62">
        <w:rPr>
          <w:rFonts w:ascii="Arial" w:hAnsi="Arial" w:cs="Arial"/>
        </w:rPr>
        <w:t>The array of symptoms associated with PTSD</w:t>
      </w:r>
      <w:r w:rsidR="00774E6D" w:rsidRPr="00A22F62">
        <w:rPr>
          <w:rFonts w:ascii="Arial" w:hAnsi="Arial" w:cs="Arial"/>
        </w:rPr>
        <w:t xml:space="preserve">, </w:t>
      </w:r>
      <w:r w:rsidRPr="00A22F62">
        <w:rPr>
          <w:rFonts w:ascii="Arial" w:hAnsi="Arial" w:cs="Arial"/>
        </w:rPr>
        <w:t>often chronic and multifaceted</w:t>
      </w:r>
      <w:r w:rsidR="00774E6D" w:rsidRPr="00A22F62">
        <w:rPr>
          <w:rFonts w:ascii="Arial" w:hAnsi="Arial" w:cs="Arial"/>
        </w:rPr>
        <w:t xml:space="preserve">, </w:t>
      </w:r>
      <w:r w:rsidRPr="00A22F62">
        <w:rPr>
          <w:rFonts w:ascii="Arial" w:hAnsi="Arial" w:cs="Arial"/>
        </w:rPr>
        <w:t>can significantly compromise daily functioning, self-perception, and interpersonal relationships,</w:t>
      </w:r>
      <w:r w:rsidR="00186A8B">
        <w:rPr>
          <w:rFonts w:ascii="Arial" w:hAnsi="Arial" w:cs="Arial"/>
        </w:rPr>
        <w:t xml:space="preserve"> </w:t>
      </w:r>
      <w:r w:rsidRPr="00A22F62">
        <w:rPr>
          <w:rFonts w:ascii="Arial" w:hAnsi="Arial" w:cs="Arial"/>
        </w:rPr>
        <w:t>thereby magnifying the long-term psychological sequelae of trauma</w:t>
      </w:r>
      <w:r w:rsidR="00EC3E05" w:rsidRPr="00A22F62">
        <w:rPr>
          <w:rFonts w:ascii="Arial" w:hAnsi="Arial" w:cs="Arial"/>
        </w:rPr>
        <w:t xml:space="preserve"> (Hailes </w:t>
      </w:r>
      <w:r w:rsidR="00EC3E05" w:rsidRPr="00A22F62">
        <w:rPr>
          <w:rFonts w:ascii="Arial" w:hAnsi="Arial" w:cs="Arial"/>
          <w:i/>
          <w:iCs/>
        </w:rPr>
        <w:t>et al.</w:t>
      </w:r>
      <w:r w:rsidR="00EC3E05" w:rsidRPr="00A22F62">
        <w:rPr>
          <w:rFonts w:ascii="Arial" w:hAnsi="Arial" w:cs="Arial"/>
        </w:rPr>
        <w:t>, 2020). T</w:t>
      </w:r>
      <w:r w:rsidRPr="00A22F62">
        <w:rPr>
          <w:rFonts w:ascii="Arial" w:hAnsi="Arial" w:cs="Arial"/>
        </w:rPr>
        <w:t>his analysis aligns with the dissertation’s objective of illustrating how trauma becomes intricately woven into the psychological fabric of survivors’ lives. A comprehensive understanding of the mechanisms and manifestations of PTSD is essential for developing a nuanced perspective on the pathways through which CSA contributes to persistent emotional and psychological difficulties in adulthood</w:t>
      </w:r>
      <w:r w:rsidR="00BB4B65" w:rsidRPr="00A22F62">
        <w:rPr>
          <w:rFonts w:ascii="Arial" w:hAnsi="Arial" w:cs="Arial"/>
        </w:rPr>
        <w:t xml:space="preserve"> (Noll, 2021).</w:t>
      </w:r>
    </w:p>
    <w:p w14:paraId="6350ACDA" w14:textId="18AAE8E8" w:rsidR="00147A6B" w:rsidRPr="00A22F62" w:rsidRDefault="00147A6B" w:rsidP="00A22F62">
      <w:pPr>
        <w:rPr>
          <w:rFonts w:ascii="Arial" w:hAnsi="Arial" w:cs="Arial"/>
        </w:rPr>
      </w:pPr>
    </w:p>
    <w:p w14:paraId="2904248D" w14:textId="77777777" w:rsidR="00147A6B" w:rsidRPr="00A22F62" w:rsidRDefault="00147A6B" w:rsidP="00A22F62">
      <w:pPr>
        <w:rPr>
          <w:rFonts w:ascii="Arial" w:hAnsi="Arial" w:cs="Arial"/>
        </w:rPr>
      </w:pPr>
      <w:r w:rsidRPr="00A22F62">
        <w:rPr>
          <w:rFonts w:ascii="Arial" w:hAnsi="Arial" w:cs="Arial"/>
          <w:b/>
          <w:bCs/>
        </w:rPr>
        <w:t>Theoretical Frameworks</w:t>
      </w:r>
    </w:p>
    <w:p w14:paraId="1EFB0AA5" w14:textId="5C6F9284" w:rsidR="00147A6B" w:rsidRPr="00A22F62" w:rsidRDefault="00FE53C6" w:rsidP="002C0F1E">
      <w:pPr>
        <w:rPr>
          <w:rFonts w:ascii="Arial" w:hAnsi="Arial" w:cs="Arial"/>
        </w:rPr>
      </w:pPr>
      <w:r w:rsidRPr="00A22F62">
        <w:rPr>
          <w:rFonts w:ascii="Arial" w:hAnsi="Arial" w:cs="Arial"/>
        </w:rPr>
        <w:t>Trauma theory is integral to understanding the development of post-traumatic stress disorder (PTSD) following childhood sexual abuse</w:t>
      </w:r>
      <w:r w:rsidR="0082656C" w:rsidRPr="00A22F62">
        <w:rPr>
          <w:rFonts w:ascii="Arial" w:hAnsi="Arial" w:cs="Arial"/>
        </w:rPr>
        <w:t xml:space="preserve"> (CSA). (Hickle, 2019).</w:t>
      </w:r>
      <w:bookmarkStart w:id="0" w:name="_Hlk204293390"/>
      <w:r w:rsidRPr="00A22F62">
        <w:rPr>
          <w:rFonts w:ascii="Arial" w:hAnsi="Arial" w:cs="Arial"/>
        </w:rPr>
        <w:t xml:space="preserve"> </w:t>
      </w:r>
      <w:bookmarkEnd w:id="0"/>
      <w:r w:rsidRPr="00A22F62">
        <w:rPr>
          <w:rFonts w:ascii="Arial" w:hAnsi="Arial" w:cs="Arial"/>
        </w:rPr>
        <w:t>Herman (1992) posits that trauma fundamentally disrupts an individual's sense of safety and identity, highlighting the profound psychological impact of such experiences. Survivors frequently exhibit symptoms consistent with 'complex PTSD,' a construct that extends beyond traditional PTSD symptoms to include affect dysregulation, dissociation, and persistent difficulties in interpersonal relationships</w:t>
      </w:r>
      <w:r w:rsidR="00BB4550" w:rsidRPr="00A22F62">
        <w:rPr>
          <w:rFonts w:ascii="Arial" w:hAnsi="Arial" w:cs="Arial"/>
        </w:rPr>
        <w:t xml:space="preserve"> </w:t>
      </w:r>
      <w:r w:rsidR="00F171F2" w:rsidRPr="00F171F2">
        <w:rPr>
          <w:rFonts w:ascii="Arial" w:hAnsi="Arial" w:cs="Arial"/>
        </w:rPr>
        <w:t xml:space="preserve">(Zaleski </w:t>
      </w:r>
      <w:r w:rsidR="00F171F2" w:rsidRPr="000473CA">
        <w:rPr>
          <w:rFonts w:ascii="Arial" w:hAnsi="Arial" w:cs="Arial"/>
          <w:i/>
          <w:iCs/>
        </w:rPr>
        <w:t>et al</w:t>
      </w:r>
      <w:r w:rsidR="00F171F2" w:rsidRPr="00F171F2">
        <w:rPr>
          <w:rFonts w:ascii="Arial" w:hAnsi="Arial" w:cs="Arial"/>
        </w:rPr>
        <w:t>., 2016)</w:t>
      </w:r>
      <w:r w:rsidR="00F171F2">
        <w:rPr>
          <w:rFonts w:ascii="Arial" w:hAnsi="Arial" w:cs="Arial"/>
        </w:rPr>
        <w:t>.</w:t>
      </w:r>
      <w:r w:rsidR="00BB4550" w:rsidRPr="00A22F62">
        <w:rPr>
          <w:rFonts w:ascii="Arial" w:hAnsi="Arial" w:cs="Arial"/>
        </w:rPr>
        <w:t xml:space="preserve"> </w:t>
      </w:r>
      <w:r w:rsidRPr="00A22F62">
        <w:rPr>
          <w:rFonts w:ascii="Arial" w:hAnsi="Arial" w:cs="Arial"/>
        </w:rPr>
        <w:t xml:space="preserve">Additionally, attachment theory (Bowlby, 1969) </w:t>
      </w:r>
      <w:r w:rsidR="00D758B8" w:rsidRPr="00A22F62">
        <w:rPr>
          <w:rFonts w:ascii="Arial" w:hAnsi="Arial" w:cs="Arial"/>
        </w:rPr>
        <w:t xml:space="preserve">offers a </w:t>
      </w:r>
      <w:r w:rsidR="00D758B8" w:rsidRPr="00A22F62">
        <w:rPr>
          <w:rFonts w:ascii="Arial" w:hAnsi="Arial" w:cs="Arial"/>
        </w:rPr>
        <w:lastRenderedPageBreak/>
        <w:t xml:space="preserve">valuable framework for examining how early relational trauma influences emotional development and attachment patterns in adulthood (Mikulincer &amp; Shaver, 2025). </w:t>
      </w:r>
      <w:r w:rsidRPr="00A22F62">
        <w:rPr>
          <w:rFonts w:ascii="Arial" w:hAnsi="Arial" w:cs="Arial"/>
        </w:rPr>
        <w:t xml:space="preserve">These theoretical perspectives collectively elucidate the mechanisms through which CSA engenders enduring impairments in emotion regulation, memory processing, and relational functioning. However, it is </w:t>
      </w:r>
      <w:r w:rsidR="00774E6D" w:rsidRPr="00A22F62">
        <w:rPr>
          <w:rFonts w:ascii="Arial" w:hAnsi="Arial" w:cs="Arial"/>
        </w:rPr>
        <w:t>essential</w:t>
      </w:r>
      <w:r w:rsidRPr="00A22F62">
        <w:rPr>
          <w:rFonts w:ascii="Arial" w:hAnsi="Arial" w:cs="Arial"/>
        </w:rPr>
        <w:t xml:space="preserve"> to critically consider the limitations of these theories, such as their potential overemphasis on individual pathology and insufficient attention to sociocultural factors influencing survivor outcomes</w:t>
      </w:r>
      <w:r w:rsidR="00791D47">
        <w:rPr>
          <w:rFonts w:ascii="Arial" w:hAnsi="Arial" w:cs="Arial"/>
        </w:rPr>
        <w:t xml:space="preserve"> </w:t>
      </w:r>
      <w:r w:rsidR="00791D47" w:rsidRPr="00791D47">
        <w:rPr>
          <w:rFonts w:ascii="Arial" w:hAnsi="Arial" w:cs="Arial"/>
        </w:rPr>
        <w:t xml:space="preserve">(Eslinger </w:t>
      </w:r>
      <w:r w:rsidR="00791D47" w:rsidRPr="00F171F2">
        <w:rPr>
          <w:rFonts w:ascii="Arial" w:hAnsi="Arial" w:cs="Arial"/>
          <w:i/>
          <w:iCs/>
        </w:rPr>
        <w:t>et al.</w:t>
      </w:r>
      <w:r w:rsidR="00791D47" w:rsidRPr="00791D47">
        <w:rPr>
          <w:rFonts w:ascii="Arial" w:hAnsi="Arial" w:cs="Arial"/>
        </w:rPr>
        <w:t>, 2021)</w:t>
      </w:r>
      <w:r w:rsidR="00791D47">
        <w:rPr>
          <w:rFonts w:ascii="Arial" w:hAnsi="Arial" w:cs="Arial"/>
        </w:rPr>
        <w:t>.</w:t>
      </w:r>
    </w:p>
    <w:p w14:paraId="40D75C45" w14:textId="77777777" w:rsidR="00774E6D" w:rsidRPr="00A22F62" w:rsidRDefault="00774E6D" w:rsidP="002C0F1E">
      <w:pPr>
        <w:rPr>
          <w:rFonts w:ascii="Arial" w:hAnsi="Arial" w:cs="Arial"/>
        </w:rPr>
      </w:pPr>
    </w:p>
    <w:p w14:paraId="1FD4121E" w14:textId="77777777" w:rsidR="00147A6B" w:rsidRPr="00A22F62" w:rsidRDefault="00147A6B" w:rsidP="00A22F62">
      <w:pPr>
        <w:rPr>
          <w:rFonts w:ascii="Arial" w:hAnsi="Arial" w:cs="Arial"/>
        </w:rPr>
      </w:pPr>
      <w:r w:rsidRPr="00A22F62">
        <w:rPr>
          <w:rFonts w:ascii="Arial" w:hAnsi="Arial" w:cs="Arial"/>
          <w:b/>
          <w:bCs/>
        </w:rPr>
        <w:t>Statistical Evidence</w:t>
      </w:r>
    </w:p>
    <w:p w14:paraId="02C99CFA" w14:textId="2369FD4A" w:rsidR="00874C66" w:rsidRPr="00874C66" w:rsidRDefault="00704589" w:rsidP="002C0F1E">
      <w:pPr>
        <w:rPr>
          <w:rFonts w:ascii="Arial" w:hAnsi="Arial" w:cs="Arial"/>
        </w:rPr>
      </w:pPr>
      <w:r>
        <w:rPr>
          <w:rFonts w:ascii="Arial" w:hAnsi="Arial" w:cs="Arial"/>
        </w:rPr>
        <w:t xml:space="preserve">Boumpa </w:t>
      </w:r>
      <w:r w:rsidRPr="00186A8B">
        <w:rPr>
          <w:rFonts w:ascii="Arial" w:hAnsi="Arial" w:cs="Arial"/>
          <w:i/>
          <w:iCs/>
        </w:rPr>
        <w:t>et al</w:t>
      </w:r>
      <w:r>
        <w:rPr>
          <w:rFonts w:ascii="Arial" w:hAnsi="Arial" w:cs="Arial"/>
        </w:rPr>
        <w:t xml:space="preserve">. (2022) conducted a systematic review and meta-analysis in the UK, showing a significant link between childhood sexual abuse (CSA) and the development of PTSD during adolescence and early adulthood (Boumpa </w:t>
      </w:r>
      <w:r w:rsidRPr="00186A8B">
        <w:rPr>
          <w:rFonts w:ascii="Arial" w:hAnsi="Arial" w:cs="Arial"/>
          <w:i/>
          <w:iCs/>
        </w:rPr>
        <w:t>et al</w:t>
      </w:r>
      <w:r>
        <w:rPr>
          <w:rFonts w:ascii="Arial" w:hAnsi="Arial" w:cs="Arial"/>
        </w:rPr>
        <w:t xml:space="preserve">., 2022). They found that approximately 38% of children and young adults with CSA experience PTSD symptoms, emphasising CSA's psychological impact. Kratzer </w:t>
      </w:r>
      <w:r w:rsidRPr="00186A8B">
        <w:rPr>
          <w:rFonts w:ascii="Arial" w:hAnsi="Arial" w:cs="Arial"/>
          <w:i/>
          <w:iCs/>
        </w:rPr>
        <w:t>et al</w:t>
      </w:r>
      <w:r>
        <w:rPr>
          <w:rFonts w:ascii="Arial" w:hAnsi="Arial" w:cs="Arial"/>
        </w:rPr>
        <w:t xml:space="preserve">. (2020) used network analysis to examine PTSD in CSA survivors, identifying intrusive thoughts and hyperarousal as core symptoms. Collectively, these studies highlight the high prevalence and profound psychological effects of PTSD in adult CSA survivors (Kratzer </w:t>
      </w:r>
      <w:r w:rsidRPr="00186A8B">
        <w:rPr>
          <w:rFonts w:ascii="Arial" w:hAnsi="Arial" w:cs="Arial"/>
          <w:i/>
          <w:iCs/>
        </w:rPr>
        <w:t>et al.,</w:t>
      </w:r>
      <w:r>
        <w:rPr>
          <w:rFonts w:ascii="Arial" w:hAnsi="Arial" w:cs="Arial"/>
        </w:rPr>
        <w:t xml:space="preserve"> 2020). However, further research is necessary to explore the heterogeneity of PTSD responses and factors such as socio-economic status, mental health access, and culture, which are vital for targeted interventions and understanding CSA’s impact on mental health (Funer, 2023).</w:t>
      </w:r>
    </w:p>
    <w:p w14:paraId="25C7C8E4" w14:textId="0B97E656" w:rsidR="00147A6B" w:rsidRPr="00A22F62" w:rsidRDefault="00147A6B" w:rsidP="00A22F62">
      <w:pPr>
        <w:rPr>
          <w:rFonts w:ascii="Arial" w:hAnsi="Arial" w:cs="Arial"/>
        </w:rPr>
      </w:pPr>
    </w:p>
    <w:p w14:paraId="7C728AF2" w14:textId="77777777" w:rsidR="00147A6B" w:rsidRPr="00A22F62" w:rsidRDefault="00147A6B" w:rsidP="00A22F62">
      <w:pPr>
        <w:rPr>
          <w:rFonts w:ascii="Arial" w:hAnsi="Arial" w:cs="Arial"/>
        </w:rPr>
      </w:pPr>
      <w:r w:rsidRPr="00A22F62">
        <w:rPr>
          <w:rFonts w:ascii="Arial" w:hAnsi="Arial" w:cs="Arial"/>
          <w:b/>
          <w:bCs/>
        </w:rPr>
        <w:t>Policies and Guidelines</w:t>
      </w:r>
    </w:p>
    <w:p w14:paraId="24525DE1" w14:textId="51F389A6" w:rsidR="00B5121A" w:rsidRPr="00A22F62" w:rsidRDefault="007B2525" w:rsidP="002C0F1E">
      <w:pPr>
        <w:rPr>
          <w:rFonts w:ascii="Arial" w:hAnsi="Arial" w:cs="Arial"/>
        </w:rPr>
      </w:pPr>
      <w:r w:rsidRPr="00A22F62">
        <w:rPr>
          <w:rFonts w:ascii="Arial" w:hAnsi="Arial" w:cs="Arial"/>
        </w:rPr>
        <w:t>The guidelines established by the National Institute for Health and Care Excellence endorse trauma-focused cognitive behavioural therapy (TF-CBT) as a treatment modality for post-traumatic stress disorder (PTSD)</w:t>
      </w:r>
      <w:r w:rsidR="004A6585" w:rsidRPr="00A22F62">
        <w:rPr>
          <w:rFonts w:ascii="Arial" w:hAnsi="Arial" w:cs="Arial"/>
        </w:rPr>
        <w:t xml:space="preserve"> (NICE, 2018).</w:t>
      </w:r>
      <w:r w:rsidRPr="00A22F62">
        <w:rPr>
          <w:rFonts w:ascii="Arial" w:hAnsi="Arial" w:cs="Arial"/>
        </w:rPr>
        <w:t xml:space="preserve"> However, these recommendations frequently lack comprehensive detail pertinent to complex trauma cases, particularly those involving childhood </w:t>
      </w:r>
      <w:r w:rsidR="006F2B00" w:rsidRPr="00A22F62">
        <w:rPr>
          <w:rFonts w:ascii="Arial" w:hAnsi="Arial" w:cs="Arial"/>
        </w:rPr>
        <w:t>sexual</w:t>
      </w:r>
      <w:r w:rsidRPr="00A22F62">
        <w:rPr>
          <w:rFonts w:ascii="Arial" w:hAnsi="Arial" w:cs="Arial"/>
        </w:rPr>
        <w:t xml:space="preserve"> abuse (CSA). Empirical evidence suggests that survivors often perceive short-term therapeutic interventions as insufficient in addressing the profound depth and complexity of their trauma experiences (Cloitre </w:t>
      </w:r>
      <w:r w:rsidRPr="00F171F2">
        <w:rPr>
          <w:rFonts w:ascii="Arial" w:hAnsi="Arial" w:cs="Arial"/>
          <w:i/>
          <w:iCs/>
        </w:rPr>
        <w:t>et al.,</w:t>
      </w:r>
      <w:r w:rsidRPr="00A22F62">
        <w:rPr>
          <w:rFonts w:ascii="Arial" w:hAnsi="Arial" w:cs="Arial"/>
        </w:rPr>
        <w:t xml:space="preserve"> 2009). Furthermore, while policy initiatives such as the NHS Long Term Plan (2019) aim to enhance access to mental health services, systemic issues</w:t>
      </w:r>
      <w:r w:rsidR="00774E6D" w:rsidRPr="00A22F62">
        <w:rPr>
          <w:rFonts w:ascii="Arial" w:hAnsi="Arial" w:cs="Arial"/>
        </w:rPr>
        <w:t xml:space="preserve">, </w:t>
      </w:r>
      <w:r w:rsidRPr="00A22F62">
        <w:rPr>
          <w:rFonts w:ascii="Arial" w:hAnsi="Arial" w:cs="Arial"/>
        </w:rPr>
        <w:t>including resource limitations and prolonged waiting periods</w:t>
      </w:r>
      <w:r w:rsidR="00774E6D" w:rsidRPr="00A22F62">
        <w:rPr>
          <w:rFonts w:ascii="Arial" w:hAnsi="Arial" w:cs="Arial"/>
        </w:rPr>
        <w:t xml:space="preserve">, </w:t>
      </w:r>
      <w:r w:rsidRPr="00A22F62">
        <w:rPr>
          <w:rFonts w:ascii="Arial" w:hAnsi="Arial" w:cs="Arial"/>
        </w:rPr>
        <w:t>continue to obstruct the delivery of trauma-informed care to CSA survivors</w:t>
      </w:r>
      <w:r w:rsidR="00F25A3A" w:rsidRPr="00A22F62">
        <w:rPr>
          <w:rFonts w:ascii="Arial" w:hAnsi="Arial" w:cs="Arial"/>
        </w:rPr>
        <w:t xml:space="preserve"> </w:t>
      </w:r>
      <w:r w:rsidR="00B5121A" w:rsidRPr="00A22F62">
        <w:rPr>
          <w:rFonts w:ascii="Arial" w:hAnsi="Arial" w:cs="Arial"/>
        </w:rPr>
        <w:t>(NHS England, 2019).</w:t>
      </w:r>
    </w:p>
    <w:p w14:paraId="4A308964" w14:textId="77777777" w:rsidR="00443F7C" w:rsidRPr="00A22F62" w:rsidRDefault="00443F7C" w:rsidP="00A22F62">
      <w:pPr>
        <w:rPr>
          <w:rFonts w:ascii="Arial" w:hAnsi="Arial" w:cs="Arial"/>
        </w:rPr>
      </w:pPr>
    </w:p>
    <w:p w14:paraId="08273B57" w14:textId="77777777" w:rsidR="00147A6B" w:rsidRPr="00A22F62" w:rsidRDefault="00147A6B" w:rsidP="00A22F62">
      <w:pPr>
        <w:rPr>
          <w:rFonts w:ascii="Arial" w:hAnsi="Arial" w:cs="Arial"/>
        </w:rPr>
      </w:pPr>
      <w:r w:rsidRPr="00A22F62">
        <w:rPr>
          <w:rFonts w:ascii="Arial" w:hAnsi="Arial" w:cs="Arial"/>
          <w:b/>
          <w:bCs/>
        </w:rPr>
        <w:lastRenderedPageBreak/>
        <w:t>Examples from Articles</w:t>
      </w:r>
    </w:p>
    <w:p w14:paraId="641C37B1" w14:textId="28FFE6C2" w:rsidR="00147A6B" w:rsidRPr="00A22F62" w:rsidRDefault="00B97DE6" w:rsidP="00A22F62">
      <w:pPr>
        <w:rPr>
          <w:rFonts w:ascii="Arial" w:hAnsi="Arial" w:cs="Arial"/>
        </w:rPr>
      </w:pPr>
      <w:r w:rsidRPr="00A22F62">
        <w:rPr>
          <w:rFonts w:ascii="Arial" w:hAnsi="Arial" w:cs="Arial"/>
        </w:rPr>
        <w:t xml:space="preserve">Boumpa </w:t>
      </w:r>
      <w:r w:rsidRPr="00F171F2">
        <w:rPr>
          <w:rFonts w:ascii="Arial" w:hAnsi="Arial" w:cs="Arial"/>
          <w:i/>
          <w:iCs/>
        </w:rPr>
        <w:t>et al.</w:t>
      </w:r>
      <w:r w:rsidRPr="00A22F62">
        <w:rPr>
          <w:rFonts w:ascii="Arial" w:hAnsi="Arial" w:cs="Arial"/>
        </w:rPr>
        <w:t xml:space="preserve"> (2022) provide compelling empirical evidence indicating that PTSD symptoms are prevalent among survivors of childhood sexual abuse (CSA) and frequently co-occur with comorbid conditions such as depression and anxiety. This convergence underscores the </w:t>
      </w:r>
      <w:r w:rsidR="00774E6D" w:rsidRPr="00A22F62">
        <w:rPr>
          <w:rFonts w:ascii="Arial" w:hAnsi="Arial" w:cs="Arial"/>
        </w:rPr>
        <w:t>conceptualisation of “complex trauma,” emphasising</w:t>
      </w:r>
      <w:r w:rsidRPr="00A22F62">
        <w:rPr>
          <w:rFonts w:ascii="Arial" w:hAnsi="Arial" w:cs="Arial"/>
        </w:rPr>
        <w:t xml:space="preserve"> the intricate interrelations among various psychological sequelae post-CSA</w:t>
      </w:r>
      <w:r w:rsidR="006717DC" w:rsidRPr="00A22F62">
        <w:rPr>
          <w:rFonts w:ascii="Arial" w:hAnsi="Arial" w:cs="Arial"/>
        </w:rPr>
        <w:t xml:space="preserve"> </w:t>
      </w:r>
      <w:bookmarkStart w:id="1" w:name="_Hlk204359545"/>
      <w:r w:rsidR="006717DC" w:rsidRPr="00A22F62">
        <w:rPr>
          <w:rFonts w:ascii="Arial" w:hAnsi="Arial" w:cs="Arial"/>
        </w:rPr>
        <w:t xml:space="preserve">(Boumpa </w:t>
      </w:r>
      <w:r w:rsidR="006717DC" w:rsidRPr="00F171F2">
        <w:rPr>
          <w:rFonts w:ascii="Arial" w:hAnsi="Arial" w:cs="Arial"/>
          <w:i/>
          <w:iCs/>
        </w:rPr>
        <w:t>et al</w:t>
      </w:r>
      <w:r w:rsidR="006717DC" w:rsidRPr="00A22F62">
        <w:rPr>
          <w:rFonts w:ascii="Arial" w:hAnsi="Arial" w:cs="Arial"/>
        </w:rPr>
        <w:t xml:space="preserve">., 2022). </w:t>
      </w:r>
      <w:bookmarkEnd w:id="1"/>
      <w:r w:rsidRPr="00A22F62">
        <w:rPr>
          <w:rFonts w:ascii="Arial" w:hAnsi="Arial" w:cs="Arial"/>
        </w:rPr>
        <w:t xml:space="preserve">Kratzer </w:t>
      </w:r>
      <w:r w:rsidRPr="00F171F2">
        <w:rPr>
          <w:rFonts w:ascii="Arial" w:hAnsi="Arial" w:cs="Arial"/>
          <w:i/>
          <w:iCs/>
        </w:rPr>
        <w:t>et al.</w:t>
      </w:r>
      <w:r w:rsidRPr="00A22F62">
        <w:rPr>
          <w:rFonts w:ascii="Arial" w:hAnsi="Arial" w:cs="Arial"/>
        </w:rPr>
        <w:t xml:space="preserve"> (2020) extend this understanding by elucidating that specific sexual symptoms</w:t>
      </w:r>
      <w:r w:rsidR="00E36294" w:rsidRPr="00A22F62">
        <w:rPr>
          <w:rFonts w:ascii="Arial" w:hAnsi="Arial" w:cs="Arial"/>
        </w:rPr>
        <w:t xml:space="preserve">, </w:t>
      </w:r>
      <w:r w:rsidRPr="00A22F62">
        <w:rPr>
          <w:rFonts w:ascii="Arial" w:hAnsi="Arial" w:cs="Arial"/>
        </w:rPr>
        <w:t>namely avoidance of intimacy and distress during sexual activity</w:t>
      </w:r>
      <w:r w:rsidR="00E36294" w:rsidRPr="00A22F62">
        <w:rPr>
          <w:rFonts w:ascii="Arial" w:hAnsi="Arial" w:cs="Arial"/>
        </w:rPr>
        <w:t xml:space="preserve">, </w:t>
      </w:r>
      <w:r w:rsidRPr="00A22F62">
        <w:rPr>
          <w:rFonts w:ascii="Arial" w:hAnsi="Arial" w:cs="Arial"/>
        </w:rPr>
        <w:t>are significantly associated with PTSD in CSA survivors</w:t>
      </w:r>
      <w:r w:rsidR="005254A4" w:rsidRPr="00A22F62">
        <w:rPr>
          <w:rFonts w:ascii="Arial" w:hAnsi="Arial" w:cs="Arial"/>
        </w:rPr>
        <w:t xml:space="preserve"> (Kratzer </w:t>
      </w:r>
      <w:r w:rsidR="005254A4" w:rsidRPr="00F171F2">
        <w:rPr>
          <w:rFonts w:ascii="Arial" w:hAnsi="Arial" w:cs="Arial"/>
          <w:i/>
          <w:iCs/>
        </w:rPr>
        <w:t>et al.,</w:t>
      </w:r>
      <w:r w:rsidR="005254A4" w:rsidRPr="00A22F62">
        <w:rPr>
          <w:rFonts w:ascii="Arial" w:hAnsi="Arial" w:cs="Arial"/>
        </w:rPr>
        <w:t xml:space="preserve"> 2020). </w:t>
      </w:r>
      <w:r w:rsidRPr="00A22F62">
        <w:rPr>
          <w:rFonts w:ascii="Arial" w:hAnsi="Arial" w:cs="Arial"/>
        </w:rPr>
        <w:t xml:space="preserve"> Such findings highlight the profound impact of trauma on adult relational functioning and identity formation, as well as mood regulation and memory processes. Collectively, these studies offer robust empirical support for the </w:t>
      </w:r>
      <w:r w:rsidR="00E73ED1" w:rsidRPr="00A22F62">
        <w:rPr>
          <w:rFonts w:ascii="Arial" w:hAnsi="Arial" w:cs="Arial"/>
        </w:rPr>
        <w:t>conceptualisation</w:t>
      </w:r>
      <w:r w:rsidRPr="00A22F62">
        <w:rPr>
          <w:rFonts w:ascii="Arial" w:hAnsi="Arial" w:cs="Arial"/>
        </w:rPr>
        <w:t xml:space="preserve"> of PTSD as a persistent, multifaceted consequence of CSA</w:t>
      </w:r>
      <w:r w:rsidR="005254A4" w:rsidRPr="00A22F62">
        <w:rPr>
          <w:rFonts w:ascii="Arial" w:hAnsi="Arial" w:cs="Arial"/>
        </w:rPr>
        <w:t xml:space="preserve"> </w:t>
      </w:r>
      <w:bookmarkStart w:id="2" w:name="_Hlk204431667"/>
      <w:r w:rsidR="005254A4" w:rsidRPr="00A22F62">
        <w:rPr>
          <w:rFonts w:ascii="Arial" w:hAnsi="Arial" w:cs="Arial"/>
        </w:rPr>
        <w:t xml:space="preserve">(Kratzer </w:t>
      </w:r>
      <w:r w:rsidR="005254A4" w:rsidRPr="00F171F2">
        <w:rPr>
          <w:rFonts w:ascii="Arial" w:hAnsi="Arial" w:cs="Arial"/>
          <w:i/>
          <w:iCs/>
        </w:rPr>
        <w:t>et al.,</w:t>
      </w:r>
      <w:r w:rsidR="005254A4" w:rsidRPr="00A22F62">
        <w:rPr>
          <w:rFonts w:ascii="Arial" w:hAnsi="Arial" w:cs="Arial"/>
        </w:rPr>
        <w:t xml:space="preserve"> 2020).</w:t>
      </w:r>
      <w:r w:rsidR="00590D71">
        <w:rPr>
          <w:rFonts w:ascii="Arial" w:hAnsi="Arial" w:cs="Arial"/>
        </w:rPr>
        <w:t xml:space="preserve"> </w:t>
      </w:r>
      <w:bookmarkEnd w:id="2"/>
      <w:r w:rsidR="00E73ED1" w:rsidRPr="00A22F62">
        <w:rPr>
          <w:rFonts w:ascii="Arial" w:hAnsi="Arial" w:cs="Arial"/>
        </w:rPr>
        <w:t>However,</w:t>
      </w:r>
      <w:r w:rsidRPr="00A22F62">
        <w:rPr>
          <w:rFonts w:ascii="Arial" w:hAnsi="Arial" w:cs="Arial"/>
        </w:rPr>
        <w:t xml:space="preserve"> further research is needed to explore the nuanced mechanisms underpinning these associations and their implications for targeted interventions. </w:t>
      </w:r>
    </w:p>
    <w:p w14:paraId="29917F42" w14:textId="77777777" w:rsidR="00147A6B" w:rsidRPr="00A22F62" w:rsidRDefault="00147A6B" w:rsidP="00A22F62">
      <w:pPr>
        <w:rPr>
          <w:rFonts w:ascii="Arial" w:hAnsi="Arial" w:cs="Arial"/>
        </w:rPr>
      </w:pPr>
      <w:r w:rsidRPr="00A22F62">
        <w:rPr>
          <w:rFonts w:ascii="Arial" w:hAnsi="Arial" w:cs="Arial"/>
          <w:b/>
          <w:bCs/>
        </w:rPr>
        <w:t>Contrasting Evidence and Critical Reflection</w:t>
      </w:r>
    </w:p>
    <w:p w14:paraId="6B3D1939" w14:textId="01115139" w:rsidR="000353E3" w:rsidRDefault="00753D7F" w:rsidP="002C0F1E">
      <w:pPr>
        <w:rPr>
          <w:rFonts w:ascii="Arial" w:hAnsi="Arial" w:cs="Arial"/>
        </w:rPr>
      </w:pPr>
      <w:r w:rsidRPr="00A22F62">
        <w:rPr>
          <w:rFonts w:ascii="Arial" w:hAnsi="Arial" w:cs="Arial"/>
        </w:rPr>
        <w:t xml:space="preserve">While </w:t>
      </w:r>
      <w:r w:rsidR="00E36294" w:rsidRPr="00A22F62">
        <w:rPr>
          <w:rFonts w:ascii="Arial" w:hAnsi="Arial" w:cs="Arial"/>
        </w:rPr>
        <w:t>most of the</w:t>
      </w:r>
      <w:r w:rsidRPr="00A22F62">
        <w:rPr>
          <w:rFonts w:ascii="Arial" w:hAnsi="Arial" w:cs="Arial"/>
        </w:rPr>
        <w:t xml:space="preserve"> research underscores a robust correlation between childhood sexual assault (CSA) and the development of post-traumatic stress disorder (PTSD), it is imperative to adopt a critical perspective that </w:t>
      </w:r>
      <w:r w:rsidR="00E36294" w:rsidRPr="00A22F62">
        <w:rPr>
          <w:rFonts w:ascii="Arial" w:hAnsi="Arial" w:cs="Arial"/>
        </w:rPr>
        <w:t>recognises</w:t>
      </w:r>
      <w:r w:rsidRPr="00A22F62">
        <w:rPr>
          <w:rFonts w:ascii="Arial" w:hAnsi="Arial" w:cs="Arial"/>
        </w:rPr>
        <w:t xml:space="preserve"> the heterogeneity of survivor outcomes. Certain empirical studies suggest that not all individuals who experience CSA necessarily manifest PTSD, highlighting the influence of intervening variables such as psychological resilience, social support networks, and access to therapeutic interventions (Chen </w:t>
      </w:r>
      <w:r w:rsidRPr="00F171F2">
        <w:rPr>
          <w:rFonts w:ascii="Arial" w:hAnsi="Arial" w:cs="Arial"/>
          <w:i/>
          <w:iCs/>
        </w:rPr>
        <w:t>et al.,</w:t>
      </w:r>
      <w:r w:rsidRPr="00A22F62">
        <w:rPr>
          <w:rFonts w:ascii="Arial" w:hAnsi="Arial" w:cs="Arial"/>
        </w:rPr>
        <w:t xml:space="preserve"> 2010). Boumpa </w:t>
      </w:r>
      <w:r w:rsidRPr="00F171F2">
        <w:rPr>
          <w:rFonts w:ascii="Arial" w:hAnsi="Arial" w:cs="Arial"/>
          <w:i/>
          <w:iCs/>
        </w:rPr>
        <w:t>et al.</w:t>
      </w:r>
      <w:r w:rsidRPr="00A22F62">
        <w:rPr>
          <w:rFonts w:ascii="Arial" w:hAnsi="Arial" w:cs="Arial"/>
        </w:rPr>
        <w:t xml:space="preserve"> (2022) further </w:t>
      </w:r>
      <w:r w:rsidR="00E36294" w:rsidRPr="00A22F62">
        <w:rPr>
          <w:rFonts w:ascii="Arial" w:hAnsi="Arial" w:cs="Arial"/>
        </w:rPr>
        <w:t>emphasise</w:t>
      </w:r>
      <w:r w:rsidRPr="00A22F62">
        <w:rPr>
          <w:rFonts w:ascii="Arial" w:hAnsi="Arial" w:cs="Arial"/>
        </w:rPr>
        <w:t xml:space="preserve"> this variability, advocating for a paradigm shift towards a person-centred approach in both treatment and assessment processes. This perspective challenges the reductionist tendency to apply uniform interventions, urging clinicians and researchers to consider the multifaceted and </w:t>
      </w:r>
      <w:r w:rsidR="00E36294" w:rsidRPr="00A22F62">
        <w:rPr>
          <w:rFonts w:ascii="Arial" w:hAnsi="Arial" w:cs="Arial"/>
        </w:rPr>
        <w:t>individualised</w:t>
      </w:r>
      <w:r w:rsidRPr="00A22F62">
        <w:rPr>
          <w:rFonts w:ascii="Arial" w:hAnsi="Arial" w:cs="Arial"/>
        </w:rPr>
        <w:t xml:space="preserve"> nature of survivors’ experiences, thereby fostering more nuanced and effective support strategies</w:t>
      </w:r>
      <w:r w:rsidR="00822EAD" w:rsidRPr="00A22F62">
        <w:rPr>
          <w:rFonts w:ascii="Arial" w:hAnsi="Arial" w:cs="Arial"/>
        </w:rPr>
        <w:t xml:space="preserve"> (Boumpa </w:t>
      </w:r>
      <w:r w:rsidR="00822EAD" w:rsidRPr="00F171F2">
        <w:rPr>
          <w:rFonts w:ascii="Arial" w:hAnsi="Arial" w:cs="Arial"/>
          <w:i/>
          <w:iCs/>
        </w:rPr>
        <w:t>et al</w:t>
      </w:r>
      <w:r w:rsidR="00822EAD" w:rsidRPr="00A22F62">
        <w:rPr>
          <w:rFonts w:ascii="Arial" w:hAnsi="Arial" w:cs="Arial"/>
        </w:rPr>
        <w:t xml:space="preserve">., 2022). </w:t>
      </w:r>
    </w:p>
    <w:p w14:paraId="16042C66" w14:textId="77777777" w:rsidR="000353E3" w:rsidRPr="00A22F62" w:rsidRDefault="000353E3" w:rsidP="002C0F1E">
      <w:pPr>
        <w:rPr>
          <w:rFonts w:ascii="Arial" w:hAnsi="Arial" w:cs="Arial"/>
        </w:rPr>
      </w:pPr>
    </w:p>
    <w:p w14:paraId="1DAE0F71" w14:textId="77777777" w:rsidR="00147A6B" w:rsidRPr="00A22F62" w:rsidRDefault="00147A6B" w:rsidP="00A22F62">
      <w:pPr>
        <w:rPr>
          <w:rFonts w:ascii="Arial" w:hAnsi="Arial" w:cs="Arial"/>
        </w:rPr>
      </w:pPr>
      <w:r w:rsidRPr="00A22F62">
        <w:rPr>
          <w:rFonts w:ascii="Arial" w:hAnsi="Arial" w:cs="Arial"/>
          <w:b/>
          <w:bCs/>
        </w:rPr>
        <w:t>Positive and Negative Implications</w:t>
      </w:r>
    </w:p>
    <w:p w14:paraId="3993250A" w14:textId="13E5D114" w:rsidR="00147A6B" w:rsidRPr="00A22F62" w:rsidRDefault="00485600" w:rsidP="002C0F1E">
      <w:pPr>
        <w:rPr>
          <w:rFonts w:ascii="Arial" w:hAnsi="Arial" w:cs="Arial"/>
        </w:rPr>
      </w:pPr>
      <w:r w:rsidRPr="00A22F62">
        <w:rPr>
          <w:rFonts w:ascii="Arial" w:hAnsi="Arial" w:cs="Arial"/>
        </w:rPr>
        <w:t>The adverse consequences of Post-Traumatic Stress Disorder (PTSD) are profound and multifaceted. Empirical evidence indicates that survivors often encounter significant impediments in areas such as employment, interpersonal relationships, and physical health, predominantly attributable to persistent stressors</w:t>
      </w:r>
      <w:r w:rsidR="002B7879" w:rsidRPr="00A22F62">
        <w:rPr>
          <w:rFonts w:ascii="Arial" w:hAnsi="Arial" w:cs="Arial"/>
        </w:rPr>
        <w:t xml:space="preserve"> (Royal College of Psychiatrists,</w:t>
      </w:r>
      <w:r w:rsidR="001924CB">
        <w:rPr>
          <w:rFonts w:ascii="Arial" w:hAnsi="Arial" w:cs="Arial"/>
        </w:rPr>
        <w:t xml:space="preserve"> </w:t>
      </w:r>
      <w:r w:rsidR="002B7879" w:rsidRPr="00A22F62">
        <w:rPr>
          <w:rFonts w:ascii="Arial" w:hAnsi="Arial" w:cs="Arial"/>
        </w:rPr>
        <w:t>2025).</w:t>
      </w:r>
      <w:r w:rsidR="0022555C" w:rsidRPr="00A22F62">
        <w:rPr>
          <w:rFonts w:ascii="Arial" w:hAnsi="Arial" w:cs="Arial"/>
        </w:rPr>
        <w:t xml:space="preserve"> </w:t>
      </w:r>
      <w:r w:rsidR="00E36294" w:rsidRPr="00A22F62">
        <w:rPr>
          <w:rFonts w:ascii="Arial" w:hAnsi="Arial" w:cs="Arial"/>
        </w:rPr>
        <w:t>Recognising</w:t>
      </w:r>
      <w:r w:rsidRPr="00A22F62">
        <w:rPr>
          <w:rFonts w:ascii="Arial" w:hAnsi="Arial" w:cs="Arial"/>
        </w:rPr>
        <w:t xml:space="preserve"> PTSD as a valid and diagnosable outcome of Childhood Sexual Abuse (CSA) is instrumental in enhancing clinical practice, advocacy, and support mechanisms. Such </w:t>
      </w:r>
      <w:r w:rsidRPr="00A22F62">
        <w:rPr>
          <w:rFonts w:ascii="Arial" w:hAnsi="Arial" w:cs="Arial"/>
        </w:rPr>
        <w:lastRenderedPageBreak/>
        <w:t>recognition fosters a more nuanced understanding that can facilitate early diagnosis and targeted intervention</w:t>
      </w:r>
      <w:r w:rsidR="000C17AC">
        <w:rPr>
          <w:rFonts w:ascii="Arial" w:hAnsi="Arial" w:cs="Arial"/>
        </w:rPr>
        <w:t xml:space="preserve"> </w:t>
      </w:r>
      <w:r w:rsidR="000C17AC" w:rsidRPr="000C17AC">
        <w:rPr>
          <w:rFonts w:ascii="Arial" w:hAnsi="Arial" w:cs="Arial"/>
        </w:rPr>
        <w:t>(National Institute for Health and Care Excellence, 2018)</w:t>
      </w:r>
      <w:r w:rsidR="00842406">
        <w:rPr>
          <w:rFonts w:ascii="Arial" w:hAnsi="Arial" w:cs="Arial"/>
        </w:rPr>
        <w:t xml:space="preserve">. </w:t>
      </w:r>
      <w:r w:rsidRPr="00A22F62">
        <w:rPr>
          <w:rFonts w:ascii="Arial" w:hAnsi="Arial" w:cs="Arial"/>
        </w:rPr>
        <w:t xml:space="preserve">Moreover, increased public awareness and the incorporation of CSA-specific PTSD symptomatology into clinical training curricula are critical steps toward improving diagnostic accuracy and treatment efficacy. However, ongoing debates regarding the heterogeneity of PTSD manifestations post-CSA and the potential for diagnostic overshadowing warrant continued research and critical evaluation to </w:t>
      </w:r>
      <w:r w:rsidR="008E6EFE" w:rsidRPr="00A22F62">
        <w:rPr>
          <w:rFonts w:ascii="Arial" w:hAnsi="Arial" w:cs="Arial"/>
        </w:rPr>
        <w:t>optimise</w:t>
      </w:r>
      <w:r w:rsidRPr="00A22F62">
        <w:rPr>
          <w:rFonts w:ascii="Arial" w:hAnsi="Arial" w:cs="Arial"/>
        </w:rPr>
        <w:t xml:space="preserve"> intervention strategies</w:t>
      </w:r>
      <w:r w:rsidR="00C912AF">
        <w:rPr>
          <w:rFonts w:ascii="Arial" w:hAnsi="Arial" w:cs="Arial"/>
        </w:rPr>
        <w:t xml:space="preserve"> </w:t>
      </w:r>
      <w:bookmarkStart w:id="3" w:name="_Hlk204431453"/>
      <w:r w:rsidR="00C912AF" w:rsidRPr="00C912AF">
        <w:rPr>
          <w:rFonts w:ascii="Arial" w:hAnsi="Arial" w:cs="Arial"/>
        </w:rPr>
        <w:t xml:space="preserve">(Boumpa </w:t>
      </w:r>
      <w:r w:rsidR="00C912AF" w:rsidRPr="00F171F2">
        <w:rPr>
          <w:rFonts w:ascii="Arial" w:hAnsi="Arial" w:cs="Arial"/>
          <w:i/>
          <w:iCs/>
        </w:rPr>
        <w:t>et al.,</w:t>
      </w:r>
      <w:r w:rsidR="00C912AF" w:rsidRPr="00C912AF">
        <w:rPr>
          <w:rFonts w:ascii="Arial" w:hAnsi="Arial" w:cs="Arial"/>
        </w:rPr>
        <w:t xml:space="preserve"> 2022)</w:t>
      </w:r>
      <w:r w:rsidR="00C912AF">
        <w:rPr>
          <w:rFonts w:ascii="Arial" w:hAnsi="Arial" w:cs="Arial"/>
        </w:rPr>
        <w:t>.</w:t>
      </w:r>
      <w:bookmarkEnd w:id="3"/>
    </w:p>
    <w:p w14:paraId="5D00B2F1" w14:textId="77777777" w:rsidR="00147A6B" w:rsidRPr="00A22F62" w:rsidRDefault="00147A6B" w:rsidP="00A22F62">
      <w:pPr>
        <w:rPr>
          <w:rFonts w:ascii="Arial" w:hAnsi="Arial" w:cs="Arial"/>
        </w:rPr>
      </w:pPr>
      <w:r w:rsidRPr="00A22F62">
        <w:rPr>
          <w:rFonts w:ascii="Arial" w:hAnsi="Arial" w:cs="Arial"/>
          <w:b/>
          <w:bCs/>
        </w:rPr>
        <w:t>Interconnections with Other Themes</w:t>
      </w:r>
    </w:p>
    <w:p w14:paraId="1BD7F936" w14:textId="03B9DEBF" w:rsidR="00147A6B" w:rsidRPr="00A22F62" w:rsidRDefault="00FC53D1" w:rsidP="00A22F62">
      <w:pPr>
        <w:rPr>
          <w:rFonts w:ascii="Arial" w:hAnsi="Arial" w:cs="Arial"/>
        </w:rPr>
      </w:pPr>
      <w:r w:rsidRPr="00A22F62">
        <w:rPr>
          <w:rFonts w:ascii="Arial" w:hAnsi="Arial" w:cs="Arial"/>
        </w:rPr>
        <w:t>The discourse surrounding Post-Traumatic Stress Disorder (PTSD) reveals substantial intersections with other psychological constructs, notably depression and emotional dysregulation. Manifestations such as emotional numbing, despair, and volatility are prevalent co-occurring symptoms, indicating the complex pathology of PTSD</w:t>
      </w:r>
      <w:r w:rsidR="00E61F6A">
        <w:rPr>
          <w:rFonts w:ascii="Arial" w:hAnsi="Arial" w:cs="Arial"/>
        </w:rPr>
        <w:t xml:space="preserve"> </w:t>
      </w:r>
      <w:r w:rsidR="00E61F6A" w:rsidRPr="00E61F6A">
        <w:rPr>
          <w:rFonts w:ascii="Arial" w:hAnsi="Arial" w:cs="Arial"/>
        </w:rPr>
        <w:t xml:space="preserve">(Boumpa </w:t>
      </w:r>
      <w:r w:rsidR="00E61F6A" w:rsidRPr="00074052">
        <w:rPr>
          <w:rFonts w:ascii="Arial" w:hAnsi="Arial" w:cs="Arial"/>
          <w:i/>
          <w:iCs/>
        </w:rPr>
        <w:t>et al.,</w:t>
      </w:r>
      <w:r w:rsidR="00E61F6A" w:rsidRPr="00E61F6A">
        <w:rPr>
          <w:rFonts w:ascii="Arial" w:hAnsi="Arial" w:cs="Arial"/>
        </w:rPr>
        <w:t xml:space="preserve"> 2022; Christ </w:t>
      </w:r>
      <w:r w:rsidR="00E61F6A" w:rsidRPr="00DF19F6">
        <w:rPr>
          <w:rFonts w:ascii="Arial" w:hAnsi="Arial" w:cs="Arial"/>
          <w:i/>
          <w:iCs/>
        </w:rPr>
        <w:t>et al</w:t>
      </w:r>
      <w:r w:rsidR="00E61F6A" w:rsidRPr="00E61F6A">
        <w:rPr>
          <w:rFonts w:ascii="Arial" w:hAnsi="Arial" w:cs="Arial"/>
        </w:rPr>
        <w:t>., 2019)</w:t>
      </w:r>
      <w:r w:rsidR="00E61F6A">
        <w:rPr>
          <w:rFonts w:ascii="Arial" w:hAnsi="Arial" w:cs="Arial"/>
        </w:rPr>
        <w:t xml:space="preserve">. </w:t>
      </w:r>
      <w:r w:rsidRPr="00A22F62">
        <w:rPr>
          <w:rFonts w:ascii="Arial" w:hAnsi="Arial" w:cs="Arial"/>
        </w:rPr>
        <w:t>Furthermore, interpersonal dysfunction</w:t>
      </w:r>
      <w:r w:rsidR="00E36294" w:rsidRPr="00A22F62">
        <w:rPr>
          <w:rFonts w:ascii="Arial" w:hAnsi="Arial" w:cs="Arial"/>
        </w:rPr>
        <w:t xml:space="preserve">, </w:t>
      </w:r>
      <w:r w:rsidRPr="00A22F62">
        <w:rPr>
          <w:rFonts w:ascii="Arial" w:hAnsi="Arial" w:cs="Arial"/>
        </w:rPr>
        <w:t>addressed thoroughly in Theme 3</w:t>
      </w:r>
      <w:r w:rsidR="00E36294" w:rsidRPr="00A22F62">
        <w:rPr>
          <w:rFonts w:ascii="Arial" w:hAnsi="Arial" w:cs="Arial"/>
        </w:rPr>
        <w:t xml:space="preserve">, </w:t>
      </w:r>
      <w:r w:rsidRPr="00A22F62">
        <w:rPr>
          <w:rFonts w:ascii="Arial" w:hAnsi="Arial" w:cs="Arial"/>
        </w:rPr>
        <w:t xml:space="preserve">serves both as a precipitant and consequence of PTSD symptoms, including avoidance </w:t>
      </w:r>
      <w:r w:rsidR="00E36294" w:rsidRPr="00A22F62">
        <w:rPr>
          <w:rFonts w:ascii="Arial" w:hAnsi="Arial" w:cs="Arial"/>
        </w:rPr>
        <w:t>behaviours</w:t>
      </w:r>
      <w:r w:rsidRPr="00A22F62">
        <w:rPr>
          <w:rFonts w:ascii="Arial" w:hAnsi="Arial" w:cs="Arial"/>
        </w:rPr>
        <w:t xml:space="preserve"> and hypervigilance. These interrelated overlaps underscore the imperative to </w:t>
      </w:r>
      <w:r w:rsidR="00E36294" w:rsidRPr="00A22F62">
        <w:rPr>
          <w:rFonts w:ascii="Arial" w:hAnsi="Arial" w:cs="Arial"/>
        </w:rPr>
        <w:t>conceptualise</w:t>
      </w:r>
      <w:r w:rsidRPr="00A22F62">
        <w:rPr>
          <w:rFonts w:ascii="Arial" w:hAnsi="Arial" w:cs="Arial"/>
        </w:rPr>
        <w:t xml:space="preserve"> PTSD not as an isolated disorder attributable solely to childhood sexual abuse (CSA), but as embedded within an intricate network of psychological and relational disturbances, necessitating a multidimensional approach to understanding and intervention</w:t>
      </w:r>
      <w:r w:rsidR="00081895">
        <w:rPr>
          <w:rFonts w:ascii="Arial" w:hAnsi="Arial" w:cs="Arial"/>
        </w:rPr>
        <w:t xml:space="preserve"> </w:t>
      </w:r>
      <w:r w:rsidR="00081895" w:rsidRPr="00081895">
        <w:rPr>
          <w:rFonts w:ascii="Arial" w:hAnsi="Arial" w:cs="Arial"/>
        </w:rPr>
        <w:t xml:space="preserve">(Kratzer </w:t>
      </w:r>
      <w:r w:rsidR="00081895" w:rsidRPr="00DF19F6">
        <w:rPr>
          <w:rFonts w:ascii="Arial" w:hAnsi="Arial" w:cs="Arial"/>
          <w:i/>
          <w:iCs/>
        </w:rPr>
        <w:t>et al.,</w:t>
      </w:r>
      <w:r w:rsidR="00081895" w:rsidRPr="00081895">
        <w:rPr>
          <w:rFonts w:ascii="Arial" w:hAnsi="Arial" w:cs="Arial"/>
        </w:rPr>
        <w:t xml:space="preserve"> 2020; CSA Centre, 2023</w:t>
      </w:r>
      <w:r w:rsidR="00D62B72">
        <w:rPr>
          <w:rFonts w:ascii="Arial" w:hAnsi="Arial" w:cs="Arial"/>
        </w:rPr>
        <w:t>).</w:t>
      </w:r>
    </w:p>
    <w:p w14:paraId="3D82395F" w14:textId="77777777" w:rsidR="00147A6B" w:rsidRPr="00A22F62" w:rsidRDefault="00147A6B" w:rsidP="002C0F1E">
      <w:pPr>
        <w:rPr>
          <w:rFonts w:ascii="Arial" w:hAnsi="Arial" w:cs="Arial"/>
        </w:rPr>
      </w:pPr>
    </w:p>
    <w:p w14:paraId="18D94E0E" w14:textId="77777777" w:rsidR="007326E3" w:rsidRPr="001924CB" w:rsidRDefault="007326E3" w:rsidP="00A22F62">
      <w:pPr>
        <w:rPr>
          <w:rFonts w:ascii="Arial" w:hAnsi="Arial" w:cs="Arial"/>
          <w:b/>
          <w:bCs/>
          <w:sz w:val="24"/>
          <w:szCs w:val="24"/>
        </w:rPr>
      </w:pPr>
      <w:r w:rsidRPr="001924CB">
        <w:rPr>
          <w:rFonts w:ascii="Arial" w:hAnsi="Arial" w:cs="Arial"/>
          <w:b/>
          <w:bCs/>
          <w:sz w:val="24"/>
          <w:szCs w:val="24"/>
        </w:rPr>
        <w:t>4.4 – Theme 2: Depression and Emotional Dysregulation in Adult Survivors of Childhood Sexual Abuse</w:t>
      </w:r>
    </w:p>
    <w:p w14:paraId="15AFB560" w14:textId="0EE5BA45" w:rsidR="000E3CCF" w:rsidRPr="001924CB" w:rsidRDefault="00AF31E4" w:rsidP="002C0F1E">
      <w:pPr>
        <w:rPr>
          <w:rFonts w:ascii="Arial" w:hAnsi="Arial" w:cs="Arial"/>
        </w:rPr>
      </w:pPr>
      <w:r w:rsidRPr="001924CB">
        <w:rPr>
          <w:rFonts w:ascii="Arial" w:hAnsi="Arial" w:cs="Arial"/>
          <w:b/>
          <w:bCs/>
        </w:rPr>
        <w:t>Definition and Context</w:t>
      </w:r>
      <w:r w:rsidR="00B65876" w:rsidRPr="001924CB">
        <w:rPr>
          <w:rFonts w:ascii="Arial" w:hAnsi="Arial" w:cs="Arial"/>
          <w:b/>
          <w:bCs/>
        </w:rPr>
        <w:t>:</w:t>
      </w:r>
      <w:r w:rsidR="002C0F1E">
        <w:rPr>
          <w:rFonts w:ascii="Arial" w:hAnsi="Arial" w:cs="Arial"/>
          <w:b/>
          <w:bCs/>
        </w:rPr>
        <w:t xml:space="preserve"> </w:t>
      </w:r>
      <w:r w:rsidRPr="001924CB">
        <w:rPr>
          <w:rFonts w:ascii="Arial" w:hAnsi="Arial" w:cs="Arial"/>
        </w:rPr>
        <w:t>Depression and emotional dysregulation are among the most frequently reported long-term psychological effects in adult survivors of childhood sexual abuse (CSA). The NHS (202</w:t>
      </w:r>
      <w:r w:rsidR="006D7241" w:rsidRPr="001924CB">
        <w:rPr>
          <w:rFonts w:ascii="Arial" w:hAnsi="Arial" w:cs="Arial"/>
        </w:rPr>
        <w:t>3</w:t>
      </w:r>
      <w:r w:rsidRPr="001924CB">
        <w:rPr>
          <w:rFonts w:ascii="Arial" w:hAnsi="Arial" w:cs="Arial"/>
        </w:rPr>
        <w:t>) describes depression as a mood disorder characterised by ongoing sadness, diminished interest, and various cognitive and physical symptoms that disrupt daily life</w:t>
      </w:r>
      <w:r w:rsidR="006D7241" w:rsidRPr="001924CB">
        <w:rPr>
          <w:rFonts w:ascii="Arial" w:hAnsi="Arial" w:cs="Arial"/>
        </w:rPr>
        <w:t xml:space="preserve"> (NHS, 2023). </w:t>
      </w:r>
      <w:r w:rsidRPr="001924CB">
        <w:rPr>
          <w:rFonts w:ascii="Arial" w:hAnsi="Arial" w:cs="Arial"/>
        </w:rPr>
        <w:t>Emotional dysregulation involves difficulty regulating intense emotional reactions, often resulting in harmful behaviours like self-harm or emotional withdrawal</w:t>
      </w:r>
      <w:r w:rsidR="009A7E23" w:rsidRPr="001924CB">
        <w:rPr>
          <w:rFonts w:ascii="Arial" w:hAnsi="Arial" w:cs="Arial"/>
        </w:rPr>
        <w:t xml:space="preserve">. </w:t>
      </w:r>
      <w:r w:rsidRPr="001924CB">
        <w:rPr>
          <w:rFonts w:ascii="Arial" w:hAnsi="Arial" w:cs="Arial"/>
        </w:rPr>
        <w:t xml:space="preserve">For CSA survivors, these issues </w:t>
      </w:r>
      <w:r w:rsidR="008855BC" w:rsidRPr="001924CB">
        <w:rPr>
          <w:rFonts w:ascii="Arial" w:hAnsi="Arial" w:cs="Arial"/>
        </w:rPr>
        <w:t>frequently</w:t>
      </w:r>
      <w:r w:rsidRPr="001924CB">
        <w:rPr>
          <w:rFonts w:ascii="Arial" w:hAnsi="Arial" w:cs="Arial"/>
        </w:rPr>
        <w:t xml:space="preserve"> stem from unresolved trauma and disrupted emotional growth during childhood</w:t>
      </w:r>
      <w:r w:rsidR="007E3963" w:rsidRPr="001924CB">
        <w:rPr>
          <w:rFonts w:ascii="Arial" w:hAnsi="Arial" w:cs="Arial"/>
        </w:rPr>
        <w:t xml:space="preserve"> (IICSA,</w:t>
      </w:r>
      <w:r w:rsidR="00827371">
        <w:rPr>
          <w:rFonts w:ascii="Arial" w:hAnsi="Arial" w:cs="Arial"/>
        </w:rPr>
        <w:t xml:space="preserve"> </w:t>
      </w:r>
      <w:r w:rsidR="007E3963" w:rsidRPr="001924CB">
        <w:rPr>
          <w:rFonts w:ascii="Arial" w:hAnsi="Arial" w:cs="Arial"/>
        </w:rPr>
        <w:t>2019)</w:t>
      </w:r>
      <w:r w:rsidR="00467362" w:rsidRPr="001924CB">
        <w:rPr>
          <w:rFonts w:ascii="Arial" w:hAnsi="Arial" w:cs="Arial"/>
        </w:rPr>
        <w:t xml:space="preserve">. </w:t>
      </w:r>
      <w:r w:rsidRPr="001924CB">
        <w:rPr>
          <w:rFonts w:ascii="Arial" w:hAnsi="Arial" w:cs="Arial"/>
        </w:rPr>
        <w:t>Background Information Historically</w:t>
      </w:r>
      <w:r w:rsidR="003F0004" w:rsidRPr="001924CB">
        <w:rPr>
          <w:rFonts w:ascii="Arial" w:hAnsi="Arial" w:cs="Arial"/>
        </w:rPr>
        <w:t xml:space="preserve">, </w:t>
      </w:r>
      <w:r w:rsidRPr="001924CB">
        <w:rPr>
          <w:rFonts w:ascii="Arial" w:hAnsi="Arial" w:cs="Arial"/>
        </w:rPr>
        <w:t xml:space="preserve">CSA has been associated with a wide range of psychiatric outcomes, with depression being </w:t>
      </w:r>
      <w:r w:rsidR="008855BC" w:rsidRPr="001924CB">
        <w:rPr>
          <w:rFonts w:ascii="Arial" w:hAnsi="Arial" w:cs="Arial"/>
        </w:rPr>
        <w:t>prevalent</w:t>
      </w:r>
      <w:r w:rsidRPr="001924CB">
        <w:rPr>
          <w:rFonts w:ascii="Arial" w:hAnsi="Arial" w:cs="Arial"/>
        </w:rPr>
        <w:t>. Emotional dysregulation, while less frequently diagnosed on its own, is often seen in individuals with complex trauma backgrounds, especially in cases of prolonged abuse or abuse by caregivers</w:t>
      </w:r>
      <w:r w:rsidR="001558E2" w:rsidRPr="001924CB">
        <w:rPr>
          <w:rFonts w:ascii="Arial" w:hAnsi="Arial" w:cs="Arial"/>
        </w:rPr>
        <w:t xml:space="preserve"> (Lancastle</w:t>
      </w:r>
      <w:r w:rsidR="0032214A" w:rsidRPr="001924CB">
        <w:rPr>
          <w:rFonts w:ascii="Arial" w:hAnsi="Arial" w:cs="Arial"/>
        </w:rPr>
        <w:t xml:space="preserve"> </w:t>
      </w:r>
      <w:r w:rsidR="001558E2" w:rsidRPr="00972E5E">
        <w:rPr>
          <w:rFonts w:ascii="Arial" w:hAnsi="Arial" w:cs="Arial"/>
          <w:i/>
          <w:iCs/>
        </w:rPr>
        <w:t>et al.,</w:t>
      </w:r>
      <w:r w:rsidR="001558E2" w:rsidRPr="001924CB">
        <w:rPr>
          <w:rFonts w:ascii="Arial" w:hAnsi="Arial" w:cs="Arial"/>
        </w:rPr>
        <w:t xml:space="preserve"> 2024). </w:t>
      </w:r>
      <w:r w:rsidRPr="001924CB">
        <w:rPr>
          <w:rFonts w:ascii="Arial" w:hAnsi="Arial" w:cs="Arial"/>
        </w:rPr>
        <w:t xml:space="preserve">The secretive and </w:t>
      </w:r>
      <w:r w:rsidRPr="001924CB">
        <w:rPr>
          <w:rFonts w:ascii="Arial" w:hAnsi="Arial" w:cs="Arial"/>
        </w:rPr>
        <w:lastRenderedPageBreak/>
        <w:t>stigmatised nature of CSA can worsen emotional suppression, leading to ongoing psychological suffering</w:t>
      </w:r>
      <w:r w:rsidR="005B5BD6" w:rsidRPr="001924CB">
        <w:rPr>
          <w:rFonts w:ascii="Arial" w:hAnsi="Arial" w:cs="Arial"/>
        </w:rPr>
        <w:t xml:space="preserve"> (Kennedy and Prock, 2018).</w:t>
      </w:r>
    </w:p>
    <w:p w14:paraId="10CDF0C1" w14:textId="5E102061" w:rsidR="000E3CCF" w:rsidRPr="00A22F62" w:rsidRDefault="000E3CCF" w:rsidP="002C0F1E">
      <w:pPr>
        <w:rPr>
          <w:rFonts w:ascii="Arial" w:hAnsi="Arial" w:cs="Arial"/>
        </w:rPr>
      </w:pPr>
      <w:r w:rsidRPr="00A22F62">
        <w:rPr>
          <w:rFonts w:ascii="Arial" w:hAnsi="Arial" w:cs="Arial"/>
          <w:b/>
          <w:bCs/>
        </w:rPr>
        <w:t>Relevance to the Research Question</w:t>
      </w:r>
      <w:r w:rsidR="009559B4" w:rsidRPr="00A22F62">
        <w:rPr>
          <w:rFonts w:ascii="Arial" w:hAnsi="Arial" w:cs="Arial"/>
          <w:b/>
          <w:bCs/>
        </w:rPr>
        <w:t>:</w:t>
      </w:r>
      <w:r w:rsidRPr="00A22F62">
        <w:rPr>
          <w:rFonts w:ascii="Arial" w:hAnsi="Arial" w:cs="Arial"/>
        </w:rPr>
        <w:t xml:space="preserve"> </w:t>
      </w:r>
      <w:r w:rsidR="00902E00" w:rsidRPr="00A22F62">
        <w:rPr>
          <w:rFonts w:ascii="Arial" w:hAnsi="Arial" w:cs="Arial"/>
        </w:rPr>
        <w:t>This theme thoroughly explores the research question by demonstrating how childhood sexual abuse (CSA) profoundly affects emotional health and mental well-being over the long term</w:t>
      </w:r>
      <w:r w:rsidR="00A01F69" w:rsidRPr="00A22F62">
        <w:rPr>
          <w:rFonts w:ascii="Arial" w:hAnsi="Arial" w:cs="Arial"/>
        </w:rPr>
        <w:t xml:space="preserve"> </w:t>
      </w:r>
      <w:bookmarkStart w:id="4" w:name="_Hlk204460685"/>
      <w:r w:rsidR="00A01F69" w:rsidRPr="00A22F62">
        <w:rPr>
          <w:rFonts w:ascii="Arial" w:hAnsi="Arial" w:cs="Arial"/>
        </w:rPr>
        <w:t>(Office for National Statistics, 2020).</w:t>
      </w:r>
      <w:r w:rsidR="00902E00" w:rsidRPr="00A22F62">
        <w:rPr>
          <w:rFonts w:ascii="Arial" w:hAnsi="Arial" w:cs="Arial"/>
        </w:rPr>
        <w:t xml:space="preserve"> </w:t>
      </w:r>
      <w:bookmarkEnd w:id="4"/>
      <w:r w:rsidR="00902E00" w:rsidRPr="00A22F62">
        <w:rPr>
          <w:rFonts w:ascii="Arial" w:hAnsi="Arial" w:cs="Arial"/>
        </w:rPr>
        <w:t>It emphasises that depression and emotional dysregulation are not just internal issues but also influence survivors' relationships, work life, and overall quality of life. The discussion highlights the importance of targeted mental health support and trauma-informed approaches, stressing the enduring and complex impact of CSA on adult survivors</w:t>
      </w:r>
      <w:r w:rsidR="006B4F5B">
        <w:rPr>
          <w:rFonts w:ascii="Arial" w:hAnsi="Arial" w:cs="Arial"/>
        </w:rPr>
        <w:t xml:space="preserve"> </w:t>
      </w:r>
      <w:r w:rsidR="006B4F5B" w:rsidRPr="006B4F5B">
        <w:rPr>
          <w:rFonts w:ascii="Arial" w:hAnsi="Arial" w:cs="Arial"/>
        </w:rPr>
        <w:t>(Public Health England, 2021)</w:t>
      </w:r>
      <w:r w:rsidR="006B4F5B">
        <w:rPr>
          <w:rFonts w:ascii="Arial" w:hAnsi="Arial" w:cs="Arial"/>
        </w:rPr>
        <w:t>.</w:t>
      </w:r>
    </w:p>
    <w:p w14:paraId="251D767D" w14:textId="77777777" w:rsidR="00D03593" w:rsidRDefault="000E3CCF" w:rsidP="00A513BD">
      <w:pPr>
        <w:rPr>
          <w:rFonts w:ascii="Arial" w:hAnsi="Arial" w:cs="Arial"/>
        </w:rPr>
      </w:pPr>
      <w:r w:rsidRPr="00A22F62">
        <w:rPr>
          <w:rFonts w:ascii="Arial" w:hAnsi="Arial" w:cs="Arial"/>
          <w:b/>
          <w:bCs/>
        </w:rPr>
        <w:t>Statistical Information</w:t>
      </w:r>
      <w:r w:rsidR="00A513BD">
        <w:rPr>
          <w:rFonts w:ascii="Arial" w:hAnsi="Arial" w:cs="Arial"/>
          <w:b/>
          <w:bCs/>
        </w:rPr>
        <w:t>:</w:t>
      </w:r>
      <w:r w:rsidR="000F4369">
        <w:rPr>
          <w:rFonts w:ascii="Arial" w:hAnsi="Arial" w:cs="Arial"/>
          <w:b/>
          <w:bCs/>
        </w:rPr>
        <w:t xml:space="preserve"> </w:t>
      </w:r>
      <w:r w:rsidR="000F4369">
        <w:rPr>
          <w:rFonts w:ascii="Arial" w:hAnsi="Arial" w:cs="Arial"/>
        </w:rPr>
        <w:t xml:space="preserve">Numerous studies have confirmed the connection between childhood sexual abuse (CSA) and subsequent depression, emphasising a significant public health issue (Hailes </w:t>
      </w:r>
      <w:r w:rsidR="000F4369" w:rsidRPr="00D03593">
        <w:rPr>
          <w:rFonts w:ascii="Arial" w:hAnsi="Arial" w:cs="Arial"/>
          <w:i/>
          <w:iCs/>
        </w:rPr>
        <w:t>et al.,</w:t>
      </w:r>
      <w:r w:rsidR="000F4369">
        <w:rPr>
          <w:rFonts w:ascii="Arial" w:hAnsi="Arial" w:cs="Arial"/>
        </w:rPr>
        <w:t xml:space="preserve"> 2020). The Adult Psychiatric Morbidity Survey reports that adults in England with a history of CSA are three times more likely to experience depression, demonstrating a strong association. However, this cross-sectional survey cannot definitively establish causality (NHS, 2014). Christ </w:t>
      </w:r>
      <w:r w:rsidR="000F4369" w:rsidRPr="00D03593">
        <w:rPr>
          <w:rFonts w:ascii="Arial" w:hAnsi="Arial" w:cs="Arial"/>
          <w:i/>
          <w:iCs/>
        </w:rPr>
        <w:t>et al.</w:t>
      </w:r>
      <w:r w:rsidR="000F4369">
        <w:rPr>
          <w:rFonts w:ascii="Arial" w:hAnsi="Arial" w:cs="Arial"/>
        </w:rPr>
        <w:t xml:space="preserve"> (2019) suggest that childhood emotional abuse and neglect are key predictors of depression, with emotional dysregulation acting as a mediating factor. While this enhances understanding of psychological risk factors, the evidence remains mainly correlational, and causal inferences are unwarranted (Christ </w:t>
      </w:r>
      <w:r w:rsidR="000F4369" w:rsidRPr="00D03593">
        <w:rPr>
          <w:rFonts w:ascii="Arial" w:hAnsi="Arial" w:cs="Arial"/>
          <w:i/>
          <w:iCs/>
        </w:rPr>
        <w:t>et al</w:t>
      </w:r>
      <w:r w:rsidR="000F4369">
        <w:rPr>
          <w:rFonts w:ascii="Arial" w:hAnsi="Arial" w:cs="Arial"/>
        </w:rPr>
        <w:t xml:space="preserve">., 2019). </w:t>
      </w:r>
    </w:p>
    <w:p w14:paraId="4799DD87" w14:textId="343D0CB6" w:rsidR="000E3CCF" w:rsidRPr="00A513BD" w:rsidRDefault="000F4369" w:rsidP="00A513BD">
      <w:pPr>
        <w:rPr>
          <w:rFonts w:ascii="Arial" w:hAnsi="Arial" w:cs="Arial"/>
        </w:rPr>
      </w:pPr>
      <w:r>
        <w:rPr>
          <w:rFonts w:ascii="Arial" w:hAnsi="Arial" w:cs="Arial"/>
        </w:rPr>
        <w:t xml:space="preserve">The intricate relationship between emotional neglect, dysregulation, and depression calls for cautious interpretation, especially given limited longitudinal data. Future research should control for confounding variables to clarify causal links. Similarly, Chen </w:t>
      </w:r>
      <w:r w:rsidRPr="00D03593">
        <w:rPr>
          <w:rFonts w:ascii="Arial" w:hAnsi="Arial" w:cs="Arial"/>
          <w:i/>
          <w:iCs/>
        </w:rPr>
        <w:t>et al</w:t>
      </w:r>
      <w:r>
        <w:rPr>
          <w:rFonts w:ascii="Arial" w:hAnsi="Arial" w:cs="Arial"/>
        </w:rPr>
        <w:t xml:space="preserve">. (2010) conducted a meta-analysis indicating that CSA is a significant predictor of depression across genders and cultures. Despite </w:t>
      </w:r>
      <w:r w:rsidR="00D03593">
        <w:rPr>
          <w:rFonts w:ascii="Arial" w:hAnsi="Arial" w:cs="Arial"/>
        </w:rPr>
        <w:t>their usefulness, meta-analyses are vulnerable to publication bias and heterogeneity among studies, which complicates</w:t>
      </w:r>
      <w:r>
        <w:rPr>
          <w:rFonts w:ascii="Arial" w:hAnsi="Arial" w:cs="Arial"/>
        </w:rPr>
        <w:t xml:space="preserve"> definitive conclusions. Overall, these findings highlight the urgent need for targeted interventions and further rigorous research </w:t>
      </w:r>
      <w:r w:rsidR="00D03593">
        <w:rPr>
          <w:rFonts w:ascii="Arial" w:hAnsi="Arial" w:cs="Arial"/>
        </w:rPr>
        <w:t>to understand better</w:t>
      </w:r>
      <w:r>
        <w:rPr>
          <w:rFonts w:ascii="Arial" w:hAnsi="Arial" w:cs="Arial"/>
        </w:rPr>
        <w:t xml:space="preserve"> the causal mechanisms linking CSA and emotional abuse to depression (Chen </w:t>
      </w:r>
      <w:r w:rsidRPr="00D03593">
        <w:rPr>
          <w:rFonts w:ascii="Arial" w:hAnsi="Arial" w:cs="Arial"/>
          <w:i/>
          <w:iCs/>
        </w:rPr>
        <w:t>et al.,</w:t>
      </w:r>
      <w:r>
        <w:rPr>
          <w:rFonts w:ascii="Arial" w:hAnsi="Arial" w:cs="Arial"/>
        </w:rPr>
        <w:t xml:space="preserve"> 2010). </w:t>
      </w:r>
    </w:p>
    <w:p w14:paraId="4599F8CA" w14:textId="7AC4F143" w:rsidR="00A47AB9" w:rsidRPr="00FB1280" w:rsidRDefault="000E3CCF" w:rsidP="00FB1280">
      <w:pPr>
        <w:rPr>
          <w:rFonts w:ascii="Arial" w:hAnsi="Arial" w:cs="Arial"/>
        </w:rPr>
      </w:pPr>
      <w:r w:rsidRPr="00A22F62">
        <w:rPr>
          <w:rFonts w:ascii="Arial" w:hAnsi="Arial" w:cs="Arial"/>
          <w:b/>
          <w:bCs/>
        </w:rPr>
        <w:t>Theoretical Framework</w:t>
      </w:r>
      <w:bookmarkStart w:id="5" w:name="_Hlk204375248"/>
      <w:r w:rsidR="00FB1280">
        <w:rPr>
          <w:rFonts w:ascii="Arial" w:hAnsi="Arial" w:cs="Arial"/>
          <w:b/>
          <w:bCs/>
        </w:rPr>
        <w:t xml:space="preserve">: </w:t>
      </w:r>
      <w:r w:rsidR="00D03593">
        <w:rPr>
          <w:rFonts w:ascii="Arial" w:hAnsi="Arial" w:cs="Arial"/>
        </w:rPr>
        <w:t>Attachment</w:t>
      </w:r>
      <w:r w:rsidR="00FB1280" w:rsidRPr="00FB1280">
        <w:rPr>
          <w:rFonts w:ascii="Arial" w:hAnsi="Arial" w:cs="Arial"/>
        </w:rPr>
        <w:t xml:space="preserve"> theory (Bowlby, 1980) offers a framework to understand depression and emotional dysregulation in survivors of childhood sexual abuse (CSA), but its explanatory power warrants critical evaluation (Chapman,</w:t>
      </w:r>
      <w:r w:rsidR="00D03593">
        <w:rPr>
          <w:rFonts w:ascii="Arial" w:hAnsi="Arial" w:cs="Arial"/>
        </w:rPr>
        <w:t xml:space="preserve"> </w:t>
      </w:r>
      <w:r w:rsidR="00FB1280" w:rsidRPr="00FB1280">
        <w:rPr>
          <w:rFonts w:ascii="Arial" w:hAnsi="Arial" w:cs="Arial"/>
        </w:rPr>
        <w:t xml:space="preserve">2019). While insecure or disorganised attachment, often from early abuse, links to maladaptive emotion regulation, these do not prove causality and may oversimplify complex phenomena (Riggs, 2010). Herman's (1992) trauma model highlights physiological and emotional dysregulation as responses to overwhelming stress but risks underestimating individual and socio-cultural </w:t>
      </w:r>
      <w:r w:rsidR="00FB1280" w:rsidRPr="00FB1280">
        <w:rPr>
          <w:rFonts w:ascii="Arial" w:hAnsi="Arial" w:cs="Arial"/>
        </w:rPr>
        <w:lastRenderedPageBreak/>
        <w:t xml:space="preserve">influences (Zaleski </w:t>
      </w:r>
      <w:r w:rsidR="00FB1280" w:rsidRPr="00D03593">
        <w:rPr>
          <w:rFonts w:ascii="Arial" w:hAnsi="Arial" w:cs="Arial"/>
          <w:i/>
          <w:iCs/>
        </w:rPr>
        <w:t>et al</w:t>
      </w:r>
      <w:r w:rsidR="00FB1280" w:rsidRPr="00FB1280">
        <w:rPr>
          <w:rFonts w:ascii="Arial" w:hAnsi="Arial" w:cs="Arial"/>
        </w:rPr>
        <w:t xml:space="preserve">., 2016). Increasing research shows emotional dysregulation connects childhood trauma, like sexual abuse, to later depression (Akinyemi </w:t>
      </w:r>
      <w:r w:rsidR="00FB1280" w:rsidRPr="00D03593">
        <w:rPr>
          <w:rFonts w:ascii="Arial" w:hAnsi="Arial" w:cs="Arial"/>
          <w:i/>
          <w:iCs/>
        </w:rPr>
        <w:t>et al</w:t>
      </w:r>
      <w:r w:rsidR="00FB1280" w:rsidRPr="00FB1280">
        <w:rPr>
          <w:rFonts w:ascii="Arial" w:hAnsi="Arial" w:cs="Arial"/>
        </w:rPr>
        <w:t xml:space="preserve">., 2025). Jennissen </w:t>
      </w:r>
      <w:r w:rsidR="00FB1280" w:rsidRPr="00D03593">
        <w:rPr>
          <w:rFonts w:ascii="Arial" w:hAnsi="Arial" w:cs="Arial"/>
          <w:i/>
          <w:iCs/>
        </w:rPr>
        <w:t>et al.</w:t>
      </w:r>
      <w:r w:rsidR="00FB1280" w:rsidRPr="00FB1280">
        <w:rPr>
          <w:rFonts w:ascii="Arial" w:hAnsi="Arial" w:cs="Arial"/>
        </w:rPr>
        <w:t xml:space="preserve"> (2016) found </w:t>
      </w:r>
      <w:r w:rsidR="00D03593">
        <w:rPr>
          <w:rFonts w:ascii="Arial" w:hAnsi="Arial" w:cs="Arial"/>
        </w:rPr>
        <w:t xml:space="preserve">that </w:t>
      </w:r>
      <w:r w:rsidR="00FB1280" w:rsidRPr="00FB1280">
        <w:rPr>
          <w:rFonts w:ascii="Arial" w:hAnsi="Arial" w:cs="Arial"/>
        </w:rPr>
        <w:t xml:space="preserve">emotion dysregulation mediates </w:t>
      </w:r>
      <w:r w:rsidR="00D03593">
        <w:rPr>
          <w:rFonts w:ascii="Arial" w:hAnsi="Arial" w:cs="Arial"/>
        </w:rPr>
        <w:t xml:space="preserve">the relationship </w:t>
      </w:r>
      <w:r w:rsidR="00FB1280" w:rsidRPr="00FB1280">
        <w:rPr>
          <w:rFonts w:ascii="Arial" w:hAnsi="Arial" w:cs="Arial"/>
        </w:rPr>
        <w:t xml:space="preserve">between maltreatment and internalising disorders, including depression, aligned with trauma-informed theories that early abuse disrupts neurobiological and emotional systems, increasing vulnerability to emotional instability. Caution is needed, as many findings rely on </w:t>
      </w:r>
      <w:r w:rsidR="00D03593" w:rsidRPr="00FB1280">
        <w:rPr>
          <w:rFonts w:ascii="Arial" w:hAnsi="Arial" w:cs="Arial"/>
        </w:rPr>
        <w:t>self-reports</w:t>
      </w:r>
      <w:r w:rsidR="00FB1280" w:rsidRPr="00FB1280">
        <w:rPr>
          <w:rFonts w:ascii="Arial" w:hAnsi="Arial" w:cs="Arial"/>
        </w:rPr>
        <w:t xml:space="preserve"> and causality is complex. A multidisciplinary approach </w:t>
      </w:r>
      <w:r w:rsidR="00D03593">
        <w:rPr>
          <w:rFonts w:ascii="Arial" w:hAnsi="Arial" w:cs="Arial"/>
        </w:rPr>
        <w:t xml:space="preserve">that considers trauma and socio-cultural factors is vital for understanding and effective </w:t>
      </w:r>
      <w:r w:rsidR="00FB1280" w:rsidRPr="00FB1280">
        <w:rPr>
          <w:rFonts w:ascii="Arial" w:hAnsi="Arial" w:cs="Arial"/>
        </w:rPr>
        <w:t xml:space="preserve">intervention (Jennissen </w:t>
      </w:r>
      <w:r w:rsidR="00FB1280" w:rsidRPr="00D03593">
        <w:rPr>
          <w:rFonts w:ascii="Arial" w:hAnsi="Arial" w:cs="Arial"/>
          <w:i/>
          <w:iCs/>
        </w:rPr>
        <w:t>et al</w:t>
      </w:r>
      <w:r w:rsidR="00FB1280" w:rsidRPr="00FB1280">
        <w:rPr>
          <w:rFonts w:ascii="Arial" w:hAnsi="Arial" w:cs="Arial"/>
        </w:rPr>
        <w:t>., 2016).</w:t>
      </w:r>
    </w:p>
    <w:bookmarkEnd w:id="5"/>
    <w:p w14:paraId="0FACF519" w14:textId="34122AD8" w:rsidR="000E3CCF" w:rsidRPr="00A22F62" w:rsidRDefault="000E3CCF" w:rsidP="002C0F1E">
      <w:pPr>
        <w:rPr>
          <w:rFonts w:ascii="Arial" w:hAnsi="Arial" w:cs="Arial"/>
        </w:rPr>
      </w:pPr>
      <w:r w:rsidRPr="00A22F62">
        <w:rPr>
          <w:rFonts w:ascii="Arial" w:hAnsi="Arial" w:cs="Arial"/>
          <w:b/>
          <w:bCs/>
        </w:rPr>
        <w:t>Policy and Legislation</w:t>
      </w:r>
      <w:r w:rsidR="005E2B82" w:rsidRPr="00A22F62">
        <w:rPr>
          <w:rFonts w:ascii="Arial" w:hAnsi="Arial" w:cs="Arial"/>
          <w:b/>
          <w:bCs/>
        </w:rPr>
        <w:t>:</w:t>
      </w:r>
      <w:r w:rsidRPr="00A22F62">
        <w:rPr>
          <w:rFonts w:ascii="Arial" w:hAnsi="Arial" w:cs="Arial"/>
        </w:rPr>
        <w:t xml:space="preserve"> </w:t>
      </w:r>
      <w:r w:rsidR="00A148E6" w:rsidRPr="00A22F62">
        <w:rPr>
          <w:rFonts w:ascii="Arial" w:hAnsi="Arial" w:cs="Arial"/>
        </w:rPr>
        <w:t>In the UK, NICE (2018) guidelines endorse trauma-informed psychological therapies like CBT and DBT for those with depression and emotional issues after abuse</w:t>
      </w:r>
      <w:r w:rsidR="00664184" w:rsidRPr="00A22F62">
        <w:rPr>
          <w:rFonts w:ascii="Arial" w:hAnsi="Arial" w:cs="Arial"/>
        </w:rPr>
        <w:t xml:space="preserve"> (NICE, 2018).</w:t>
      </w:r>
      <w:r w:rsidR="00A148E6" w:rsidRPr="00A22F62">
        <w:rPr>
          <w:rFonts w:ascii="Arial" w:hAnsi="Arial" w:cs="Arial"/>
        </w:rPr>
        <w:t xml:space="preserve"> Additionally, the Care Act 2014 requires local authorities to protect adults from abuse and ensure access to suitable mental health services. However, despite these policies, </w:t>
      </w:r>
      <w:r w:rsidR="00E36294" w:rsidRPr="00A22F62">
        <w:rPr>
          <w:rFonts w:ascii="Arial" w:hAnsi="Arial" w:cs="Arial"/>
        </w:rPr>
        <w:t xml:space="preserve">the </w:t>
      </w:r>
      <w:r w:rsidR="00A148E6" w:rsidRPr="00A22F62">
        <w:rPr>
          <w:rFonts w:ascii="Arial" w:hAnsi="Arial" w:cs="Arial"/>
        </w:rPr>
        <w:t>availability of specialised services is often restricted, especially for survivors who encounter social or economic obstacles</w:t>
      </w:r>
      <w:r w:rsidR="00E35FA4" w:rsidRPr="00A22F62">
        <w:rPr>
          <w:rFonts w:ascii="Arial" w:hAnsi="Arial" w:cs="Arial"/>
        </w:rPr>
        <w:t xml:space="preserve"> (Care </w:t>
      </w:r>
      <w:r w:rsidR="00B435B1" w:rsidRPr="00A22F62">
        <w:rPr>
          <w:rFonts w:ascii="Arial" w:hAnsi="Arial" w:cs="Arial"/>
        </w:rPr>
        <w:t>Act</w:t>
      </w:r>
      <w:r w:rsidR="00E35FA4" w:rsidRPr="00A22F62">
        <w:rPr>
          <w:rFonts w:ascii="Arial" w:hAnsi="Arial" w:cs="Arial"/>
        </w:rPr>
        <w:t xml:space="preserve"> 2014, 2014).</w:t>
      </w:r>
    </w:p>
    <w:p w14:paraId="79438756" w14:textId="359761AE" w:rsidR="000E3CCF" w:rsidRPr="00A22F62" w:rsidRDefault="000E3CCF" w:rsidP="002C0F1E">
      <w:pPr>
        <w:rPr>
          <w:rFonts w:ascii="Arial" w:hAnsi="Arial" w:cs="Arial"/>
        </w:rPr>
      </w:pPr>
      <w:r w:rsidRPr="00A22F62">
        <w:rPr>
          <w:rFonts w:ascii="Arial" w:hAnsi="Arial" w:cs="Arial"/>
          <w:b/>
          <w:bCs/>
        </w:rPr>
        <w:t>Positive and Negative Implications</w:t>
      </w:r>
      <w:r w:rsidR="00A148E6" w:rsidRPr="00A22F62">
        <w:rPr>
          <w:rFonts w:ascii="Arial" w:hAnsi="Arial" w:cs="Arial"/>
          <w:b/>
          <w:bCs/>
        </w:rPr>
        <w:t>:</w:t>
      </w:r>
      <w:r w:rsidRPr="00A22F62">
        <w:rPr>
          <w:rFonts w:ascii="Arial" w:hAnsi="Arial" w:cs="Arial"/>
        </w:rPr>
        <w:t xml:space="preserve"> </w:t>
      </w:r>
      <w:r w:rsidR="00AA7BB1" w:rsidRPr="00A22F62">
        <w:rPr>
          <w:rFonts w:ascii="Arial" w:hAnsi="Arial" w:cs="Arial"/>
        </w:rPr>
        <w:t>Understanding the connection between CSA and depression or emotional dysregulation offers both benefits and challenges. Recognising these issues as trauma-related enables more compassionate and personalised interventions, validating survivors’ experiences and supporting recovery through targeted help</w:t>
      </w:r>
      <w:r w:rsidR="008E64C4" w:rsidRPr="00A22F62">
        <w:rPr>
          <w:rFonts w:ascii="Arial" w:hAnsi="Arial" w:cs="Arial"/>
        </w:rPr>
        <w:t xml:space="preserve"> </w:t>
      </w:r>
      <w:r w:rsidR="00437EA8" w:rsidRPr="00A22F62">
        <w:rPr>
          <w:rFonts w:ascii="Arial" w:hAnsi="Arial" w:cs="Arial"/>
        </w:rPr>
        <w:t>(NICE, 2018</w:t>
      </w:r>
      <w:r w:rsidR="006342EE" w:rsidRPr="00A22F62">
        <w:rPr>
          <w:rFonts w:ascii="Arial" w:hAnsi="Arial" w:cs="Arial"/>
        </w:rPr>
        <w:t xml:space="preserve"> </w:t>
      </w:r>
      <w:r w:rsidR="004B0D18" w:rsidRPr="00A22F62">
        <w:rPr>
          <w:rFonts w:ascii="Arial" w:hAnsi="Arial" w:cs="Arial"/>
        </w:rPr>
        <w:t>)</w:t>
      </w:r>
      <w:r w:rsidR="00437EA8" w:rsidRPr="00A22F62">
        <w:rPr>
          <w:rFonts w:ascii="Arial" w:hAnsi="Arial" w:cs="Arial"/>
        </w:rPr>
        <w:t xml:space="preserve">. </w:t>
      </w:r>
      <w:r w:rsidR="00AA7BB1" w:rsidRPr="00A22F62">
        <w:rPr>
          <w:rFonts w:ascii="Arial" w:hAnsi="Arial" w:cs="Arial"/>
        </w:rPr>
        <w:t xml:space="preserve">Conversely, there are drawbacks: survivors may be misdiagnosed or </w:t>
      </w:r>
      <w:r w:rsidR="00B435B1" w:rsidRPr="00A22F62">
        <w:rPr>
          <w:rFonts w:ascii="Arial" w:hAnsi="Arial" w:cs="Arial"/>
        </w:rPr>
        <w:t>mislabelled</w:t>
      </w:r>
      <w:r w:rsidR="00AA7BB1" w:rsidRPr="00A22F62">
        <w:rPr>
          <w:rFonts w:ascii="Arial" w:hAnsi="Arial" w:cs="Arial"/>
        </w:rPr>
        <w:t xml:space="preserve"> without proper trauma assessment, resulting in unsuitable treatment. Additionally, stigma and limited mental health awareness can prevent survivors from seeking assistance</w:t>
      </w:r>
      <w:r w:rsidR="003D4D02" w:rsidRPr="00A22F62">
        <w:rPr>
          <w:rFonts w:ascii="Arial" w:hAnsi="Arial" w:cs="Arial"/>
        </w:rPr>
        <w:t xml:space="preserve"> (Samuel, 2024).</w:t>
      </w:r>
    </w:p>
    <w:p w14:paraId="2EABE47B" w14:textId="3AB93042" w:rsidR="000E3CCF" w:rsidRPr="00A22F62" w:rsidRDefault="000E3CCF" w:rsidP="002C0F1E">
      <w:pPr>
        <w:rPr>
          <w:rFonts w:ascii="Arial" w:hAnsi="Arial" w:cs="Arial"/>
        </w:rPr>
      </w:pPr>
      <w:r w:rsidRPr="00A22F62">
        <w:rPr>
          <w:rFonts w:ascii="Arial" w:hAnsi="Arial" w:cs="Arial"/>
          <w:b/>
          <w:bCs/>
        </w:rPr>
        <w:t>Examples from Articles</w:t>
      </w:r>
      <w:r w:rsidR="00AA7BB1" w:rsidRPr="00A22F62">
        <w:rPr>
          <w:rFonts w:ascii="Arial" w:hAnsi="Arial" w:cs="Arial"/>
          <w:b/>
          <w:bCs/>
        </w:rPr>
        <w:t>:</w:t>
      </w:r>
      <w:r w:rsidRPr="00A22F62">
        <w:rPr>
          <w:rFonts w:ascii="Arial" w:hAnsi="Arial" w:cs="Arial"/>
        </w:rPr>
        <w:t xml:space="preserve"> </w:t>
      </w:r>
      <w:r w:rsidR="00153809" w:rsidRPr="00A22F62">
        <w:rPr>
          <w:rFonts w:ascii="Arial" w:hAnsi="Arial" w:cs="Arial"/>
        </w:rPr>
        <w:t xml:space="preserve">Christ </w:t>
      </w:r>
      <w:r w:rsidR="00153809" w:rsidRPr="00FA2EE0">
        <w:rPr>
          <w:rFonts w:ascii="Arial" w:hAnsi="Arial" w:cs="Arial"/>
          <w:i/>
          <w:iCs/>
        </w:rPr>
        <w:t>et al</w:t>
      </w:r>
      <w:r w:rsidR="00153809" w:rsidRPr="00A22F62">
        <w:rPr>
          <w:rFonts w:ascii="Arial" w:hAnsi="Arial" w:cs="Arial"/>
        </w:rPr>
        <w:t>. (2019) present strong empirical evidence linking CSA to adult depression, emphasising emotional dysregulation as a key mediator. Their results indicate that targeting emotional regulation in interventions could be particularly effective for this group</w:t>
      </w:r>
      <w:r w:rsidR="00242F3D">
        <w:rPr>
          <w:rFonts w:ascii="Arial" w:hAnsi="Arial" w:cs="Arial"/>
        </w:rPr>
        <w:t xml:space="preserve"> </w:t>
      </w:r>
      <w:r w:rsidR="00242F3D" w:rsidRPr="00242F3D">
        <w:rPr>
          <w:rFonts w:ascii="Arial" w:hAnsi="Arial" w:cs="Arial"/>
        </w:rPr>
        <w:t xml:space="preserve">(Christ </w:t>
      </w:r>
      <w:r w:rsidR="00242F3D" w:rsidRPr="00FA2EE0">
        <w:rPr>
          <w:rFonts w:ascii="Arial" w:hAnsi="Arial" w:cs="Arial"/>
          <w:i/>
          <w:iCs/>
        </w:rPr>
        <w:t>et al.,</w:t>
      </w:r>
      <w:r w:rsidR="00242F3D" w:rsidRPr="00242F3D">
        <w:rPr>
          <w:rFonts w:ascii="Arial" w:hAnsi="Arial" w:cs="Arial"/>
        </w:rPr>
        <w:t xml:space="preserve"> 2019</w:t>
      </w:r>
      <w:r w:rsidR="00523A98">
        <w:rPr>
          <w:rFonts w:ascii="Arial" w:hAnsi="Arial" w:cs="Arial"/>
        </w:rPr>
        <w:t>).</w:t>
      </w:r>
      <w:r w:rsidR="00153809" w:rsidRPr="00A22F62">
        <w:rPr>
          <w:rFonts w:ascii="Arial" w:hAnsi="Arial" w:cs="Arial"/>
        </w:rPr>
        <w:t xml:space="preserve"> In the UK context, MacGinley </w:t>
      </w:r>
      <w:r w:rsidR="004E3369" w:rsidRPr="00FA2EE0">
        <w:rPr>
          <w:rFonts w:ascii="Arial" w:hAnsi="Arial" w:cs="Arial"/>
          <w:i/>
          <w:iCs/>
        </w:rPr>
        <w:t>et al</w:t>
      </w:r>
      <w:r w:rsidR="00153809" w:rsidRPr="00A22F62">
        <w:rPr>
          <w:rFonts w:ascii="Arial" w:hAnsi="Arial" w:cs="Arial"/>
        </w:rPr>
        <w:t xml:space="preserve"> (2019) highlight that survivors often face repeated invalidation of their emotions during healthcare interactions, which worsens depressive symptoms</w:t>
      </w:r>
      <w:r w:rsidR="00385005">
        <w:rPr>
          <w:rFonts w:ascii="Arial" w:hAnsi="Arial" w:cs="Arial"/>
        </w:rPr>
        <w:t xml:space="preserve"> </w:t>
      </w:r>
      <w:r w:rsidR="004E3369" w:rsidRPr="004E3369">
        <w:rPr>
          <w:rFonts w:ascii="Arial" w:hAnsi="Arial" w:cs="Arial"/>
        </w:rPr>
        <w:t xml:space="preserve">(MacGinley </w:t>
      </w:r>
      <w:r w:rsidR="004E3369" w:rsidRPr="00FA2EE0">
        <w:rPr>
          <w:rFonts w:ascii="Arial" w:hAnsi="Arial" w:cs="Arial"/>
          <w:i/>
          <w:iCs/>
        </w:rPr>
        <w:t>et al.,</w:t>
      </w:r>
      <w:r w:rsidR="004E3369" w:rsidRPr="004E3369">
        <w:rPr>
          <w:rFonts w:ascii="Arial" w:hAnsi="Arial" w:cs="Arial"/>
        </w:rPr>
        <w:t xml:space="preserve"> 2019)</w:t>
      </w:r>
      <w:r w:rsidR="004E3369">
        <w:rPr>
          <w:rFonts w:ascii="Arial" w:hAnsi="Arial" w:cs="Arial"/>
        </w:rPr>
        <w:t>.</w:t>
      </w:r>
      <w:r w:rsidR="00385005">
        <w:rPr>
          <w:rFonts w:ascii="Arial" w:hAnsi="Arial" w:cs="Arial"/>
        </w:rPr>
        <w:t xml:space="preserve"> </w:t>
      </w:r>
      <w:r w:rsidR="00153809" w:rsidRPr="00A22F62">
        <w:rPr>
          <w:rFonts w:ascii="Arial" w:hAnsi="Arial" w:cs="Arial"/>
        </w:rPr>
        <w:t>Furthermore, the Office for National Statistics (ONS, 2020) reports that nearly 25% of CSA survivors experience clinical depression levels, underscoring the need for prioritised access to trauma-informed care</w:t>
      </w:r>
      <w:r w:rsidR="00EB3A82">
        <w:rPr>
          <w:rFonts w:ascii="Arial" w:hAnsi="Arial" w:cs="Arial"/>
        </w:rPr>
        <w:t xml:space="preserve"> </w:t>
      </w:r>
      <w:r w:rsidR="00EB3A82" w:rsidRPr="00EB3A82">
        <w:rPr>
          <w:rFonts w:ascii="Arial" w:hAnsi="Arial" w:cs="Arial"/>
        </w:rPr>
        <w:t xml:space="preserve">(Office for National Statistics, 2020). </w:t>
      </w:r>
    </w:p>
    <w:p w14:paraId="13690E70" w14:textId="16B016A9" w:rsidR="000E3CCF" w:rsidRPr="0018642B" w:rsidRDefault="000E3CCF" w:rsidP="002C0F1E">
      <w:r w:rsidRPr="00A22F62">
        <w:rPr>
          <w:rFonts w:ascii="Arial" w:hAnsi="Arial" w:cs="Arial"/>
          <w:b/>
          <w:bCs/>
        </w:rPr>
        <w:t>Interconnections with Other Themes</w:t>
      </w:r>
      <w:r w:rsidR="009E2910" w:rsidRPr="00A22F62">
        <w:rPr>
          <w:rFonts w:ascii="Arial" w:hAnsi="Arial" w:cs="Arial"/>
        </w:rPr>
        <w:t xml:space="preserve">: </w:t>
      </w:r>
      <w:r w:rsidR="0049216C" w:rsidRPr="00A22F62">
        <w:rPr>
          <w:rFonts w:ascii="Arial" w:hAnsi="Arial" w:cs="Arial"/>
        </w:rPr>
        <w:t>This theme is closely connected to Theme 1, since PTSD symptoms frequently overlap with or lead to depression and emotional dysregulation. Symptoms like hypervigilance, intrusive thoughts, and emotional numbness often occur alongside depressive signs</w:t>
      </w:r>
      <w:r w:rsidR="00E906DB">
        <w:rPr>
          <w:rFonts w:ascii="Arial" w:hAnsi="Arial" w:cs="Arial"/>
        </w:rPr>
        <w:t xml:space="preserve">( </w:t>
      </w:r>
      <w:r w:rsidR="00E906DB" w:rsidRPr="00E906DB">
        <w:rPr>
          <w:rFonts w:ascii="Arial" w:hAnsi="Arial" w:cs="Arial"/>
        </w:rPr>
        <w:t xml:space="preserve">Boumpa </w:t>
      </w:r>
      <w:r w:rsidR="00E906DB" w:rsidRPr="00BA7832">
        <w:rPr>
          <w:rFonts w:ascii="Arial" w:hAnsi="Arial" w:cs="Arial"/>
          <w:i/>
          <w:iCs/>
        </w:rPr>
        <w:t>et al</w:t>
      </w:r>
      <w:r w:rsidR="00E906DB" w:rsidRPr="00E906DB">
        <w:rPr>
          <w:rFonts w:ascii="Arial" w:hAnsi="Arial" w:cs="Arial"/>
        </w:rPr>
        <w:t xml:space="preserve">., 2022; Kratzer </w:t>
      </w:r>
      <w:r w:rsidR="00E906DB" w:rsidRPr="00BA7832">
        <w:rPr>
          <w:rFonts w:ascii="Arial" w:hAnsi="Arial" w:cs="Arial"/>
          <w:i/>
          <w:iCs/>
        </w:rPr>
        <w:t>et al.,</w:t>
      </w:r>
      <w:r w:rsidR="00E906DB" w:rsidRPr="00E906DB">
        <w:rPr>
          <w:rFonts w:ascii="Arial" w:hAnsi="Arial" w:cs="Arial"/>
        </w:rPr>
        <w:t xml:space="preserve"> 2020).</w:t>
      </w:r>
      <w:r w:rsidR="00E906DB">
        <w:rPr>
          <w:rFonts w:ascii="Arial" w:hAnsi="Arial" w:cs="Arial"/>
        </w:rPr>
        <w:t xml:space="preserve"> </w:t>
      </w:r>
      <w:r w:rsidR="0049216C" w:rsidRPr="00A22F62">
        <w:rPr>
          <w:rFonts w:ascii="Arial" w:hAnsi="Arial" w:cs="Arial"/>
        </w:rPr>
        <w:t xml:space="preserve">Additionally, Theme 3 relates to this, as interpersonal issues and attachment problems can both stem from and </w:t>
      </w:r>
      <w:r w:rsidR="0049216C" w:rsidRPr="00A22F62">
        <w:rPr>
          <w:rFonts w:ascii="Arial" w:hAnsi="Arial" w:cs="Arial"/>
        </w:rPr>
        <w:lastRenderedPageBreak/>
        <w:t>trigger emotional dysregulation and depression. The interaction among these themes illustrates that the psychological effects of CSA are complex and need a comprehensive approach</w:t>
      </w:r>
      <w:r w:rsidR="00B32E95">
        <w:rPr>
          <w:rFonts w:ascii="Arial" w:hAnsi="Arial" w:cs="Arial"/>
          <w:color w:val="EE0000"/>
        </w:rPr>
        <w:t xml:space="preserve"> </w:t>
      </w:r>
      <w:r w:rsidR="006D76D7" w:rsidRPr="0018642B">
        <w:rPr>
          <w:rFonts w:ascii="Arial" w:hAnsi="Arial" w:cs="Arial"/>
          <w:highlight w:val="lightGray"/>
        </w:rPr>
        <w:t xml:space="preserve">(Christ </w:t>
      </w:r>
      <w:r w:rsidR="006D76D7" w:rsidRPr="00BA7832">
        <w:rPr>
          <w:rFonts w:ascii="Arial" w:hAnsi="Arial" w:cs="Arial"/>
          <w:i/>
          <w:iCs/>
          <w:highlight w:val="lightGray"/>
        </w:rPr>
        <w:t>et al</w:t>
      </w:r>
      <w:r w:rsidR="006D76D7" w:rsidRPr="0018642B">
        <w:rPr>
          <w:rFonts w:ascii="Arial" w:hAnsi="Arial" w:cs="Arial"/>
          <w:highlight w:val="lightGray"/>
        </w:rPr>
        <w:t>., 2019; CSA Centre, 2023).</w:t>
      </w:r>
    </w:p>
    <w:p w14:paraId="1F865DE3" w14:textId="34BB4E9E" w:rsidR="00F439AC" w:rsidRPr="00F439AC" w:rsidRDefault="000E3CCF" w:rsidP="002C0F1E">
      <w:pPr>
        <w:rPr>
          <w:rFonts w:ascii="Arial" w:hAnsi="Arial" w:cs="Arial"/>
        </w:rPr>
      </w:pPr>
      <w:r w:rsidRPr="00A22F62">
        <w:rPr>
          <w:rFonts w:ascii="Arial" w:hAnsi="Arial" w:cs="Arial"/>
          <w:b/>
          <w:bCs/>
        </w:rPr>
        <w:t>Critical Perspective</w:t>
      </w:r>
      <w:r w:rsidR="00EE45CE" w:rsidRPr="00A22F62">
        <w:rPr>
          <w:rFonts w:ascii="Arial" w:hAnsi="Arial" w:cs="Arial"/>
        </w:rPr>
        <w:t>: From a critical standpoint, it's crucial to examine whether current mental health services adequately address the complexity of depression among CSA survivors. Feminist and trauma-informed perspectives argue that depression is not merely a clinical condition but also a reflection of society's failure to protect and support victims</w:t>
      </w:r>
      <w:r w:rsidR="002C449A">
        <w:rPr>
          <w:rFonts w:ascii="Arial" w:hAnsi="Arial" w:cs="Arial"/>
        </w:rPr>
        <w:t xml:space="preserve"> </w:t>
      </w:r>
      <w:r w:rsidR="00F439AC" w:rsidRPr="00F439AC">
        <w:rPr>
          <w:rFonts w:ascii="Arial" w:hAnsi="Arial" w:cs="Arial"/>
        </w:rPr>
        <w:t>(Parkinson and Steele, 2025)</w:t>
      </w:r>
      <w:r w:rsidR="00F439AC">
        <w:rPr>
          <w:rFonts w:ascii="Arial" w:hAnsi="Arial" w:cs="Arial"/>
        </w:rPr>
        <w:t xml:space="preserve">. </w:t>
      </w:r>
      <w:r w:rsidR="00EE45CE" w:rsidRPr="00A22F62">
        <w:rPr>
          <w:rFonts w:ascii="Arial" w:hAnsi="Arial" w:cs="Arial"/>
        </w:rPr>
        <w:t xml:space="preserve">Survivors </w:t>
      </w:r>
      <w:r w:rsidR="00E36294" w:rsidRPr="00A22F62">
        <w:rPr>
          <w:rFonts w:ascii="Arial" w:hAnsi="Arial" w:cs="Arial"/>
        </w:rPr>
        <w:t>often report feeling misunderstood or dismissed by professionals, highlighting</w:t>
      </w:r>
      <w:r w:rsidR="00EE45CE" w:rsidRPr="00A22F62">
        <w:rPr>
          <w:rFonts w:ascii="Arial" w:hAnsi="Arial" w:cs="Arial"/>
        </w:rPr>
        <w:t xml:space="preserve"> systemic shortcomings in training and service delivery. While biological and psychological treatments are </w:t>
      </w:r>
      <w:r w:rsidR="00E36294" w:rsidRPr="00A22F62">
        <w:rPr>
          <w:rFonts w:ascii="Arial" w:hAnsi="Arial" w:cs="Arial"/>
        </w:rPr>
        <w:t>essential</w:t>
      </w:r>
      <w:r w:rsidR="00EE45CE" w:rsidRPr="00A22F62">
        <w:rPr>
          <w:rFonts w:ascii="Arial" w:hAnsi="Arial" w:cs="Arial"/>
        </w:rPr>
        <w:t>, they should be incorporated into a comprehensive approach that emphasises social validation, advocacy, and empowering survivors</w:t>
      </w:r>
      <w:r w:rsidR="00F439AC">
        <w:rPr>
          <w:rFonts w:ascii="Arial" w:hAnsi="Arial" w:cs="Arial"/>
        </w:rPr>
        <w:t xml:space="preserve"> </w:t>
      </w:r>
      <w:r w:rsidR="00F439AC" w:rsidRPr="00F439AC">
        <w:rPr>
          <w:rFonts w:ascii="Arial" w:hAnsi="Arial" w:cs="Arial"/>
        </w:rPr>
        <w:t>(Parkinson and Steele, 2025)</w:t>
      </w:r>
      <w:r w:rsidR="00F439AC">
        <w:rPr>
          <w:rFonts w:ascii="Arial" w:hAnsi="Arial" w:cs="Arial"/>
        </w:rPr>
        <w:t>.</w:t>
      </w:r>
    </w:p>
    <w:p w14:paraId="405BAAAA" w14:textId="00CCA1EA" w:rsidR="000E3CCF" w:rsidRPr="00A22F62" w:rsidRDefault="000E3CCF" w:rsidP="00A22F62">
      <w:pPr>
        <w:rPr>
          <w:rFonts w:ascii="Arial" w:hAnsi="Arial" w:cs="Arial"/>
        </w:rPr>
      </w:pPr>
    </w:p>
    <w:p w14:paraId="4DC2197E" w14:textId="77777777" w:rsidR="005A2A07" w:rsidRPr="002F1116" w:rsidRDefault="00FE04FD" w:rsidP="00A22F62">
      <w:pPr>
        <w:jc w:val="left"/>
        <w:rPr>
          <w:rFonts w:ascii="Arial" w:hAnsi="Arial" w:cs="Arial"/>
          <w:b/>
          <w:bCs/>
          <w:sz w:val="24"/>
          <w:szCs w:val="24"/>
        </w:rPr>
      </w:pPr>
      <w:r w:rsidRPr="002F1116">
        <w:rPr>
          <w:rFonts w:ascii="Arial" w:hAnsi="Arial" w:cs="Arial"/>
          <w:b/>
          <w:bCs/>
          <w:sz w:val="24"/>
          <w:szCs w:val="24"/>
        </w:rPr>
        <w:t xml:space="preserve">4.5 – </w:t>
      </w:r>
      <w:r w:rsidR="00007954" w:rsidRPr="002F1116">
        <w:rPr>
          <w:rFonts w:ascii="Arial" w:hAnsi="Arial" w:cs="Arial"/>
          <w:b/>
          <w:bCs/>
          <w:sz w:val="24"/>
          <w:szCs w:val="24"/>
        </w:rPr>
        <w:t xml:space="preserve">Theme 3: Interpersonal Difficulties and Attachment Issues in Adult Survivors of Childhood Sexual </w:t>
      </w:r>
      <w:r w:rsidR="00A62C55" w:rsidRPr="002F1116">
        <w:rPr>
          <w:rFonts w:ascii="Arial" w:hAnsi="Arial" w:cs="Arial"/>
          <w:b/>
          <w:bCs/>
          <w:sz w:val="24"/>
          <w:szCs w:val="24"/>
        </w:rPr>
        <w:t>Abuse</w:t>
      </w:r>
    </w:p>
    <w:p w14:paraId="1D78B64C" w14:textId="479DC782" w:rsidR="009C3019" w:rsidRPr="009C3019" w:rsidRDefault="003162E4" w:rsidP="002C0F1E">
      <w:pPr>
        <w:jc w:val="left"/>
        <w:rPr>
          <w:rFonts w:ascii="Arial" w:hAnsi="Arial" w:cs="Arial"/>
        </w:rPr>
      </w:pPr>
      <w:r w:rsidRPr="00A22F62">
        <w:rPr>
          <w:rFonts w:ascii="Arial" w:hAnsi="Arial" w:cs="Arial"/>
        </w:rPr>
        <w:t xml:space="preserve">Childhood sexual abuse (CSA) results in lasting psychological and relational effects, especially in how survivors interact with others in adulthood. This section explores long-term interpersonal and attachment challenges faced by adult CSA survivors, supported by research, theories, and UK policy and practice. These challenges often involve </w:t>
      </w:r>
      <w:r w:rsidR="00E36294" w:rsidRPr="00A22F62">
        <w:rPr>
          <w:rFonts w:ascii="Arial" w:hAnsi="Arial" w:cs="Arial"/>
        </w:rPr>
        <w:t>issues with trust,</w:t>
      </w:r>
      <w:r w:rsidRPr="00A22F62">
        <w:rPr>
          <w:rFonts w:ascii="Arial" w:hAnsi="Arial" w:cs="Arial"/>
        </w:rPr>
        <w:t xml:space="preserve"> intimacy, emotional regulation, and establishing secure attachments. Such problems are key to understanding how CSA influences adult mental health</w:t>
      </w:r>
      <w:r w:rsidR="0038362B">
        <w:rPr>
          <w:rFonts w:ascii="Arial" w:hAnsi="Arial" w:cs="Arial"/>
        </w:rPr>
        <w:t xml:space="preserve"> </w:t>
      </w:r>
      <w:r w:rsidR="0038362B" w:rsidRPr="0038362B">
        <w:rPr>
          <w:rFonts w:ascii="Arial" w:hAnsi="Arial" w:cs="Arial"/>
        </w:rPr>
        <w:t>(CSA Centre, 2023</w:t>
      </w:r>
      <w:r w:rsidR="0038362B">
        <w:rPr>
          <w:rFonts w:ascii="Arial" w:hAnsi="Arial" w:cs="Arial"/>
        </w:rPr>
        <w:t>)</w:t>
      </w:r>
      <w:r w:rsidR="009E199D">
        <w:rPr>
          <w:rFonts w:ascii="Arial" w:hAnsi="Arial" w:cs="Arial"/>
        </w:rPr>
        <w:t>.</w:t>
      </w:r>
    </w:p>
    <w:p w14:paraId="0423D5B8" w14:textId="19A76DE4" w:rsidR="00445D65" w:rsidRDefault="009C3019" w:rsidP="002C0F1E">
      <w:pPr>
        <w:jc w:val="left"/>
        <w:rPr>
          <w:rFonts w:ascii="Arial" w:hAnsi="Arial" w:cs="Arial"/>
        </w:rPr>
      </w:pPr>
      <w:r w:rsidRPr="009C3019">
        <w:rPr>
          <w:rFonts w:ascii="Arial" w:hAnsi="Arial" w:cs="Arial"/>
          <w:b/>
          <w:bCs/>
        </w:rPr>
        <w:t>Definition and Context</w:t>
      </w:r>
      <w:r w:rsidR="00FE7C0E" w:rsidRPr="00A22F62">
        <w:rPr>
          <w:rFonts w:ascii="Arial" w:hAnsi="Arial" w:cs="Arial"/>
          <w:b/>
          <w:bCs/>
        </w:rPr>
        <w:t>:</w:t>
      </w:r>
      <w:r w:rsidRPr="009C3019">
        <w:rPr>
          <w:rFonts w:ascii="Arial" w:hAnsi="Arial" w:cs="Arial"/>
        </w:rPr>
        <w:t xml:space="preserve"> </w:t>
      </w:r>
      <w:r w:rsidR="00E92200" w:rsidRPr="00A22F62">
        <w:rPr>
          <w:rFonts w:ascii="Arial" w:hAnsi="Arial" w:cs="Arial"/>
        </w:rPr>
        <w:t xml:space="preserve">Interpersonal difficulties </w:t>
      </w:r>
      <w:r w:rsidR="00E36294" w:rsidRPr="00A22F62">
        <w:rPr>
          <w:rFonts w:ascii="Arial" w:hAnsi="Arial" w:cs="Arial"/>
        </w:rPr>
        <w:t>encompass persistent challenges in forming and maintaining</w:t>
      </w:r>
      <w:r w:rsidR="00E92200" w:rsidRPr="00A22F62">
        <w:rPr>
          <w:rFonts w:ascii="Arial" w:hAnsi="Arial" w:cs="Arial"/>
        </w:rPr>
        <w:t xml:space="preserve"> healthy relationships. Attachment issues are linked to maladaptive attachment styles formed early in life that persist into adulthood. Bowlby’s (1969) attachment theory provides a core framework, suggesting that early relational experiences influence internal models of the self and others. Childhood sexual abuse (CSA), particularly when committed by a caregiver, significantly breaches relational safety and trust, frequently resulting in disorganised or avoidant attachment patterns</w:t>
      </w:r>
      <w:r w:rsidR="00C66114">
        <w:rPr>
          <w:rFonts w:ascii="Arial" w:hAnsi="Arial" w:cs="Arial"/>
        </w:rPr>
        <w:t xml:space="preserve"> </w:t>
      </w:r>
      <w:r w:rsidR="00445D65" w:rsidRPr="00445D65">
        <w:rPr>
          <w:rFonts w:ascii="Arial" w:hAnsi="Arial" w:cs="Arial"/>
        </w:rPr>
        <w:t xml:space="preserve">(Sullivan </w:t>
      </w:r>
      <w:r w:rsidR="00445D65" w:rsidRPr="00445D65">
        <w:rPr>
          <w:rFonts w:ascii="Arial" w:hAnsi="Arial" w:cs="Arial"/>
          <w:i/>
          <w:iCs/>
        </w:rPr>
        <w:t>et al.</w:t>
      </w:r>
      <w:r w:rsidR="00445D65" w:rsidRPr="00445D65">
        <w:rPr>
          <w:rFonts w:ascii="Arial" w:hAnsi="Arial" w:cs="Arial"/>
        </w:rPr>
        <w:t>, 2020)</w:t>
      </w:r>
      <w:r w:rsidR="00445D65">
        <w:rPr>
          <w:rFonts w:ascii="Arial" w:hAnsi="Arial" w:cs="Arial"/>
        </w:rPr>
        <w:t>.</w:t>
      </w:r>
    </w:p>
    <w:p w14:paraId="175305A2" w14:textId="5432EE47" w:rsidR="009C3019" w:rsidRPr="009C3019" w:rsidRDefault="009C3019" w:rsidP="002C0F1E">
      <w:pPr>
        <w:jc w:val="left"/>
        <w:rPr>
          <w:rFonts w:ascii="Arial" w:hAnsi="Arial" w:cs="Arial"/>
        </w:rPr>
      </w:pPr>
      <w:r w:rsidRPr="009C3019">
        <w:rPr>
          <w:rFonts w:ascii="Arial" w:hAnsi="Arial" w:cs="Arial"/>
          <w:b/>
          <w:bCs/>
        </w:rPr>
        <w:t>Relevance to Research Question</w:t>
      </w:r>
      <w:r w:rsidR="009508DD" w:rsidRPr="00A22F62">
        <w:rPr>
          <w:rFonts w:ascii="Arial" w:hAnsi="Arial" w:cs="Arial"/>
          <w:b/>
          <w:bCs/>
        </w:rPr>
        <w:t xml:space="preserve">: </w:t>
      </w:r>
      <w:r w:rsidR="00E36294" w:rsidRPr="000F0C66">
        <w:rPr>
          <w:rFonts w:ascii="Arial" w:hAnsi="Arial" w:cs="Arial"/>
        </w:rPr>
        <w:t>This</w:t>
      </w:r>
      <w:r w:rsidR="009508DD" w:rsidRPr="000F0C66">
        <w:rPr>
          <w:rFonts w:ascii="Arial" w:hAnsi="Arial" w:cs="Arial"/>
        </w:rPr>
        <w:t xml:space="preserve"> theme emphasises the relational aspect of psychological healing and growth. Mental health is closely linked to how people interact with others; therefore, disruptions in relationships highlight the profound impact of CSA</w:t>
      </w:r>
      <w:r w:rsidR="008C54E8">
        <w:rPr>
          <w:rFonts w:ascii="Arial" w:hAnsi="Arial" w:cs="Arial"/>
        </w:rPr>
        <w:t xml:space="preserve"> </w:t>
      </w:r>
      <w:r w:rsidR="008C54E8" w:rsidRPr="008C54E8">
        <w:rPr>
          <w:rFonts w:ascii="Arial" w:hAnsi="Arial" w:cs="Arial"/>
        </w:rPr>
        <w:t>(Vera-Grey, 2023).</w:t>
      </w:r>
      <w:r w:rsidR="009508DD" w:rsidRPr="000F0C66">
        <w:rPr>
          <w:rFonts w:ascii="Arial" w:hAnsi="Arial" w:cs="Arial"/>
        </w:rPr>
        <w:t xml:space="preserve"> Survivors frequently face difficulties with intimacy, fear rejection, or become emotionally detached, which can lead to additional mental health problems like depression, anxiety, or social withdrawal. </w:t>
      </w:r>
      <w:r w:rsidR="009F34C3">
        <w:rPr>
          <w:rFonts w:ascii="Arial" w:hAnsi="Arial" w:cs="Arial"/>
        </w:rPr>
        <w:t xml:space="preserve">Examining this theme </w:t>
      </w:r>
      <w:r w:rsidR="000B47F9">
        <w:rPr>
          <w:rFonts w:ascii="Arial" w:hAnsi="Arial" w:cs="Arial"/>
        </w:rPr>
        <w:t xml:space="preserve">enables a deeper understanding of how </w:t>
      </w:r>
      <w:r w:rsidR="000B47F9">
        <w:rPr>
          <w:rFonts w:ascii="Arial" w:hAnsi="Arial" w:cs="Arial"/>
        </w:rPr>
        <w:lastRenderedPageBreak/>
        <w:t>CSA affects</w:t>
      </w:r>
      <w:r w:rsidR="009F34C3">
        <w:rPr>
          <w:rFonts w:ascii="Arial" w:hAnsi="Arial" w:cs="Arial"/>
        </w:rPr>
        <w:t xml:space="preserve"> both the internal experiences of survivors and their external relationships.</w:t>
      </w:r>
      <w:r w:rsidR="008C54E8">
        <w:rPr>
          <w:rFonts w:ascii="Arial" w:hAnsi="Arial" w:cs="Arial"/>
        </w:rPr>
        <w:t xml:space="preserve"> </w:t>
      </w:r>
      <w:bookmarkStart w:id="6" w:name="_Hlk204451315"/>
      <w:r w:rsidR="008C54E8" w:rsidRPr="008C54E8">
        <w:rPr>
          <w:rFonts w:ascii="Arial" w:hAnsi="Arial" w:cs="Arial"/>
        </w:rPr>
        <w:t>(Vera-Grey, 2023)</w:t>
      </w:r>
      <w:r w:rsidR="008C54E8">
        <w:rPr>
          <w:rFonts w:ascii="Arial" w:hAnsi="Arial" w:cs="Arial"/>
        </w:rPr>
        <w:t>.</w:t>
      </w:r>
      <w:bookmarkEnd w:id="6"/>
    </w:p>
    <w:p w14:paraId="6E359051" w14:textId="61673C11" w:rsidR="005572FF" w:rsidRPr="005572FF" w:rsidRDefault="009C3019" w:rsidP="009F34C3">
      <w:pPr>
        <w:jc w:val="left"/>
        <w:rPr>
          <w:rFonts w:ascii="Arial" w:hAnsi="Arial" w:cs="Arial"/>
        </w:rPr>
      </w:pPr>
      <w:r w:rsidRPr="009C3019">
        <w:rPr>
          <w:rFonts w:ascii="Arial" w:hAnsi="Arial" w:cs="Arial"/>
          <w:b/>
          <w:bCs/>
        </w:rPr>
        <w:t>Empirical Literature and Theoretical Analysis</w:t>
      </w:r>
      <w:r w:rsidR="00A03593">
        <w:rPr>
          <w:rFonts w:ascii="Arial" w:hAnsi="Arial" w:cs="Arial"/>
        </w:rPr>
        <w:t xml:space="preserve">: </w:t>
      </w:r>
      <w:r w:rsidR="00C85D91">
        <w:rPr>
          <w:rFonts w:ascii="Arial" w:hAnsi="Arial" w:cs="Arial"/>
        </w:rPr>
        <w:t xml:space="preserve">Research by the Independent Inquiry into Child Sexual Abuse (IICSA, 2022) highlights relational challenges faced by adult survivors of childhood sexual abuse (CSA) (Investigations &amp; research, 2021). These include increased relational anxiety, emotional withdrawal, and mistrust. Such issues often lead to avoidance of intimacy, difficulty setting boundaries, and fears of rejection. The CSA Centre (2023) states that these attachment issues are central to </w:t>
      </w:r>
      <w:r w:rsidR="0077680F">
        <w:rPr>
          <w:rFonts w:ascii="Arial" w:hAnsi="Arial" w:cs="Arial"/>
        </w:rPr>
        <w:t xml:space="preserve">the </w:t>
      </w:r>
      <w:r w:rsidR="00C85D91">
        <w:rPr>
          <w:rFonts w:ascii="Arial" w:hAnsi="Arial" w:cs="Arial"/>
        </w:rPr>
        <w:t xml:space="preserve">long-term psychological effects of CSA (Vera-Gray, 2023). Survivors often develop maladaptive internal models of themselves and others, </w:t>
      </w:r>
      <w:r w:rsidR="0077680F">
        <w:rPr>
          <w:rFonts w:ascii="Arial" w:hAnsi="Arial" w:cs="Arial"/>
        </w:rPr>
        <w:t xml:space="preserve">which can </w:t>
      </w:r>
      <w:r w:rsidR="006A53DC">
        <w:rPr>
          <w:rFonts w:ascii="Arial" w:hAnsi="Arial" w:cs="Arial"/>
        </w:rPr>
        <w:t>affect their relationships and perceptions of</w:t>
      </w:r>
      <w:r w:rsidR="00C85D91">
        <w:rPr>
          <w:rFonts w:ascii="Arial" w:hAnsi="Arial" w:cs="Arial"/>
        </w:rPr>
        <w:t xml:space="preserve"> trust, safety, and vulnerability. These findings suggest early attachment disruptions, especially in familial abuse, cause ongoing emotional and relational struggles (Vera-Gray, 2023). </w:t>
      </w:r>
    </w:p>
    <w:p w14:paraId="7B848162" w14:textId="58C64AAB" w:rsidR="009C3019" w:rsidRPr="009C3019" w:rsidRDefault="009A0B20" w:rsidP="009F34C3">
      <w:pPr>
        <w:jc w:val="left"/>
        <w:rPr>
          <w:rFonts w:ascii="Arial" w:hAnsi="Arial" w:cs="Arial"/>
        </w:rPr>
      </w:pPr>
      <w:r>
        <w:rPr>
          <w:rFonts w:ascii="Arial" w:hAnsi="Arial" w:cs="Arial"/>
        </w:rPr>
        <w:t xml:space="preserve">Liem and Boudewyn (1999) examined CSA effects through attachment theory, discovering that survivors display more social dysfunction and insecure attachment than non-abused controls (Grady </w:t>
      </w:r>
      <w:r w:rsidRPr="006A53DC">
        <w:rPr>
          <w:rFonts w:ascii="Arial" w:hAnsi="Arial" w:cs="Arial"/>
          <w:i/>
          <w:iCs/>
        </w:rPr>
        <w:t>et al,</w:t>
      </w:r>
      <w:r>
        <w:rPr>
          <w:rFonts w:ascii="Arial" w:hAnsi="Arial" w:cs="Arial"/>
        </w:rPr>
        <w:t xml:space="preserve"> 2017). They observed that survivors often internalise feelings of unworthiness and fear of rejection, which impede healthy adult relationships, </w:t>
      </w:r>
      <w:r w:rsidR="0077680F">
        <w:rPr>
          <w:rFonts w:ascii="Arial" w:hAnsi="Arial" w:cs="Arial"/>
        </w:rPr>
        <w:t>mainly</w:t>
      </w:r>
      <w:r>
        <w:rPr>
          <w:rFonts w:ascii="Arial" w:hAnsi="Arial" w:cs="Arial"/>
        </w:rPr>
        <w:t xml:space="preserve"> when abuse occurs within the family, harming trust and relational security (Grady </w:t>
      </w:r>
      <w:r w:rsidRPr="0077680F">
        <w:rPr>
          <w:rFonts w:ascii="Arial" w:hAnsi="Arial" w:cs="Arial"/>
          <w:i/>
          <w:iCs/>
        </w:rPr>
        <w:t>et al</w:t>
      </w:r>
      <w:r>
        <w:rPr>
          <w:rFonts w:ascii="Arial" w:hAnsi="Arial" w:cs="Arial"/>
        </w:rPr>
        <w:t>.,</w:t>
      </w:r>
      <w:r w:rsidR="0077680F">
        <w:rPr>
          <w:rFonts w:ascii="Arial" w:hAnsi="Arial" w:cs="Arial"/>
        </w:rPr>
        <w:t xml:space="preserve"> </w:t>
      </w:r>
      <w:r>
        <w:rPr>
          <w:rFonts w:ascii="Arial" w:hAnsi="Arial" w:cs="Arial"/>
        </w:rPr>
        <w:t>2017). UK research supports these findings. A report by IICSA (2022) states that adult survivors face long-term relational problems, such as difficulty maintaining employment and personal relationships, mainly due to trust and communication issues. The ONS (2020) reports that CSA survivors are at higher risk of relationship breakdowns, loneliness, and social exclusion, which can reduce quality of life and exacerbate mental health issues</w:t>
      </w:r>
      <w:r w:rsidR="001F19C3">
        <w:rPr>
          <w:rFonts w:ascii="Arial" w:hAnsi="Arial" w:cs="Arial"/>
        </w:rPr>
        <w:t xml:space="preserve"> </w:t>
      </w:r>
      <w:r w:rsidR="001F19C3" w:rsidRPr="001F19C3">
        <w:rPr>
          <w:rFonts w:ascii="Arial" w:hAnsi="Arial" w:cs="Arial"/>
        </w:rPr>
        <w:t xml:space="preserve">(Office for National Statistics, 2020). </w:t>
      </w:r>
    </w:p>
    <w:p w14:paraId="2564841D" w14:textId="73697CDE" w:rsidR="009C3019" w:rsidRPr="009C3019" w:rsidRDefault="009C3019" w:rsidP="009F34C3">
      <w:pPr>
        <w:jc w:val="left"/>
        <w:rPr>
          <w:rFonts w:ascii="Arial" w:hAnsi="Arial" w:cs="Arial"/>
        </w:rPr>
      </w:pPr>
      <w:r w:rsidRPr="009C3019">
        <w:rPr>
          <w:rFonts w:ascii="Arial" w:hAnsi="Arial" w:cs="Arial"/>
          <w:b/>
          <w:bCs/>
        </w:rPr>
        <w:t>Statistical Information</w:t>
      </w:r>
      <w:r w:rsidR="007312FA" w:rsidRPr="00A22F62">
        <w:rPr>
          <w:rFonts w:ascii="Arial" w:hAnsi="Arial" w:cs="Arial"/>
          <w:b/>
          <w:bCs/>
        </w:rPr>
        <w:t>:</w:t>
      </w:r>
      <w:r w:rsidRPr="009C3019">
        <w:rPr>
          <w:rFonts w:ascii="Arial" w:hAnsi="Arial" w:cs="Arial"/>
        </w:rPr>
        <w:t xml:space="preserve"> </w:t>
      </w:r>
      <w:r w:rsidR="005955D5" w:rsidRPr="00A22F62">
        <w:rPr>
          <w:rFonts w:ascii="Arial" w:hAnsi="Arial" w:cs="Arial"/>
        </w:rPr>
        <w:t>The 2020 ONS report shows that 51% of adult CSA survivors in England face challenges in intimate relationships, with over 40% enduring long-term loneliness</w:t>
      </w:r>
      <w:r w:rsidR="006A725A">
        <w:rPr>
          <w:rFonts w:ascii="Arial" w:hAnsi="Arial" w:cs="Arial"/>
        </w:rPr>
        <w:t xml:space="preserve"> </w:t>
      </w:r>
      <w:bookmarkStart w:id="7" w:name="_Hlk204515779"/>
      <w:r w:rsidR="006A725A" w:rsidRPr="006A725A">
        <w:rPr>
          <w:rFonts w:ascii="Arial" w:hAnsi="Arial" w:cs="Arial"/>
        </w:rPr>
        <w:t xml:space="preserve">(Office </w:t>
      </w:r>
      <w:r w:rsidR="00D842C2">
        <w:rPr>
          <w:rFonts w:ascii="Arial" w:hAnsi="Arial" w:cs="Arial"/>
        </w:rPr>
        <w:t>for</w:t>
      </w:r>
      <w:r w:rsidR="006A725A" w:rsidRPr="006A725A">
        <w:rPr>
          <w:rFonts w:ascii="Arial" w:hAnsi="Arial" w:cs="Arial"/>
        </w:rPr>
        <w:t xml:space="preserve"> National Statistics, 2020)</w:t>
      </w:r>
      <w:r w:rsidR="006A725A">
        <w:rPr>
          <w:rFonts w:ascii="Arial" w:hAnsi="Arial" w:cs="Arial"/>
        </w:rPr>
        <w:t xml:space="preserve">. </w:t>
      </w:r>
      <w:bookmarkEnd w:id="7"/>
      <w:r w:rsidR="005955D5" w:rsidRPr="00A22F62">
        <w:rPr>
          <w:rFonts w:ascii="Arial" w:hAnsi="Arial" w:cs="Arial"/>
        </w:rPr>
        <w:t>These rates are significantly higher than those in the general population, underscoring the enduring effects of CSA on social functioning. These statistics highlight the need to treat relational trauma as a public health concern and to implement systemic interventions</w:t>
      </w:r>
      <w:r w:rsidR="006A725A">
        <w:rPr>
          <w:rFonts w:ascii="Arial" w:hAnsi="Arial" w:cs="Arial"/>
        </w:rPr>
        <w:t xml:space="preserve"> </w:t>
      </w:r>
      <w:bookmarkStart w:id="8" w:name="_Hlk204461265"/>
      <w:r w:rsidR="006A725A" w:rsidRPr="006A725A">
        <w:rPr>
          <w:rFonts w:ascii="Arial" w:hAnsi="Arial" w:cs="Arial"/>
        </w:rPr>
        <w:t xml:space="preserve">(Office </w:t>
      </w:r>
      <w:r w:rsidR="00D842C2">
        <w:rPr>
          <w:rFonts w:ascii="Arial" w:hAnsi="Arial" w:cs="Arial"/>
        </w:rPr>
        <w:t>for</w:t>
      </w:r>
      <w:r w:rsidR="006A725A" w:rsidRPr="006A725A">
        <w:rPr>
          <w:rFonts w:ascii="Arial" w:hAnsi="Arial" w:cs="Arial"/>
        </w:rPr>
        <w:t xml:space="preserve"> National Statistics, 2020)</w:t>
      </w:r>
      <w:r w:rsidR="006A725A">
        <w:rPr>
          <w:rFonts w:ascii="Arial" w:hAnsi="Arial" w:cs="Arial"/>
        </w:rPr>
        <w:t>.</w:t>
      </w:r>
      <w:bookmarkEnd w:id="8"/>
    </w:p>
    <w:p w14:paraId="0988152C" w14:textId="470A4E3E" w:rsidR="009C3019" w:rsidRPr="009C3019" w:rsidRDefault="009C3019" w:rsidP="009F34C3">
      <w:pPr>
        <w:jc w:val="left"/>
        <w:rPr>
          <w:rFonts w:ascii="Arial" w:hAnsi="Arial" w:cs="Arial"/>
        </w:rPr>
      </w:pPr>
      <w:r w:rsidRPr="009C3019">
        <w:rPr>
          <w:rFonts w:ascii="Arial" w:hAnsi="Arial" w:cs="Arial"/>
          <w:b/>
          <w:bCs/>
        </w:rPr>
        <w:t>Theoretical and Policy Perspectives</w:t>
      </w:r>
      <w:r w:rsidR="0005250B" w:rsidRPr="00A22F62">
        <w:rPr>
          <w:rFonts w:ascii="Arial" w:hAnsi="Arial" w:cs="Arial"/>
          <w:b/>
          <w:bCs/>
        </w:rPr>
        <w:t xml:space="preserve">: </w:t>
      </w:r>
      <w:r w:rsidR="00E36294" w:rsidRPr="000F0C66">
        <w:rPr>
          <w:rFonts w:ascii="Arial" w:hAnsi="Arial" w:cs="Arial"/>
        </w:rPr>
        <w:t>From a theoretical standpoint, complex trauma theory (Herman, 1992) offers a deeper</w:t>
      </w:r>
      <w:r w:rsidR="0005250B" w:rsidRPr="000F0C66">
        <w:rPr>
          <w:rFonts w:ascii="Arial" w:hAnsi="Arial" w:cs="Arial"/>
        </w:rPr>
        <w:t xml:space="preserve"> understanding. Herman states that extended trauma, particularly in childhood, interferes with core human skills such as trust, identity, and forming relationships</w:t>
      </w:r>
      <w:r w:rsidR="00FA2EE0">
        <w:rPr>
          <w:rFonts w:ascii="Arial" w:hAnsi="Arial" w:cs="Arial"/>
        </w:rPr>
        <w:t xml:space="preserve"> </w:t>
      </w:r>
      <w:r w:rsidR="00FA2EE0" w:rsidRPr="00FA2EE0">
        <w:rPr>
          <w:rFonts w:ascii="Arial" w:hAnsi="Arial" w:cs="Arial"/>
        </w:rPr>
        <w:t xml:space="preserve">(Zaleski </w:t>
      </w:r>
      <w:r w:rsidR="00FA2EE0" w:rsidRPr="0077680F">
        <w:rPr>
          <w:rFonts w:ascii="Arial" w:hAnsi="Arial" w:cs="Arial"/>
          <w:i/>
          <w:iCs/>
        </w:rPr>
        <w:t>et al.</w:t>
      </w:r>
      <w:r w:rsidR="00FA2EE0" w:rsidRPr="00FA2EE0">
        <w:rPr>
          <w:rFonts w:ascii="Arial" w:hAnsi="Arial" w:cs="Arial"/>
        </w:rPr>
        <w:t>, 2016)</w:t>
      </w:r>
      <w:r w:rsidR="00FA2EE0">
        <w:rPr>
          <w:rFonts w:ascii="Arial" w:hAnsi="Arial" w:cs="Arial"/>
        </w:rPr>
        <w:t>.</w:t>
      </w:r>
      <w:r w:rsidR="00F53B1C">
        <w:rPr>
          <w:rFonts w:ascii="Arial" w:hAnsi="Arial" w:cs="Arial"/>
        </w:rPr>
        <w:t xml:space="preserve"> </w:t>
      </w:r>
      <w:r w:rsidR="0005250B" w:rsidRPr="000F0C66">
        <w:rPr>
          <w:rFonts w:ascii="Arial" w:hAnsi="Arial" w:cs="Arial"/>
        </w:rPr>
        <w:t xml:space="preserve">Survivors may swing between idealising and devaluing others, experience emotional numbness, or withdraw due to fear, all of which weaken relational stability. Concerning UK policy, the NICE (2018) guidelines on child abuse and </w:t>
      </w:r>
      <w:r w:rsidR="0005250B" w:rsidRPr="000F0C66">
        <w:rPr>
          <w:rFonts w:ascii="Arial" w:hAnsi="Arial" w:cs="Arial"/>
        </w:rPr>
        <w:lastRenderedPageBreak/>
        <w:t>neglect acknowledge that early abuse often leads to relationship challenges in adulthood. These guidelines recommend trauma-informed and attachment-aware therapeutic methods that focus on the survivor's need for safety, connection, and emotional regulation. Yet, implementation is uneven. Many services emphasise symptom management over relationship repair, leaving survivors without the interpersonal support crucial for lasting recovery</w:t>
      </w:r>
      <w:r w:rsidR="00F53B1C">
        <w:rPr>
          <w:rFonts w:ascii="Arial" w:hAnsi="Arial" w:cs="Arial"/>
        </w:rPr>
        <w:t xml:space="preserve"> (</w:t>
      </w:r>
      <w:r w:rsidR="008005A5">
        <w:rPr>
          <w:rFonts w:ascii="Arial" w:hAnsi="Arial" w:cs="Arial"/>
        </w:rPr>
        <w:t>Nice, 2018).</w:t>
      </w:r>
    </w:p>
    <w:p w14:paraId="1B8C6333" w14:textId="77777777" w:rsidR="00187EF1" w:rsidRDefault="009C3019" w:rsidP="00A22F62">
      <w:pPr>
        <w:jc w:val="left"/>
        <w:rPr>
          <w:rFonts w:ascii="Arial" w:hAnsi="Arial" w:cs="Arial"/>
          <w:color w:val="EE0000"/>
        </w:rPr>
      </w:pPr>
      <w:r w:rsidRPr="009C3019">
        <w:rPr>
          <w:rFonts w:ascii="Arial" w:hAnsi="Arial" w:cs="Arial"/>
          <w:b/>
          <w:bCs/>
        </w:rPr>
        <w:t>Implications: Positive and Negative</w:t>
      </w:r>
      <w:r w:rsidR="0005250B" w:rsidRPr="00A22F62">
        <w:rPr>
          <w:rFonts w:ascii="Arial" w:hAnsi="Arial" w:cs="Arial"/>
          <w:b/>
          <w:bCs/>
        </w:rPr>
        <w:t>:</w:t>
      </w:r>
      <w:r w:rsidRPr="009C3019">
        <w:rPr>
          <w:rFonts w:ascii="Arial" w:hAnsi="Arial" w:cs="Arial"/>
        </w:rPr>
        <w:t xml:space="preserve"> </w:t>
      </w:r>
      <w:r w:rsidR="009F604D">
        <w:rPr>
          <w:rFonts w:ascii="Arial" w:hAnsi="Arial" w:cs="Arial"/>
        </w:rPr>
        <w:t xml:space="preserve"> </w:t>
      </w:r>
    </w:p>
    <w:p w14:paraId="1B990FCE" w14:textId="43D7A8FD" w:rsidR="00DF5E87" w:rsidRPr="001F78E8" w:rsidRDefault="009C3019" w:rsidP="00A22F62">
      <w:pPr>
        <w:jc w:val="left"/>
        <w:rPr>
          <w:rFonts w:ascii="Arial" w:hAnsi="Arial" w:cs="Arial"/>
        </w:rPr>
      </w:pPr>
      <w:r w:rsidRPr="009C3019">
        <w:rPr>
          <w:rFonts w:ascii="Arial" w:hAnsi="Arial" w:cs="Arial"/>
          <w:b/>
          <w:bCs/>
        </w:rPr>
        <w:t>Examples from Key Articles</w:t>
      </w:r>
      <w:bookmarkStart w:id="9" w:name="_Hlk204683279"/>
      <w:r w:rsidR="0028061F" w:rsidRPr="00A22F62">
        <w:rPr>
          <w:rFonts w:ascii="Arial" w:hAnsi="Arial" w:cs="Arial"/>
          <w:b/>
          <w:bCs/>
        </w:rPr>
        <w:t>:</w:t>
      </w:r>
      <w:r w:rsidRPr="009C3019">
        <w:rPr>
          <w:rFonts w:ascii="Arial" w:hAnsi="Arial" w:cs="Arial"/>
        </w:rPr>
        <w:t xml:space="preserve"> </w:t>
      </w:r>
      <w:bookmarkEnd w:id="9"/>
      <w:r w:rsidR="00580E21">
        <w:rPr>
          <w:rFonts w:ascii="Arial" w:hAnsi="Arial" w:cs="Arial"/>
        </w:rPr>
        <w:t>Davis and Petretic-Jackson (2000) noted that survivors often feel ambivalent, craving closeness yet fearing it</w:t>
      </w:r>
      <w:r w:rsidR="00DF5E87">
        <w:rPr>
          <w:rFonts w:ascii="Arial" w:hAnsi="Arial" w:cs="Arial"/>
        </w:rPr>
        <w:t xml:space="preserve"> (</w:t>
      </w:r>
      <w:r w:rsidR="00DF5E87" w:rsidRPr="00DF5E87">
        <w:rPr>
          <w:rFonts w:ascii="Arial" w:hAnsi="Arial" w:cs="Arial"/>
        </w:rPr>
        <w:t>Davis and Petretic-Jackson</w:t>
      </w:r>
      <w:r w:rsidR="00151D46">
        <w:rPr>
          <w:rFonts w:ascii="Arial" w:hAnsi="Arial" w:cs="Arial"/>
        </w:rPr>
        <w:t>, 2020).</w:t>
      </w:r>
      <w:r w:rsidR="00580E21">
        <w:rPr>
          <w:rFonts w:ascii="Arial" w:hAnsi="Arial" w:cs="Arial"/>
        </w:rPr>
        <w:t xml:space="preserve"> Their review linked CSA to adult relational issues, especially in romantic and family ties. Liem and Boudewyn (1999) found that survivors had less support and more relational stress, explaining through attachment theory how CSA </w:t>
      </w:r>
      <w:r w:rsidR="00151D46">
        <w:rPr>
          <w:rFonts w:ascii="Arial" w:hAnsi="Arial" w:cs="Arial"/>
        </w:rPr>
        <w:t>impacts</w:t>
      </w:r>
      <w:r w:rsidR="00580E21">
        <w:rPr>
          <w:rFonts w:ascii="Arial" w:hAnsi="Arial" w:cs="Arial"/>
        </w:rPr>
        <w:t xml:space="preserve"> identity and trust. UK reports, such as IICSA (2022) and ONS (2020), support these themes</w:t>
      </w:r>
      <w:r w:rsidR="00151D46">
        <w:rPr>
          <w:rFonts w:ascii="Arial" w:hAnsi="Arial" w:cs="Arial"/>
        </w:rPr>
        <w:t xml:space="preserve"> (</w:t>
      </w:r>
      <w:r w:rsidR="00314E2A">
        <w:rPr>
          <w:rFonts w:ascii="Arial" w:hAnsi="Arial" w:cs="Arial"/>
        </w:rPr>
        <w:t>IICSA, 202</w:t>
      </w:r>
      <w:r w:rsidR="00A25FDD">
        <w:rPr>
          <w:rFonts w:ascii="Arial" w:hAnsi="Arial" w:cs="Arial"/>
        </w:rPr>
        <w:t xml:space="preserve">2; </w:t>
      </w:r>
      <w:r w:rsidR="00A25FDD" w:rsidRPr="00A25FDD">
        <w:rPr>
          <w:rFonts w:ascii="Arial" w:hAnsi="Arial" w:cs="Arial"/>
        </w:rPr>
        <w:t>Office for National Statistics</w:t>
      </w:r>
      <w:r w:rsidR="00A25FDD">
        <w:rPr>
          <w:rFonts w:ascii="Arial" w:hAnsi="Arial" w:cs="Arial"/>
        </w:rPr>
        <w:t>, 2</w:t>
      </w:r>
      <w:r w:rsidR="001F78E8">
        <w:rPr>
          <w:rFonts w:ascii="Arial" w:hAnsi="Arial" w:cs="Arial"/>
        </w:rPr>
        <w:t>020).</w:t>
      </w:r>
      <w:r w:rsidR="00580E21">
        <w:rPr>
          <w:rFonts w:ascii="Arial" w:hAnsi="Arial" w:cs="Arial"/>
        </w:rPr>
        <w:t xml:space="preserve"> While both focus on attachment disruptions, Davis and Petretic-Jackson highlight behavioural signs, and Liem and Boudewyn focus on cognitive and emotional aspects.</w:t>
      </w:r>
    </w:p>
    <w:p w14:paraId="09A49523" w14:textId="77777777" w:rsidR="008A1D56" w:rsidRDefault="009C3019" w:rsidP="00A22F62">
      <w:pPr>
        <w:jc w:val="left"/>
        <w:rPr>
          <w:rFonts w:ascii="Arial" w:hAnsi="Arial" w:cs="Arial"/>
          <w:color w:val="000000" w:themeColor="text1"/>
        </w:rPr>
      </w:pPr>
      <w:r w:rsidRPr="009C3019">
        <w:rPr>
          <w:rFonts w:ascii="Arial" w:hAnsi="Arial" w:cs="Arial"/>
          <w:b/>
          <w:bCs/>
        </w:rPr>
        <w:t>Interconnections with Other Themes</w:t>
      </w:r>
      <w:r w:rsidR="00B006BE" w:rsidRPr="00A22F62">
        <w:rPr>
          <w:rFonts w:ascii="Arial" w:hAnsi="Arial" w:cs="Arial"/>
        </w:rPr>
        <w:t xml:space="preserve">: </w:t>
      </w:r>
      <w:r w:rsidR="0018642B" w:rsidRPr="0018642B">
        <w:rPr>
          <w:rFonts w:ascii="Arial" w:hAnsi="Arial" w:cs="Arial"/>
          <w:color w:val="000000" w:themeColor="text1"/>
        </w:rPr>
        <w:t xml:space="preserve">This theme is closely related to both PTSD and emotional dysregulation. Symptoms of PTSD, like avoidance and hypervigilance, can directly harm trust and intimacy, key components of healthy relationships (Boumpa </w:t>
      </w:r>
      <w:r w:rsidR="0018642B" w:rsidRPr="0096303B">
        <w:rPr>
          <w:rFonts w:ascii="Arial" w:hAnsi="Arial" w:cs="Arial"/>
          <w:i/>
          <w:iCs/>
          <w:color w:val="000000" w:themeColor="text1"/>
        </w:rPr>
        <w:t>et al</w:t>
      </w:r>
      <w:r w:rsidR="0018642B" w:rsidRPr="0018642B">
        <w:rPr>
          <w:rFonts w:ascii="Arial" w:hAnsi="Arial" w:cs="Arial"/>
          <w:color w:val="000000" w:themeColor="text1"/>
        </w:rPr>
        <w:t xml:space="preserve">., 2022; Kratzer et al., 2020). Emotional dysregulation addressed in Theme 2 further damages interpersonal functioning by affecting communication, empathy, and conflict management (Christ </w:t>
      </w:r>
      <w:r w:rsidR="0018642B" w:rsidRPr="0096303B">
        <w:rPr>
          <w:rFonts w:ascii="Arial" w:hAnsi="Arial" w:cs="Arial"/>
          <w:i/>
          <w:iCs/>
          <w:color w:val="000000" w:themeColor="text1"/>
        </w:rPr>
        <w:t>et al</w:t>
      </w:r>
      <w:r w:rsidR="0018642B" w:rsidRPr="0018642B">
        <w:rPr>
          <w:rFonts w:ascii="Arial" w:hAnsi="Arial" w:cs="Arial"/>
          <w:color w:val="000000" w:themeColor="text1"/>
        </w:rPr>
        <w:t xml:space="preserve">., 2019). Data from the Office for National Statistics (2020) and the CSA Centre (2023) show that CSA survivors often face similar emotional and relational issues, such as social withdrawal, anxiety, and loneliness. Collectively, these interconnected challenges </w:t>
      </w:r>
      <w:r w:rsidR="0018642B">
        <w:rPr>
          <w:rFonts w:ascii="Arial" w:hAnsi="Arial" w:cs="Arial"/>
          <w:color w:val="000000" w:themeColor="text1"/>
        </w:rPr>
        <w:t>highlight the cumulative effects of CSA and underscore the need</w:t>
      </w:r>
      <w:r w:rsidR="0018642B" w:rsidRPr="0018642B">
        <w:rPr>
          <w:rFonts w:ascii="Arial" w:hAnsi="Arial" w:cs="Arial"/>
          <w:color w:val="000000" w:themeColor="text1"/>
        </w:rPr>
        <w:t xml:space="preserve"> for comprehensive, multidimensional treatment approaches</w:t>
      </w:r>
      <w:r w:rsidR="0018642B">
        <w:rPr>
          <w:rFonts w:ascii="Arial" w:hAnsi="Arial" w:cs="Arial"/>
          <w:color w:val="000000" w:themeColor="text1"/>
        </w:rPr>
        <w:t xml:space="preserve"> </w:t>
      </w:r>
      <w:r w:rsidR="0018642B" w:rsidRPr="0018642B">
        <w:rPr>
          <w:rFonts w:ascii="Arial" w:hAnsi="Arial" w:cs="Arial"/>
          <w:color w:val="000000" w:themeColor="text1"/>
        </w:rPr>
        <w:t xml:space="preserve">(Office for National Statistics, 2020). </w:t>
      </w:r>
    </w:p>
    <w:p w14:paraId="4A944783" w14:textId="3BD8DD0A" w:rsidR="00902005" w:rsidRPr="008A1D56" w:rsidRDefault="000810D6" w:rsidP="00A22F62">
      <w:pPr>
        <w:jc w:val="left"/>
        <w:rPr>
          <w:rFonts w:ascii="Arial" w:hAnsi="Arial" w:cs="Arial"/>
          <w:color w:val="000000" w:themeColor="text1"/>
        </w:rPr>
      </w:pPr>
      <w:r w:rsidRPr="00A22F62">
        <w:rPr>
          <w:rFonts w:ascii="Arial" w:hAnsi="Arial" w:cs="Arial"/>
        </w:rPr>
        <w:br/>
      </w:r>
      <w:r w:rsidR="00902005" w:rsidRPr="001924CB">
        <w:rPr>
          <w:rFonts w:ascii="Arial" w:hAnsi="Arial" w:cs="Arial"/>
          <w:sz w:val="24"/>
          <w:szCs w:val="24"/>
        </w:rPr>
        <w:t>4.6 Chapter Conclusion</w:t>
      </w:r>
    </w:p>
    <w:p w14:paraId="7A63B53B" w14:textId="6795E672" w:rsidR="001D49C7" w:rsidRPr="00A22F62" w:rsidRDefault="001D49C7" w:rsidP="00754055">
      <w:pPr>
        <w:rPr>
          <w:rFonts w:ascii="Arial" w:hAnsi="Arial" w:cs="Arial"/>
        </w:rPr>
      </w:pPr>
      <w:r w:rsidRPr="00A22F62">
        <w:rPr>
          <w:rFonts w:ascii="Arial" w:hAnsi="Arial" w:cs="Arial"/>
        </w:rPr>
        <w:t>This chapter critically explores the lasting psychological impacts of childhood sexual abuse (CSA) on adult mental health, focusing on three main themes: PTSD, depression and emotional dysregulation, and interpersonal and attachment issues. Each theme underscores the complexity and persistence of trauma, demonstrating how early abuse interrupts emotional growth and continues to influence survivors’ lives in adulthood</w:t>
      </w:r>
      <w:r w:rsidR="00634ACB">
        <w:rPr>
          <w:rFonts w:ascii="Arial" w:hAnsi="Arial" w:cs="Arial"/>
        </w:rPr>
        <w:t xml:space="preserve"> </w:t>
      </w:r>
      <w:r w:rsidR="00634ACB" w:rsidRPr="00634ACB">
        <w:rPr>
          <w:rFonts w:ascii="Arial" w:hAnsi="Arial" w:cs="Arial"/>
        </w:rPr>
        <w:t xml:space="preserve">(Hailes </w:t>
      </w:r>
      <w:r w:rsidR="00634ACB" w:rsidRPr="00634ACB">
        <w:rPr>
          <w:rFonts w:ascii="Arial" w:hAnsi="Arial" w:cs="Arial"/>
          <w:i/>
          <w:iCs/>
        </w:rPr>
        <w:t>et al.</w:t>
      </w:r>
      <w:r w:rsidR="00634ACB" w:rsidRPr="00634ACB">
        <w:rPr>
          <w:rFonts w:ascii="Arial" w:hAnsi="Arial" w:cs="Arial"/>
        </w:rPr>
        <w:t xml:space="preserve">, 2020). </w:t>
      </w:r>
      <w:r w:rsidR="0019646C">
        <w:rPr>
          <w:rFonts w:ascii="Arial" w:hAnsi="Arial" w:cs="Arial"/>
        </w:rPr>
        <w:t xml:space="preserve"> </w:t>
      </w:r>
      <w:r w:rsidRPr="00A22F62">
        <w:rPr>
          <w:rFonts w:ascii="Arial" w:hAnsi="Arial" w:cs="Arial"/>
        </w:rPr>
        <w:t xml:space="preserve">PTSD was identified as a common, often chronic condition, particularly when trauma remains </w:t>
      </w:r>
      <w:r w:rsidRPr="00A22F62">
        <w:rPr>
          <w:rFonts w:ascii="Arial" w:hAnsi="Arial" w:cs="Arial"/>
        </w:rPr>
        <w:lastRenderedPageBreak/>
        <w:t>unprocessed or unsupported</w:t>
      </w:r>
      <w:r w:rsidR="000116DA">
        <w:rPr>
          <w:rFonts w:ascii="Arial" w:hAnsi="Arial" w:cs="Arial"/>
        </w:rPr>
        <w:t xml:space="preserve"> </w:t>
      </w:r>
      <w:r w:rsidR="000116DA" w:rsidRPr="000116DA">
        <w:rPr>
          <w:rFonts w:ascii="Arial" w:hAnsi="Arial" w:cs="Arial"/>
        </w:rPr>
        <w:t>(Kratzer et al., 2020).</w:t>
      </w:r>
      <w:r w:rsidRPr="00A22F62">
        <w:rPr>
          <w:rFonts w:ascii="Arial" w:hAnsi="Arial" w:cs="Arial"/>
        </w:rPr>
        <w:t xml:space="preserve"> Depression and emotional dysregulation were not isolated symptoms</w:t>
      </w:r>
      <w:r w:rsidR="001F19C3">
        <w:rPr>
          <w:rFonts w:ascii="Arial" w:hAnsi="Arial" w:cs="Arial"/>
        </w:rPr>
        <w:t>. Still, they were</w:t>
      </w:r>
      <w:r w:rsidR="000F0C66">
        <w:rPr>
          <w:rFonts w:ascii="Arial" w:hAnsi="Arial" w:cs="Arial"/>
        </w:rPr>
        <w:t xml:space="preserve"> </w:t>
      </w:r>
      <w:r w:rsidRPr="00A22F62">
        <w:rPr>
          <w:rFonts w:ascii="Arial" w:hAnsi="Arial" w:cs="Arial"/>
        </w:rPr>
        <w:t>intertwined with shame, guilt, and difficulties in managing distress, often worsened by societal stigma or lack of adequate care</w:t>
      </w:r>
      <w:r w:rsidR="006F6EC5">
        <w:rPr>
          <w:rFonts w:ascii="Arial" w:hAnsi="Arial" w:cs="Arial"/>
        </w:rPr>
        <w:t xml:space="preserve"> </w:t>
      </w:r>
      <w:r w:rsidR="006F6EC5" w:rsidRPr="006F6EC5">
        <w:rPr>
          <w:rFonts w:ascii="Arial" w:hAnsi="Arial" w:cs="Arial"/>
        </w:rPr>
        <w:t xml:space="preserve">(Office </w:t>
      </w:r>
      <w:r w:rsidR="001F19C3" w:rsidRPr="006F6EC5">
        <w:rPr>
          <w:rFonts w:ascii="Arial" w:hAnsi="Arial" w:cs="Arial"/>
        </w:rPr>
        <w:t>for</w:t>
      </w:r>
      <w:r w:rsidR="006F6EC5" w:rsidRPr="006F6EC5">
        <w:rPr>
          <w:rFonts w:ascii="Arial" w:hAnsi="Arial" w:cs="Arial"/>
        </w:rPr>
        <w:t xml:space="preserve"> National Statistics, 2020)</w:t>
      </w:r>
      <w:r w:rsidR="006F6EC5">
        <w:rPr>
          <w:rFonts w:ascii="Arial" w:hAnsi="Arial" w:cs="Arial"/>
        </w:rPr>
        <w:t xml:space="preserve">. </w:t>
      </w:r>
      <w:r w:rsidRPr="00A22F62">
        <w:rPr>
          <w:rFonts w:ascii="Arial" w:hAnsi="Arial" w:cs="Arial"/>
        </w:rPr>
        <w:t>Interpersonal problems, examined through attachment theory, show how CSA can damage trust, intimacy, and relationship stability, restricting access to meaningful social support</w:t>
      </w:r>
      <w:r w:rsidR="00D11029">
        <w:rPr>
          <w:rFonts w:ascii="Arial" w:hAnsi="Arial" w:cs="Arial"/>
        </w:rPr>
        <w:t xml:space="preserve"> </w:t>
      </w:r>
      <w:r w:rsidR="00D11029" w:rsidRPr="00D11029">
        <w:rPr>
          <w:rFonts w:ascii="Arial" w:hAnsi="Arial" w:cs="Arial"/>
        </w:rPr>
        <w:t xml:space="preserve">(IICSA, 2022). </w:t>
      </w:r>
    </w:p>
    <w:p w14:paraId="1B2BE45F" w14:textId="5340F6A5" w:rsidR="003A70CD" w:rsidRPr="00A22F62" w:rsidRDefault="001D49C7" w:rsidP="00A22F62">
      <w:pPr>
        <w:rPr>
          <w:rFonts w:ascii="Arial" w:hAnsi="Arial" w:cs="Arial"/>
        </w:rPr>
      </w:pPr>
      <w:r w:rsidRPr="00A22F62">
        <w:rPr>
          <w:rFonts w:ascii="Arial" w:hAnsi="Arial" w:cs="Arial"/>
        </w:rPr>
        <w:t>Collectively, these themes highlight that the psychological consequences of CSA are long-lasting and deeply rooted in relational, emotional, and systemic contexts. This calls for comprehensive, trauma-informed approaches beyond merely addressing symptoms, considering the survivor’s wider environment</w:t>
      </w:r>
      <w:r w:rsidR="00C44F8B">
        <w:rPr>
          <w:rFonts w:ascii="Arial" w:hAnsi="Arial" w:cs="Arial"/>
        </w:rPr>
        <w:t xml:space="preserve"> </w:t>
      </w:r>
      <w:r w:rsidR="00C44F8B" w:rsidRPr="00C44F8B">
        <w:rPr>
          <w:rFonts w:ascii="Arial" w:hAnsi="Arial" w:cs="Arial"/>
        </w:rPr>
        <w:t xml:space="preserve">(NICE, 2018). </w:t>
      </w:r>
      <w:r w:rsidR="000F0C66">
        <w:rPr>
          <w:rFonts w:ascii="Arial" w:hAnsi="Arial" w:cs="Arial"/>
        </w:rPr>
        <w:t xml:space="preserve"> </w:t>
      </w:r>
      <w:r w:rsidRPr="00A22F62">
        <w:rPr>
          <w:rFonts w:ascii="Arial" w:hAnsi="Arial" w:cs="Arial"/>
        </w:rPr>
        <w:t>These findings set the stage for the next chapter, which will critically review current interventions and suggest ways to enhance mental health support for adult CSA survivors.</w:t>
      </w:r>
    </w:p>
    <w:p w14:paraId="1F9DC0C9" w14:textId="77777777" w:rsidR="003E5CD7" w:rsidRPr="003E5CD7" w:rsidRDefault="003E5CD7" w:rsidP="0018642B">
      <w:pPr>
        <w:rPr>
          <w:rFonts w:ascii="Arial" w:hAnsi="Arial" w:cs="Arial"/>
          <w:b/>
          <w:bCs/>
        </w:rPr>
      </w:pPr>
      <w:r w:rsidRPr="003E5CD7">
        <w:rPr>
          <w:rFonts w:ascii="Arial" w:hAnsi="Arial" w:cs="Arial"/>
          <w:b/>
          <w:bCs/>
        </w:rPr>
        <w:t>5.1 Overall Conclusion</w:t>
      </w:r>
    </w:p>
    <w:p w14:paraId="3C27E658" w14:textId="292817DE" w:rsidR="00FB4145" w:rsidRPr="0018642B" w:rsidRDefault="00FB4145" w:rsidP="00754055">
      <w:pPr>
        <w:rPr>
          <w:rFonts w:ascii="Arial" w:eastAsia="Times New Roman" w:hAnsi="Arial" w:cs="Arial"/>
          <w:i/>
          <w:iCs/>
          <w:kern w:val="0"/>
          <w:lang w:eastAsia="en-GB"/>
          <w14:ligatures w14:val="none"/>
        </w:rPr>
      </w:pPr>
      <w:r w:rsidRPr="0018642B">
        <w:rPr>
          <w:rFonts w:ascii="Arial" w:hAnsi="Arial" w:cs="Arial"/>
        </w:rPr>
        <w:t xml:space="preserve">This dissertation examined the long-term psychological impacts of childhood sexual abuse (CSA) on adult mental health, focusing on three main areas: Post-Traumatic Stress Disorder (PTSD), depression and emotional dysregulation, and interpersonal difficulties arising from attachment problems </w:t>
      </w:r>
      <w:r w:rsidR="00D54524" w:rsidRPr="0018642B">
        <w:rPr>
          <w:rFonts w:ascii="Arial" w:eastAsia="Aptos" w:hAnsi="Arial" w:cs="Arial"/>
          <w:i/>
          <w:iCs/>
          <w:lang w:eastAsia="en-US"/>
        </w:rPr>
        <w:t>(Browne and Finkelhor, 1986).</w:t>
      </w:r>
      <w:r w:rsidR="00D54524" w:rsidRPr="0018642B">
        <w:rPr>
          <w:rFonts w:ascii="Arial" w:eastAsia="Times New Roman" w:hAnsi="Arial" w:cs="Arial"/>
          <w:i/>
          <w:iCs/>
          <w:kern w:val="0"/>
          <w:lang w:eastAsia="en-GB"/>
          <w14:ligatures w14:val="none"/>
        </w:rPr>
        <w:t xml:space="preserve"> </w:t>
      </w:r>
      <w:r w:rsidRPr="0018642B">
        <w:rPr>
          <w:rFonts w:ascii="Arial" w:hAnsi="Arial" w:cs="Arial"/>
        </w:rPr>
        <w:t xml:space="preserve">By reviewing recent UK literature and relevant theories, it </w:t>
      </w:r>
      <w:r w:rsidR="005B6399" w:rsidRPr="0018642B">
        <w:rPr>
          <w:rFonts w:ascii="Arial" w:hAnsi="Arial" w:cs="Arial"/>
        </w:rPr>
        <w:t>has been demonstrated that CSA has a significant and lasting impact on survivors’ mental well-being, influencing emotional regulation, self-perception</w:t>
      </w:r>
      <w:r w:rsidRPr="0018642B">
        <w:rPr>
          <w:rFonts w:ascii="Arial" w:hAnsi="Arial" w:cs="Arial"/>
        </w:rPr>
        <w:t>, and relationships throughout life</w:t>
      </w:r>
      <w:r w:rsidR="005B6399" w:rsidRPr="0018642B">
        <w:rPr>
          <w:rFonts w:ascii="Arial" w:hAnsi="Arial" w:cs="Arial"/>
        </w:rPr>
        <w:t xml:space="preserve"> (CSA Centre, 2023).</w:t>
      </w:r>
      <w:r w:rsidRPr="0018642B">
        <w:rPr>
          <w:rFonts w:ascii="Arial" w:hAnsi="Arial" w:cs="Arial"/>
        </w:rPr>
        <w:t>The research aimed to understand how early sexual trauma continues to shape adult mental health. It found that trauma from CSA often presents in complex, intertwined ways</w:t>
      </w:r>
      <w:r w:rsidR="00192329">
        <w:rPr>
          <w:rFonts w:ascii="Arial" w:hAnsi="Arial" w:cs="Arial"/>
        </w:rPr>
        <w:t xml:space="preserve">, </w:t>
      </w:r>
      <w:r w:rsidRPr="0018642B">
        <w:rPr>
          <w:rFonts w:ascii="Arial" w:hAnsi="Arial" w:cs="Arial"/>
        </w:rPr>
        <w:t>emphasising the need for a comprehensive, trauma-informed approach to support</w:t>
      </w:r>
      <w:r w:rsidR="00D45F74" w:rsidRPr="0018642B">
        <w:rPr>
          <w:rFonts w:ascii="Arial" w:hAnsi="Arial" w:cs="Arial"/>
        </w:rPr>
        <w:t xml:space="preserve"> (NHS, 2019). </w:t>
      </w:r>
      <w:r w:rsidRPr="0018642B">
        <w:rPr>
          <w:rFonts w:ascii="Arial" w:hAnsi="Arial" w:cs="Arial"/>
        </w:rPr>
        <w:t>The study also identified gaps in services and called for increased awareness, specialised training, and survivor-led practices</w:t>
      </w:r>
      <w:r w:rsidR="00E047B1" w:rsidRPr="0018642B">
        <w:rPr>
          <w:rFonts w:ascii="Arial" w:hAnsi="Arial" w:cs="Arial"/>
        </w:rPr>
        <w:t xml:space="preserve"> (IICSA, 2022).</w:t>
      </w:r>
      <w:r w:rsidR="00E36294" w:rsidRPr="0018642B">
        <w:rPr>
          <w:rFonts w:ascii="Arial" w:hAnsi="Arial" w:cs="Arial"/>
        </w:rPr>
        <w:t xml:space="preserve"> </w:t>
      </w:r>
      <w:r w:rsidRPr="0018642B">
        <w:rPr>
          <w:rFonts w:ascii="Arial" w:hAnsi="Arial" w:cs="Arial"/>
        </w:rPr>
        <w:t>All objectives were achieved through a detailed review and thematic analysis of literature. Trauma and attachment theories provided a solid academic basis, while UK policies and services offered practical insights.</w:t>
      </w:r>
    </w:p>
    <w:p w14:paraId="649E4BA0" w14:textId="61BC9ACE" w:rsidR="00462860" w:rsidRPr="0018642B" w:rsidRDefault="00FB4145" w:rsidP="0018642B">
      <w:pPr>
        <w:rPr>
          <w:rFonts w:ascii="Arial" w:hAnsi="Arial" w:cs="Arial"/>
        </w:rPr>
      </w:pPr>
      <w:r w:rsidRPr="0018642B">
        <w:rPr>
          <w:rFonts w:ascii="Arial" w:hAnsi="Arial" w:cs="Arial"/>
        </w:rPr>
        <w:t>The next chapter will present three evidence-based, practical recommendations to improve therapy and mental health support for adult CSA survivors.</w:t>
      </w:r>
    </w:p>
    <w:p w14:paraId="6FCBB87D" w14:textId="77777777" w:rsidR="007A3757" w:rsidRPr="007A3757" w:rsidRDefault="007A3757" w:rsidP="00A22F62">
      <w:pPr>
        <w:rPr>
          <w:rFonts w:ascii="Arial" w:hAnsi="Arial" w:cs="Arial"/>
          <w:b/>
          <w:bCs/>
          <w:sz w:val="24"/>
          <w:szCs w:val="24"/>
        </w:rPr>
      </w:pPr>
      <w:r w:rsidRPr="007A3757">
        <w:rPr>
          <w:rFonts w:ascii="Arial" w:hAnsi="Arial" w:cs="Arial"/>
          <w:b/>
          <w:bCs/>
          <w:sz w:val="24"/>
          <w:szCs w:val="24"/>
        </w:rPr>
        <w:t>5.2.1 Recommendation 1: Implement Trauma-Informed Training for All Mental Health and Social Care Professionals</w:t>
      </w:r>
    </w:p>
    <w:p w14:paraId="3F1299D1" w14:textId="25E64961" w:rsidR="009A1CDA" w:rsidRPr="00A22F62" w:rsidRDefault="009A1CDA" w:rsidP="00754055">
      <w:pPr>
        <w:rPr>
          <w:rFonts w:ascii="Arial" w:hAnsi="Arial" w:cs="Arial"/>
        </w:rPr>
      </w:pPr>
      <w:r w:rsidRPr="00A22F62">
        <w:rPr>
          <w:rFonts w:ascii="Arial" w:hAnsi="Arial" w:cs="Arial"/>
        </w:rPr>
        <w:t>A key finding from this study is the inconsistency in trauma-informed care offered to adult survivors of childhood sexual abuse (CSA). Although policies</w:t>
      </w:r>
      <w:r w:rsidR="00E36294" w:rsidRPr="00A22F62">
        <w:rPr>
          <w:rFonts w:ascii="Arial" w:hAnsi="Arial" w:cs="Arial"/>
        </w:rPr>
        <w:t>, such as those from NICE (2018),</w:t>
      </w:r>
      <w:r w:rsidRPr="00A22F62">
        <w:rPr>
          <w:rFonts w:ascii="Arial" w:hAnsi="Arial" w:cs="Arial"/>
        </w:rPr>
        <w:t xml:space="preserve"> advocate for trauma-focused therapies, a notable gap remains between policy and actual </w:t>
      </w:r>
      <w:r w:rsidRPr="00A22F62">
        <w:rPr>
          <w:rFonts w:ascii="Arial" w:hAnsi="Arial" w:cs="Arial"/>
        </w:rPr>
        <w:lastRenderedPageBreak/>
        <w:t>practice</w:t>
      </w:r>
      <w:r w:rsidR="009C30B5">
        <w:rPr>
          <w:rFonts w:ascii="Arial" w:hAnsi="Arial" w:cs="Arial"/>
        </w:rPr>
        <w:t xml:space="preserve"> </w:t>
      </w:r>
      <w:r w:rsidR="009C30B5" w:rsidRPr="009C30B5">
        <w:rPr>
          <w:rFonts w:ascii="Arial" w:hAnsi="Arial" w:cs="Arial"/>
        </w:rPr>
        <w:t>(IICSA, 2022; CSA Centre, 2023)</w:t>
      </w:r>
      <w:r w:rsidR="009C30B5">
        <w:rPr>
          <w:rFonts w:ascii="Arial" w:hAnsi="Arial" w:cs="Arial"/>
        </w:rPr>
        <w:t>.</w:t>
      </w:r>
      <w:r w:rsidRPr="00A22F62">
        <w:rPr>
          <w:rFonts w:ascii="Arial" w:hAnsi="Arial" w:cs="Arial"/>
        </w:rPr>
        <w:t xml:space="preserve"> Hence, it is advised that all professionals in mental health, counselling, and frontline social care across the UK undergo mandatory trauma-informed training.</w:t>
      </w:r>
    </w:p>
    <w:p w14:paraId="13A7D872" w14:textId="5CD6FBFB" w:rsidR="009A1CDA" w:rsidRPr="00A22F62" w:rsidRDefault="009A1CDA" w:rsidP="00754055">
      <w:pPr>
        <w:rPr>
          <w:rFonts w:ascii="Arial" w:hAnsi="Arial" w:cs="Arial"/>
        </w:rPr>
      </w:pPr>
      <w:r w:rsidRPr="00A22F62">
        <w:rPr>
          <w:rFonts w:ascii="Arial" w:hAnsi="Arial" w:cs="Arial"/>
        </w:rPr>
        <w:t>Trauma-informed care acknowledges trauma's widespread effects and aims to prevent re-traumatisation by emphasising safety, choice, collaboration, and empowerment</w:t>
      </w:r>
      <w:r w:rsidR="002B7A9C">
        <w:rPr>
          <w:rFonts w:ascii="Arial" w:hAnsi="Arial" w:cs="Arial"/>
        </w:rPr>
        <w:t xml:space="preserve"> </w:t>
      </w:r>
      <w:r w:rsidR="002B7A9C" w:rsidRPr="002B7A9C">
        <w:rPr>
          <w:rFonts w:ascii="Arial" w:hAnsi="Arial" w:cs="Arial"/>
        </w:rPr>
        <w:t>(Herman, 1992)</w:t>
      </w:r>
      <w:r w:rsidR="002B7A9C">
        <w:rPr>
          <w:rFonts w:ascii="Arial" w:hAnsi="Arial" w:cs="Arial"/>
        </w:rPr>
        <w:t xml:space="preserve">. </w:t>
      </w:r>
      <w:r w:rsidRPr="00A22F62">
        <w:rPr>
          <w:rFonts w:ascii="Arial" w:hAnsi="Arial" w:cs="Arial"/>
        </w:rPr>
        <w:t>For CSA survivors, this approach can enhance trust, boost therapeutic engagement, and support long-term recovery</w:t>
      </w:r>
      <w:r w:rsidR="00F61277">
        <w:rPr>
          <w:rFonts w:ascii="Arial" w:hAnsi="Arial" w:cs="Arial"/>
        </w:rPr>
        <w:t xml:space="preserve"> </w:t>
      </w:r>
      <w:r w:rsidR="00F61277" w:rsidRPr="00F61277">
        <w:rPr>
          <w:rFonts w:ascii="Arial" w:hAnsi="Arial" w:cs="Arial"/>
        </w:rPr>
        <w:t>(MacGinley et al., 2019)</w:t>
      </w:r>
      <w:r w:rsidR="00F61277">
        <w:rPr>
          <w:rFonts w:ascii="Arial" w:hAnsi="Arial" w:cs="Arial"/>
        </w:rPr>
        <w:t>.</w:t>
      </w:r>
      <w:r w:rsidR="00CC5672">
        <w:rPr>
          <w:rFonts w:ascii="Arial" w:hAnsi="Arial" w:cs="Arial"/>
        </w:rPr>
        <w:t xml:space="preserve"> </w:t>
      </w:r>
      <w:r w:rsidRPr="00A22F62">
        <w:rPr>
          <w:rFonts w:ascii="Arial" w:hAnsi="Arial" w:cs="Arial"/>
        </w:rPr>
        <w:t>Training should cover the psychological effects of CSA, trauma's influence on memory and behaviour, and proper responses to disclosures</w:t>
      </w:r>
      <w:r w:rsidR="009551EC">
        <w:rPr>
          <w:rFonts w:ascii="Arial" w:hAnsi="Arial" w:cs="Arial"/>
        </w:rPr>
        <w:t xml:space="preserve"> </w:t>
      </w:r>
      <w:r w:rsidR="009551EC" w:rsidRPr="009551EC">
        <w:rPr>
          <w:rFonts w:ascii="Arial" w:hAnsi="Arial" w:cs="Arial"/>
        </w:rPr>
        <w:t xml:space="preserve">(Boumpa </w:t>
      </w:r>
      <w:r w:rsidR="009551EC" w:rsidRPr="001F19C3">
        <w:rPr>
          <w:rFonts w:ascii="Arial" w:hAnsi="Arial" w:cs="Arial"/>
          <w:i/>
          <w:iCs/>
        </w:rPr>
        <w:t>et al</w:t>
      </w:r>
      <w:r w:rsidR="009551EC" w:rsidRPr="009551EC">
        <w:rPr>
          <w:rFonts w:ascii="Arial" w:hAnsi="Arial" w:cs="Arial"/>
        </w:rPr>
        <w:t>., 2022).</w:t>
      </w:r>
    </w:p>
    <w:p w14:paraId="6880CDD7" w14:textId="3140B750" w:rsidR="007A3757" w:rsidRPr="007A3757" w:rsidRDefault="009A1CDA" w:rsidP="00754055">
      <w:pPr>
        <w:rPr>
          <w:rFonts w:ascii="Arial" w:hAnsi="Arial" w:cs="Arial"/>
        </w:rPr>
      </w:pPr>
      <w:r w:rsidRPr="00A22F62">
        <w:rPr>
          <w:rFonts w:ascii="Arial" w:hAnsi="Arial" w:cs="Arial"/>
        </w:rPr>
        <w:t>Obstacles such as funding issues, staff turnover, and limited time for training exist. To address these, trauma-informed modules could be integrated into existing CPD programs, backed by government funding and organisational support</w:t>
      </w:r>
      <w:r w:rsidR="001F52B0">
        <w:rPr>
          <w:rFonts w:ascii="Arial" w:hAnsi="Arial" w:cs="Arial"/>
        </w:rPr>
        <w:t xml:space="preserve"> </w:t>
      </w:r>
      <w:r w:rsidR="001F52B0" w:rsidRPr="001F52B0">
        <w:rPr>
          <w:rFonts w:ascii="Arial" w:hAnsi="Arial" w:cs="Arial"/>
        </w:rPr>
        <w:t>(NHS, 2019).</w:t>
      </w:r>
      <w:r w:rsidR="001F52B0">
        <w:rPr>
          <w:rFonts w:ascii="Arial" w:hAnsi="Arial" w:cs="Arial"/>
        </w:rPr>
        <w:t xml:space="preserve"> </w:t>
      </w:r>
      <w:r w:rsidRPr="00A22F62">
        <w:rPr>
          <w:rFonts w:ascii="Arial" w:hAnsi="Arial" w:cs="Arial"/>
        </w:rPr>
        <w:t xml:space="preserve">Using evaluation tools to measure </w:t>
      </w:r>
      <w:r w:rsidR="00E36294" w:rsidRPr="00A22F62">
        <w:rPr>
          <w:rFonts w:ascii="Arial" w:hAnsi="Arial" w:cs="Arial"/>
        </w:rPr>
        <w:t xml:space="preserve">the impact of training </w:t>
      </w:r>
      <w:r w:rsidRPr="00A22F62">
        <w:rPr>
          <w:rFonts w:ascii="Arial" w:hAnsi="Arial" w:cs="Arial"/>
        </w:rPr>
        <w:t>on service quality and client outcomes is also recommended.</w:t>
      </w:r>
      <w:r w:rsidR="00E36294" w:rsidRPr="00A22F62">
        <w:rPr>
          <w:rFonts w:ascii="Arial" w:hAnsi="Arial" w:cs="Arial"/>
        </w:rPr>
        <w:t xml:space="preserve"> </w:t>
      </w:r>
      <w:r w:rsidRPr="00A22F62">
        <w:rPr>
          <w:rFonts w:ascii="Arial" w:hAnsi="Arial" w:cs="Arial"/>
        </w:rPr>
        <w:t>By developing trauma-informed skills among professionals, services can better address the complex needs of adult CSA survivors and improve mental health outcomes system-wide</w:t>
      </w:r>
      <w:r w:rsidR="004D6DC7">
        <w:rPr>
          <w:rFonts w:ascii="Arial" w:hAnsi="Arial" w:cs="Arial"/>
        </w:rPr>
        <w:t xml:space="preserve"> </w:t>
      </w:r>
      <w:bookmarkStart w:id="10" w:name="_Hlk204684152"/>
      <w:r w:rsidR="004D6DC7" w:rsidRPr="004D6DC7">
        <w:rPr>
          <w:rFonts w:ascii="Arial" w:hAnsi="Arial" w:cs="Arial"/>
        </w:rPr>
        <w:t>(NHS, 2019)</w:t>
      </w:r>
      <w:r w:rsidR="004D6DC7">
        <w:rPr>
          <w:rFonts w:ascii="Arial" w:hAnsi="Arial" w:cs="Arial"/>
        </w:rPr>
        <w:t>.</w:t>
      </w:r>
      <w:bookmarkEnd w:id="10"/>
    </w:p>
    <w:p w14:paraId="63560075" w14:textId="77777777" w:rsidR="003D0360" w:rsidRPr="00754055" w:rsidRDefault="003D0360" w:rsidP="00A22F62">
      <w:pPr>
        <w:rPr>
          <w:rFonts w:ascii="Arial" w:hAnsi="Arial" w:cs="Arial"/>
          <w:b/>
          <w:bCs/>
          <w:sz w:val="24"/>
          <w:szCs w:val="24"/>
        </w:rPr>
      </w:pPr>
      <w:r w:rsidRPr="00754055">
        <w:rPr>
          <w:rFonts w:ascii="Arial" w:hAnsi="Arial" w:cs="Arial"/>
          <w:b/>
          <w:bCs/>
          <w:sz w:val="24"/>
          <w:szCs w:val="24"/>
        </w:rPr>
        <w:t>5.2.2 Recommendation 2: Expand Access to Long-Term, Specialised Therapy for Adult Survivors</w:t>
      </w:r>
    </w:p>
    <w:p w14:paraId="1F3A643E" w14:textId="3C8C7757" w:rsidR="003D0360" w:rsidRPr="00A22F62" w:rsidRDefault="003D0360" w:rsidP="00754055">
      <w:pPr>
        <w:rPr>
          <w:rFonts w:ascii="Arial" w:hAnsi="Arial" w:cs="Arial"/>
        </w:rPr>
      </w:pPr>
      <w:r w:rsidRPr="00A22F62">
        <w:rPr>
          <w:rFonts w:ascii="Arial" w:hAnsi="Arial" w:cs="Arial"/>
        </w:rPr>
        <w:t>A significant issue identified in this research is the limited availability and accessibility of long-term, specialised therapy for adult survivors of childhood sexual abuse (CSA). While short-term treatments like trauma-focused cognitive behavioural therapy (TF-CBT) are commonly recommended, many survivors need ongoing, complex support that addresses deep-seated interpersonal and emotional impacts of early trauma</w:t>
      </w:r>
      <w:r w:rsidR="00ED0BE4">
        <w:rPr>
          <w:rFonts w:ascii="Arial" w:hAnsi="Arial" w:cs="Arial"/>
        </w:rPr>
        <w:t xml:space="preserve"> </w:t>
      </w:r>
      <w:r w:rsidR="00ED0BE4" w:rsidRPr="00ED0BE4">
        <w:rPr>
          <w:rFonts w:ascii="Arial" w:hAnsi="Arial" w:cs="Arial"/>
        </w:rPr>
        <w:t xml:space="preserve">(Christ </w:t>
      </w:r>
      <w:r w:rsidR="00ED0BE4" w:rsidRPr="002F5D68">
        <w:rPr>
          <w:rFonts w:ascii="Arial" w:hAnsi="Arial" w:cs="Arial"/>
          <w:i/>
          <w:iCs/>
        </w:rPr>
        <w:t>et al</w:t>
      </w:r>
      <w:r w:rsidR="00ED0BE4" w:rsidRPr="00ED0BE4">
        <w:rPr>
          <w:rFonts w:ascii="Arial" w:hAnsi="Arial" w:cs="Arial"/>
        </w:rPr>
        <w:t xml:space="preserve">., 2019; </w:t>
      </w:r>
      <w:r w:rsidR="00CD7B7E" w:rsidRPr="00CD7B7E">
        <w:rPr>
          <w:rFonts w:ascii="Arial" w:hAnsi="Arial" w:cs="Arial"/>
        </w:rPr>
        <w:t>MacGinley et al., 2019</w:t>
      </w:r>
      <w:r w:rsidR="00ED0BE4" w:rsidRPr="00ED0BE4">
        <w:rPr>
          <w:rFonts w:ascii="Arial" w:hAnsi="Arial" w:cs="Arial"/>
        </w:rPr>
        <w:t>).</w:t>
      </w:r>
      <w:r w:rsidR="00ED0BE4">
        <w:rPr>
          <w:rFonts w:ascii="Arial" w:hAnsi="Arial" w:cs="Arial"/>
        </w:rPr>
        <w:t xml:space="preserve"> </w:t>
      </w:r>
      <w:r w:rsidRPr="00A22F62">
        <w:rPr>
          <w:rFonts w:ascii="Arial" w:hAnsi="Arial" w:cs="Arial"/>
        </w:rPr>
        <w:t>Consequently, it is advised that the UK government and local NHS trusts allocate more funding to long-term, trauma-specialist therapy services.</w:t>
      </w:r>
      <w:r w:rsidR="00E36294" w:rsidRPr="00A22F62">
        <w:rPr>
          <w:rFonts w:ascii="Arial" w:hAnsi="Arial" w:cs="Arial"/>
        </w:rPr>
        <w:t xml:space="preserve"> </w:t>
      </w:r>
      <w:r w:rsidRPr="00A22F62">
        <w:rPr>
          <w:rFonts w:ascii="Arial" w:hAnsi="Arial" w:cs="Arial"/>
        </w:rPr>
        <w:t>Currently, NHS mental health services often face long waiting times and emphasise short-term, standardised treatments</w:t>
      </w:r>
      <w:r w:rsidR="006C07C8">
        <w:rPr>
          <w:rFonts w:ascii="Arial" w:hAnsi="Arial" w:cs="Arial"/>
        </w:rPr>
        <w:t xml:space="preserve"> </w:t>
      </w:r>
      <w:r w:rsidR="006C07C8" w:rsidRPr="006C07C8">
        <w:rPr>
          <w:rFonts w:ascii="Arial" w:hAnsi="Arial" w:cs="Arial"/>
        </w:rPr>
        <w:t xml:space="preserve">(NHS, 2019). </w:t>
      </w:r>
      <w:r w:rsidRPr="00A22F62">
        <w:rPr>
          <w:rFonts w:ascii="Arial" w:hAnsi="Arial" w:cs="Arial"/>
        </w:rPr>
        <w:t>These approaches are not always suitable for CSA survivors experiencing complex PTSD, emotional dysregulation, and attachment issues.</w:t>
      </w:r>
      <w:r w:rsidR="00854BF3">
        <w:rPr>
          <w:rFonts w:ascii="Arial" w:hAnsi="Arial" w:cs="Arial"/>
        </w:rPr>
        <w:t xml:space="preserve"> </w:t>
      </w:r>
      <w:r w:rsidR="00854BF3" w:rsidRPr="00854BF3">
        <w:rPr>
          <w:rFonts w:ascii="Arial" w:hAnsi="Arial" w:cs="Arial"/>
        </w:rPr>
        <w:t xml:space="preserve">(Boumpa </w:t>
      </w:r>
      <w:r w:rsidR="00854BF3" w:rsidRPr="00F61277">
        <w:rPr>
          <w:rFonts w:ascii="Arial" w:hAnsi="Arial" w:cs="Arial"/>
          <w:i/>
          <w:iCs/>
        </w:rPr>
        <w:t>et al.,</w:t>
      </w:r>
      <w:r w:rsidR="00854BF3" w:rsidRPr="00854BF3">
        <w:rPr>
          <w:rFonts w:ascii="Arial" w:hAnsi="Arial" w:cs="Arial"/>
        </w:rPr>
        <w:t xml:space="preserve"> 2022; Kratzer </w:t>
      </w:r>
      <w:r w:rsidR="00854BF3" w:rsidRPr="00CD7B7E">
        <w:rPr>
          <w:rFonts w:ascii="Arial" w:hAnsi="Arial" w:cs="Arial"/>
          <w:i/>
          <w:iCs/>
        </w:rPr>
        <w:t>et al.,</w:t>
      </w:r>
      <w:r w:rsidR="00854BF3" w:rsidRPr="00854BF3">
        <w:rPr>
          <w:rFonts w:ascii="Arial" w:hAnsi="Arial" w:cs="Arial"/>
        </w:rPr>
        <w:t xml:space="preserve"> 2020).</w:t>
      </w:r>
      <w:r w:rsidRPr="00A22F62">
        <w:rPr>
          <w:rFonts w:ascii="Arial" w:hAnsi="Arial" w:cs="Arial"/>
        </w:rPr>
        <w:t>Therapies such as Eye Movement Desensitisation and Reprocessing (EMDR), schema therapy, and psychodynamic approaches can provide more personalised</w:t>
      </w:r>
      <w:r w:rsidR="00E36294" w:rsidRPr="00A22F62">
        <w:rPr>
          <w:rFonts w:ascii="Arial" w:hAnsi="Arial" w:cs="Arial"/>
        </w:rPr>
        <w:t xml:space="preserve"> and in-depth support. Still, access is frequently limited to those who can afford</w:t>
      </w:r>
      <w:r w:rsidRPr="00A22F62">
        <w:rPr>
          <w:rFonts w:ascii="Arial" w:hAnsi="Arial" w:cs="Arial"/>
        </w:rPr>
        <w:t xml:space="preserve"> private care</w:t>
      </w:r>
      <w:r w:rsidR="00E068B0">
        <w:rPr>
          <w:rFonts w:ascii="Arial" w:hAnsi="Arial" w:cs="Arial"/>
        </w:rPr>
        <w:t xml:space="preserve"> </w:t>
      </w:r>
      <w:r w:rsidR="00E068B0" w:rsidRPr="00E068B0">
        <w:rPr>
          <w:rFonts w:ascii="Arial" w:hAnsi="Arial" w:cs="Arial"/>
        </w:rPr>
        <w:t xml:space="preserve">(Office for National Statistics, 2020). </w:t>
      </w:r>
    </w:p>
    <w:p w14:paraId="74859DEA" w14:textId="1F51670C" w:rsidR="003D0360" w:rsidRPr="00A22F62" w:rsidRDefault="003D0360" w:rsidP="00754055">
      <w:pPr>
        <w:rPr>
          <w:rFonts w:ascii="Arial" w:hAnsi="Arial" w:cs="Arial"/>
        </w:rPr>
      </w:pPr>
      <w:r w:rsidRPr="00A22F62">
        <w:rPr>
          <w:rFonts w:ascii="Arial" w:hAnsi="Arial" w:cs="Arial"/>
        </w:rPr>
        <w:t xml:space="preserve">Barriers to implementing this include limited public funding, workforce shortages, and regional disparities. To overcome these, Integrated Care Boards (ICBs) could allocate dedicated funds </w:t>
      </w:r>
      <w:r w:rsidRPr="00A22F62">
        <w:rPr>
          <w:rFonts w:ascii="Arial" w:hAnsi="Arial" w:cs="Arial"/>
        </w:rPr>
        <w:lastRenderedPageBreak/>
        <w:t>for specialised trauma services and partner with third-sector organisations that already support survivors</w:t>
      </w:r>
      <w:r w:rsidR="008E2626">
        <w:rPr>
          <w:rFonts w:ascii="Arial" w:hAnsi="Arial" w:cs="Arial"/>
        </w:rPr>
        <w:t xml:space="preserve"> </w:t>
      </w:r>
      <w:r w:rsidR="008E2626" w:rsidRPr="008E2626">
        <w:rPr>
          <w:rFonts w:ascii="Arial" w:hAnsi="Arial" w:cs="Arial"/>
        </w:rPr>
        <w:t>(IICSA, 2022).</w:t>
      </w:r>
      <w:r w:rsidRPr="00A22F62">
        <w:rPr>
          <w:rFonts w:ascii="Arial" w:hAnsi="Arial" w:cs="Arial"/>
        </w:rPr>
        <w:t xml:space="preserve"> Moreover, training more therapists in advanced trauma modalities will help increase capacity over time.</w:t>
      </w:r>
    </w:p>
    <w:p w14:paraId="081454D2" w14:textId="450809A7" w:rsidR="007A3757" w:rsidRPr="007A3757" w:rsidRDefault="003D0360" w:rsidP="00754055">
      <w:pPr>
        <w:rPr>
          <w:rFonts w:ascii="Arial" w:hAnsi="Arial" w:cs="Arial"/>
        </w:rPr>
      </w:pPr>
      <w:r w:rsidRPr="00A22F62">
        <w:rPr>
          <w:rFonts w:ascii="Arial" w:hAnsi="Arial" w:cs="Arial"/>
        </w:rPr>
        <w:t>In summary, expanding access to long-term, specialised therapy is crucial for better outcomes for survivors and for alleviating long-term pressure on mental health services.</w:t>
      </w:r>
    </w:p>
    <w:p w14:paraId="0ACD860D" w14:textId="52E756B6" w:rsidR="007A3757" w:rsidRPr="007A3757" w:rsidRDefault="007A3757" w:rsidP="00A22F62">
      <w:pPr>
        <w:rPr>
          <w:rFonts w:ascii="Arial" w:hAnsi="Arial" w:cs="Arial"/>
        </w:rPr>
      </w:pPr>
    </w:p>
    <w:p w14:paraId="099C5E9E" w14:textId="77777777" w:rsidR="007A3757" w:rsidRPr="007A3757" w:rsidRDefault="007A3757" w:rsidP="00A22F62">
      <w:pPr>
        <w:rPr>
          <w:rFonts w:ascii="Arial" w:hAnsi="Arial" w:cs="Arial"/>
          <w:b/>
          <w:bCs/>
          <w:sz w:val="24"/>
          <w:szCs w:val="24"/>
        </w:rPr>
      </w:pPr>
      <w:r w:rsidRPr="007A3757">
        <w:rPr>
          <w:rFonts w:ascii="Arial" w:hAnsi="Arial" w:cs="Arial"/>
          <w:b/>
          <w:bCs/>
          <w:sz w:val="24"/>
          <w:szCs w:val="24"/>
        </w:rPr>
        <w:t>5.2.3 Recommendation 3: Implement Trauma-Informed Education and Training Across Frontline Services</w:t>
      </w:r>
    </w:p>
    <w:p w14:paraId="24D0DCCC" w14:textId="24C74898" w:rsidR="00CD78C9" w:rsidRPr="00A22F62" w:rsidRDefault="005C7CC0" w:rsidP="00754055">
      <w:pPr>
        <w:rPr>
          <w:rFonts w:ascii="Arial" w:hAnsi="Arial" w:cs="Arial"/>
        </w:rPr>
      </w:pPr>
      <w:r w:rsidRPr="00A22F62">
        <w:rPr>
          <w:rFonts w:ascii="Arial" w:hAnsi="Arial" w:cs="Arial"/>
        </w:rPr>
        <w:t>To effectively address the long-term psychological effects of childhood sexual abuse (CSA), it is crucial to adopt a trauma-informed approach across all front-line services, such as health, social care, education, and the criminal justice system</w:t>
      </w:r>
      <w:r w:rsidR="00DD1F0D">
        <w:rPr>
          <w:rFonts w:ascii="Arial" w:hAnsi="Arial" w:cs="Arial"/>
        </w:rPr>
        <w:t xml:space="preserve"> </w:t>
      </w:r>
      <w:r w:rsidR="00DD1F0D" w:rsidRPr="00DD1F0D">
        <w:rPr>
          <w:rFonts w:ascii="Arial" w:hAnsi="Arial" w:cs="Arial"/>
        </w:rPr>
        <w:t>(CSA Centre, 2023).</w:t>
      </w:r>
      <w:r w:rsidR="00DD1F0D">
        <w:rPr>
          <w:rFonts w:ascii="Arial" w:hAnsi="Arial" w:cs="Arial"/>
        </w:rPr>
        <w:t xml:space="preserve"> </w:t>
      </w:r>
      <w:r w:rsidRPr="00A22F62">
        <w:rPr>
          <w:rFonts w:ascii="Arial" w:hAnsi="Arial" w:cs="Arial"/>
        </w:rPr>
        <w:t>Many adult survivors meet professionals who lack sufficient understanding of trauma and its behavioural signs, which can lead to misjudgements, trauma, or disengagement from services</w:t>
      </w:r>
      <w:r w:rsidR="00223B44">
        <w:rPr>
          <w:rFonts w:ascii="Arial" w:hAnsi="Arial" w:cs="Arial"/>
        </w:rPr>
        <w:t xml:space="preserve"> </w:t>
      </w:r>
      <w:r w:rsidR="00CD7B7E" w:rsidRPr="00CD7B7E">
        <w:rPr>
          <w:rFonts w:ascii="Arial" w:hAnsi="Arial" w:cs="Arial"/>
        </w:rPr>
        <w:t xml:space="preserve">(MacGinley </w:t>
      </w:r>
      <w:r w:rsidR="00CD7B7E" w:rsidRPr="00F61277">
        <w:rPr>
          <w:rFonts w:ascii="Arial" w:hAnsi="Arial" w:cs="Arial"/>
          <w:i/>
          <w:iCs/>
        </w:rPr>
        <w:t>et al</w:t>
      </w:r>
      <w:r w:rsidR="00CD7B7E" w:rsidRPr="00CD7B7E">
        <w:rPr>
          <w:rFonts w:ascii="Arial" w:hAnsi="Arial" w:cs="Arial"/>
        </w:rPr>
        <w:t>., 2019</w:t>
      </w:r>
      <w:r w:rsidR="00223B44" w:rsidRPr="00223B44">
        <w:rPr>
          <w:rFonts w:ascii="Arial" w:hAnsi="Arial" w:cs="Arial"/>
        </w:rPr>
        <w:t>; IICSA, 2022).</w:t>
      </w:r>
      <w:r w:rsidR="00223B44">
        <w:rPr>
          <w:rFonts w:ascii="Arial" w:hAnsi="Arial" w:cs="Arial"/>
        </w:rPr>
        <w:t xml:space="preserve"> </w:t>
      </w:r>
      <w:r w:rsidRPr="00A22F62">
        <w:rPr>
          <w:rFonts w:ascii="Arial" w:hAnsi="Arial" w:cs="Arial"/>
        </w:rPr>
        <w:t xml:space="preserve">Therefore, it is recommended that trauma-informed training be made mandatory in all relevant sectors. </w:t>
      </w:r>
      <w:r w:rsidR="00CD78C9" w:rsidRPr="00A22F62">
        <w:rPr>
          <w:rFonts w:ascii="Arial" w:hAnsi="Arial" w:cs="Arial"/>
        </w:rPr>
        <w:t>Trauma-informed practice is based on core principles including safety, trustworthiness, collaboration, empowerment, and cultural sensitivity</w:t>
      </w:r>
      <w:r w:rsidR="00D8170B">
        <w:rPr>
          <w:rFonts w:ascii="Arial" w:hAnsi="Arial" w:cs="Arial"/>
        </w:rPr>
        <w:t xml:space="preserve"> </w:t>
      </w:r>
      <w:r w:rsidR="00D8170B" w:rsidRPr="00D8170B">
        <w:rPr>
          <w:rFonts w:ascii="Arial" w:hAnsi="Arial" w:cs="Arial"/>
        </w:rPr>
        <w:t>(Herman, 1992).</w:t>
      </w:r>
      <w:r w:rsidR="00D8170B">
        <w:rPr>
          <w:rFonts w:ascii="Arial" w:hAnsi="Arial" w:cs="Arial"/>
        </w:rPr>
        <w:t xml:space="preserve"> </w:t>
      </w:r>
      <w:r w:rsidR="00CD78C9" w:rsidRPr="00A22F62">
        <w:rPr>
          <w:rFonts w:ascii="Arial" w:hAnsi="Arial" w:cs="Arial"/>
        </w:rPr>
        <w:t xml:space="preserve">Incorporating these principles into public service delivery would help ensure </w:t>
      </w:r>
      <w:r w:rsidR="008B4002" w:rsidRPr="00A22F62">
        <w:rPr>
          <w:rFonts w:ascii="Arial" w:hAnsi="Arial" w:cs="Arial"/>
        </w:rPr>
        <w:t>that survivors receive compassionate, validating, and suitable support, regardless of</w:t>
      </w:r>
      <w:r w:rsidR="00CD78C9" w:rsidRPr="00A22F62">
        <w:rPr>
          <w:rFonts w:ascii="Arial" w:hAnsi="Arial" w:cs="Arial"/>
        </w:rPr>
        <w:t xml:space="preserve"> which service they access. For instance, GPs and emergency room staff trained in trauma-awareness are more capable of identifying CSA-related symptoms, making proper referrals, and avoiding unintentional triggers of distress</w:t>
      </w:r>
      <w:r w:rsidR="00F85EAF">
        <w:rPr>
          <w:rFonts w:ascii="Arial" w:hAnsi="Arial" w:cs="Arial"/>
        </w:rPr>
        <w:t xml:space="preserve"> </w:t>
      </w:r>
      <w:r w:rsidR="00F85EAF" w:rsidRPr="00F85EAF">
        <w:rPr>
          <w:rFonts w:ascii="Arial" w:hAnsi="Arial" w:cs="Arial"/>
        </w:rPr>
        <w:t xml:space="preserve">(Office for National Statistics, 2020). </w:t>
      </w:r>
    </w:p>
    <w:p w14:paraId="5218667B" w14:textId="4CA7DEA5" w:rsidR="000F0C66" w:rsidRDefault="00CD78C9" w:rsidP="00754055">
      <w:pPr>
        <w:rPr>
          <w:rFonts w:ascii="Arial" w:hAnsi="Arial" w:cs="Arial"/>
        </w:rPr>
      </w:pPr>
      <w:r w:rsidRPr="00A22F62">
        <w:rPr>
          <w:rFonts w:ascii="Arial" w:hAnsi="Arial" w:cs="Arial"/>
        </w:rPr>
        <w:t>Challenges to implementation</w:t>
      </w:r>
      <w:r w:rsidR="008B4002" w:rsidRPr="00A22F62">
        <w:rPr>
          <w:rFonts w:ascii="Arial" w:hAnsi="Arial" w:cs="Arial"/>
        </w:rPr>
        <w:t>,</w:t>
      </w:r>
      <w:r w:rsidRPr="00A22F62">
        <w:rPr>
          <w:rFonts w:ascii="Arial" w:hAnsi="Arial" w:cs="Arial"/>
        </w:rPr>
        <w:t xml:space="preserve"> such as time limitations, funding shortages, and resistance to organisational change</w:t>
      </w:r>
      <w:r w:rsidR="008B4002" w:rsidRPr="00A22F62">
        <w:rPr>
          <w:rFonts w:ascii="Arial" w:hAnsi="Arial" w:cs="Arial"/>
        </w:rPr>
        <w:t>,</w:t>
      </w:r>
      <w:r w:rsidRPr="00A22F62">
        <w:rPr>
          <w:rFonts w:ascii="Arial" w:hAnsi="Arial" w:cs="Arial"/>
        </w:rPr>
        <w:t xml:space="preserve"> can be addressed by integrating training into existing professional development programs and providing modular, flexible learning options</w:t>
      </w:r>
      <w:r w:rsidR="008F295C">
        <w:rPr>
          <w:rFonts w:ascii="Arial" w:hAnsi="Arial" w:cs="Arial"/>
        </w:rPr>
        <w:t xml:space="preserve"> </w:t>
      </w:r>
      <w:r w:rsidR="003C2C3C" w:rsidRPr="003C2C3C">
        <w:rPr>
          <w:rFonts w:ascii="Arial" w:hAnsi="Arial" w:cs="Arial"/>
        </w:rPr>
        <w:t xml:space="preserve">(NHS, 2019). </w:t>
      </w:r>
      <w:r w:rsidR="003C2C3C">
        <w:rPr>
          <w:rFonts w:ascii="Arial" w:hAnsi="Arial" w:cs="Arial"/>
        </w:rPr>
        <w:t xml:space="preserve"> </w:t>
      </w:r>
      <w:r w:rsidRPr="00A22F62">
        <w:rPr>
          <w:rFonts w:ascii="Arial" w:hAnsi="Arial" w:cs="Arial"/>
        </w:rPr>
        <w:t xml:space="preserve">Additionally, funding evaluative research will be </w:t>
      </w:r>
      <w:r w:rsidR="005C7CC0" w:rsidRPr="00A22F62">
        <w:rPr>
          <w:rFonts w:ascii="Arial" w:hAnsi="Arial" w:cs="Arial"/>
        </w:rPr>
        <w:t>essential</w:t>
      </w:r>
      <w:r w:rsidRPr="00A22F62">
        <w:rPr>
          <w:rFonts w:ascii="Arial" w:hAnsi="Arial" w:cs="Arial"/>
        </w:rPr>
        <w:t xml:space="preserve"> to assess the effectiveness of trauma-informed approaches within the UK context.</w:t>
      </w:r>
      <w:r w:rsidR="005C7CC0" w:rsidRPr="00A22F62">
        <w:rPr>
          <w:rFonts w:ascii="Arial" w:hAnsi="Arial" w:cs="Arial"/>
        </w:rPr>
        <w:t xml:space="preserve"> </w:t>
      </w:r>
      <w:r w:rsidRPr="00A22F62">
        <w:rPr>
          <w:rFonts w:ascii="Arial" w:hAnsi="Arial" w:cs="Arial"/>
        </w:rPr>
        <w:t>This proposal promotes a cultural shift from viewing trauma survivors as merely pathological to empowering them, ultimately leading to more inclusive, responsive services and improved mental health outcomes.</w:t>
      </w:r>
    </w:p>
    <w:p w14:paraId="2CC0E30F" w14:textId="77777777" w:rsidR="000F0C66" w:rsidRDefault="000F0C66" w:rsidP="00754055">
      <w:pPr>
        <w:rPr>
          <w:rFonts w:ascii="Arial" w:hAnsi="Arial" w:cs="Arial"/>
        </w:rPr>
      </w:pPr>
    </w:p>
    <w:p w14:paraId="6CEED3DD" w14:textId="77777777" w:rsidR="000F0C66" w:rsidRDefault="000F0C66" w:rsidP="00754055">
      <w:pPr>
        <w:rPr>
          <w:rFonts w:ascii="Arial" w:hAnsi="Arial" w:cs="Arial"/>
        </w:rPr>
      </w:pPr>
    </w:p>
    <w:p w14:paraId="46793C94" w14:textId="77777777" w:rsidR="00AF4B58" w:rsidRDefault="00AF4B58" w:rsidP="00754055">
      <w:pPr>
        <w:rPr>
          <w:rFonts w:ascii="Arial" w:hAnsi="Arial" w:cs="Arial"/>
        </w:rPr>
      </w:pPr>
    </w:p>
    <w:p w14:paraId="3807F463" w14:textId="77777777" w:rsidR="005C7CC0" w:rsidRPr="00A22F62" w:rsidRDefault="005C7CC0" w:rsidP="00A22F62">
      <w:pPr>
        <w:rPr>
          <w:rFonts w:ascii="Arial" w:hAnsi="Arial" w:cs="Arial"/>
        </w:rPr>
      </w:pPr>
    </w:p>
    <w:p w14:paraId="0E84A01B" w14:textId="1B61FB6A" w:rsidR="00547923" w:rsidRPr="00167F57" w:rsidRDefault="005C7CC0" w:rsidP="00547923">
      <w:pPr>
        <w:rPr>
          <w:rFonts w:ascii="Arial" w:hAnsi="Arial" w:cs="Arial"/>
          <w:sz w:val="24"/>
          <w:szCs w:val="24"/>
        </w:rPr>
      </w:pPr>
      <w:r w:rsidRPr="001924CB">
        <w:rPr>
          <w:rFonts w:ascii="Arial" w:hAnsi="Arial" w:cs="Arial"/>
          <w:sz w:val="24"/>
          <w:szCs w:val="24"/>
        </w:rPr>
        <w:lastRenderedPageBreak/>
        <w:t>Reference</w:t>
      </w:r>
      <w:r w:rsidR="001924CB">
        <w:rPr>
          <w:rFonts w:ascii="Arial" w:hAnsi="Arial" w:cs="Arial"/>
          <w:sz w:val="24"/>
          <w:szCs w:val="24"/>
        </w:rPr>
        <w:t>s</w:t>
      </w:r>
      <w:r w:rsidR="00547923" w:rsidRPr="0048377D">
        <w:rPr>
          <w:rFonts w:ascii="Arial" w:eastAsia="Times New Roman" w:hAnsi="Arial" w:cs="Arial"/>
          <w:vanish/>
          <w:kern w:val="0"/>
          <w:lang w:eastAsia="en-GB"/>
          <w14:ligatures w14:val="none"/>
        </w:rPr>
        <w:t>Bottom of Form</w:t>
      </w:r>
    </w:p>
    <w:p w14:paraId="3D7E19B5"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Akinyemi, O. </w:t>
      </w:r>
      <w:r w:rsidRPr="00067E02">
        <w:rPr>
          <w:rFonts w:ascii="Arial" w:hAnsi="Arial" w:cs="Arial"/>
          <w:i/>
          <w:iCs/>
          <w:sz w:val="22"/>
          <w:szCs w:val="22"/>
        </w:rPr>
        <w:t>et al.</w:t>
      </w:r>
      <w:r w:rsidRPr="00067E02">
        <w:rPr>
          <w:rFonts w:ascii="Arial" w:hAnsi="Arial" w:cs="Arial"/>
          <w:sz w:val="22"/>
          <w:szCs w:val="22"/>
        </w:rPr>
        <w:t xml:space="preserve"> (2025) ‘The long-term impact of childhood sexual assault on depression and self-reported mental and physical health’, </w:t>
      </w:r>
      <w:r w:rsidRPr="00067E02">
        <w:rPr>
          <w:rFonts w:ascii="Arial" w:hAnsi="Arial" w:cs="Arial"/>
          <w:i/>
          <w:iCs/>
          <w:sz w:val="22"/>
          <w:szCs w:val="22"/>
        </w:rPr>
        <w:t>Frontiers in Psychiatry</w:t>
      </w:r>
      <w:r w:rsidRPr="00067E02">
        <w:rPr>
          <w:rFonts w:ascii="Arial" w:hAnsi="Arial" w:cs="Arial"/>
          <w:sz w:val="22"/>
          <w:szCs w:val="22"/>
        </w:rPr>
        <w:t xml:space="preserve">, 15. Available at: </w:t>
      </w:r>
      <w:hyperlink r:id="rId5" w:history="1">
        <w:r w:rsidRPr="00067E02">
          <w:rPr>
            <w:rStyle w:val="Hyperlink"/>
            <w:rFonts w:ascii="Arial" w:hAnsi="Arial" w:cs="Arial"/>
            <w:color w:val="4472C4" w:themeColor="accent1"/>
            <w:sz w:val="22"/>
            <w:szCs w:val="22"/>
          </w:rPr>
          <w:t>https://doi.org/10.3389/fpsyt.2024.1528914</w:t>
        </w:r>
      </w:hyperlink>
      <w:r w:rsidRPr="00067E02">
        <w:rPr>
          <w:rFonts w:ascii="Arial" w:hAnsi="Arial" w:cs="Arial"/>
          <w:color w:val="4472C4" w:themeColor="accent1"/>
          <w:sz w:val="22"/>
          <w:szCs w:val="22"/>
        </w:rPr>
        <w:t>.</w:t>
      </w:r>
      <w:r w:rsidRPr="00067E02">
        <w:rPr>
          <w:rFonts w:ascii="Arial" w:hAnsi="Arial" w:cs="Arial"/>
          <w:sz w:val="22"/>
          <w:szCs w:val="22"/>
        </w:rPr>
        <w:t xml:space="preserve"> </w:t>
      </w:r>
    </w:p>
    <w:p w14:paraId="29ACFD83"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Bisson, J.I. </w:t>
      </w:r>
      <w:r w:rsidRPr="00067E02">
        <w:rPr>
          <w:rFonts w:ascii="Arial" w:hAnsi="Arial" w:cs="Arial"/>
          <w:i/>
          <w:iCs/>
          <w:sz w:val="22"/>
          <w:szCs w:val="22"/>
        </w:rPr>
        <w:t>et al.</w:t>
      </w:r>
      <w:r w:rsidRPr="00067E02">
        <w:rPr>
          <w:rFonts w:ascii="Arial" w:hAnsi="Arial" w:cs="Arial"/>
          <w:sz w:val="22"/>
          <w:szCs w:val="22"/>
        </w:rPr>
        <w:t xml:space="preserve"> (2022) ‘Guided, internet based, cognitive behavioural therapy for post-traumatic stress disorder: pragmatic, multicentre, randomised controlled non-inferiority trial (RAPID)’, </w:t>
      </w:r>
      <w:r w:rsidRPr="00067E02">
        <w:rPr>
          <w:rFonts w:ascii="Arial" w:hAnsi="Arial" w:cs="Arial"/>
          <w:i/>
          <w:iCs/>
          <w:sz w:val="22"/>
          <w:szCs w:val="22"/>
        </w:rPr>
        <w:t>BMJ (Clinical research ed.)</w:t>
      </w:r>
      <w:r w:rsidRPr="00067E02">
        <w:rPr>
          <w:rFonts w:ascii="Arial" w:hAnsi="Arial" w:cs="Arial"/>
          <w:sz w:val="22"/>
          <w:szCs w:val="22"/>
        </w:rPr>
        <w:t xml:space="preserve">, 377(377), p. e069405. Available at: </w:t>
      </w:r>
      <w:hyperlink r:id="rId6" w:history="1">
        <w:r w:rsidRPr="00067E02">
          <w:rPr>
            <w:rStyle w:val="Hyperlink"/>
            <w:rFonts w:ascii="Arial" w:hAnsi="Arial" w:cs="Arial"/>
            <w:sz w:val="22"/>
            <w:szCs w:val="22"/>
          </w:rPr>
          <w:t>https://doi.org/10.1136/bmj-2021-069405</w:t>
        </w:r>
      </w:hyperlink>
      <w:r w:rsidRPr="00067E02">
        <w:rPr>
          <w:rFonts w:ascii="Arial" w:hAnsi="Arial" w:cs="Arial"/>
          <w:sz w:val="22"/>
          <w:szCs w:val="22"/>
        </w:rPr>
        <w:t xml:space="preserve">. </w:t>
      </w:r>
    </w:p>
    <w:p w14:paraId="6C864C60"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Boumpa, V. </w:t>
      </w:r>
      <w:r w:rsidRPr="00067E02">
        <w:rPr>
          <w:rFonts w:ascii="Arial" w:hAnsi="Arial" w:cs="Arial"/>
          <w:i/>
          <w:iCs/>
          <w:sz w:val="22"/>
          <w:szCs w:val="22"/>
        </w:rPr>
        <w:t>et al.</w:t>
      </w:r>
      <w:r w:rsidRPr="00067E02">
        <w:rPr>
          <w:rFonts w:ascii="Arial" w:hAnsi="Arial" w:cs="Arial"/>
          <w:sz w:val="22"/>
          <w:szCs w:val="22"/>
        </w:rPr>
        <w:t xml:space="preserve"> (2022c) ‘Sexual abuse and post-traumatic stress disorder in childhood, adolescence and young adulthood: a systematic review and meta-analysis’, </w:t>
      </w:r>
      <w:r w:rsidRPr="00067E02">
        <w:rPr>
          <w:rFonts w:ascii="Arial" w:hAnsi="Arial" w:cs="Arial"/>
          <w:i/>
          <w:iCs/>
          <w:sz w:val="22"/>
          <w:szCs w:val="22"/>
        </w:rPr>
        <w:t>European Child &amp; Adolescent Psychiatry</w:t>
      </w:r>
      <w:r w:rsidRPr="00067E02">
        <w:rPr>
          <w:rFonts w:ascii="Arial" w:hAnsi="Arial" w:cs="Arial"/>
          <w:sz w:val="22"/>
          <w:szCs w:val="22"/>
        </w:rPr>
        <w:t xml:space="preserve">, 33. Available at: </w:t>
      </w:r>
      <w:hyperlink r:id="rId7" w:history="1">
        <w:r w:rsidRPr="00067E02">
          <w:rPr>
            <w:rStyle w:val="Hyperlink"/>
            <w:rFonts w:ascii="Arial" w:hAnsi="Arial" w:cs="Arial"/>
            <w:sz w:val="22"/>
            <w:szCs w:val="22"/>
          </w:rPr>
          <w:t>https://doi.org/10.1007/s00787-022-02015-5</w:t>
        </w:r>
      </w:hyperlink>
      <w:r w:rsidRPr="00067E02">
        <w:rPr>
          <w:rFonts w:ascii="Arial" w:hAnsi="Arial" w:cs="Arial"/>
          <w:sz w:val="22"/>
          <w:szCs w:val="22"/>
        </w:rPr>
        <w:t xml:space="preserve">. </w:t>
      </w:r>
    </w:p>
    <w:p w14:paraId="772CEB25"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Care Act 2014 (2014) </w:t>
      </w:r>
      <w:r w:rsidRPr="00067E02">
        <w:rPr>
          <w:rFonts w:ascii="Arial" w:hAnsi="Arial" w:cs="Arial"/>
          <w:i/>
          <w:iCs/>
          <w:sz w:val="22"/>
          <w:szCs w:val="22"/>
        </w:rPr>
        <w:t>Care Act 2014</w:t>
      </w:r>
      <w:r w:rsidRPr="00067E02">
        <w:rPr>
          <w:rFonts w:ascii="Arial" w:hAnsi="Arial" w:cs="Arial"/>
          <w:sz w:val="22"/>
          <w:szCs w:val="22"/>
        </w:rPr>
        <w:t xml:space="preserve">, </w:t>
      </w:r>
      <w:r w:rsidRPr="00067E02">
        <w:rPr>
          <w:rFonts w:ascii="Arial" w:hAnsi="Arial" w:cs="Arial"/>
          <w:i/>
          <w:iCs/>
          <w:sz w:val="22"/>
          <w:szCs w:val="22"/>
        </w:rPr>
        <w:t>Legislation.gov.uk</w:t>
      </w:r>
      <w:r w:rsidRPr="00067E02">
        <w:rPr>
          <w:rFonts w:ascii="Arial" w:hAnsi="Arial" w:cs="Arial"/>
          <w:sz w:val="22"/>
          <w:szCs w:val="22"/>
        </w:rPr>
        <w:t xml:space="preserve">. Available at: </w:t>
      </w:r>
      <w:hyperlink r:id="rId8" w:history="1">
        <w:r w:rsidRPr="00067E02">
          <w:rPr>
            <w:rStyle w:val="Hyperlink"/>
            <w:rFonts w:ascii="Arial" w:hAnsi="Arial" w:cs="Arial"/>
            <w:sz w:val="22"/>
            <w:szCs w:val="22"/>
          </w:rPr>
          <w:t>https://www.legislation.gov.uk/ukpga/2014/23/section/1</w:t>
        </w:r>
      </w:hyperlink>
      <w:r w:rsidRPr="00067E02">
        <w:rPr>
          <w:rFonts w:ascii="Arial" w:hAnsi="Arial" w:cs="Arial"/>
          <w:sz w:val="22"/>
          <w:szCs w:val="22"/>
        </w:rPr>
        <w:t xml:space="preserve">. </w:t>
      </w:r>
    </w:p>
    <w:p w14:paraId="1145D66B"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Chapman, K. (2019) </w:t>
      </w:r>
      <w:r w:rsidRPr="00067E02">
        <w:rPr>
          <w:rFonts w:ascii="Arial" w:hAnsi="Arial" w:cs="Arial"/>
          <w:i/>
          <w:iCs/>
          <w:sz w:val="22"/>
          <w:szCs w:val="22"/>
        </w:rPr>
        <w:t>Identifying attachment and trauma with children at risk of sexual exploitation</w:t>
      </w:r>
      <w:r w:rsidRPr="00067E02">
        <w:rPr>
          <w:rFonts w:ascii="Arial" w:hAnsi="Arial" w:cs="Arial"/>
          <w:sz w:val="22"/>
          <w:szCs w:val="22"/>
        </w:rPr>
        <w:t xml:space="preserve">, </w:t>
      </w:r>
      <w:r w:rsidRPr="00067E02">
        <w:rPr>
          <w:rFonts w:ascii="Arial" w:hAnsi="Arial" w:cs="Arial"/>
          <w:i/>
          <w:iCs/>
          <w:sz w:val="22"/>
          <w:szCs w:val="22"/>
        </w:rPr>
        <w:t>Counselling-directory.org.uk</w:t>
      </w:r>
      <w:r w:rsidRPr="00067E02">
        <w:rPr>
          <w:rFonts w:ascii="Arial" w:hAnsi="Arial" w:cs="Arial"/>
          <w:sz w:val="22"/>
          <w:szCs w:val="22"/>
        </w:rPr>
        <w:t xml:space="preserve">. Counselling Directory. Available at: </w:t>
      </w:r>
      <w:hyperlink r:id="rId9" w:history="1">
        <w:r w:rsidRPr="00067E02">
          <w:rPr>
            <w:rStyle w:val="Hyperlink"/>
            <w:rFonts w:ascii="Arial" w:hAnsi="Arial" w:cs="Arial"/>
            <w:sz w:val="22"/>
            <w:szCs w:val="22"/>
          </w:rPr>
          <w:t>https://www.counselling-directory.org.uk/articles/identifying-attachment-and-trauma-with-children-at-risk-of-sexual-exploitation</w:t>
        </w:r>
      </w:hyperlink>
      <w:r w:rsidRPr="00067E02">
        <w:rPr>
          <w:rFonts w:ascii="Arial" w:hAnsi="Arial" w:cs="Arial"/>
          <w:sz w:val="22"/>
          <w:szCs w:val="22"/>
        </w:rPr>
        <w:t xml:space="preserve">. </w:t>
      </w:r>
    </w:p>
    <w:p w14:paraId="3F3F709B"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Chen, L.P. </w:t>
      </w:r>
      <w:r w:rsidRPr="00067E02">
        <w:rPr>
          <w:rFonts w:ascii="Arial" w:hAnsi="Arial" w:cs="Arial"/>
          <w:i/>
          <w:iCs/>
          <w:sz w:val="22"/>
          <w:szCs w:val="22"/>
        </w:rPr>
        <w:t>et al.</w:t>
      </w:r>
      <w:r w:rsidRPr="00067E02">
        <w:rPr>
          <w:rFonts w:ascii="Arial" w:hAnsi="Arial" w:cs="Arial"/>
          <w:sz w:val="22"/>
          <w:szCs w:val="22"/>
        </w:rPr>
        <w:t xml:space="preserve"> (2010) ‘Sexual Abuse and Lifetime Diagnosis of Psychiatric Disorders: Systematic Review and Meta-analysis’, </w:t>
      </w:r>
      <w:r w:rsidRPr="00067E02">
        <w:rPr>
          <w:rFonts w:ascii="Arial" w:hAnsi="Arial" w:cs="Arial"/>
          <w:i/>
          <w:iCs/>
          <w:sz w:val="22"/>
          <w:szCs w:val="22"/>
        </w:rPr>
        <w:t>Mayo Clinic Proceedings</w:t>
      </w:r>
      <w:r w:rsidRPr="00067E02">
        <w:rPr>
          <w:rFonts w:ascii="Arial" w:hAnsi="Arial" w:cs="Arial"/>
          <w:sz w:val="22"/>
          <w:szCs w:val="22"/>
        </w:rPr>
        <w:t xml:space="preserve">, 85(7), pp. 618–629. Available at: </w:t>
      </w:r>
      <w:hyperlink r:id="rId10" w:history="1">
        <w:r w:rsidRPr="00067E02">
          <w:rPr>
            <w:rStyle w:val="Hyperlink"/>
            <w:rFonts w:ascii="Arial" w:hAnsi="Arial" w:cs="Arial"/>
            <w:sz w:val="22"/>
            <w:szCs w:val="22"/>
          </w:rPr>
          <w:t>https://doi.org/10.4065/mcp.2009.0583</w:t>
        </w:r>
      </w:hyperlink>
      <w:r w:rsidRPr="00067E02">
        <w:rPr>
          <w:rFonts w:ascii="Arial" w:hAnsi="Arial" w:cs="Arial"/>
          <w:sz w:val="22"/>
          <w:szCs w:val="22"/>
        </w:rPr>
        <w:t xml:space="preserve">. </w:t>
      </w:r>
    </w:p>
    <w:p w14:paraId="7FCFCAD0"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Christ, C. </w:t>
      </w:r>
      <w:r w:rsidRPr="00067E02">
        <w:rPr>
          <w:rFonts w:ascii="Arial" w:hAnsi="Arial" w:cs="Arial"/>
          <w:i/>
          <w:iCs/>
          <w:sz w:val="22"/>
          <w:szCs w:val="22"/>
        </w:rPr>
        <w:t>et al.</w:t>
      </w:r>
      <w:r w:rsidRPr="00067E02">
        <w:rPr>
          <w:rFonts w:ascii="Arial" w:hAnsi="Arial" w:cs="Arial"/>
          <w:sz w:val="22"/>
          <w:szCs w:val="22"/>
        </w:rPr>
        <w:t xml:space="preserve"> (2019) ‘Linking childhood emotional abuse and depressive symptoms: The role of emotion dysregulation and interpersonal problems’, </w:t>
      </w:r>
      <w:r w:rsidRPr="00067E02">
        <w:rPr>
          <w:rFonts w:ascii="Arial" w:hAnsi="Arial" w:cs="Arial"/>
          <w:i/>
          <w:iCs/>
          <w:sz w:val="22"/>
          <w:szCs w:val="22"/>
        </w:rPr>
        <w:t>PLoS ONE</w:t>
      </w:r>
      <w:r w:rsidRPr="00067E02">
        <w:rPr>
          <w:rFonts w:ascii="Arial" w:hAnsi="Arial" w:cs="Arial"/>
          <w:sz w:val="22"/>
          <w:szCs w:val="22"/>
        </w:rPr>
        <w:t xml:space="preserve">. Edited by S. Seedat, 14(2), p. e0211882. Available at: </w:t>
      </w:r>
      <w:hyperlink r:id="rId11" w:history="1">
        <w:r w:rsidRPr="00067E02">
          <w:rPr>
            <w:rStyle w:val="Hyperlink"/>
            <w:rFonts w:ascii="Arial" w:hAnsi="Arial" w:cs="Arial"/>
            <w:sz w:val="22"/>
            <w:szCs w:val="22"/>
          </w:rPr>
          <w:t>https://doi.org/10.1371/journal.pone.0211882</w:t>
        </w:r>
      </w:hyperlink>
      <w:r w:rsidRPr="00067E02">
        <w:rPr>
          <w:rFonts w:ascii="Arial" w:hAnsi="Arial" w:cs="Arial"/>
          <w:sz w:val="22"/>
          <w:szCs w:val="22"/>
        </w:rPr>
        <w:t xml:space="preserve">. </w:t>
      </w:r>
    </w:p>
    <w:p w14:paraId="61A48BF7" w14:textId="77777777" w:rsidR="00067E02" w:rsidRPr="00067E02" w:rsidRDefault="00067E02" w:rsidP="00067E02">
      <w:pPr>
        <w:spacing w:before="100" w:beforeAutospacing="1" w:after="100" w:afterAutospacing="1"/>
        <w:jc w:val="left"/>
        <w:rPr>
          <w:rFonts w:ascii="Arial" w:eastAsia="Times New Roman" w:hAnsi="Arial" w:cs="Arial"/>
          <w:kern w:val="0"/>
          <w:lang w:eastAsia="en-GB"/>
          <w14:ligatures w14:val="none"/>
        </w:rPr>
      </w:pPr>
      <w:r w:rsidRPr="00067E02">
        <w:rPr>
          <w:rFonts w:ascii="Arial" w:eastAsia="Times New Roman" w:hAnsi="Arial" w:cs="Arial"/>
          <w:kern w:val="0"/>
          <w:lang w:eastAsia="en-GB"/>
          <w14:ligatures w14:val="none"/>
        </w:rPr>
        <w:t>Davis, J.L. and Petretic-Jackson, P.A. (2000)</w:t>
      </w:r>
      <w:r w:rsidRPr="00067E02">
        <w:rPr>
          <w:rFonts w:ascii="Arial" w:eastAsia="Times New Roman" w:hAnsi="Arial" w:cs="Arial"/>
          <w:kern w:val="0"/>
          <w:lang w:eastAsia="en-GB"/>
          <w14:ligatures w14:val="none"/>
        </w:rPr>
        <w:br/>
      </w:r>
      <w:r w:rsidRPr="00067E02">
        <w:rPr>
          <w:rFonts w:ascii="Arial" w:eastAsia="Times New Roman" w:hAnsi="Arial" w:cs="Arial"/>
          <w:i/>
          <w:iCs/>
          <w:kern w:val="0"/>
          <w:lang w:eastAsia="en-GB"/>
          <w14:ligatures w14:val="none"/>
        </w:rPr>
        <w:t>The impact of child sexual abuse on adult interpersonal functioning: A review and synthesis of the empirical literature.</w:t>
      </w:r>
      <w:r w:rsidRPr="00067E02">
        <w:rPr>
          <w:rFonts w:ascii="Arial" w:eastAsia="Times New Roman" w:hAnsi="Arial" w:cs="Arial"/>
          <w:kern w:val="0"/>
          <w:lang w:eastAsia="en-GB"/>
          <w14:ligatures w14:val="none"/>
        </w:rPr>
        <w:t xml:space="preserve"> </w:t>
      </w:r>
      <w:r w:rsidRPr="00067E02">
        <w:rPr>
          <w:rFonts w:ascii="Arial" w:eastAsia="Times New Roman" w:hAnsi="Arial" w:cs="Arial"/>
          <w:i/>
          <w:iCs/>
          <w:kern w:val="0"/>
          <w:lang w:eastAsia="en-GB"/>
          <w14:ligatures w14:val="none"/>
        </w:rPr>
        <w:t>Aggression and Violent Behaviour</w:t>
      </w:r>
      <w:r w:rsidRPr="00067E02">
        <w:rPr>
          <w:rFonts w:ascii="Arial" w:eastAsia="Times New Roman" w:hAnsi="Arial" w:cs="Arial"/>
          <w:kern w:val="0"/>
          <w:lang w:eastAsia="en-GB"/>
          <w14:ligatures w14:val="none"/>
        </w:rPr>
        <w:t xml:space="preserve">, 5(3), pp. 291–328.  </w:t>
      </w:r>
    </w:p>
    <w:p w14:paraId="009A6D0F"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Eslinger, P.J. </w:t>
      </w:r>
      <w:r w:rsidRPr="00067E02">
        <w:rPr>
          <w:rFonts w:ascii="Arial" w:hAnsi="Arial" w:cs="Arial"/>
          <w:i/>
          <w:iCs/>
          <w:sz w:val="22"/>
          <w:szCs w:val="22"/>
        </w:rPr>
        <w:t>et al.</w:t>
      </w:r>
      <w:r w:rsidRPr="00067E02">
        <w:rPr>
          <w:rFonts w:ascii="Arial" w:hAnsi="Arial" w:cs="Arial"/>
          <w:sz w:val="22"/>
          <w:szCs w:val="22"/>
        </w:rPr>
        <w:t xml:space="preserve"> (2021) ‘The neuroscience of social feelings: mechanisms of adaptive social functioning’, </w:t>
      </w:r>
      <w:r w:rsidRPr="00067E02">
        <w:rPr>
          <w:rFonts w:ascii="Arial" w:hAnsi="Arial" w:cs="Arial"/>
          <w:i/>
          <w:iCs/>
          <w:sz w:val="22"/>
          <w:szCs w:val="22"/>
        </w:rPr>
        <w:t>Neuroscience and biobehavioral reviews</w:t>
      </w:r>
      <w:r w:rsidRPr="00067E02">
        <w:rPr>
          <w:rFonts w:ascii="Arial" w:hAnsi="Arial" w:cs="Arial"/>
          <w:sz w:val="22"/>
          <w:szCs w:val="22"/>
        </w:rPr>
        <w:t xml:space="preserve">, 128(128), pp. 592–620. Available at: </w:t>
      </w:r>
      <w:hyperlink r:id="rId12" w:history="1">
        <w:r w:rsidRPr="00067E02">
          <w:rPr>
            <w:rStyle w:val="Hyperlink"/>
            <w:rFonts w:ascii="Arial" w:hAnsi="Arial" w:cs="Arial"/>
            <w:sz w:val="22"/>
            <w:szCs w:val="22"/>
          </w:rPr>
          <w:t>https://doi.org/10.1016/j.neubiorev.2021.05.028</w:t>
        </w:r>
      </w:hyperlink>
      <w:r w:rsidRPr="00067E02">
        <w:rPr>
          <w:rFonts w:ascii="Arial" w:hAnsi="Arial" w:cs="Arial"/>
          <w:sz w:val="22"/>
          <w:szCs w:val="22"/>
        </w:rPr>
        <w:t xml:space="preserve">. </w:t>
      </w:r>
    </w:p>
    <w:p w14:paraId="3F568242"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lastRenderedPageBreak/>
        <w:t xml:space="preserve">Funer, F. (2023) ‘Admitting the heterogeneity of social inequalities: intersectionality as a (self-)critical framework and tool within mental health care’, </w:t>
      </w:r>
      <w:r w:rsidRPr="00067E02">
        <w:rPr>
          <w:rFonts w:ascii="Arial" w:hAnsi="Arial" w:cs="Arial"/>
          <w:i/>
          <w:iCs/>
          <w:sz w:val="22"/>
          <w:szCs w:val="22"/>
        </w:rPr>
        <w:t>Philosophy, Ethics, and Humanities in Medicine</w:t>
      </w:r>
      <w:r w:rsidRPr="00067E02">
        <w:rPr>
          <w:rFonts w:ascii="Arial" w:hAnsi="Arial" w:cs="Arial"/>
          <w:sz w:val="22"/>
          <w:szCs w:val="22"/>
        </w:rPr>
        <w:t xml:space="preserve">, 18(1). Available at: </w:t>
      </w:r>
      <w:hyperlink r:id="rId13" w:history="1">
        <w:r w:rsidRPr="00067E02">
          <w:rPr>
            <w:rStyle w:val="Hyperlink"/>
            <w:rFonts w:ascii="Arial" w:hAnsi="Arial" w:cs="Arial"/>
            <w:sz w:val="22"/>
            <w:szCs w:val="22"/>
          </w:rPr>
          <w:t>https://doi.org/10.1186/s13010-023-00144-6</w:t>
        </w:r>
      </w:hyperlink>
      <w:r w:rsidRPr="00067E02">
        <w:rPr>
          <w:rFonts w:ascii="Arial" w:hAnsi="Arial" w:cs="Arial"/>
          <w:sz w:val="22"/>
          <w:szCs w:val="22"/>
        </w:rPr>
        <w:t xml:space="preserve">. </w:t>
      </w:r>
    </w:p>
    <w:p w14:paraId="74D00573"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Grady, M.D., Levenson, J.S. and Bolder, T. (2017) ‘Linking Adverse Childhood Effects and Attachment: A Theory of Aetiology for Sexual Offending’, </w:t>
      </w:r>
      <w:r w:rsidRPr="00067E02">
        <w:rPr>
          <w:rFonts w:ascii="Arial" w:hAnsi="Arial" w:cs="Arial"/>
          <w:i/>
          <w:iCs/>
          <w:sz w:val="22"/>
          <w:szCs w:val="22"/>
        </w:rPr>
        <w:t>Trauma, Violence &amp; Abuse</w:t>
      </w:r>
      <w:r w:rsidRPr="00067E02">
        <w:rPr>
          <w:rFonts w:ascii="Arial" w:hAnsi="Arial" w:cs="Arial"/>
          <w:sz w:val="22"/>
          <w:szCs w:val="22"/>
        </w:rPr>
        <w:t xml:space="preserve">, 18(4), pp. 433–444. Available at: </w:t>
      </w:r>
      <w:hyperlink r:id="rId14" w:history="1">
        <w:r w:rsidRPr="00067E02">
          <w:rPr>
            <w:rStyle w:val="Hyperlink"/>
            <w:rFonts w:ascii="Arial" w:hAnsi="Arial" w:cs="Arial"/>
            <w:sz w:val="22"/>
            <w:szCs w:val="22"/>
          </w:rPr>
          <w:t>https://www.jstor.org/stable/27010942</w:t>
        </w:r>
      </w:hyperlink>
      <w:r w:rsidRPr="00067E02">
        <w:rPr>
          <w:rFonts w:ascii="Arial" w:hAnsi="Arial" w:cs="Arial"/>
          <w:sz w:val="22"/>
          <w:szCs w:val="22"/>
        </w:rPr>
        <w:t xml:space="preserve">. </w:t>
      </w:r>
    </w:p>
    <w:p w14:paraId="6B6E1286"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Hailes, H.P. </w:t>
      </w:r>
      <w:r w:rsidRPr="00067E02">
        <w:rPr>
          <w:rFonts w:ascii="Arial" w:hAnsi="Arial" w:cs="Arial"/>
          <w:i/>
          <w:iCs/>
          <w:sz w:val="22"/>
          <w:szCs w:val="22"/>
        </w:rPr>
        <w:t>et al.</w:t>
      </w:r>
      <w:r w:rsidRPr="00067E02">
        <w:rPr>
          <w:rFonts w:ascii="Arial" w:hAnsi="Arial" w:cs="Arial"/>
          <w:sz w:val="22"/>
          <w:szCs w:val="22"/>
        </w:rPr>
        <w:t xml:space="preserve"> (2020) ‘Long-term outcomes of childhood sexual abuse: an umbrella review’, </w:t>
      </w:r>
      <w:r w:rsidRPr="00067E02">
        <w:rPr>
          <w:rFonts w:ascii="Arial" w:hAnsi="Arial" w:cs="Arial"/>
          <w:i/>
          <w:iCs/>
          <w:sz w:val="22"/>
          <w:szCs w:val="22"/>
        </w:rPr>
        <w:t>The Lancet Psychiatry</w:t>
      </w:r>
      <w:r w:rsidRPr="00067E02">
        <w:rPr>
          <w:rFonts w:ascii="Arial" w:hAnsi="Arial" w:cs="Arial"/>
          <w:sz w:val="22"/>
          <w:szCs w:val="22"/>
        </w:rPr>
        <w:t xml:space="preserve">, 6(10), pp. 830–839. Available at: </w:t>
      </w:r>
      <w:hyperlink r:id="rId15" w:history="1">
        <w:r w:rsidRPr="00067E02">
          <w:rPr>
            <w:rStyle w:val="Hyperlink"/>
            <w:rFonts w:ascii="Arial" w:hAnsi="Arial" w:cs="Arial"/>
            <w:sz w:val="22"/>
            <w:szCs w:val="22"/>
          </w:rPr>
          <w:t>https://doi.org/10.1016/s2215-0366(19)30286-x</w:t>
        </w:r>
      </w:hyperlink>
      <w:r w:rsidRPr="00067E02">
        <w:rPr>
          <w:rFonts w:ascii="Arial" w:hAnsi="Arial" w:cs="Arial"/>
          <w:sz w:val="22"/>
          <w:szCs w:val="22"/>
        </w:rPr>
        <w:t xml:space="preserve">. </w:t>
      </w:r>
    </w:p>
    <w:p w14:paraId="78C9815B"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Hickle, K. (2019) ‘Understanding Trauma and its Relevance to Child Sexual Exploitation’, pp. 151–172. Available at: </w:t>
      </w:r>
      <w:hyperlink r:id="rId16" w:history="1">
        <w:r w:rsidRPr="00067E02">
          <w:rPr>
            <w:rStyle w:val="Hyperlink"/>
            <w:rFonts w:ascii="Arial" w:hAnsi="Arial" w:cs="Arial"/>
            <w:sz w:val="22"/>
            <w:szCs w:val="22"/>
          </w:rPr>
          <w:t>https://doi.org/10.46692/9781447351429.009</w:t>
        </w:r>
      </w:hyperlink>
      <w:r w:rsidRPr="00067E02">
        <w:rPr>
          <w:rFonts w:ascii="Arial" w:hAnsi="Arial" w:cs="Arial"/>
          <w:sz w:val="22"/>
          <w:szCs w:val="22"/>
        </w:rPr>
        <w:t xml:space="preserve">. </w:t>
      </w:r>
    </w:p>
    <w:p w14:paraId="657488CD"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IICSA (2019b) </w:t>
      </w:r>
      <w:r w:rsidRPr="00067E02">
        <w:rPr>
          <w:rFonts w:ascii="Arial" w:hAnsi="Arial" w:cs="Arial"/>
          <w:i/>
          <w:iCs/>
          <w:sz w:val="22"/>
          <w:szCs w:val="22"/>
        </w:rPr>
        <w:t>1. Impacts of CSA on victims and survivors</w:t>
      </w:r>
      <w:r w:rsidRPr="00067E02">
        <w:rPr>
          <w:rFonts w:ascii="Arial" w:hAnsi="Arial" w:cs="Arial"/>
          <w:sz w:val="22"/>
          <w:szCs w:val="22"/>
        </w:rPr>
        <w:t xml:space="preserve">, </w:t>
      </w:r>
      <w:r w:rsidRPr="00067E02">
        <w:rPr>
          <w:rFonts w:ascii="Arial" w:hAnsi="Arial" w:cs="Arial"/>
          <w:i/>
          <w:iCs/>
          <w:sz w:val="22"/>
          <w:szCs w:val="22"/>
        </w:rPr>
        <w:t>IICSA</w:t>
      </w:r>
      <w:r w:rsidRPr="00067E02">
        <w:rPr>
          <w:rFonts w:ascii="Arial" w:hAnsi="Arial" w:cs="Arial"/>
          <w:sz w:val="22"/>
          <w:szCs w:val="22"/>
        </w:rPr>
        <w:t xml:space="preserve">. Available at: </w:t>
      </w:r>
      <w:hyperlink r:id="rId17" w:history="1">
        <w:r w:rsidRPr="00067E02">
          <w:rPr>
            <w:rStyle w:val="Hyperlink"/>
            <w:rFonts w:ascii="Arial" w:hAnsi="Arial" w:cs="Arial"/>
            <w:sz w:val="22"/>
            <w:szCs w:val="22"/>
          </w:rPr>
          <w:t>https://www.iicsa.org.uk/reports-recommendations/publications/research/impacts-csa/research-findings/1-impacts-csa-victims-and-survivors.html</w:t>
        </w:r>
      </w:hyperlink>
      <w:r w:rsidRPr="00067E02">
        <w:rPr>
          <w:rFonts w:ascii="Arial" w:hAnsi="Arial" w:cs="Arial"/>
          <w:sz w:val="22"/>
          <w:szCs w:val="22"/>
        </w:rPr>
        <w:t xml:space="preserve">. </w:t>
      </w:r>
    </w:p>
    <w:p w14:paraId="42B10D58" w14:textId="77777777" w:rsidR="00067E02" w:rsidRPr="00067E02" w:rsidRDefault="00067E02" w:rsidP="00067E02">
      <w:pPr>
        <w:pStyle w:val="NormalWeb"/>
        <w:spacing w:line="360" w:lineRule="auto"/>
        <w:rPr>
          <w:rFonts w:ascii="Arial" w:hAnsi="Arial" w:cs="Arial"/>
          <w:sz w:val="22"/>
          <w:szCs w:val="22"/>
        </w:rPr>
      </w:pPr>
      <w:r w:rsidRPr="00067E02">
        <w:rPr>
          <w:rFonts w:ascii="Arial" w:hAnsi="Arial" w:cs="Arial"/>
          <w:i/>
          <w:iCs/>
          <w:sz w:val="22"/>
          <w:szCs w:val="22"/>
        </w:rPr>
        <w:t>Investigations &amp; research</w:t>
      </w:r>
      <w:r w:rsidRPr="00067E02">
        <w:rPr>
          <w:rFonts w:ascii="Arial" w:hAnsi="Arial" w:cs="Arial"/>
          <w:sz w:val="22"/>
          <w:szCs w:val="22"/>
        </w:rPr>
        <w:t xml:space="preserve"> (2021) </w:t>
      </w:r>
      <w:r w:rsidRPr="00067E02">
        <w:rPr>
          <w:rFonts w:ascii="Arial" w:hAnsi="Arial" w:cs="Arial"/>
          <w:i/>
          <w:iCs/>
          <w:sz w:val="22"/>
          <w:szCs w:val="22"/>
        </w:rPr>
        <w:t>IICSA</w:t>
      </w:r>
      <w:r w:rsidRPr="00067E02">
        <w:rPr>
          <w:rFonts w:ascii="Arial" w:hAnsi="Arial" w:cs="Arial"/>
          <w:sz w:val="22"/>
          <w:szCs w:val="22"/>
        </w:rPr>
        <w:t xml:space="preserve">. Available at: </w:t>
      </w:r>
      <w:hyperlink r:id="rId18" w:history="1">
        <w:r w:rsidRPr="00067E02">
          <w:rPr>
            <w:rStyle w:val="Hyperlink"/>
            <w:rFonts w:ascii="Arial" w:hAnsi="Arial" w:cs="Arial"/>
            <w:sz w:val="22"/>
            <w:szCs w:val="22"/>
          </w:rPr>
          <w:t>https://www.iicsa.org.uk/investigations-research.html</w:t>
        </w:r>
      </w:hyperlink>
      <w:r w:rsidRPr="00067E02">
        <w:rPr>
          <w:rFonts w:ascii="Arial" w:hAnsi="Arial" w:cs="Arial"/>
          <w:sz w:val="22"/>
          <w:szCs w:val="22"/>
        </w:rPr>
        <w:t xml:space="preserve">  (Accessed: 26 July 2025). </w:t>
      </w:r>
    </w:p>
    <w:p w14:paraId="1D59BFE3"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Jennissen, S. </w:t>
      </w:r>
      <w:r w:rsidRPr="00067E02">
        <w:rPr>
          <w:rFonts w:ascii="Arial" w:hAnsi="Arial" w:cs="Arial"/>
          <w:i/>
          <w:iCs/>
          <w:sz w:val="22"/>
          <w:szCs w:val="22"/>
        </w:rPr>
        <w:t>et al.</w:t>
      </w:r>
      <w:r w:rsidRPr="00067E02">
        <w:rPr>
          <w:rFonts w:ascii="Arial" w:hAnsi="Arial" w:cs="Arial"/>
          <w:sz w:val="22"/>
          <w:szCs w:val="22"/>
        </w:rPr>
        <w:t xml:space="preserve"> (2016) ‘Emotion dysregulation mediates the relationship between child maltreatment and psychopathology: A structural equation model’, </w:t>
      </w:r>
      <w:r w:rsidRPr="00067E02">
        <w:rPr>
          <w:rFonts w:ascii="Arial" w:hAnsi="Arial" w:cs="Arial"/>
          <w:i/>
          <w:iCs/>
          <w:sz w:val="22"/>
          <w:szCs w:val="22"/>
        </w:rPr>
        <w:t>Child Abuse &amp; Neglect</w:t>
      </w:r>
      <w:r w:rsidRPr="00067E02">
        <w:rPr>
          <w:rFonts w:ascii="Arial" w:hAnsi="Arial" w:cs="Arial"/>
          <w:sz w:val="22"/>
          <w:szCs w:val="22"/>
        </w:rPr>
        <w:t xml:space="preserve">, 62, pp. 51–62. Available at: </w:t>
      </w:r>
      <w:hyperlink r:id="rId19" w:history="1">
        <w:r w:rsidRPr="00067E02">
          <w:rPr>
            <w:rStyle w:val="Hyperlink"/>
            <w:rFonts w:ascii="Arial" w:hAnsi="Arial" w:cs="Arial"/>
            <w:sz w:val="22"/>
            <w:szCs w:val="22"/>
          </w:rPr>
          <w:t>https://doi.org/10.1016/j.chiabu.2016.10.015</w:t>
        </w:r>
      </w:hyperlink>
      <w:r w:rsidRPr="00067E02">
        <w:rPr>
          <w:rFonts w:ascii="Arial" w:hAnsi="Arial" w:cs="Arial"/>
          <w:sz w:val="22"/>
          <w:szCs w:val="22"/>
        </w:rPr>
        <w:t xml:space="preserve">. </w:t>
      </w:r>
    </w:p>
    <w:p w14:paraId="172335EB"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Kennedy, A.C. and Prock, K.A. (2018b) ‘“I Still Feel like I Am Not Normal”: a Review of the Role of Stigma and Stigmatization among Female Survivors of Child Sexual Abuse, Sexual Assault, and Intimate Partner Violence’, </w:t>
      </w:r>
      <w:r w:rsidRPr="00067E02">
        <w:rPr>
          <w:rFonts w:ascii="Arial" w:hAnsi="Arial" w:cs="Arial"/>
          <w:i/>
          <w:iCs/>
          <w:sz w:val="22"/>
          <w:szCs w:val="22"/>
        </w:rPr>
        <w:t>Trauma, Violence, &amp; Abuse</w:t>
      </w:r>
      <w:r w:rsidRPr="00067E02">
        <w:rPr>
          <w:rFonts w:ascii="Arial" w:hAnsi="Arial" w:cs="Arial"/>
          <w:sz w:val="22"/>
          <w:szCs w:val="22"/>
        </w:rPr>
        <w:t xml:space="preserve">, 19(5), pp. 512–527. Available at: </w:t>
      </w:r>
      <w:hyperlink r:id="rId20" w:history="1">
        <w:r w:rsidRPr="00067E02">
          <w:rPr>
            <w:rStyle w:val="Hyperlink"/>
            <w:rFonts w:ascii="Arial" w:hAnsi="Arial" w:cs="Arial"/>
            <w:sz w:val="22"/>
            <w:szCs w:val="22"/>
          </w:rPr>
          <w:t>https://journals.sagepub.com/doi/full/10.1177/1524838016673601</w:t>
        </w:r>
      </w:hyperlink>
      <w:r w:rsidRPr="00067E02">
        <w:rPr>
          <w:rFonts w:ascii="Arial" w:hAnsi="Arial" w:cs="Arial"/>
          <w:sz w:val="22"/>
          <w:szCs w:val="22"/>
        </w:rPr>
        <w:t xml:space="preserve">. </w:t>
      </w:r>
    </w:p>
    <w:p w14:paraId="3CD832AA"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Kratzer, L. </w:t>
      </w:r>
      <w:r w:rsidRPr="00067E02">
        <w:rPr>
          <w:rFonts w:ascii="Arial" w:hAnsi="Arial" w:cs="Arial"/>
          <w:i/>
          <w:iCs/>
          <w:sz w:val="22"/>
          <w:szCs w:val="22"/>
        </w:rPr>
        <w:t>et al.</w:t>
      </w:r>
      <w:r w:rsidRPr="00067E02">
        <w:rPr>
          <w:rFonts w:ascii="Arial" w:hAnsi="Arial" w:cs="Arial"/>
          <w:sz w:val="22"/>
          <w:szCs w:val="22"/>
        </w:rPr>
        <w:t xml:space="preserve"> (2020b) ‘Sexual symptoms in post-traumatic stress disorder following childhood sexual abuse: a network analysis’, </w:t>
      </w:r>
      <w:r w:rsidRPr="00067E02">
        <w:rPr>
          <w:rFonts w:ascii="Arial" w:hAnsi="Arial" w:cs="Arial"/>
          <w:i/>
          <w:iCs/>
          <w:sz w:val="22"/>
          <w:szCs w:val="22"/>
        </w:rPr>
        <w:t>Psychological Medicine</w:t>
      </w:r>
      <w:r w:rsidRPr="00067E02">
        <w:rPr>
          <w:rFonts w:ascii="Arial" w:hAnsi="Arial" w:cs="Arial"/>
          <w:sz w:val="22"/>
          <w:szCs w:val="22"/>
        </w:rPr>
        <w:t xml:space="preserve">, 52(1), pp. 1–12. Available at: </w:t>
      </w:r>
      <w:hyperlink r:id="rId21" w:history="1">
        <w:r w:rsidRPr="00067E02">
          <w:rPr>
            <w:rStyle w:val="Hyperlink"/>
            <w:rFonts w:ascii="Arial" w:hAnsi="Arial" w:cs="Arial"/>
            <w:sz w:val="22"/>
            <w:szCs w:val="22"/>
          </w:rPr>
          <w:t>https://doi.org/10.1017/s0033291720001750</w:t>
        </w:r>
      </w:hyperlink>
      <w:r w:rsidRPr="00067E02">
        <w:rPr>
          <w:rFonts w:ascii="Arial" w:hAnsi="Arial" w:cs="Arial"/>
          <w:sz w:val="22"/>
          <w:szCs w:val="22"/>
        </w:rPr>
        <w:t xml:space="preserve">. </w:t>
      </w:r>
    </w:p>
    <w:p w14:paraId="4D1C89BC"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Lancastle, D. </w:t>
      </w:r>
      <w:r w:rsidRPr="00067E02">
        <w:rPr>
          <w:rFonts w:ascii="Arial" w:hAnsi="Arial" w:cs="Arial"/>
          <w:i/>
          <w:iCs/>
          <w:sz w:val="22"/>
          <w:szCs w:val="22"/>
        </w:rPr>
        <w:t>et al.</w:t>
      </w:r>
      <w:r w:rsidRPr="00067E02">
        <w:rPr>
          <w:rFonts w:ascii="Arial" w:hAnsi="Arial" w:cs="Arial"/>
          <w:sz w:val="22"/>
          <w:szCs w:val="22"/>
        </w:rPr>
        <w:t xml:space="preserve"> (2024) ‘A systematic review of interventions aimed at improving emotional regulation in children, adolescents, and adults’, </w:t>
      </w:r>
      <w:r w:rsidRPr="00067E02">
        <w:rPr>
          <w:rFonts w:ascii="Arial" w:hAnsi="Arial" w:cs="Arial"/>
          <w:i/>
          <w:iCs/>
          <w:sz w:val="22"/>
          <w:szCs w:val="22"/>
        </w:rPr>
        <w:t xml:space="preserve">Journal of </w:t>
      </w:r>
      <w:proofErr w:type="spellStart"/>
      <w:r w:rsidRPr="00067E02">
        <w:rPr>
          <w:rFonts w:ascii="Arial" w:hAnsi="Arial" w:cs="Arial"/>
          <w:i/>
          <w:iCs/>
          <w:sz w:val="22"/>
          <w:szCs w:val="22"/>
        </w:rPr>
        <w:t>Behavioral</w:t>
      </w:r>
      <w:proofErr w:type="spellEnd"/>
      <w:r w:rsidRPr="00067E02">
        <w:rPr>
          <w:rFonts w:ascii="Arial" w:hAnsi="Arial" w:cs="Arial"/>
          <w:i/>
          <w:iCs/>
          <w:sz w:val="22"/>
          <w:szCs w:val="22"/>
        </w:rPr>
        <w:t xml:space="preserve"> and Cognitive Therapy</w:t>
      </w:r>
      <w:r w:rsidRPr="00067E02">
        <w:rPr>
          <w:rFonts w:ascii="Arial" w:hAnsi="Arial" w:cs="Arial"/>
          <w:sz w:val="22"/>
          <w:szCs w:val="22"/>
        </w:rPr>
        <w:t xml:space="preserve">, 34(3), p. 100505. Available at: </w:t>
      </w:r>
      <w:hyperlink r:id="rId22" w:history="1">
        <w:r w:rsidRPr="00067E02">
          <w:rPr>
            <w:rStyle w:val="Hyperlink"/>
            <w:rFonts w:ascii="Arial" w:hAnsi="Arial" w:cs="Arial"/>
            <w:sz w:val="22"/>
            <w:szCs w:val="22"/>
          </w:rPr>
          <w:t>https://doi.org/10.1016/j.jbct.2024.100505</w:t>
        </w:r>
      </w:hyperlink>
      <w:r w:rsidRPr="00067E02">
        <w:rPr>
          <w:rFonts w:ascii="Arial" w:hAnsi="Arial" w:cs="Arial"/>
          <w:sz w:val="22"/>
          <w:szCs w:val="22"/>
        </w:rPr>
        <w:t xml:space="preserve">. </w:t>
      </w:r>
    </w:p>
    <w:p w14:paraId="5ADCD34D"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lastRenderedPageBreak/>
        <w:t xml:space="preserve">Liem, J.H. and Boudewyn, A.C. (1999b) ‘Contextualising the effects of childhood sexual abuse on adult self- and social functioning: an attachment theory perspective’, </w:t>
      </w:r>
      <w:r w:rsidRPr="00067E02">
        <w:rPr>
          <w:rFonts w:ascii="Arial" w:hAnsi="Arial" w:cs="Arial"/>
          <w:i/>
          <w:iCs/>
          <w:sz w:val="22"/>
          <w:szCs w:val="22"/>
        </w:rPr>
        <w:t>Child Abuse &amp; Neglect</w:t>
      </w:r>
      <w:r w:rsidRPr="00067E02">
        <w:rPr>
          <w:rFonts w:ascii="Arial" w:hAnsi="Arial" w:cs="Arial"/>
          <w:sz w:val="22"/>
          <w:szCs w:val="22"/>
        </w:rPr>
        <w:t xml:space="preserve">, 23(11), pp. 1141–1157. Available at: </w:t>
      </w:r>
      <w:hyperlink r:id="rId23" w:history="1">
        <w:r w:rsidRPr="00067E02">
          <w:rPr>
            <w:rStyle w:val="Hyperlink"/>
            <w:rFonts w:ascii="Arial" w:hAnsi="Arial" w:cs="Arial"/>
            <w:sz w:val="22"/>
            <w:szCs w:val="22"/>
          </w:rPr>
          <w:t>https://doi.org/10.1016/s0145-2134(99)00081-2</w:t>
        </w:r>
      </w:hyperlink>
      <w:r w:rsidRPr="00067E02">
        <w:rPr>
          <w:rFonts w:ascii="Arial" w:hAnsi="Arial" w:cs="Arial"/>
          <w:sz w:val="22"/>
          <w:szCs w:val="22"/>
        </w:rPr>
        <w:t xml:space="preserve">. </w:t>
      </w:r>
    </w:p>
    <w:p w14:paraId="64A3214A" w14:textId="77777777" w:rsidR="00067E02" w:rsidRPr="00067E02" w:rsidRDefault="00067E02" w:rsidP="00067E02">
      <w:pPr>
        <w:pStyle w:val="NormalWeb"/>
        <w:spacing w:line="360" w:lineRule="auto"/>
        <w:rPr>
          <w:rFonts w:ascii="Arial" w:hAnsi="Arial" w:cs="Arial"/>
          <w:sz w:val="22"/>
          <w:szCs w:val="22"/>
        </w:rPr>
      </w:pPr>
      <w:r w:rsidRPr="00067E02">
        <w:rPr>
          <w:rFonts w:ascii="Arial" w:hAnsi="Arial" w:cs="Arial"/>
          <w:sz w:val="22"/>
          <w:szCs w:val="22"/>
        </w:rPr>
        <w:t xml:space="preserve">Mikulincer, M. and Shaver, P.R. (2025) </w:t>
      </w:r>
      <w:r w:rsidRPr="00067E02">
        <w:rPr>
          <w:rFonts w:ascii="Arial" w:hAnsi="Arial" w:cs="Arial"/>
          <w:i/>
          <w:iCs/>
          <w:sz w:val="22"/>
          <w:szCs w:val="22"/>
        </w:rPr>
        <w:t>Attachment theory (Bowlby</w:t>
      </w:r>
      <w:r w:rsidRPr="00067E02">
        <w:rPr>
          <w:rFonts w:ascii="Arial" w:hAnsi="Arial" w:cs="Arial"/>
          <w:sz w:val="22"/>
          <w:szCs w:val="22"/>
        </w:rPr>
        <w:t xml:space="preserve">, </w:t>
      </w:r>
      <w:r w:rsidRPr="00067E02">
        <w:rPr>
          <w:rFonts w:ascii="Arial" w:hAnsi="Arial" w:cs="Arial"/>
          <w:i/>
          <w:iCs/>
          <w:sz w:val="22"/>
          <w:szCs w:val="22"/>
        </w:rPr>
        <w:t>ResearchGate</w:t>
      </w:r>
      <w:r w:rsidRPr="00067E02">
        <w:rPr>
          <w:rFonts w:ascii="Arial" w:hAnsi="Arial" w:cs="Arial"/>
          <w:sz w:val="22"/>
          <w:szCs w:val="22"/>
        </w:rPr>
        <w:t xml:space="preserve">. unknown. Available at: </w:t>
      </w:r>
      <w:hyperlink r:id="rId24" w:history="1">
        <w:r w:rsidRPr="00067E02">
          <w:rPr>
            <w:rStyle w:val="Hyperlink"/>
            <w:rFonts w:ascii="Arial" w:hAnsi="Arial" w:cs="Arial"/>
            <w:sz w:val="22"/>
            <w:szCs w:val="22"/>
          </w:rPr>
          <w:t>https://www.researchgate.net/publication/389030755_Attachment_theory_Bowlby</w:t>
        </w:r>
      </w:hyperlink>
      <w:r w:rsidRPr="00067E02">
        <w:rPr>
          <w:rFonts w:ascii="Arial" w:hAnsi="Arial" w:cs="Arial"/>
          <w:sz w:val="22"/>
          <w:szCs w:val="22"/>
        </w:rPr>
        <w:t xml:space="preserve">. </w:t>
      </w:r>
    </w:p>
    <w:p w14:paraId="6140F86F"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Naeem, M. </w:t>
      </w:r>
      <w:r w:rsidRPr="00067E02">
        <w:rPr>
          <w:rFonts w:ascii="Arial" w:hAnsi="Arial" w:cs="Arial"/>
          <w:i/>
          <w:iCs/>
          <w:sz w:val="22"/>
          <w:szCs w:val="22"/>
        </w:rPr>
        <w:t>et al.</w:t>
      </w:r>
      <w:r w:rsidRPr="00067E02">
        <w:rPr>
          <w:rFonts w:ascii="Arial" w:hAnsi="Arial" w:cs="Arial"/>
          <w:sz w:val="22"/>
          <w:szCs w:val="22"/>
        </w:rPr>
        <w:t xml:space="preserve"> (2023) ‘A step-by-step process of thematic analysis to develop a conceptual model in qualitative research’, </w:t>
      </w:r>
      <w:r w:rsidRPr="00067E02">
        <w:rPr>
          <w:rFonts w:ascii="Arial" w:hAnsi="Arial" w:cs="Arial"/>
          <w:i/>
          <w:iCs/>
          <w:sz w:val="22"/>
          <w:szCs w:val="22"/>
        </w:rPr>
        <w:t>International Journal of Qualitative Methods</w:t>
      </w:r>
      <w:r w:rsidRPr="00067E02">
        <w:rPr>
          <w:rFonts w:ascii="Arial" w:hAnsi="Arial" w:cs="Arial"/>
          <w:sz w:val="22"/>
          <w:szCs w:val="22"/>
        </w:rPr>
        <w:t xml:space="preserve">, 22(1), pp. 1–18. Available at: </w:t>
      </w:r>
      <w:hyperlink r:id="rId25" w:history="1">
        <w:r w:rsidRPr="00067E02">
          <w:rPr>
            <w:rStyle w:val="Hyperlink"/>
            <w:rFonts w:ascii="Arial" w:hAnsi="Arial" w:cs="Arial"/>
            <w:sz w:val="22"/>
            <w:szCs w:val="22"/>
          </w:rPr>
          <w:t>https://journals.sagepub.com/doi/10.1177/16094069231205789</w:t>
        </w:r>
      </w:hyperlink>
      <w:r w:rsidRPr="00067E02">
        <w:rPr>
          <w:rFonts w:ascii="Arial" w:hAnsi="Arial" w:cs="Arial"/>
          <w:sz w:val="22"/>
          <w:szCs w:val="22"/>
        </w:rPr>
        <w:t xml:space="preserve">. </w:t>
      </w:r>
    </w:p>
    <w:p w14:paraId="1487B163"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National Institute for Health and Care Excellence (2018) </w:t>
      </w:r>
      <w:r w:rsidRPr="00067E02">
        <w:rPr>
          <w:rFonts w:ascii="Arial" w:hAnsi="Arial" w:cs="Arial"/>
          <w:i/>
          <w:iCs/>
          <w:sz w:val="22"/>
          <w:szCs w:val="22"/>
        </w:rPr>
        <w:t>Post-traumatic stress disorder NICE guideline</w:t>
      </w:r>
      <w:r w:rsidRPr="00067E02">
        <w:rPr>
          <w:rFonts w:ascii="Arial" w:hAnsi="Arial" w:cs="Arial"/>
          <w:sz w:val="22"/>
          <w:szCs w:val="22"/>
        </w:rPr>
        <w:t xml:space="preserve">. Available at: </w:t>
      </w:r>
      <w:hyperlink r:id="rId26" w:history="1">
        <w:r w:rsidRPr="00067E02">
          <w:rPr>
            <w:rStyle w:val="Hyperlink"/>
            <w:rFonts w:ascii="Arial" w:hAnsi="Arial" w:cs="Arial"/>
            <w:sz w:val="22"/>
            <w:szCs w:val="22"/>
          </w:rPr>
          <w:t>https://www.nice.org.uk/guidance/ng116/resources/posttraumatic-stress-disorder-pdf-66141601777861</w:t>
        </w:r>
      </w:hyperlink>
      <w:r w:rsidRPr="00067E02">
        <w:rPr>
          <w:rFonts w:ascii="Arial" w:hAnsi="Arial" w:cs="Arial"/>
          <w:sz w:val="22"/>
          <w:szCs w:val="22"/>
        </w:rPr>
        <w:t xml:space="preserve">. </w:t>
      </w:r>
    </w:p>
    <w:p w14:paraId="34ACEE7E"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NHS (2014) </w:t>
      </w:r>
      <w:r w:rsidRPr="00067E02">
        <w:rPr>
          <w:rFonts w:ascii="Arial" w:hAnsi="Arial" w:cs="Arial"/>
          <w:i/>
          <w:iCs/>
          <w:sz w:val="22"/>
          <w:szCs w:val="22"/>
        </w:rPr>
        <w:t>Adult Psychiatric Morbidity Survey - NHS Digital</w:t>
      </w:r>
      <w:r w:rsidRPr="00067E02">
        <w:rPr>
          <w:rFonts w:ascii="Arial" w:hAnsi="Arial" w:cs="Arial"/>
          <w:sz w:val="22"/>
          <w:szCs w:val="22"/>
        </w:rPr>
        <w:t xml:space="preserve">, </w:t>
      </w:r>
      <w:r w:rsidRPr="00067E02">
        <w:rPr>
          <w:rFonts w:ascii="Arial" w:hAnsi="Arial" w:cs="Arial"/>
          <w:i/>
          <w:iCs/>
          <w:sz w:val="22"/>
          <w:szCs w:val="22"/>
        </w:rPr>
        <w:t>NHS Digital</w:t>
      </w:r>
      <w:r w:rsidRPr="00067E02">
        <w:rPr>
          <w:rFonts w:ascii="Arial" w:hAnsi="Arial" w:cs="Arial"/>
          <w:sz w:val="22"/>
          <w:szCs w:val="22"/>
        </w:rPr>
        <w:t xml:space="preserve">. Available at: </w:t>
      </w:r>
      <w:hyperlink r:id="rId27" w:history="1">
        <w:r w:rsidRPr="00067E02">
          <w:rPr>
            <w:rStyle w:val="Hyperlink"/>
            <w:rFonts w:ascii="Arial" w:hAnsi="Arial" w:cs="Arial"/>
            <w:sz w:val="22"/>
            <w:szCs w:val="22"/>
          </w:rPr>
          <w:t>https://digital.nhs.uk/data-and-information/publications/statistical/adult-psychiatric-morbidity-survey</w:t>
        </w:r>
      </w:hyperlink>
      <w:r w:rsidRPr="00067E02">
        <w:rPr>
          <w:rFonts w:ascii="Arial" w:hAnsi="Arial" w:cs="Arial"/>
          <w:sz w:val="22"/>
          <w:szCs w:val="22"/>
        </w:rPr>
        <w:t xml:space="preserve">. </w:t>
      </w:r>
    </w:p>
    <w:p w14:paraId="69463535"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NHS (2023) </w:t>
      </w:r>
      <w:r w:rsidRPr="00067E02">
        <w:rPr>
          <w:rFonts w:ascii="Arial" w:hAnsi="Arial" w:cs="Arial"/>
          <w:i/>
          <w:iCs/>
          <w:sz w:val="22"/>
          <w:szCs w:val="22"/>
        </w:rPr>
        <w:t>Overview - Depression in adults</w:t>
      </w:r>
      <w:r w:rsidRPr="00067E02">
        <w:rPr>
          <w:rFonts w:ascii="Arial" w:hAnsi="Arial" w:cs="Arial"/>
          <w:sz w:val="22"/>
          <w:szCs w:val="22"/>
        </w:rPr>
        <w:t xml:space="preserve">, </w:t>
      </w:r>
      <w:r w:rsidRPr="00067E02">
        <w:rPr>
          <w:rFonts w:ascii="Arial" w:hAnsi="Arial" w:cs="Arial"/>
          <w:i/>
          <w:iCs/>
          <w:sz w:val="22"/>
          <w:szCs w:val="22"/>
        </w:rPr>
        <w:t>NHS</w:t>
      </w:r>
      <w:r w:rsidRPr="00067E02">
        <w:rPr>
          <w:rFonts w:ascii="Arial" w:hAnsi="Arial" w:cs="Arial"/>
          <w:sz w:val="22"/>
          <w:szCs w:val="22"/>
        </w:rPr>
        <w:t xml:space="preserve">. Available at: </w:t>
      </w:r>
      <w:hyperlink r:id="rId28" w:history="1">
        <w:r w:rsidRPr="00067E02">
          <w:rPr>
            <w:rStyle w:val="Hyperlink"/>
            <w:rFonts w:ascii="Arial" w:hAnsi="Arial" w:cs="Arial"/>
            <w:sz w:val="22"/>
            <w:szCs w:val="22"/>
          </w:rPr>
          <w:t>https://www.nhs.uk/mental-health/conditions/depression-in-adults/overview/</w:t>
        </w:r>
      </w:hyperlink>
      <w:r w:rsidRPr="00067E02">
        <w:rPr>
          <w:rFonts w:ascii="Arial" w:hAnsi="Arial" w:cs="Arial"/>
          <w:sz w:val="22"/>
          <w:szCs w:val="22"/>
        </w:rPr>
        <w:t xml:space="preserve">. </w:t>
      </w:r>
    </w:p>
    <w:p w14:paraId="45741F80"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NHS England (2019) </w:t>
      </w:r>
      <w:r w:rsidRPr="00067E02">
        <w:rPr>
          <w:rFonts w:ascii="Arial" w:hAnsi="Arial" w:cs="Arial"/>
          <w:i/>
          <w:iCs/>
          <w:sz w:val="22"/>
          <w:szCs w:val="22"/>
        </w:rPr>
        <w:t>NHS Long Term Plan</w:t>
      </w:r>
      <w:r w:rsidRPr="00067E02">
        <w:rPr>
          <w:rFonts w:ascii="Arial" w:hAnsi="Arial" w:cs="Arial"/>
          <w:sz w:val="22"/>
          <w:szCs w:val="22"/>
        </w:rPr>
        <w:t xml:space="preserve">, </w:t>
      </w:r>
      <w:r w:rsidRPr="00067E02">
        <w:rPr>
          <w:rFonts w:ascii="Arial" w:hAnsi="Arial" w:cs="Arial"/>
          <w:i/>
          <w:iCs/>
          <w:sz w:val="22"/>
          <w:szCs w:val="22"/>
        </w:rPr>
        <w:t>NHS England</w:t>
      </w:r>
      <w:r w:rsidRPr="00067E02">
        <w:rPr>
          <w:rFonts w:ascii="Arial" w:hAnsi="Arial" w:cs="Arial"/>
          <w:sz w:val="22"/>
          <w:szCs w:val="22"/>
        </w:rPr>
        <w:t xml:space="preserve">. Available at: </w:t>
      </w:r>
      <w:hyperlink r:id="rId29" w:history="1">
        <w:r w:rsidRPr="00067E02">
          <w:rPr>
            <w:rStyle w:val="Hyperlink"/>
            <w:rFonts w:ascii="Arial" w:hAnsi="Arial" w:cs="Arial"/>
            <w:sz w:val="22"/>
            <w:szCs w:val="22"/>
          </w:rPr>
          <w:t>https://www.longtermplan.nhs.uk/</w:t>
        </w:r>
      </w:hyperlink>
      <w:r w:rsidRPr="00067E02">
        <w:rPr>
          <w:rFonts w:ascii="Arial" w:hAnsi="Arial" w:cs="Arial"/>
          <w:sz w:val="22"/>
          <w:szCs w:val="22"/>
        </w:rPr>
        <w:t xml:space="preserve">. </w:t>
      </w:r>
    </w:p>
    <w:p w14:paraId="12E944E6"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NICE (2018) </w:t>
      </w:r>
      <w:r w:rsidRPr="00067E02">
        <w:rPr>
          <w:rFonts w:ascii="Arial" w:hAnsi="Arial" w:cs="Arial"/>
          <w:i/>
          <w:iCs/>
          <w:sz w:val="22"/>
          <w:szCs w:val="22"/>
        </w:rPr>
        <w:t xml:space="preserve">Recommendations | Post-traumatic </w:t>
      </w:r>
      <w:proofErr w:type="gramStart"/>
      <w:r w:rsidRPr="00067E02">
        <w:rPr>
          <w:rFonts w:ascii="Arial" w:hAnsi="Arial" w:cs="Arial"/>
          <w:i/>
          <w:iCs/>
          <w:sz w:val="22"/>
          <w:szCs w:val="22"/>
        </w:rPr>
        <w:t>Stress Disorder</w:t>
      </w:r>
      <w:proofErr w:type="gramEnd"/>
      <w:r w:rsidRPr="00067E02">
        <w:rPr>
          <w:rFonts w:ascii="Arial" w:hAnsi="Arial" w:cs="Arial"/>
          <w:i/>
          <w:iCs/>
          <w:sz w:val="22"/>
          <w:szCs w:val="22"/>
        </w:rPr>
        <w:t xml:space="preserve"> | Guidance | NICE</w:t>
      </w:r>
      <w:r w:rsidRPr="00067E02">
        <w:rPr>
          <w:rFonts w:ascii="Arial" w:hAnsi="Arial" w:cs="Arial"/>
          <w:sz w:val="22"/>
          <w:szCs w:val="22"/>
        </w:rPr>
        <w:t xml:space="preserve">, </w:t>
      </w:r>
      <w:r w:rsidRPr="00067E02">
        <w:rPr>
          <w:rFonts w:ascii="Arial" w:hAnsi="Arial" w:cs="Arial"/>
          <w:i/>
          <w:iCs/>
          <w:sz w:val="22"/>
          <w:szCs w:val="22"/>
        </w:rPr>
        <w:t>Nice.org.uk</w:t>
      </w:r>
      <w:r w:rsidRPr="00067E02">
        <w:rPr>
          <w:rFonts w:ascii="Arial" w:hAnsi="Arial" w:cs="Arial"/>
          <w:sz w:val="22"/>
          <w:szCs w:val="22"/>
        </w:rPr>
        <w:t xml:space="preserve">. NICE. Available at: </w:t>
      </w:r>
      <w:hyperlink r:id="rId30" w:history="1">
        <w:r w:rsidRPr="00067E02">
          <w:rPr>
            <w:rStyle w:val="Hyperlink"/>
            <w:rFonts w:ascii="Arial" w:hAnsi="Arial" w:cs="Arial"/>
            <w:sz w:val="22"/>
            <w:szCs w:val="22"/>
          </w:rPr>
          <w:t>https://www.nice.org.uk/guidance/ng116/chapter/Recommendations</w:t>
        </w:r>
      </w:hyperlink>
      <w:r w:rsidRPr="00067E02">
        <w:rPr>
          <w:rFonts w:ascii="Arial" w:hAnsi="Arial" w:cs="Arial"/>
          <w:sz w:val="22"/>
          <w:szCs w:val="22"/>
        </w:rPr>
        <w:t xml:space="preserve">. </w:t>
      </w:r>
    </w:p>
    <w:p w14:paraId="1A04E567"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NICE (2018b) </w:t>
      </w:r>
      <w:r w:rsidRPr="00067E02">
        <w:rPr>
          <w:rFonts w:ascii="Arial" w:hAnsi="Arial" w:cs="Arial"/>
          <w:i/>
          <w:iCs/>
          <w:sz w:val="22"/>
          <w:szCs w:val="22"/>
        </w:rPr>
        <w:t xml:space="preserve">Recommendations | </w:t>
      </w:r>
      <w:proofErr w:type="gramStart"/>
      <w:r w:rsidRPr="00067E02">
        <w:rPr>
          <w:rFonts w:ascii="Arial" w:hAnsi="Arial" w:cs="Arial"/>
          <w:i/>
          <w:iCs/>
          <w:sz w:val="22"/>
          <w:szCs w:val="22"/>
        </w:rPr>
        <w:t>Post-traumatic</w:t>
      </w:r>
      <w:proofErr w:type="gramEnd"/>
      <w:r w:rsidRPr="00067E02">
        <w:rPr>
          <w:rFonts w:ascii="Arial" w:hAnsi="Arial" w:cs="Arial"/>
          <w:i/>
          <w:iCs/>
          <w:sz w:val="22"/>
          <w:szCs w:val="22"/>
        </w:rPr>
        <w:t xml:space="preserve"> stress disorder | Guidance | NICE</w:t>
      </w:r>
      <w:r w:rsidRPr="00067E02">
        <w:rPr>
          <w:rFonts w:ascii="Arial" w:hAnsi="Arial" w:cs="Arial"/>
          <w:sz w:val="22"/>
          <w:szCs w:val="22"/>
        </w:rPr>
        <w:t xml:space="preserve">, </w:t>
      </w:r>
      <w:r w:rsidRPr="00067E02">
        <w:rPr>
          <w:rFonts w:ascii="Arial" w:hAnsi="Arial" w:cs="Arial"/>
          <w:i/>
          <w:iCs/>
          <w:sz w:val="22"/>
          <w:szCs w:val="22"/>
        </w:rPr>
        <w:t>www.nice.org.uk</w:t>
      </w:r>
      <w:r w:rsidRPr="00067E02">
        <w:rPr>
          <w:rFonts w:ascii="Arial" w:hAnsi="Arial" w:cs="Arial"/>
          <w:sz w:val="22"/>
          <w:szCs w:val="22"/>
        </w:rPr>
        <w:t xml:space="preserve">. Available at: </w:t>
      </w:r>
      <w:hyperlink r:id="rId31" w:anchor="care-for-people-with-ptsd-and-complex-needs" w:history="1">
        <w:r w:rsidRPr="00067E02">
          <w:rPr>
            <w:rStyle w:val="Hyperlink"/>
            <w:rFonts w:ascii="Arial" w:hAnsi="Arial" w:cs="Arial"/>
            <w:sz w:val="22"/>
            <w:szCs w:val="22"/>
          </w:rPr>
          <w:t>https://www.nice.org.uk/guidance/ng116/chapter/Recommendations#care-for-people-with-ptsd-and-complex-needs</w:t>
        </w:r>
      </w:hyperlink>
      <w:r w:rsidRPr="00067E02">
        <w:rPr>
          <w:rFonts w:ascii="Arial" w:hAnsi="Arial" w:cs="Arial"/>
          <w:sz w:val="22"/>
          <w:szCs w:val="22"/>
        </w:rPr>
        <w:t xml:space="preserve">. </w:t>
      </w:r>
    </w:p>
    <w:p w14:paraId="48E15C96"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Noll, J.G. (2021) ‘Child Sexual Abuse as a Unique Risk Factor for the Development of Psychopathology: The Compounded Convergence of Mechanisms’, </w:t>
      </w:r>
      <w:r w:rsidRPr="00067E02">
        <w:rPr>
          <w:rFonts w:ascii="Arial" w:hAnsi="Arial" w:cs="Arial"/>
          <w:i/>
          <w:iCs/>
          <w:sz w:val="22"/>
          <w:szCs w:val="22"/>
        </w:rPr>
        <w:t xml:space="preserve">Annual Review of </w:t>
      </w:r>
      <w:r w:rsidRPr="00067E02">
        <w:rPr>
          <w:rFonts w:ascii="Arial" w:hAnsi="Arial" w:cs="Arial"/>
          <w:i/>
          <w:iCs/>
          <w:sz w:val="22"/>
          <w:szCs w:val="22"/>
        </w:rPr>
        <w:lastRenderedPageBreak/>
        <w:t>Clinical Psychology</w:t>
      </w:r>
      <w:r w:rsidRPr="00067E02">
        <w:rPr>
          <w:rFonts w:ascii="Arial" w:hAnsi="Arial" w:cs="Arial"/>
          <w:sz w:val="22"/>
          <w:szCs w:val="22"/>
        </w:rPr>
        <w:t xml:space="preserve">, 17(1), pp. 439–464. Available at: </w:t>
      </w:r>
      <w:hyperlink r:id="rId32" w:history="1">
        <w:r w:rsidRPr="00067E02">
          <w:rPr>
            <w:rStyle w:val="Hyperlink"/>
            <w:rFonts w:ascii="Arial" w:hAnsi="Arial" w:cs="Arial"/>
            <w:sz w:val="22"/>
            <w:szCs w:val="22"/>
          </w:rPr>
          <w:t>https://doi.org/10.1146/annurev-clinpsy-081219-112621</w:t>
        </w:r>
      </w:hyperlink>
      <w:r w:rsidRPr="00067E02">
        <w:rPr>
          <w:rFonts w:ascii="Arial" w:hAnsi="Arial" w:cs="Arial"/>
          <w:sz w:val="22"/>
          <w:szCs w:val="22"/>
        </w:rPr>
        <w:t xml:space="preserve">. </w:t>
      </w:r>
    </w:p>
    <w:p w14:paraId="08A9BADD"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Office For National Statistics (2020) </w:t>
      </w:r>
      <w:r w:rsidRPr="00067E02">
        <w:rPr>
          <w:rFonts w:ascii="Arial" w:hAnsi="Arial" w:cs="Arial"/>
          <w:i/>
          <w:iCs/>
          <w:sz w:val="22"/>
          <w:szCs w:val="22"/>
        </w:rPr>
        <w:t>Child Abuse in England and Wales - Office for National Statistics</w:t>
      </w:r>
      <w:r w:rsidRPr="00067E02">
        <w:rPr>
          <w:rFonts w:ascii="Arial" w:hAnsi="Arial" w:cs="Arial"/>
          <w:sz w:val="22"/>
          <w:szCs w:val="22"/>
        </w:rPr>
        <w:t xml:space="preserve">, </w:t>
      </w:r>
      <w:r w:rsidRPr="00067E02">
        <w:rPr>
          <w:rFonts w:ascii="Arial" w:hAnsi="Arial" w:cs="Arial"/>
          <w:i/>
          <w:iCs/>
          <w:sz w:val="22"/>
          <w:szCs w:val="22"/>
        </w:rPr>
        <w:t>Ons.gov.uk</w:t>
      </w:r>
      <w:r w:rsidRPr="00067E02">
        <w:rPr>
          <w:rFonts w:ascii="Arial" w:hAnsi="Arial" w:cs="Arial"/>
          <w:sz w:val="22"/>
          <w:szCs w:val="22"/>
        </w:rPr>
        <w:t xml:space="preserve">. Available at: </w:t>
      </w:r>
      <w:hyperlink r:id="rId33" w:history="1">
        <w:r w:rsidRPr="00067E02">
          <w:rPr>
            <w:rStyle w:val="Hyperlink"/>
            <w:rFonts w:ascii="Arial" w:hAnsi="Arial" w:cs="Arial"/>
            <w:sz w:val="22"/>
            <w:szCs w:val="22"/>
          </w:rPr>
          <w:t>https://www.ons.gov.uk/peoplepopulationandcommunity/crimeandjustice/bulletins/childabuseinenglandandwales/january2020</w:t>
        </w:r>
      </w:hyperlink>
      <w:r w:rsidRPr="00067E02">
        <w:rPr>
          <w:rFonts w:ascii="Arial" w:hAnsi="Arial" w:cs="Arial"/>
          <w:sz w:val="22"/>
          <w:szCs w:val="22"/>
        </w:rPr>
        <w:t xml:space="preserve">. </w:t>
      </w:r>
    </w:p>
    <w:p w14:paraId="727277FD"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Office for National Statistics (2020) </w:t>
      </w:r>
      <w:r w:rsidRPr="00067E02">
        <w:rPr>
          <w:rFonts w:ascii="Arial" w:hAnsi="Arial" w:cs="Arial"/>
          <w:i/>
          <w:iCs/>
          <w:sz w:val="22"/>
          <w:szCs w:val="22"/>
        </w:rPr>
        <w:t>Child Sexual Abuse in England and Wales - Office for National Statistics</w:t>
      </w:r>
      <w:r w:rsidRPr="00067E02">
        <w:rPr>
          <w:rFonts w:ascii="Arial" w:hAnsi="Arial" w:cs="Arial"/>
          <w:sz w:val="22"/>
          <w:szCs w:val="22"/>
        </w:rPr>
        <w:t xml:space="preserve">, </w:t>
      </w:r>
      <w:r w:rsidRPr="00067E02">
        <w:rPr>
          <w:rFonts w:ascii="Arial" w:hAnsi="Arial" w:cs="Arial"/>
          <w:i/>
          <w:iCs/>
          <w:sz w:val="22"/>
          <w:szCs w:val="22"/>
        </w:rPr>
        <w:t>www.ons.gov.uk</w:t>
      </w:r>
      <w:r w:rsidRPr="00067E02">
        <w:rPr>
          <w:rFonts w:ascii="Arial" w:hAnsi="Arial" w:cs="Arial"/>
          <w:sz w:val="22"/>
          <w:szCs w:val="22"/>
        </w:rPr>
        <w:t xml:space="preserve">. Available at: </w:t>
      </w:r>
      <w:hyperlink r:id="rId34" w:history="1">
        <w:r w:rsidRPr="00067E02">
          <w:rPr>
            <w:rStyle w:val="Hyperlink"/>
            <w:rFonts w:ascii="Arial" w:hAnsi="Arial" w:cs="Arial"/>
            <w:sz w:val="22"/>
            <w:szCs w:val="22"/>
          </w:rPr>
          <w:t>https://www.ons.gov.uk/peoplepopulationandcommunity/crimeandjustice/articles/childsexualabuseinenglandandwales/yearendingmarch2019</w:t>
        </w:r>
      </w:hyperlink>
      <w:r w:rsidRPr="00067E02">
        <w:rPr>
          <w:rFonts w:ascii="Arial" w:hAnsi="Arial" w:cs="Arial"/>
          <w:sz w:val="22"/>
          <w:szCs w:val="22"/>
        </w:rPr>
        <w:t xml:space="preserve">. </w:t>
      </w:r>
    </w:p>
    <w:p w14:paraId="2C721E98"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Parkinson, D. and Steele, M. (2025) </w:t>
      </w:r>
      <w:r w:rsidRPr="00067E02">
        <w:rPr>
          <w:rFonts w:ascii="Arial" w:hAnsi="Arial" w:cs="Arial"/>
          <w:i/>
          <w:iCs/>
          <w:sz w:val="22"/>
          <w:szCs w:val="22"/>
        </w:rPr>
        <w:t>Support matters 2025 Update on child sexual abuse support services in England and Wales CENTRE OF EXPERTISE ON CHILD SEXUAL ABUSE 2 SUPPORT MATTERS 2025: UPDATE ON CHILD SEXUAL ABUSE SUPPORT SERVICES IN ENGLAND AND WALES</w:t>
      </w:r>
      <w:r w:rsidRPr="00067E02">
        <w:rPr>
          <w:rFonts w:ascii="Arial" w:hAnsi="Arial" w:cs="Arial"/>
          <w:sz w:val="22"/>
          <w:szCs w:val="22"/>
        </w:rPr>
        <w:t xml:space="preserve">. Available at: </w:t>
      </w:r>
      <w:hyperlink r:id="rId35" w:history="1">
        <w:r w:rsidRPr="00067E02">
          <w:rPr>
            <w:rStyle w:val="Hyperlink"/>
            <w:rFonts w:ascii="Arial" w:hAnsi="Arial" w:cs="Arial"/>
            <w:sz w:val="22"/>
            <w:szCs w:val="22"/>
          </w:rPr>
          <w:t>https://www.csacentre.org.uk/app/uploads/2025/05/Support-Matters-2025.pdf</w:t>
        </w:r>
      </w:hyperlink>
      <w:r w:rsidRPr="00067E02">
        <w:rPr>
          <w:rFonts w:ascii="Arial" w:hAnsi="Arial" w:cs="Arial"/>
          <w:sz w:val="22"/>
          <w:szCs w:val="22"/>
        </w:rPr>
        <w:t xml:space="preserve">  (Accessed: 26 July 2025).</w:t>
      </w:r>
    </w:p>
    <w:p w14:paraId="310C8676"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Public Health England (2021) </w:t>
      </w:r>
      <w:r w:rsidRPr="00067E02">
        <w:rPr>
          <w:rFonts w:ascii="Arial" w:hAnsi="Arial" w:cs="Arial"/>
          <w:i/>
          <w:iCs/>
          <w:sz w:val="22"/>
          <w:szCs w:val="22"/>
        </w:rPr>
        <w:t xml:space="preserve">The effectiveness of trauma informed approaches to prevent adverse outcomes in mental health and wellbeing A rapid review </w:t>
      </w:r>
      <w:proofErr w:type="gramStart"/>
      <w:r w:rsidRPr="00067E02">
        <w:rPr>
          <w:rFonts w:ascii="Arial" w:hAnsi="Arial" w:cs="Arial"/>
          <w:i/>
          <w:iCs/>
          <w:sz w:val="22"/>
          <w:szCs w:val="22"/>
        </w:rPr>
        <w:t>The</w:t>
      </w:r>
      <w:proofErr w:type="gramEnd"/>
      <w:r w:rsidRPr="00067E02">
        <w:rPr>
          <w:rFonts w:ascii="Arial" w:hAnsi="Arial" w:cs="Arial"/>
          <w:i/>
          <w:iCs/>
          <w:sz w:val="22"/>
          <w:szCs w:val="22"/>
        </w:rPr>
        <w:t xml:space="preserve"> impact of trauma informed approaches on mental health and wellbeing -A rapid review 2</w:t>
      </w:r>
      <w:r w:rsidRPr="00067E02">
        <w:rPr>
          <w:rFonts w:ascii="Arial" w:hAnsi="Arial" w:cs="Arial"/>
          <w:sz w:val="22"/>
          <w:szCs w:val="22"/>
        </w:rPr>
        <w:t xml:space="preserve">. Available at: </w:t>
      </w:r>
      <w:hyperlink r:id="rId36" w:history="1">
        <w:r w:rsidRPr="00067E02">
          <w:rPr>
            <w:rStyle w:val="Hyperlink"/>
            <w:rFonts w:ascii="Arial" w:hAnsi="Arial" w:cs="Arial"/>
            <w:sz w:val="22"/>
            <w:szCs w:val="22"/>
          </w:rPr>
          <w:t>https://assets.publishing.service.gov.uk/media/65021079702634000d89b7f1/The-effectiveness-of-trauma-informed-approaches-to-prevent-adverse-outcomes-in-mental-health-and-wellbeing-a-rapid-review.pdf</w:t>
        </w:r>
      </w:hyperlink>
      <w:r w:rsidRPr="00067E02">
        <w:rPr>
          <w:rFonts w:ascii="Arial" w:hAnsi="Arial" w:cs="Arial"/>
          <w:sz w:val="22"/>
          <w:szCs w:val="22"/>
        </w:rPr>
        <w:t xml:space="preserve">. </w:t>
      </w:r>
    </w:p>
    <w:p w14:paraId="488F1D28"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Riggs, S.A. (2010) ‘Childhood Emotional Abuse and the Attachment System Across the Life Cycle: What Theory and Research Tell Us’, </w:t>
      </w:r>
      <w:r w:rsidRPr="00067E02">
        <w:rPr>
          <w:rFonts w:ascii="Arial" w:hAnsi="Arial" w:cs="Arial"/>
          <w:i/>
          <w:iCs/>
          <w:sz w:val="22"/>
          <w:szCs w:val="22"/>
        </w:rPr>
        <w:t>Journal of Aggression, Maltreatment &amp; Trauma</w:t>
      </w:r>
      <w:r w:rsidRPr="00067E02">
        <w:rPr>
          <w:rFonts w:ascii="Arial" w:hAnsi="Arial" w:cs="Arial"/>
          <w:sz w:val="22"/>
          <w:szCs w:val="22"/>
        </w:rPr>
        <w:t xml:space="preserve">, 19(1), pp. 5–51. Available at: </w:t>
      </w:r>
      <w:hyperlink r:id="rId37" w:history="1">
        <w:r w:rsidRPr="00067E02">
          <w:rPr>
            <w:rStyle w:val="Hyperlink"/>
            <w:rFonts w:ascii="Arial" w:hAnsi="Arial" w:cs="Arial"/>
            <w:sz w:val="22"/>
            <w:szCs w:val="22"/>
          </w:rPr>
          <w:t>https://doi.org/10.1080/10926770903475968</w:t>
        </w:r>
      </w:hyperlink>
      <w:r w:rsidRPr="00067E02">
        <w:rPr>
          <w:rFonts w:ascii="Arial" w:hAnsi="Arial" w:cs="Arial"/>
          <w:sz w:val="22"/>
          <w:szCs w:val="22"/>
        </w:rPr>
        <w:t xml:space="preserve">. </w:t>
      </w:r>
    </w:p>
    <w:p w14:paraId="355E5B87"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Royal College of Psychiatrists (2025) </w:t>
      </w:r>
      <w:r w:rsidRPr="00067E02">
        <w:rPr>
          <w:rFonts w:ascii="Arial" w:hAnsi="Arial" w:cs="Arial"/>
          <w:i/>
          <w:iCs/>
          <w:sz w:val="22"/>
          <w:szCs w:val="22"/>
        </w:rPr>
        <w:t>Post-traumatic stress disorder Gaskell and the British Psychological Society</w:t>
      </w:r>
      <w:r w:rsidRPr="00067E02">
        <w:rPr>
          <w:rFonts w:ascii="Arial" w:hAnsi="Arial" w:cs="Arial"/>
          <w:sz w:val="22"/>
          <w:szCs w:val="22"/>
        </w:rPr>
        <w:t xml:space="preserve">. Available at: </w:t>
      </w:r>
      <w:hyperlink r:id="rId38" w:history="1">
        <w:r w:rsidRPr="00067E02">
          <w:rPr>
            <w:rStyle w:val="Hyperlink"/>
            <w:rFonts w:ascii="Arial" w:hAnsi="Arial" w:cs="Arial"/>
            <w:sz w:val="22"/>
            <w:szCs w:val="22"/>
          </w:rPr>
          <w:t>https://www.nice.org.uk/guidance/ng116/evidence/full-guideline-pdf-6602623598</w:t>
        </w:r>
      </w:hyperlink>
      <w:r w:rsidRPr="00067E02">
        <w:rPr>
          <w:rFonts w:ascii="Arial" w:hAnsi="Arial" w:cs="Arial"/>
          <w:sz w:val="22"/>
          <w:szCs w:val="22"/>
        </w:rPr>
        <w:t xml:space="preserve">. </w:t>
      </w:r>
    </w:p>
    <w:p w14:paraId="7FEA1544"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Samuel, M. (2020) </w:t>
      </w:r>
      <w:r w:rsidRPr="00067E02">
        <w:rPr>
          <w:rFonts w:ascii="Arial" w:hAnsi="Arial" w:cs="Arial"/>
          <w:i/>
          <w:iCs/>
          <w:sz w:val="22"/>
          <w:szCs w:val="22"/>
        </w:rPr>
        <w:t>Stereotyping by practitioners preventing disclosure of child sexual abuse in ethnic minority groups</w:t>
      </w:r>
      <w:r w:rsidRPr="00067E02">
        <w:rPr>
          <w:rFonts w:ascii="Arial" w:hAnsi="Arial" w:cs="Arial"/>
          <w:sz w:val="22"/>
          <w:szCs w:val="22"/>
        </w:rPr>
        <w:t xml:space="preserve">, </w:t>
      </w:r>
      <w:r w:rsidRPr="00067E02">
        <w:rPr>
          <w:rFonts w:ascii="Arial" w:hAnsi="Arial" w:cs="Arial"/>
          <w:i/>
          <w:iCs/>
          <w:sz w:val="22"/>
          <w:szCs w:val="22"/>
        </w:rPr>
        <w:t>Community Care</w:t>
      </w:r>
      <w:r w:rsidRPr="00067E02">
        <w:rPr>
          <w:rFonts w:ascii="Arial" w:hAnsi="Arial" w:cs="Arial"/>
          <w:sz w:val="22"/>
          <w:szCs w:val="22"/>
        </w:rPr>
        <w:t xml:space="preserve">. Available at: </w:t>
      </w:r>
      <w:hyperlink r:id="rId39" w:history="1">
        <w:r w:rsidRPr="00067E02">
          <w:rPr>
            <w:rStyle w:val="Hyperlink"/>
            <w:rFonts w:ascii="Arial" w:hAnsi="Arial" w:cs="Arial"/>
            <w:sz w:val="22"/>
            <w:szCs w:val="22"/>
          </w:rPr>
          <w:t>https://www.communitycare.co.uk/2020/07/02/stereotyping-social-workers-creates-barriers-disclosing-sexual-abuse-ethnic-minority-groups/</w:t>
        </w:r>
      </w:hyperlink>
      <w:r w:rsidRPr="00067E02">
        <w:rPr>
          <w:rFonts w:ascii="Arial" w:hAnsi="Arial" w:cs="Arial"/>
          <w:sz w:val="22"/>
          <w:szCs w:val="22"/>
        </w:rPr>
        <w:t xml:space="preserve">. </w:t>
      </w:r>
    </w:p>
    <w:p w14:paraId="523EDFFE"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lastRenderedPageBreak/>
        <w:t xml:space="preserve">Samuel, M. (2024) </w:t>
      </w:r>
      <w:r w:rsidRPr="00067E02">
        <w:rPr>
          <w:rFonts w:ascii="Arial" w:hAnsi="Arial" w:cs="Arial"/>
          <w:i/>
          <w:iCs/>
          <w:sz w:val="22"/>
          <w:szCs w:val="22"/>
        </w:rPr>
        <w:t>55,000 on waiting lists for child sexual abuse support services, estimates research - Community Care</w:t>
      </w:r>
      <w:r w:rsidRPr="00067E02">
        <w:rPr>
          <w:rFonts w:ascii="Arial" w:hAnsi="Arial" w:cs="Arial"/>
          <w:sz w:val="22"/>
          <w:szCs w:val="22"/>
        </w:rPr>
        <w:t xml:space="preserve">, </w:t>
      </w:r>
      <w:r w:rsidRPr="00067E02">
        <w:rPr>
          <w:rFonts w:ascii="Arial" w:hAnsi="Arial" w:cs="Arial"/>
          <w:i/>
          <w:iCs/>
          <w:sz w:val="22"/>
          <w:szCs w:val="22"/>
        </w:rPr>
        <w:t>Community Care</w:t>
      </w:r>
      <w:r w:rsidRPr="00067E02">
        <w:rPr>
          <w:rFonts w:ascii="Arial" w:hAnsi="Arial" w:cs="Arial"/>
          <w:sz w:val="22"/>
          <w:szCs w:val="22"/>
        </w:rPr>
        <w:t xml:space="preserve">. Available at: </w:t>
      </w:r>
      <w:hyperlink r:id="rId40" w:history="1">
        <w:r w:rsidRPr="00067E02">
          <w:rPr>
            <w:rStyle w:val="Hyperlink"/>
            <w:rFonts w:ascii="Arial" w:hAnsi="Arial" w:cs="Arial"/>
            <w:sz w:val="22"/>
            <w:szCs w:val="22"/>
          </w:rPr>
          <w:t>https://www.communitycare.co.uk/2024/01/22/55000-on-waiting-lists-for-child-sexual-abuse-support-services-estimates-research/</w:t>
        </w:r>
      </w:hyperlink>
      <w:r w:rsidRPr="00067E02">
        <w:rPr>
          <w:rFonts w:ascii="Arial" w:hAnsi="Arial" w:cs="Arial"/>
          <w:sz w:val="22"/>
          <w:szCs w:val="22"/>
        </w:rPr>
        <w:t xml:space="preserve">. </w:t>
      </w:r>
    </w:p>
    <w:p w14:paraId="5123EAB7"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Sullivan, J.M., Lawson, D.M. and Akay-Sullivan, S. (2020) ‘Insecure Attachment and Therapeutic Bond as Mediators of Social, Relational, and Social Distress and Interpersonal Problems in Adult Females with Childhood Sexual Abuse History’, </w:t>
      </w:r>
      <w:r w:rsidRPr="00067E02">
        <w:rPr>
          <w:rFonts w:ascii="Arial" w:hAnsi="Arial" w:cs="Arial"/>
          <w:i/>
          <w:iCs/>
          <w:sz w:val="22"/>
          <w:szCs w:val="22"/>
        </w:rPr>
        <w:t>Journal of Child Sexual Abuse</w:t>
      </w:r>
      <w:r w:rsidRPr="00067E02">
        <w:rPr>
          <w:rFonts w:ascii="Arial" w:hAnsi="Arial" w:cs="Arial"/>
          <w:sz w:val="22"/>
          <w:szCs w:val="22"/>
        </w:rPr>
        <w:t xml:space="preserve">, 29(6), pp. 1–18. Available at: </w:t>
      </w:r>
      <w:hyperlink r:id="rId41" w:history="1">
        <w:r w:rsidRPr="00067E02">
          <w:rPr>
            <w:rStyle w:val="Hyperlink"/>
            <w:rFonts w:ascii="Arial" w:hAnsi="Arial" w:cs="Arial"/>
            <w:sz w:val="22"/>
            <w:szCs w:val="22"/>
          </w:rPr>
          <w:t>https://doi.org/10.1080/10538712.2020.1751368</w:t>
        </w:r>
      </w:hyperlink>
      <w:r w:rsidRPr="00067E02">
        <w:rPr>
          <w:rFonts w:ascii="Arial" w:hAnsi="Arial" w:cs="Arial"/>
          <w:sz w:val="22"/>
          <w:szCs w:val="22"/>
        </w:rPr>
        <w:t xml:space="preserve">. </w:t>
      </w:r>
    </w:p>
    <w:p w14:paraId="69F04758" w14:textId="77777777" w:rsidR="00067E02" w:rsidRPr="00067E02" w:rsidRDefault="00067E02" w:rsidP="00067E02">
      <w:pPr>
        <w:pStyle w:val="NormalWeb"/>
        <w:spacing w:before="0" w:beforeAutospacing="0" w:after="240" w:afterAutospacing="0" w:line="360" w:lineRule="auto"/>
        <w:rPr>
          <w:rFonts w:ascii="Arial" w:hAnsi="Arial" w:cs="Arial"/>
          <w:color w:val="222222"/>
          <w:sz w:val="22"/>
          <w:szCs w:val="22"/>
          <w:shd w:val="clear" w:color="auto" w:fill="FFFFFF"/>
        </w:rPr>
      </w:pPr>
      <w:r w:rsidRPr="00067E02">
        <w:rPr>
          <w:rFonts w:ascii="Arial" w:hAnsi="Arial" w:cs="Arial"/>
          <w:color w:val="222222"/>
          <w:sz w:val="22"/>
          <w:szCs w:val="22"/>
          <w:shd w:val="clear" w:color="auto" w:fill="FFFFFF"/>
        </w:rPr>
        <w:t>Terry, G., Hayfield, N., Clarke, V. and Braun, V., 2017. Thematic analysis. </w:t>
      </w:r>
      <w:r w:rsidRPr="00067E02">
        <w:rPr>
          <w:rFonts w:ascii="Arial" w:hAnsi="Arial" w:cs="Arial"/>
          <w:i/>
          <w:iCs/>
          <w:color w:val="222222"/>
          <w:sz w:val="22"/>
          <w:szCs w:val="22"/>
          <w:shd w:val="clear" w:color="auto" w:fill="FFFFFF"/>
        </w:rPr>
        <w:t>The SAGE handbook of qualitative research in psychology</w:t>
      </w:r>
      <w:r w:rsidRPr="00067E02">
        <w:rPr>
          <w:rFonts w:ascii="Arial" w:hAnsi="Arial" w:cs="Arial"/>
          <w:color w:val="222222"/>
          <w:sz w:val="22"/>
          <w:szCs w:val="22"/>
          <w:shd w:val="clear" w:color="auto" w:fill="FFFFFF"/>
        </w:rPr>
        <w:t>, </w:t>
      </w:r>
      <w:r w:rsidRPr="00067E02">
        <w:rPr>
          <w:rFonts w:ascii="Arial" w:hAnsi="Arial" w:cs="Arial"/>
          <w:i/>
          <w:iCs/>
          <w:color w:val="222222"/>
          <w:sz w:val="22"/>
          <w:szCs w:val="22"/>
          <w:shd w:val="clear" w:color="auto" w:fill="FFFFFF"/>
        </w:rPr>
        <w:t>2</w:t>
      </w:r>
      <w:r w:rsidRPr="00067E02">
        <w:rPr>
          <w:rFonts w:ascii="Arial" w:hAnsi="Arial" w:cs="Arial"/>
          <w:color w:val="222222"/>
          <w:sz w:val="22"/>
          <w:szCs w:val="22"/>
          <w:shd w:val="clear" w:color="auto" w:fill="FFFFFF"/>
        </w:rPr>
        <w:t>(17-37), p.25.</w:t>
      </w:r>
    </w:p>
    <w:p w14:paraId="41EDE524"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Tolentino, J.C. and Schmidt, S.L. (2018) ‘DSM-5 criteria and depression severity: Implications for clinical practice’, </w:t>
      </w:r>
      <w:r w:rsidRPr="00067E02">
        <w:rPr>
          <w:rFonts w:ascii="Arial" w:hAnsi="Arial" w:cs="Arial"/>
          <w:i/>
          <w:iCs/>
          <w:sz w:val="22"/>
          <w:szCs w:val="22"/>
        </w:rPr>
        <w:t>Frontiers in Psychiatry</w:t>
      </w:r>
      <w:r w:rsidRPr="00067E02">
        <w:rPr>
          <w:rFonts w:ascii="Arial" w:hAnsi="Arial" w:cs="Arial"/>
          <w:sz w:val="22"/>
          <w:szCs w:val="22"/>
        </w:rPr>
        <w:t xml:space="preserve">, 9(450). Available at: </w:t>
      </w:r>
      <w:hyperlink r:id="rId42" w:history="1">
        <w:r w:rsidRPr="00067E02">
          <w:rPr>
            <w:rStyle w:val="Hyperlink"/>
            <w:rFonts w:ascii="Arial" w:hAnsi="Arial" w:cs="Arial"/>
            <w:sz w:val="22"/>
            <w:szCs w:val="22"/>
          </w:rPr>
          <w:t>https://doi.org/10.3389/fpsyt.2018.00450</w:t>
        </w:r>
      </w:hyperlink>
      <w:r w:rsidRPr="00067E02">
        <w:rPr>
          <w:rFonts w:ascii="Arial" w:hAnsi="Arial" w:cs="Arial"/>
          <w:sz w:val="22"/>
          <w:szCs w:val="22"/>
        </w:rPr>
        <w:t xml:space="preserve">. </w:t>
      </w:r>
    </w:p>
    <w:p w14:paraId="5E7C7EAD"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Vera-Gray, F. (2023) </w:t>
      </w:r>
      <w:r w:rsidRPr="00067E02">
        <w:rPr>
          <w:rFonts w:ascii="Arial" w:hAnsi="Arial" w:cs="Arial"/>
          <w:i/>
          <w:iCs/>
          <w:sz w:val="22"/>
          <w:szCs w:val="22"/>
        </w:rPr>
        <w:t>Key Messages from Research on the Impacts of Child Sexual Abuse</w:t>
      </w:r>
      <w:r w:rsidRPr="00067E02">
        <w:rPr>
          <w:rFonts w:ascii="Arial" w:hAnsi="Arial" w:cs="Arial"/>
          <w:sz w:val="22"/>
          <w:szCs w:val="22"/>
        </w:rPr>
        <w:t xml:space="preserve">. Centre of Expertise on Child Sexual Abuse. Available at: </w:t>
      </w:r>
      <w:hyperlink r:id="rId43" w:history="1">
        <w:r w:rsidRPr="00067E02">
          <w:rPr>
            <w:rStyle w:val="Hyperlink"/>
            <w:rFonts w:ascii="Arial" w:hAnsi="Arial" w:cs="Arial"/>
            <w:sz w:val="22"/>
            <w:szCs w:val="22"/>
          </w:rPr>
          <w:t>https://www.csacentre.org.uk/app/uploads/2023/03/Key-messages-from-research-Impacts-of-child-sexual-abuse.pdf</w:t>
        </w:r>
      </w:hyperlink>
      <w:r w:rsidRPr="00067E02">
        <w:rPr>
          <w:rFonts w:ascii="Arial" w:hAnsi="Arial" w:cs="Arial"/>
          <w:sz w:val="22"/>
          <w:szCs w:val="22"/>
        </w:rPr>
        <w:t xml:space="preserve">. </w:t>
      </w:r>
    </w:p>
    <w:p w14:paraId="6914A290"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Visible Project (2023) </w:t>
      </w:r>
      <w:r w:rsidRPr="00067E02">
        <w:rPr>
          <w:rFonts w:ascii="Arial" w:hAnsi="Arial" w:cs="Arial"/>
          <w:i/>
          <w:iCs/>
          <w:sz w:val="22"/>
          <w:szCs w:val="22"/>
        </w:rPr>
        <w:t>Childhood Sexual Abuse and Trauma-Informed Practice -a briefing paper Our goal is simple: we want to improve health and wellbeing outcomes for adult survivors of child sexual abuse. 2</w:t>
      </w:r>
      <w:r w:rsidRPr="00067E02">
        <w:rPr>
          <w:rFonts w:ascii="Arial" w:hAnsi="Arial" w:cs="Arial"/>
          <w:sz w:val="22"/>
          <w:szCs w:val="22"/>
        </w:rPr>
        <w:t xml:space="preserve">. Available at: </w:t>
      </w:r>
      <w:hyperlink r:id="rId44" w:history="1">
        <w:r w:rsidRPr="00067E02">
          <w:rPr>
            <w:rStyle w:val="Hyperlink"/>
            <w:rFonts w:ascii="Arial" w:hAnsi="Arial" w:cs="Arial"/>
            <w:sz w:val="22"/>
            <w:szCs w:val="22"/>
          </w:rPr>
          <w:t>https://visibleproject.org.uk/wp-content/uploads/2023/08/Visible-Childhood-Sexual-Abuse-and-Trauma-Informed-Practice-v2.pdf</w:t>
        </w:r>
      </w:hyperlink>
      <w:r w:rsidRPr="00067E02">
        <w:rPr>
          <w:rFonts w:ascii="Arial" w:hAnsi="Arial" w:cs="Arial"/>
          <w:sz w:val="22"/>
          <w:szCs w:val="22"/>
        </w:rPr>
        <w:t xml:space="preserve">. </w:t>
      </w:r>
    </w:p>
    <w:p w14:paraId="57AD67D8" w14:textId="77777777" w:rsidR="00067E02" w:rsidRPr="00067E02" w:rsidRDefault="00067E02" w:rsidP="00067E02">
      <w:pPr>
        <w:pStyle w:val="NormalWeb"/>
        <w:spacing w:before="0" w:beforeAutospacing="0" w:after="240" w:afterAutospacing="0" w:line="360" w:lineRule="auto"/>
        <w:rPr>
          <w:rFonts w:ascii="Arial" w:hAnsi="Arial" w:cs="Arial"/>
          <w:sz w:val="22"/>
          <w:szCs w:val="22"/>
        </w:rPr>
      </w:pPr>
      <w:r w:rsidRPr="00067E02">
        <w:rPr>
          <w:rFonts w:ascii="Arial" w:hAnsi="Arial" w:cs="Arial"/>
          <w:sz w:val="22"/>
          <w:szCs w:val="22"/>
        </w:rPr>
        <w:t xml:space="preserve">Zaleski, K.L., Johnson, D.K. and Klein, J.T. (2016) ‘Grounding Judith Herman’s Trauma Theory within Interpersonal Neuroscience and Evidence-Based Practice Modalities for Trauma Treatment’, </w:t>
      </w:r>
      <w:r w:rsidRPr="00067E02">
        <w:rPr>
          <w:rFonts w:ascii="Arial" w:hAnsi="Arial" w:cs="Arial"/>
          <w:i/>
          <w:iCs/>
          <w:sz w:val="22"/>
          <w:szCs w:val="22"/>
        </w:rPr>
        <w:t>Smith College Studies in Social Work</w:t>
      </w:r>
      <w:r w:rsidRPr="00067E02">
        <w:rPr>
          <w:rFonts w:ascii="Arial" w:hAnsi="Arial" w:cs="Arial"/>
          <w:sz w:val="22"/>
          <w:szCs w:val="22"/>
        </w:rPr>
        <w:t xml:space="preserve">, 86(4), pp. 377–393. Available at: </w:t>
      </w:r>
      <w:hyperlink r:id="rId45" w:history="1">
        <w:r w:rsidRPr="00067E02">
          <w:rPr>
            <w:rStyle w:val="Hyperlink"/>
            <w:rFonts w:ascii="Arial" w:hAnsi="Arial" w:cs="Arial"/>
            <w:sz w:val="22"/>
            <w:szCs w:val="22"/>
          </w:rPr>
          <w:t>https://doi.org/10.1080/00377317.2016.1222110</w:t>
        </w:r>
      </w:hyperlink>
      <w:r w:rsidRPr="00067E02">
        <w:rPr>
          <w:rFonts w:ascii="Arial" w:hAnsi="Arial" w:cs="Arial"/>
          <w:sz w:val="22"/>
          <w:szCs w:val="22"/>
        </w:rPr>
        <w:t xml:space="preserve">. </w:t>
      </w:r>
    </w:p>
    <w:sectPr w:rsidR="00067E02" w:rsidRPr="0006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E7FC5"/>
    <w:multiLevelType w:val="hybridMultilevel"/>
    <w:tmpl w:val="110E8A5A"/>
    <w:lvl w:ilvl="0" w:tplc="059EF0B8">
      <w:start w:val="1"/>
      <w:numFmt w:val="bullet"/>
      <w:lvlText w:val="•"/>
      <w:lvlJc w:val="left"/>
      <w:pPr>
        <w:tabs>
          <w:tab w:val="num" w:pos="720"/>
        </w:tabs>
        <w:ind w:left="720" w:hanging="360"/>
      </w:pPr>
      <w:rPr>
        <w:rFonts w:ascii="Arial" w:hAnsi="Arial" w:hint="default"/>
      </w:rPr>
    </w:lvl>
    <w:lvl w:ilvl="1" w:tplc="76A2AC8A" w:tentative="1">
      <w:start w:val="1"/>
      <w:numFmt w:val="bullet"/>
      <w:lvlText w:val="•"/>
      <w:lvlJc w:val="left"/>
      <w:pPr>
        <w:tabs>
          <w:tab w:val="num" w:pos="1440"/>
        </w:tabs>
        <w:ind w:left="1440" w:hanging="360"/>
      </w:pPr>
      <w:rPr>
        <w:rFonts w:ascii="Arial" w:hAnsi="Arial" w:hint="default"/>
      </w:rPr>
    </w:lvl>
    <w:lvl w:ilvl="2" w:tplc="A79456E2" w:tentative="1">
      <w:start w:val="1"/>
      <w:numFmt w:val="bullet"/>
      <w:lvlText w:val="•"/>
      <w:lvlJc w:val="left"/>
      <w:pPr>
        <w:tabs>
          <w:tab w:val="num" w:pos="2160"/>
        </w:tabs>
        <w:ind w:left="2160" w:hanging="360"/>
      </w:pPr>
      <w:rPr>
        <w:rFonts w:ascii="Arial" w:hAnsi="Arial" w:hint="default"/>
      </w:rPr>
    </w:lvl>
    <w:lvl w:ilvl="3" w:tplc="B81EF434" w:tentative="1">
      <w:start w:val="1"/>
      <w:numFmt w:val="bullet"/>
      <w:lvlText w:val="•"/>
      <w:lvlJc w:val="left"/>
      <w:pPr>
        <w:tabs>
          <w:tab w:val="num" w:pos="2880"/>
        </w:tabs>
        <w:ind w:left="2880" w:hanging="360"/>
      </w:pPr>
      <w:rPr>
        <w:rFonts w:ascii="Arial" w:hAnsi="Arial" w:hint="default"/>
      </w:rPr>
    </w:lvl>
    <w:lvl w:ilvl="4" w:tplc="1C76396A" w:tentative="1">
      <w:start w:val="1"/>
      <w:numFmt w:val="bullet"/>
      <w:lvlText w:val="•"/>
      <w:lvlJc w:val="left"/>
      <w:pPr>
        <w:tabs>
          <w:tab w:val="num" w:pos="3600"/>
        </w:tabs>
        <w:ind w:left="3600" w:hanging="360"/>
      </w:pPr>
      <w:rPr>
        <w:rFonts w:ascii="Arial" w:hAnsi="Arial" w:hint="default"/>
      </w:rPr>
    </w:lvl>
    <w:lvl w:ilvl="5" w:tplc="ECEC973A" w:tentative="1">
      <w:start w:val="1"/>
      <w:numFmt w:val="bullet"/>
      <w:lvlText w:val="•"/>
      <w:lvlJc w:val="left"/>
      <w:pPr>
        <w:tabs>
          <w:tab w:val="num" w:pos="4320"/>
        </w:tabs>
        <w:ind w:left="4320" w:hanging="360"/>
      </w:pPr>
      <w:rPr>
        <w:rFonts w:ascii="Arial" w:hAnsi="Arial" w:hint="default"/>
      </w:rPr>
    </w:lvl>
    <w:lvl w:ilvl="6" w:tplc="292CD1D6" w:tentative="1">
      <w:start w:val="1"/>
      <w:numFmt w:val="bullet"/>
      <w:lvlText w:val="•"/>
      <w:lvlJc w:val="left"/>
      <w:pPr>
        <w:tabs>
          <w:tab w:val="num" w:pos="5040"/>
        </w:tabs>
        <w:ind w:left="5040" w:hanging="360"/>
      </w:pPr>
      <w:rPr>
        <w:rFonts w:ascii="Arial" w:hAnsi="Arial" w:hint="default"/>
      </w:rPr>
    </w:lvl>
    <w:lvl w:ilvl="7" w:tplc="8CF8AE54" w:tentative="1">
      <w:start w:val="1"/>
      <w:numFmt w:val="bullet"/>
      <w:lvlText w:val="•"/>
      <w:lvlJc w:val="left"/>
      <w:pPr>
        <w:tabs>
          <w:tab w:val="num" w:pos="5760"/>
        </w:tabs>
        <w:ind w:left="5760" w:hanging="360"/>
      </w:pPr>
      <w:rPr>
        <w:rFonts w:ascii="Arial" w:hAnsi="Arial" w:hint="default"/>
      </w:rPr>
    </w:lvl>
    <w:lvl w:ilvl="8" w:tplc="67BC38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773397"/>
    <w:multiLevelType w:val="multilevel"/>
    <w:tmpl w:val="E2F42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0275F1"/>
    <w:multiLevelType w:val="multilevel"/>
    <w:tmpl w:val="D80CE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FB319B"/>
    <w:multiLevelType w:val="hybridMultilevel"/>
    <w:tmpl w:val="6B900E92"/>
    <w:lvl w:ilvl="0" w:tplc="6B8C7182">
      <w:start w:val="1"/>
      <w:numFmt w:val="bullet"/>
      <w:lvlText w:val="•"/>
      <w:lvlJc w:val="left"/>
      <w:pPr>
        <w:tabs>
          <w:tab w:val="num" w:pos="720"/>
        </w:tabs>
        <w:ind w:left="720" w:hanging="360"/>
      </w:pPr>
      <w:rPr>
        <w:rFonts w:ascii="Arial" w:hAnsi="Arial" w:hint="default"/>
      </w:rPr>
    </w:lvl>
    <w:lvl w:ilvl="1" w:tplc="0E543212" w:tentative="1">
      <w:start w:val="1"/>
      <w:numFmt w:val="bullet"/>
      <w:lvlText w:val="•"/>
      <w:lvlJc w:val="left"/>
      <w:pPr>
        <w:tabs>
          <w:tab w:val="num" w:pos="1440"/>
        </w:tabs>
        <w:ind w:left="1440" w:hanging="360"/>
      </w:pPr>
      <w:rPr>
        <w:rFonts w:ascii="Arial" w:hAnsi="Arial" w:hint="default"/>
      </w:rPr>
    </w:lvl>
    <w:lvl w:ilvl="2" w:tplc="26782976" w:tentative="1">
      <w:start w:val="1"/>
      <w:numFmt w:val="bullet"/>
      <w:lvlText w:val="•"/>
      <w:lvlJc w:val="left"/>
      <w:pPr>
        <w:tabs>
          <w:tab w:val="num" w:pos="2160"/>
        </w:tabs>
        <w:ind w:left="2160" w:hanging="360"/>
      </w:pPr>
      <w:rPr>
        <w:rFonts w:ascii="Arial" w:hAnsi="Arial" w:hint="default"/>
      </w:rPr>
    </w:lvl>
    <w:lvl w:ilvl="3" w:tplc="EE303400" w:tentative="1">
      <w:start w:val="1"/>
      <w:numFmt w:val="bullet"/>
      <w:lvlText w:val="•"/>
      <w:lvlJc w:val="left"/>
      <w:pPr>
        <w:tabs>
          <w:tab w:val="num" w:pos="2880"/>
        </w:tabs>
        <w:ind w:left="2880" w:hanging="360"/>
      </w:pPr>
      <w:rPr>
        <w:rFonts w:ascii="Arial" w:hAnsi="Arial" w:hint="default"/>
      </w:rPr>
    </w:lvl>
    <w:lvl w:ilvl="4" w:tplc="6CD6F024" w:tentative="1">
      <w:start w:val="1"/>
      <w:numFmt w:val="bullet"/>
      <w:lvlText w:val="•"/>
      <w:lvlJc w:val="left"/>
      <w:pPr>
        <w:tabs>
          <w:tab w:val="num" w:pos="3600"/>
        </w:tabs>
        <w:ind w:left="3600" w:hanging="360"/>
      </w:pPr>
      <w:rPr>
        <w:rFonts w:ascii="Arial" w:hAnsi="Arial" w:hint="default"/>
      </w:rPr>
    </w:lvl>
    <w:lvl w:ilvl="5" w:tplc="48B4777C" w:tentative="1">
      <w:start w:val="1"/>
      <w:numFmt w:val="bullet"/>
      <w:lvlText w:val="•"/>
      <w:lvlJc w:val="left"/>
      <w:pPr>
        <w:tabs>
          <w:tab w:val="num" w:pos="4320"/>
        </w:tabs>
        <w:ind w:left="4320" w:hanging="360"/>
      </w:pPr>
      <w:rPr>
        <w:rFonts w:ascii="Arial" w:hAnsi="Arial" w:hint="default"/>
      </w:rPr>
    </w:lvl>
    <w:lvl w:ilvl="6" w:tplc="45903A30" w:tentative="1">
      <w:start w:val="1"/>
      <w:numFmt w:val="bullet"/>
      <w:lvlText w:val="•"/>
      <w:lvlJc w:val="left"/>
      <w:pPr>
        <w:tabs>
          <w:tab w:val="num" w:pos="5040"/>
        </w:tabs>
        <w:ind w:left="5040" w:hanging="360"/>
      </w:pPr>
      <w:rPr>
        <w:rFonts w:ascii="Arial" w:hAnsi="Arial" w:hint="default"/>
      </w:rPr>
    </w:lvl>
    <w:lvl w:ilvl="7" w:tplc="D5BC2280" w:tentative="1">
      <w:start w:val="1"/>
      <w:numFmt w:val="bullet"/>
      <w:lvlText w:val="•"/>
      <w:lvlJc w:val="left"/>
      <w:pPr>
        <w:tabs>
          <w:tab w:val="num" w:pos="5760"/>
        </w:tabs>
        <w:ind w:left="5760" w:hanging="360"/>
      </w:pPr>
      <w:rPr>
        <w:rFonts w:ascii="Arial" w:hAnsi="Arial" w:hint="default"/>
      </w:rPr>
    </w:lvl>
    <w:lvl w:ilvl="8" w:tplc="DB9439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F702CA"/>
    <w:multiLevelType w:val="hybridMultilevel"/>
    <w:tmpl w:val="797E7C08"/>
    <w:lvl w:ilvl="0" w:tplc="DC24F436">
      <w:start w:val="1"/>
      <w:numFmt w:val="bullet"/>
      <w:lvlText w:val="•"/>
      <w:lvlJc w:val="left"/>
      <w:pPr>
        <w:tabs>
          <w:tab w:val="num" w:pos="720"/>
        </w:tabs>
        <w:ind w:left="720" w:hanging="360"/>
      </w:pPr>
      <w:rPr>
        <w:rFonts w:ascii="Arial" w:hAnsi="Arial" w:hint="default"/>
      </w:rPr>
    </w:lvl>
    <w:lvl w:ilvl="1" w:tplc="41F4BF34" w:tentative="1">
      <w:start w:val="1"/>
      <w:numFmt w:val="bullet"/>
      <w:lvlText w:val="•"/>
      <w:lvlJc w:val="left"/>
      <w:pPr>
        <w:tabs>
          <w:tab w:val="num" w:pos="1440"/>
        </w:tabs>
        <w:ind w:left="1440" w:hanging="360"/>
      </w:pPr>
      <w:rPr>
        <w:rFonts w:ascii="Arial" w:hAnsi="Arial" w:hint="default"/>
      </w:rPr>
    </w:lvl>
    <w:lvl w:ilvl="2" w:tplc="B720F0FC" w:tentative="1">
      <w:start w:val="1"/>
      <w:numFmt w:val="bullet"/>
      <w:lvlText w:val="•"/>
      <w:lvlJc w:val="left"/>
      <w:pPr>
        <w:tabs>
          <w:tab w:val="num" w:pos="2160"/>
        </w:tabs>
        <w:ind w:left="2160" w:hanging="360"/>
      </w:pPr>
      <w:rPr>
        <w:rFonts w:ascii="Arial" w:hAnsi="Arial" w:hint="default"/>
      </w:rPr>
    </w:lvl>
    <w:lvl w:ilvl="3" w:tplc="8DDEDFA2" w:tentative="1">
      <w:start w:val="1"/>
      <w:numFmt w:val="bullet"/>
      <w:lvlText w:val="•"/>
      <w:lvlJc w:val="left"/>
      <w:pPr>
        <w:tabs>
          <w:tab w:val="num" w:pos="2880"/>
        </w:tabs>
        <w:ind w:left="2880" w:hanging="360"/>
      </w:pPr>
      <w:rPr>
        <w:rFonts w:ascii="Arial" w:hAnsi="Arial" w:hint="default"/>
      </w:rPr>
    </w:lvl>
    <w:lvl w:ilvl="4" w:tplc="C7802966" w:tentative="1">
      <w:start w:val="1"/>
      <w:numFmt w:val="bullet"/>
      <w:lvlText w:val="•"/>
      <w:lvlJc w:val="left"/>
      <w:pPr>
        <w:tabs>
          <w:tab w:val="num" w:pos="3600"/>
        </w:tabs>
        <w:ind w:left="3600" w:hanging="360"/>
      </w:pPr>
      <w:rPr>
        <w:rFonts w:ascii="Arial" w:hAnsi="Arial" w:hint="default"/>
      </w:rPr>
    </w:lvl>
    <w:lvl w:ilvl="5" w:tplc="7DBC0680" w:tentative="1">
      <w:start w:val="1"/>
      <w:numFmt w:val="bullet"/>
      <w:lvlText w:val="•"/>
      <w:lvlJc w:val="left"/>
      <w:pPr>
        <w:tabs>
          <w:tab w:val="num" w:pos="4320"/>
        </w:tabs>
        <w:ind w:left="4320" w:hanging="360"/>
      </w:pPr>
      <w:rPr>
        <w:rFonts w:ascii="Arial" w:hAnsi="Arial" w:hint="default"/>
      </w:rPr>
    </w:lvl>
    <w:lvl w:ilvl="6" w:tplc="DF48750C" w:tentative="1">
      <w:start w:val="1"/>
      <w:numFmt w:val="bullet"/>
      <w:lvlText w:val="•"/>
      <w:lvlJc w:val="left"/>
      <w:pPr>
        <w:tabs>
          <w:tab w:val="num" w:pos="5040"/>
        </w:tabs>
        <w:ind w:left="5040" w:hanging="360"/>
      </w:pPr>
      <w:rPr>
        <w:rFonts w:ascii="Arial" w:hAnsi="Arial" w:hint="default"/>
      </w:rPr>
    </w:lvl>
    <w:lvl w:ilvl="7" w:tplc="BF9A319C" w:tentative="1">
      <w:start w:val="1"/>
      <w:numFmt w:val="bullet"/>
      <w:lvlText w:val="•"/>
      <w:lvlJc w:val="left"/>
      <w:pPr>
        <w:tabs>
          <w:tab w:val="num" w:pos="5760"/>
        </w:tabs>
        <w:ind w:left="5760" w:hanging="360"/>
      </w:pPr>
      <w:rPr>
        <w:rFonts w:ascii="Arial" w:hAnsi="Arial" w:hint="default"/>
      </w:rPr>
    </w:lvl>
    <w:lvl w:ilvl="8" w:tplc="971468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3C53ED"/>
    <w:multiLevelType w:val="multilevel"/>
    <w:tmpl w:val="C38A28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A73548"/>
    <w:multiLevelType w:val="hybridMultilevel"/>
    <w:tmpl w:val="6D4C53D8"/>
    <w:lvl w:ilvl="0" w:tplc="140A10DE">
      <w:start w:val="1"/>
      <w:numFmt w:val="bullet"/>
      <w:lvlText w:val="•"/>
      <w:lvlJc w:val="left"/>
      <w:pPr>
        <w:tabs>
          <w:tab w:val="num" w:pos="720"/>
        </w:tabs>
        <w:ind w:left="720" w:hanging="360"/>
      </w:pPr>
      <w:rPr>
        <w:rFonts w:ascii="Arial" w:hAnsi="Arial" w:hint="default"/>
      </w:rPr>
    </w:lvl>
    <w:lvl w:ilvl="1" w:tplc="7E4238D6" w:tentative="1">
      <w:start w:val="1"/>
      <w:numFmt w:val="bullet"/>
      <w:lvlText w:val="•"/>
      <w:lvlJc w:val="left"/>
      <w:pPr>
        <w:tabs>
          <w:tab w:val="num" w:pos="1440"/>
        </w:tabs>
        <w:ind w:left="1440" w:hanging="360"/>
      </w:pPr>
      <w:rPr>
        <w:rFonts w:ascii="Arial" w:hAnsi="Arial" w:hint="default"/>
      </w:rPr>
    </w:lvl>
    <w:lvl w:ilvl="2" w:tplc="D018DB10" w:tentative="1">
      <w:start w:val="1"/>
      <w:numFmt w:val="bullet"/>
      <w:lvlText w:val="•"/>
      <w:lvlJc w:val="left"/>
      <w:pPr>
        <w:tabs>
          <w:tab w:val="num" w:pos="2160"/>
        </w:tabs>
        <w:ind w:left="2160" w:hanging="360"/>
      </w:pPr>
      <w:rPr>
        <w:rFonts w:ascii="Arial" w:hAnsi="Arial" w:hint="default"/>
      </w:rPr>
    </w:lvl>
    <w:lvl w:ilvl="3" w:tplc="903E06B4" w:tentative="1">
      <w:start w:val="1"/>
      <w:numFmt w:val="bullet"/>
      <w:lvlText w:val="•"/>
      <w:lvlJc w:val="left"/>
      <w:pPr>
        <w:tabs>
          <w:tab w:val="num" w:pos="2880"/>
        </w:tabs>
        <w:ind w:left="2880" w:hanging="360"/>
      </w:pPr>
      <w:rPr>
        <w:rFonts w:ascii="Arial" w:hAnsi="Arial" w:hint="default"/>
      </w:rPr>
    </w:lvl>
    <w:lvl w:ilvl="4" w:tplc="6FB29E62" w:tentative="1">
      <w:start w:val="1"/>
      <w:numFmt w:val="bullet"/>
      <w:lvlText w:val="•"/>
      <w:lvlJc w:val="left"/>
      <w:pPr>
        <w:tabs>
          <w:tab w:val="num" w:pos="3600"/>
        </w:tabs>
        <w:ind w:left="3600" w:hanging="360"/>
      </w:pPr>
      <w:rPr>
        <w:rFonts w:ascii="Arial" w:hAnsi="Arial" w:hint="default"/>
      </w:rPr>
    </w:lvl>
    <w:lvl w:ilvl="5" w:tplc="8A402168" w:tentative="1">
      <w:start w:val="1"/>
      <w:numFmt w:val="bullet"/>
      <w:lvlText w:val="•"/>
      <w:lvlJc w:val="left"/>
      <w:pPr>
        <w:tabs>
          <w:tab w:val="num" w:pos="4320"/>
        </w:tabs>
        <w:ind w:left="4320" w:hanging="360"/>
      </w:pPr>
      <w:rPr>
        <w:rFonts w:ascii="Arial" w:hAnsi="Arial" w:hint="default"/>
      </w:rPr>
    </w:lvl>
    <w:lvl w:ilvl="6" w:tplc="18EC677A" w:tentative="1">
      <w:start w:val="1"/>
      <w:numFmt w:val="bullet"/>
      <w:lvlText w:val="•"/>
      <w:lvlJc w:val="left"/>
      <w:pPr>
        <w:tabs>
          <w:tab w:val="num" w:pos="5040"/>
        </w:tabs>
        <w:ind w:left="5040" w:hanging="360"/>
      </w:pPr>
      <w:rPr>
        <w:rFonts w:ascii="Arial" w:hAnsi="Arial" w:hint="default"/>
      </w:rPr>
    </w:lvl>
    <w:lvl w:ilvl="7" w:tplc="265607A6" w:tentative="1">
      <w:start w:val="1"/>
      <w:numFmt w:val="bullet"/>
      <w:lvlText w:val="•"/>
      <w:lvlJc w:val="left"/>
      <w:pPr>
        <w:tabs>
          <w:tab w:val="num" w:pos="5760"/>
        </w:tabs>
        <w:ind w:left="5760" w:hanging="360"/>
      </w:pPr>
      <w:rPr>
        <w:rFonts w:ascii="Arial" w:hAnsi="Arial" w:hint="default"/>
      </w:rPr>
    </w:lvl>
    <w:lvl w:ilvl="8" w:tplc="D53CDE4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9E24425"/>
    <w:multiLevelType w:val="hybridMultilevel"/>
    <w:tmpl w:val="F2B46B7E"/>
    <w:lvl w:ilvl="0" w:tplc="62ACD164">
      <w:start w:val="1"/>
      <w:numFmt w:val="bullet"/>
      <w:lvlText w:val="•"/>
      <w:lvlJc w:val="left"/>
      <w:pPr>
        <w:tabs>
          <w:tab w:val="num" w:pos="720"/>
        </w:tabs>
        <w:ind w:left="720" w:hanging="360"/>
      </w:pPr>
      <w:rPr>
        <w:rFonts w:ascii="Arial" w:hAnsi="Arial" w:hint="default"/>
      </w:rPr>
    </w:lvl>
    <w:lvl w:ilvl="1" w:tplc="930015A4" w:tentative="1">
      <w:start w:val="1"/>
      <w:numFmt w:val="bullet"/>
      <w:lvlText w:val="•"/>
      <w:lvlJc w:val="left"/>
      <w:pPr>
        <w:tabs>
          <w:tab w:val="num" w:pos="1440"/>
        </w:tabs>
        <w:ind w:left="1440" w:hanging="360"/>
      </w:pPr>
      <w:rPr>
        <w:rFonts w:ascii="Arial" w:hAnsi="Arial" w:hint="default"/>
      </w:rPr>
    </w:lvl>
    <w:lvl w:ilvl="2" w:tplc="913AF336" w:tentative="1">
      <w:start w:val="1"/>
      <w:numFmt w:val="bullet"/>
      <w:lvlText w:val="•"/>
      <w:lvlJc w:val="left"/>
      <w:pPr>
        <w:tabs>
          <w:tab w:val="num" w:pos="2160"/>
        </w:tabs>
        <w:ind w:left="2160" w:hanging="360"/>
      </w:pPr>
      <w:rPr>
        <w:rFonts w:ascii="Arial" w:hAnsi="Arial" w:hint="default"/>
      </w:rPr>
    </w:lvl>
    <w:lvl w:ilvl="3" w:tplc="01321638" w:tentative="1">
      <w:start w:val="1"/>
      <w:numFmt w:val="bullet"/>
      <w:lvlText w:val="•"/>
      <w:lvlJc w:val="left"/>
      <w:pPr>
        <w:tabs>
          <w:tab w:val="num" w:pos="2880"/>
        </w:tabs>
        <w:ind w:left="2880" w:hanging="360"/>
      </w:pPr>
      <w:rPr>
        <w:rFonts w:ascii="Arial" w:hAnsi="Arial" w:hint="default"/>
      </w:rPr>
    </w:lvl>
    <w:lvl w:ilvl="4" w:tplc="D654E5E0" w:tentative="1">
      <w:start w:val="1"/>
      <w:numFmt w:val="bullet"/>
      <w:lvlText w:val="•"/>
      <w:lvlJc w:val="left"/>
      <w:pPr>
        <w:tabs>
          <w:tab w:val="num" w:pos="3600"/>
        </w:tabs>
        <w:ind w:left="3600" w:hanging="360"/>
      </w:pPr>
      <w:rPr>
        <w:rFonts w:ascii="Arial" w:hAnsi="Arial" w:hint="default"/>
      </w:rPr>
    </w:lvl>
    <w:lvl w:ilvl="5" w:tplc="8800055A" w:tentative="1">
      <w:start w:val="1"/>
      <w:numFmt w:val="bullet"/>
      <w:lvlText w:val="•"/>
      <w:lvlJc w:val="left"/>
      <w:pPr>
        <w:tabs>
          <w:tab w:val="num" w:pos="4320"/>
        </w:tabs>
        <w:ind w:left="4320" w:hanging="360"/>
      </w:pPr>
      <w:rPr>
        <w:rFonts w:ascii="Arial" w:hAnsi="Arial" w:hint="default"/>
      </w:rPr>
    </w:lvl>
    <w:lvl w:ilvl="6" w:tplc="862260A8" w:tentative="1">
      <w:start w:val="1"/>
      <w:numFmt w:val="bullet"/>
      <w:lvlText w:val="•"/>
      <w:lvlJc w:val="left"/>
      <w:pPr>
        <w:tabs>
          <w:tab w:val="num" w:pos="5040"/>
        </w:tabs>
        <w:ind w:left="5040" w:hanging="360"/>
      </w:pPr>
      <w:rPr>
        <w:rFonts w:ascii="Arial" w:hAnsi="Arial" w:hint="default"/>
      </w:rPr>
    </w:lvl>
    <w:lvl w:ilvl="7" w:tplc="62ACC6B4" w:tentative="1">
      <w:start w:val="1"/>
      <w:numFmt w:val="bullet"/>
      <w:lvlText w:val="•"/>
      <w:lvlJc w:val="left"/>
      <w:pPr>
        <w:tabs>
          <w:tab w:val="num" w:pos="5760"/>
        </w:tabs>
        <w:ind w:left="5760" w:hanging="360"/>
      </w:pPr>
      <w:rPr>
        <w:rFonts w:ascii="Arial" w:hAnsi="Arial" w:hint="default"/>
      </w:rPr>
    </w:lvl>
    <w:lvl w:ilvl="8" w:tplc="789211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A7C7676"/>
    <w:multiLevelType w:val="multilevel"/>
    <w:tmpl w:val="D2D23D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0C5875"/>
    <w:multiLevelType w:val="hybridMultilevel"/>
    <w:tmpl w:val="B348788A"/>
    <w:lvl w:ilvl="0" w:tplc="D03AE3D0">
      <w:start w:val="1"/>
      <w:numFmt w:val="bullet"/>
      <w:lvlText w:val="•"/>
      <w:lvlJc w:val="left"/>
      <w:pPr>
        <w:tabs>
          <w:tab w:val="num" w:pos="720"/>
        </w:tabs>
        <w:ind w:left="720" w:hanging="360"/>
      </w:pPr>
      <w:rPr>
        <w:rFonts w:ascii="Arial" w:hAnsi="Arial" w:hint="default"/>
      </w:rPr>
    </w:lvl>
    <w:lvl w:ilvl="1" w:tplc="5E64BB4A" w:tentative="1">
      <w:start w:val="1"/>
      <w:numFmt w:val="bullet"/>
      <w:lvlText w:val="•"/>
      <w:lvlJc w:val="left"/>
      <w:pPr>
        <w:tabs>
          <w:tab w:val="num" w:pos="1440"/>
        </w:tabs>
        <w:ind w:left="1440" w:hanging="360"/>
      </w:pPr>
      <w:rPr>
        <w:rFonts w:ascii="Arial" w:hAnsi="Arial" w:hint="default"/>
      </w:rPr>
    </w:lvl>
    <w:lvl w:ilvl="2" w:tplc="8ACC3E3A" w:tentative="1">
      <w:start w:val="1"/>
      <w:numFmt w:val="bullet"/>
      <w:lvlText w:val="•"/>
      <w:lvlJc w:val="left"/>
      <w:pPr>
        <w:tabs>
          <w:tab w:val="num" w:pos="2160"/>
        </w:tabs>
        <w:ind w:left="2160" w:hanging="360"/>
      </w:pPr>
      <w:rPr>
        <w:rFonts w:ascii="Arial" w:hAnsi="Arial" w:hint="default"/>
      </w:rPr>
    </w:lvl>
    <w:lvl w:ilvl="3" w:tplc="941203A6" w:tentative="1">
      <w:start w:val="1"/>
      <w:numFmt w:val="bullet"/>
      <w:lvlText w:val="•"/>
      <w:lvlJc w:val="left"/>
      <w:pPr>
        <w:tabs>
          <w:tab w:val="num" w:pos="2880"/>
        </w:tabs>
        <w:ind w:left="2880" w:hanging="360"/>
      </w:pPr>
      <w:rPr>
        <w:rFonts w:ascii="Arial" w:hAnsi="Arial" w:hint="default"/>
      </w:rPr>
    </w:lvl>
    <w:lvl w:ilvl="4" w:tplc="4468DAD4" w:tentative="1">
      <w:start w:val="1"/>
      <w:numFmt w:val="bullet"/>
      <w:lvlText w:val="•"/>
      <w:lvlJc w:val="left"/>
      <w:pPr>
        <w:tabs>
          <w:tab w:val="num" w:pos="3600"/>
        </w:tabs>
        <w:ind w:left="3600" w:hanging="360"/>
      </w:pPr>
      <w:rPr>
        <w:rFonts w:ascii="Arial" w:hAnsi="Arial" w:hint="default"/>
      </w:rPr>
    </w:lvl>
    <w:lvl w:ilvl="5" w:tplc="9594E7EC" w:tentative="1">
      <w:start w:val="1"/>
      <w:numFmt w:val="bullet"/>
      <w:lvlText w:val="•"/>
      <w:lvlJc w:val="left"/>
      <w:pPr>
        <w:tabs>
          <w:tab w:val="num" w:pos="4320"/>
        </w:tabs>
        <w:ind w:left="4320" w:hanging="360"/>
      </w:pPr>
      <w:rPr>
        <w:rFonts w:ascii="Arial" w:hAnsi="Arial" w:hint="default"/>
      </w:rPr>
    </w:lvl>
    <w:lvl w:ilvl="6" w:tplc="F9AE5444" w:tentative="1">
      <w:start w:val="1"/>
      <w:numFmt w:val="bullet"/>
      <w:lvlText w:val="•"/>
      <w:lvlJc w:val="left"/>
      <w:pPr>
        <w:tabs>
          <w:tab w:val="num" w:pos="5040"/>
        </w:tabs>
        <w:ind w:left="5040" w:hanging="360"/>
      </w:pPr>
      <w:rPr>
        <w:rFonts w:ascii="Arial" w:hAnsi="Arial" w:hint="default"/>
      </w:rPr>
    </w:lvl>
    <w:lvl w:ilvl="7" w:tplc="4FAAB67C" w:tentative="1">
      <w:start w:val="1"/>
      <w:numFmt w:val="bullet"/>
      <w:lvlText w:val="•"/>
      <w:lvlJc w:val="left"/>
      <w:pPr>
        <w:tabs>
          <w:tab w:val="num" w:pos="5760"/>
        </w:tabs>
        <w:ind w:left="5760" w:hanging="360"/>
      </w:pPr>
      <w:rPr>
        <w:rFonts w:ascii="Arial" w:hAnsi="Arial" w:hint="default"/>
      </w:rPr>
    </w:lvl>
    <w:lvl w:ilvl="8" w:tplc="3FFE87C2" w:tentative="1">
      <w:start w:val="1"/>
      <w:numFmt w:val="bullet"/>
      <w:lvlText w:val="•"/>
      <w:lvlJc w:val="left"/>
      <w:pPr>
        <w:tabs>
          <w:tab w:val="num" w:pos="6480"/>
        </w:tabs>
        <w:ind w:left="6480" w:hanging="360"/>
      </w:pPr>
      <w:rPr>
        <w:rFonts w:ascii="Arial" w:hAnsi="Arial" w:hint="default"/>
      </w:rPr>
    </w:lvl>
  </w:abstractNum>
  <w:num w:numId="1" w16cid:durableId="1188566089">
    <w:abstractNumId w:val="4"/>
  </w:num>
  <w:num w:numId="2" w16cid:durableId="1109860407">
    <w:abstractNumId w:val="6"/>
  </w:num>
  <w:num w:numId="3" w16cid:durableId="909458647">
    <w:abstractNumId w:val="3"/>
  </w:num>
  <w:num w:numId="4" w16cid:durableId="1115636901">
    <w:abstractNumId w:val="7"/>
  </w:num>
  <w:num w:numId="5" w16cid:durableId="122817951">
    <w:abstractNumId w:val="9"/>
  </w:num>
  <w:num w:numId="6" w16cid:durableId="1057629253">
    <w:abstractNumId w:val="0"/>
  </w:num>
  <w:num w:numId="7" w16cid:durableId="1803422227">
    <w:abstractNumId w:val="1"/>
  </w:num>
  <w:num w:numId="8" w16cid:durableId="60371793">
    <w:abstractNumId w:val="5"/>
  </w:num>
  <w:num w:numId="9" w16cid:durableId="153181787">
    <w:abstractNumId w:val="8"/>
  </w:num>
  <w:num w:numId="10" w16cid:durableId="113987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211"/>
    <w:rsid w:val="00001566"/>
    <w:rsid w:val="00002A6B"/>
    <w:rsid w:val="00007954"/>
    <w:rsid w:val="000116DA"/>
    <w:rsid w:val="00020132"/>
    <w:rsid w:val="00023833"/>
    <w:rsid w:val="000319BE"/>
    <w:rsid w:val="000353E3"/>
    <w:rsid w:val="000473CA"/>
    <w:rsid w:val="00050979"/>
    <w:rsid w:val="0005250B"/>
    <w:rsid w:val="000618C4"/>
    <w:rsid w:val="00061E07"/>
    <w:rsid w:val="00067E02"/>
    <w:rsid w:val="00073B5E"/>
    <w:rsid w:val="00074052"/>
    <w:rsid w:val="000763A9"/>
    <w:rsid w:val="000810D6"/>
    <w:rsid w:val="000815FC"/>
    <w:rsid w:val="00081895"/>
    <w:rsid w:val="00083290"/>
    <w:rsid w:val="000836B7"/>
    <w:rsid w:val="0009781A"/>
    <w:rsid w:val="000A493E"/>
    <w:rsid w:val="000A625A"/>
    <w:rsid w:val="000B2E38"/>
    <w:rsid w:val="000B476E"/>
    <w:rsid w:val="000B47F9"/>
    <w:rsid w:val="000C17AC"/>
    <w:rsid w:val="000D3524"/>
    <w:rsid w:val="000E3CCF"/>
    <w:rsid w:val="000E455A"/>
    <w:rsid w:val="000E7AE9"/>
    <w:rsid w:val="000F08EA"/>
    <w:rsid w:val="000F0C66"/>
    <w:rsid w:val="000F4369"/>
    <w:rsid w:val="00105D06"/>
    <w:rsid w:val="001070D5"/>
    <w:rsid w:val="00115505"/>
    <w:rsid w:val="00123290"/>
    <w:rsid w:val="001446A0"/>
    <w:rsid w:val="0014768A"/>
    <w:rsid w:val="00147A6B"/>
    <w:rsid w:val="001517DE"/>
    <w:rsid w:val="00151D46"/>
    <w:rsid w:val="00153809"/>
    <w:rsid w:val="001558E2"/>
    <w:rsid w:val="00164760"/>
    <w:rsid w:val="00167F57"/>
    <w:rsid w:val="0017460E"/>
    <w:rsid w:val="0017504F"/>
    <w:rsid w:val="0018642B"/>
    <w:rsid w:val="00186A8B"/>
    <w:rsid w:val="00187EF1"/>
    <w:rsid w:val="00192329"/>
    <w:rsid w:val="001924CB"/>
    <w:rsid w:val="0019646C"/>
    <w:rsid w:val="001A2D65"/>
    <w:rsid w:val="001A368D"/>
    <w:rsid w:val="001A79E3"/>
    <w:rsid w:val="001B5314"/>
    <w:rsid w:val="001C344B"/>
    <w:rsid w:val="001C53C3"/>
    <w:rsid w:val="001C6606"/>
    <w:rsid w:val="001D4525"/>
    <w:rsid w:val="001D49C7"/>
    <w:rsid w:val="001D548A"/>
    <w:rsid w:val="001D6972"/>
    <w:rsid w:val="001D7A8C"/>
    <w:rsid w:val="001E742B"/>
    <w:rsid w:val="001F19C3"/>
    <w:rsid w:val="001F52B0"/>
    <w:rsid w:val="001F78E8"/>
    <w:rsid w:val="001F7F23"/>
    <w:rsid w:val="00200F77"/>
    <w:rsid w:val="00203119"/>
    <w:rsid w:val="0021136B"/>
    <w:rsid w:val="0022151E"/>
    <w:rsid w:val="00223B44"/>
    <w:rsid w:val="0022555C"/>
    <w:rsid w:val="00234002"/>
    <w:rsid w:val="002422A0"/>
    <w:rsid w:val="00242F3D"/>
    <w:rsid w:val="00246E01"/>
    <w:rsid w:val="002669A0"/>
    <w:rsid w:val="0027260C"/>
    <w:rsid w:val="00276AAC"/>
    <w:rsid w:val="002773C8"/>
    <w:rsid w:val="00277972"/>
    <w:rsid w:val="0028061F"/>
    <w:rsid w:val="0029541F"/>
    <w:rsid w:val="002A364A"/>
    <w:rsid w:val="002B3C77"/>
    <w:rsid w:val="002B4070"/>
    <w:rsid w:val="002B7879"/>
    <w:rsid w:val="002B7A9C"/>
    <w:rsid w:val="002C0E1B"/>
    <w:rsid w:val="002C0F1E"/>
    <w:rsid w:val="002C449A"/>
    <w:rsid w:val="002C542B"/>
    <w:rsid w:val="002D140B"/>
    <w:rsid w:val="002D7899"/>
    <w:rsid w:val="002E34CF"/>
    <w:rsid w:val="002F1116"/>
    <w:rsid w:val="002F5D68"/>
    <w:rsid w:val="0031277C"/>
    <w:rsid w:val="00314E2A"/>
    <w:rsid w:val="003162E4"/>
    <w:rsid w:val="00321926"/>
    <w:rsid w:val="0032214A"/>
    <w:rsid w:val="003244C8"/>
    <w:rsid w:val="003343DB"/>
    <w:rsid w:val="0033597A"/>
    <w:rsid w:val="0034197F"/>
    <w:rsid w:val="003525D3"/>
    <w:rsid w:val="003558FB"/>
    <w:rsid w:val="003559B5"/>
    <w:rsid w:val="003571E2"/>
    <w:rsid w:val="00360458"/>
    <w:rsid w:val="003644BC"/>
    <w:rsid w:val="00371CF2"/>
    <w:rsid w:val="0038357D"/>
    <w:rsid w:val="0038362B"/>
    <w:rsid w:val="00385005"/>
    <w:rsid w:val="00385A53"/>
    <w:rsid w:val="00396938"/>
    <w:rsid w:val="003A186E"/>
    <w:rsid w:val="003A29B8"/>
    <w:rsid w:val="003A57C9"/>
    <w:rsid w:val="003A70CD"/>
    <w:rsid w:val="003B0115"/>
    <w:rsid w:val="003B43E9"/>
    <w:rsid w:val="003C1B5F"/>
    <w:rsid w:val="003C2C3C"/>
    <w:rsid w:val="003C510A"/>
    <w:rsid w:val="003D0360"/>
    <w:rsid w:val="003D2C2E"/>
    <w:rsid w:val="003D4D02"/>
    <w:rsid w:val="003E255B"/>
    <w:rsid w:val="003E5CD7"/>
    <w:rsid w:val="003E670B"/>
    <w:rsid w:val="003F0004"/>
    <w:rsid w:val="003F75B7"/>
    <w:rsid w:val="004032F4"/>
    <w:rsid w:val="00404199"/>
    <w:rsid w:val="0042074E"/>
    <w:rsid w:val="00437EA8"/>
    <w:rsid w:val="00443F7C"/>
    <w:rsid w:val="00445D65"/>
    <w:rsid w:val="00450716"/>
    <w:rsid w:val="00462860"/>
    <w:rsid w:val="004630E7"/>
    <w:rsid w:val="00466043"/>
    <w:rsid w:val="00466143"/>
    <w:rsid w:val="0046689E"/>
    <w:rsid w:val="00467362"/>
    <w:rsid w:val="0048377D"/>
    <w:rsid w:val="00485600"/>
    <w:rsid w:val="0048589A"/>
    <w:rsid w:val="00490AF0"/>
    <w:rsid w:val="0049216C"/>
    <w:rsid w:val="0049309A"/>
    <w:rsid w:val="004945DA"/>
    <w:rsid w:val="004945ED"/>
    <w:rsid w:val="004951AB"/>
    <w:rsid w:val="00496DF9"/>
    <w:rsid w:val="00497D57"/>
    <w:rsid w:val="004A6585"/>
    <w:rsid w:val="004B0D18"/>
    <w:rsid w:val="004B39F5"/>
    <w:rsid w:val="004D213E"/>
    <w:rsid w:val="004D6DC7"/>
    <w:rsid w:val="004E3369"/>
    <w:rsid w:val="004E7E30"/>
    <w:rsid w:val="004F15C1"/>
    <w:rsid w:val="004F5A01"/>
    <w:rsid w:val="00502659"/>
    <w:rsid w:val="00521BE7"/>
    <w:rsid w:val="00523979"/>
    <w:rsid w:val="00523A98"/>
    <w:rsid w:val="00523ADB"/>
    <w:rsid w:val="00523B8B"/>
    <w:rsid w:val="00524271"/>
    <w:rsid w:val="005254A4"/>
    <w:rsid w:val="0052570A"/>
    <w:rsid w:val="00532B25"/>
    <w:rsid w:val="00540E15"/>
    <w:rsid w:val="00544211"/>
    <w:rsid w:val="00546894"/>
    <w:rsid w:val="00547923"/>
    <w:rsid w:val="005572FF"/>
    <w:rsid w:val="00580E21"/>
    <w:rsid w:val="00585245"/>
    <w:rsid w:val="0058768C"/>
    <w:rsid w:val="00590D71"/>
    <w:rsid w:val="005955D5"/>
    <w:rsid w:val="005977E5"/>
    <w:rsid w:val="005A13C2"/>
    <w:rsid w:val="005A2A07"/>
    <w:rsid w:val="005A3340"/>
    <w:rsid w:val="005B1FE2"/>
    <w:rsid w:val="005B59F1"/>
    <w:rsid w:val="005B5BD6"/>
    <w:rsid w:val="005B6399"/>
    <w:rsid w:val="005B69F1"/>
    <w:rsid w:val="005B7D9D"/>
    <w:rsid w:val="005C0628"/>
    <w:rsid w:val="005C10B6"/>
    <w:rsid w:val="005C7CC0"/>
    <w:rsid w:val="005D1962"/>
    <w:rsid w:val="005D3884"/>
    <w:rsid w:val="005E2B82"/>
    <w:rsid w:val="005E7626"/>
    <w:rsid w:val="005F7998"/>
    <w:rsid w:val="006127F2"/>
    <w:rsid w:val="00612B52"/>
    <w:rsid w:val="00613D65"/>
    <w:rsid w:val="00617796"/>
    <w:rsid w:val="0062215A"/>
    <w:rsid w:val="006342EE"/>
    <w:rsid w:val="00634ACB"/>
    <w:rsid w:val="00635A83"/>
    <w:rsid w:val="006369CA"/>
    <w:rsid w:val="006406C6"/>
    <w:rsid w:val="00652030"/>
    <w:rsid w:val="00654A84"/>
    <w:rsid w:val="0066226D"/>
    <w:rsid w:val="00664184"/>
    <w:rsid w:val="006703B1"/>
    <w:rsid w:val="006717DC"/>
    <w:rsid w:val="00672907"/>
    <w:rsid w:val="00693F77"/>
    <w:rsid w:val="006A5097"/>
    <w:rsid w:val="006A53DC"/>
    <w:rsid w:val="006A725A"/>
    <w:rsid w:val="006B0BAA"/>
    <w:rsid w:val="006B4F5B"/>
    <w:rsid w:val="006C07C8"/>
    <w:rsid w:val="006D0854"/>
    <w:rsid w:val="006D2651"/>
    <w:rsid w:val="006D7241"/>
    <w:rsid w:val="006D76D7"/>
    <w:rsid w:val="006E32F7"/>
    <w:rsid w:val="006F2B00"/>
    <w:rsid w:val="006F566F"/>
    <w:rsid w:val="006F6EC5"/>
    <w:rsid w:val="00702E96"/>
    <w:rsid w:val="007031C3"/>
    <w:rsid w:val="00704589"/>
    <w:rsid w:val="0071490A"/>
    <w:rsid w:val="007312FA"/>
    <w:rsid w:val="007326E3"/>
    <w:rsid w:val="00747336"/>
    <w:rsid w:val="00753D7F"/>
    <w:rsid w:val="00754055"/>
    <w:rsid w:val="00774E6D"/>
    <w:rsid w:val="0077680F"/>
    <w:rsid w:val="00791D47"/>
    <w:rsid w:val="00792762"/>
    <w:rsid w:val="007A3757"/>
    <w:rsid w:val="007A5079"/>
    <w:rsid w:val="007B16B9"/>
    <w:rsid w:val="007B2525"/>
    <w:rsid w:val="007B62A7"/>
    <w:rsid w:val="007C65E0"/>
    <w:rsid w:val="007D651E"/>
    <w:rsid w:val="007E32CF"/>
    <w:rsid w:val="007E3963"/>
    <w:rsid w:val="007F25E1"/>
    <w:rsid w:val="008005A5"/>
    <w:rsid w:val="00812C9E"/>
    <w:rsid w:val="00815066"/>
    <w:rsid w:val="00822EAD"/>
    <w:rsid w:val="0082656C"/>
    <w:rsid w:val="00827371"/>
    <w:rsid w:val="0083260A"/>
    <w:rsid w:val="00842406"/>
    <w:rsid w:val="008473B4"/>
    <w:rsid w:val="00851F0D"/>
    <w:rsid w:val="008521FB"/>
    <w:rsid w:val="0085273E"/>
    <w:rsid w:val="00854BF3"/>
    <w:rsid w:val="00860BCD"/>
    <w:rsid w:val="00861D04"/>
    <w:rsid w:val="00863979"/>
    <w:rsid w:val="00874C66"/>
    <w:rsid w:val="00881DDA"/>
    <w:rsid w:val="008855BC"/>
    <w:rsid w:val="00897E61"/>
    <w:rsid w:val="008A1D56"/>
    <w:rsid w:val="008A7A1B"/>
    <w:rsid w:val="008B4002"/>
    <w:rsid w:val="008C54E8"/>
    <w:rsid w:val="008E0EC6"/>
    <w:rsid w:val="008E2626"/>
    <w:rsid w:val="008E64C4"/>
    <w:rsid w:val="008E6EFE"/>
    <w:rsid w:val="008F295C"/>
    <w:rsid w:val="00902005"/>
    <w:rsid w:val="00902E00"/>
    <w:rsid w:val="009104ED"/>
    <w:rsid w:val="00931537"/>
    <w:rsid w:val="009508DD"/>
    <w:rsid w:val="00954641"/>
    <w:rsid w:val="009551EC"/>
    <w:rsid w:val="009559B4"/>
    <w:rsid w:val="0096303B"/>
    <w:rsid w:val="00970CDF"/>
    <w:rsid w:val="009710D2"/>
    <w:rsid w:val="009717E2"/>
    <w:rsid w:val="00972E5E"/>
    <w:rsid w:val="00976D83"/>
    <w:rsid w:val="00981A20"/>
    <w:rsid w:val="009850E4"/>
    <w:rsid w:val="00992702"/>
    <w:rsid w:val="009A0B20"/>
    <w:rsid w:val="009A1CDA"/>
    <w:rsid w:val="009A7E23"/>
    <w:rsid w:val="009B18A0"/>
    <w:rsid w:val="009B73EC"/>
    <w:rsid w:val="009C1F7B"/>
    <w:rsid w:val="009C3019"/>
    <w:rsid w:val="009C30B5"/>
    <w:rsid w:val="009C6138"/>
    <w:rsid w:val="009C64C2"/>
    <w:rsid w:val="009D72E6"/>
    <w:rsid w:val="009E199D"/>
    <w:rsid w:val="009E2910"/>
    <w:rsid w:val="009E5BA1"/>
    <w:rsid w:val="009F34C3"/>
    <w:rsid w:val="009F604D"/>
    <w:rsid w:val="009F7CEF"/>
    <w:rsid w:val="00A01F69"/>
    <w:rsid w:val="00A03593"/>
    <w:rsid w:val="00A05A98"/>
    <w:rsid w:val="00A12CC3"/>
    <w:rsid w:val="00A13755"/>
    <w:rsid w:val="00A13767"/>
    <w:rsid w:val="00A148E6"/>
    <w:rsid w:val="00A15DB7"/>
    <w:rsid w:val="00A22814"/>
    <w:rsid w:val="00A22F62"/>
    <w:rsid w:val="00A2430F"/>
    <w:rsid w:val="00A25FDD"/>
    <w:rsid w:val="00A36E8F"/>
    <w:rsid w:val="00A47AB9"/>
    <w:rsid w:val="00A513BD"/>
    <w:rsid w:val="00A517AF"/>
    <w:rsid w:val="00A52E06"/>
    <w:rsid w:val="00A60C16"/>
    <w:rsid w:val="00A62C55"/>
    <w:rsid w:val="00A84906"/>
    <w:rsid w:val="00A87F66"/>
    <w:rsid w:val="00AA7BB1"/>
    <w:rsid w:val="00AC621E"/>
    <w:rsid w:val="00AD529D"/>
    <w:rsid w:val="00AE08BC"/>
    <w:rsid w:val="00AF2C4B"/>
    <w:rsid w:val="00AF31E4"/>
    <w:rsid w:val="00AF4B58"/>
    <w:rsid w:val="00AF6777"/>
    <w:rsid w:val="00B006BE"/>
    <w:rsid w:val="00B03A22"/>
    <w:rsid w:val="00B07C06"/>
    <w:rsid w:val="00B32E95"/>
    <w:rsid w:val="00B34E1C"/>
    <w:rsid w:val="00B435B1"/>
    <w:rsid w:val="00B44716"/>
    <w:rsid w:val="00B448B2"/>
    <w:rsid w:val="00B5121A"/>
    <w:rsid w:val="00B649EA"/>
    <w:rsid w:val="00B65876"/>
    <w:rsid w:val="00B668BB"/>
    <w:rsid w:val="00B673A6"/>
    <w:rsid w:val="00B70A58"/>
    <w:rsid w:val="00B76A3D"/>
    <w:rsid w:val="00B83DED"/>
    <w:rsid w:val="00B85768"/>
    <w:rsid w:val="00B97DE6"/>
    <w:rsid w:val="00BA1C41"/>
    <w:rsid w:val="00BA7832"/>
    <w:rsid w:val="00BB4550"/>
    <w:rsid w:val="00BB4B65"/>
    <w:rsid w:val="00BB6F97"/>
    <w:rsid w:val="00BC2D5B"/>
    <w:rsid w:val="00C01C9F"/>
    <w:rsid w:val="00C10C16"/>
    <w:rsid w:val="00C374DF"/>
    <w:rsid w:val="00C44F8B"/>
    <w:rsid w:val="00C5382D"/>
    <w:rsid w:val="00C66114"/>
    <w:rsid w:val="00C73F84"/>
    <w:rsid w:val="00C755DC"/>
    <w:rsid w:val="00C76C16"/>
    <w:rsid w:val="00C8354B"/>
    <w:rsid w:val="00C85D91"/>
    <w:rsid w:val="00C90BD3"/>
    <w:rsid w:val="00C912AF"/>
    <w:rsid w:val="00C92924"/>
    <w:rsid w:val="00C97460"/>
    <w:rsid w:val="00CA0FC7"/>
    <w:rsid w:val="00CA1020"/>
    <w:rsid w:val="00CA4B36"/>
    <w:rsid w:val="00CA7F2B"/>
    <w:rsid w:val="00CB1725"/>
    <w:rsid w:val="00CB1822"/>
    <w:rsid w:val="00CB3FFA"/>
    <w:rsid w:val="00CC5672"/>
    <w:rsid w:val="00CD2D7E"/>
    <w:rsid w:val="00CD4533"/>
    <w:rsid w:val="00CD78C9"/>
    <w:rsid w:val="00CD7B7E"/>
    <w:rsid w:val="00CF6B35"/>
    <w:rsid w:val="00D029B1"/>
    <w:rsid w:val="00D03593"/>
    <w:rsid w:val="00D11029"/>
    <w:rsid w:val="00D20992"/>
    <w:rsid w:val="00D25657"/>
    <w:rsid w:val="00D25CD0"/>
    <w:rsid w:val="00D35BAC"/>
    <w:rsid w:val="00D35FF9"/>
    <w:rsid w:val="00D40C45"/>
    <w:rsid w:val="00D45F74"/>
    <w:rsid w:val="00D51DEC"/>
    <w:rsid w:val="00D54524"/>
    <w:rsid w:val="00D5719C"/>
    <w:rsid w:val="00D61E78"/>
    <w:rsid w:val="00D62B72"/>
    <w:rsid w:val="00D67CE1"/>
    <w:rsid w:val="00D758B8"/>
    <w:rsid w:val="00D8170B"/>
    <w:rsid w:val="00D842C2"/>
    <w:rsid w:val="00D93F89"/>
    <w:rsid w:val="00DB26DA"/>
    <w:rsid w:val="00DC1965"/>
    <w:rsid w:val="00DC3417"/>
    <w:rsid w:val="00DC3465"/>
    <w:rsid w:val="00DD1576"/>
    <w:rsid w:val="00DD1F0D"/>
    <w:rsid w:val="00DD294E"/>
    <w:rsid w:val="00DE617B"/>
    <w:rsid w:val="00DF03B9"/>
    <w:rsid w:val="00DF19F6"/>
    <w:rsid w:val="00DF5E87"/>
    <w:rsid w:val="00E02147"/>
    <w:rsid w:val="00E047B1"/>
    <w:rsid w:val="00E068B0"/>
    <w:rsid w:val="00E33B4B"/>
    <w:rsid w:val="00E35162"/>
    <w:rsid w:val="00E35FA4"/>
    <w:rsid w:val="00E36294"/>
    <w:rsid w:val="00E41973"/>
    <w:rsid w:val="00E5729F"/>
    <w:rsid w:val="00E61F6A"/>
    <w:rsid w:val="00E738C0"/>
    <w:rsid w:val="00E73ED1"/>
    <w:rsid w:val="00E77F27"/>
    <w:rsid w:val="00E906DB"/>
    <w:rsid w:val="00E91B9D"/>
    <w:rsid w:val="00E92200"/>
    <w:rsid w:val="00E974A0"/>
    <w:rsid w:val="00EB3A82"/>
    <w:rsid w:val="00EB73AE"/>
    <w:rsid w:val="00EC3E05"/>
    <w:rsid w:val="00ED0BE4"/>
    <w:rsid w:val="00EE32F7"/>
    <w:rsid w:val="00EE45CE"/>
    <w:rsid w:val="00F04B40"/>
    <w:rsid w:val="00F07241"/>
    <w:rsid w:val="00F07CEB"/>
    <w:rsid w:val="00F171F2"/>
    <w:rsid w:val="00F17868"/>
    <w:rsid w:val="00F251FC"/>
    <w:rsid w:val="00F25A3A"/>
    <w:rsid w:val="00F25DCE"/>
    <w:rsid w:val="00F422A8"/>
    <w:rsid w:val="00F439AC"/>
    <w:rsid w:val="00F53540"/>
    <w:rsid w:val="00F53B1C"/>
    <w:rsid w:val="00F55611"/>
    <w:rsid w:val="00F60586"/>
    <w:rsid w:val="00F61277"/>
    <w:rsid w:val="00F63BC1"/>
    <w:rsid w:val="00F7310E"/>
    <w:rsid w:val="00F74C58"/>
    <w:rsid w:val="00F77D6E"/>
    <w:rsid w:val="00F85EAF"/>
    <w:rsid w:val="00F90297"/>
    <w:rsid w:val="00F96424"/>
    <w:rsid w:val="00FA04E0"/>
    <w:rsid w:val="00FA0E50"/>
    <w:rsid w:val="00FA2EE0"/>
    <w:rsid w:val="00FA6D22"/>
    <w:rsid w:val="00FB1280"/>
    <w:rsid w:val="00FB4145"/>
    <w:rsid w:val="00FB56FF"/>
    <w:rsid w:val="00FC53D1"/>
    <w:rsid w:val="00FE04FD"/>
    <w:rsid w:val="00FE53C6"/>
    <w:rsid w:val="00FE7C0E"/>
    <w:rsid w:val="00FF15AC"/>
    <w:rsid w:val="00FF56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6A010B"/>
  <w15:chartTrackingRefBased/>
  <w15:docId w15:val="{CD5667E0-DD81-4294-B1D5-3F6CFEAC1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70A"/>
    <w:pPr>
      <w:spacing w:line="360" w:lineRule="auto"/>
      <w:jc w:val="both"/>
    </w:pPr>
    <w:rPr>
      <w:rFonts w:ascii="Aptos" w:hAnsi="Aptos"/>
    </w:rPr>
  </w:style>
  <w:style w:type="paragraph" w:styleId="Heading1">
    <w:name w:val="heading 1"/>
    <w:basedOn w:val="Normal"/>
    <w:next w:val="Normal"/>
    <w:link w:val="Heading1Char"/>
    <w:uiPriority w:val="9"/>
    <w:qFormat/>
    <w:rsid w:val="00544211"/>
    <w:pPr>
      <w:keepNext/>
      <w:keepLines/>
      <w:spacing w:before="240" w:after="0"/>
      <w:outlineLvl w:val="0"/>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FA04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4689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F15A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F15A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211"/>
    <w:rPr>
      <w:rFonts w:ascii="Aptos" w:eastAsiaTheme="majorEastAsia" w:hAnsi="Aptos" w:cstheme="majorBidi"/>
      <w:b/>
      <w:sz w:val="32"/>
      <w:szCs w:val="32"/>
    </w:rPr>
  </w:style>
  <w:style w:type="character" w:customStyle="1" w:styleId="Heading3Char">
    <w:name w:val="Heading 3 Char"/>
    <w:basedOn w:val="DefaultParagraphFont"/>
    <w:link w:val="Heading3"/>
    <w:uiPriority w:val="9"/>
    <w:semiHidden/>
    <w:rsid w:val="00FA04E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46894"/>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9104ED"/>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B2E38"/>
    <w:rPr>
      <w:color w:val="0563C1" w:themeColor="hyperlink"/>
      <w:u w:val="single"/>
    </w:rPr>
  </w:style>
  <w:style w:type="character" w:styleId="UnresolvedMention">
    <w:name w:val="Unresolved Mention"/>
    <w:basedOn w:val="DefaultParagraphFont"/>
    <w:uiPriority w:val="99"/>
    <w:semiHidden/>
    <w:unhideWhenUsed/>
    <w:rsid w:val="000B2E38"/>
    <w:rPr>
      <w:color w:val="605E5C"/>
      <w:shd w:val="clear" w:color="auto" w:fill="E1DFDD"/>
    </w:rPr>
  </w:style>
  <w:style w:type="character" w:customStyle="1" w:styleId="Heading5Char">
    <w:name w:val="Heading 5 Char"/>
    <w:basedOn w:val="DefaultParagraphFont"/>
    <w:link w:val="Heading5"/>
    <w:uiPriority w:val="9"/>
    <w:semiHidden/>
    <w:rsid w:val="00FF15A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F15AC"/>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EC3E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7610">
      <w:bodyDiv w:val="1"/>
      <w:marLeft w:val="0"/>
      <w:marRight w:val="0"/>
      <w:marTop w:val="0"/>
      <w:marBottom w:val="0"/>
      <w:divBdr>
        <w:top w:val="none" w:sz="0" w:space="0" w:color="auto"/>
        <w:left w:val="none" w:sz="0" w:space="0" w:color="auto"/>
        <w:bottom w:val="none" w:sz="0" w:space="0" w:color="auto"/>
        <w:right w:val="none" w:sz="0" w:space="0" w:color="auto"/>
      </w:divBdr>
    </w:div>
    <w:div w:id="15423143">
      <w:bodyDiv w:val="1"/>
      <w:marLeft w:val="0"/>
      <w:marRight w:val="0"/>
      <w:marTop w:val="0"/>
      <w:marBottom w:val="0"/>
      <w:divBdr>
        <w:top w:val="none" w:sz="0" w:space="0" w:color="auto"/>
        <w:left w:val="none" w:sz="0" w:space="0" w:color="auto"/>
        <w:bottom w:val="none" w:sz="0" w:space="0" w:color="auto"/>
        <w:right w:val="none" w:sz="0" w:space="0" w:color="auto"/>
      </w:divBdr>
    </w:div>
    <w:div w:id="49426561">
      <w:bodyDiv w:val="1"/>
      <w:marLeft w:val="0"/>
      <w:marRight w:val="0"/>
      <w:marTop w:val="0"/>
      <w:marBottom w:val="0"/>
      <w:divBdr>
        <w:top w:val="none" w:sz="0" w:space="0" w:color="auto"/>
        <w:left w:val="none" w:sz="0" w:space="0" w:color="auto"/>
        <w:bottom w:val="none" w:sz="0" w:space="0" w:color="auto"/>
        <w:right w:val="none" w:sz="0" w:space="0" w:color="auto"/>
      </w:divBdr>
      <w:divsChild>
        <w:div w:id="970666934">
          <w:marLeft w:val="360"/>
          <w:marRight w:val="0"/>
          <w:marTop w:val="200"/>
          <w:marBottom w:val="0"/>
          <w:divBdr>
            <w:top w:val="none" w:sz="0" w:space="0" w:color="auto"/>
            <w:left w:val="none" w:sz="0" w:space="0" w:color="auto"/>
            <w:bottom w:val="none" w:sz="0" w:space="0" w:color="auto"/>
            <w:right w:val="none" w:sz="0" w:space="0" w:color="auto"/>
          </w:divBdr>
        </w:div>
        <w:div w:id="91705288">
          <w:marLeft w:val="360"/>
          <w:marRight w:val="0"/>
          <w:marTop w:val="200"/>
          <w:marBottom w:val="0"/>
          <w:divBdr>
            <w:top w:val="none" w:sz="0" w:space="0" w:color="auto"/>
            <w:left w:val="none" w:sz="0" w:space="0" w:color="auto"/>
            <w:bottom w:val="none" w:sz="0" w:space="0" w:color="auto"/>
            <w:right w:val="none" w:sz="0" w:space="0" w:color="auto"/>
          </w:divBdr>
        </w:div>
        <w:div w:id="1877960179">
          <w:marLeft w:val="360"/>
          <w:marRight w:val="0"/>
          <w:marTop w:val="200"/>
          <w:marBottom w:val="0"/>
          <w:divBdr>
            <w:top w:val="none" w:sz="0" w:space="0" w:color="auto"/>
            <w:left w:val="none" w:sz="0" w:space="0" w:color="auto"/>
            <w:bottom w:val="none" w:sz="0" w:space="0" w:color="auto"/>
            <w:right w:val="none" w:sz="0" w:space="0" w:color="auto"/>
          </w:divBdr>
        </w:div>
        <w:div w:id="1866402867">
          <w:marLeft w:val="360"/>
          <w:marRight w:val="0"/>
          <w:marTop w:val="200"/>
          <w:marBottom w:val="0"/>
          <w:divBdr>
            <w:top w:val="none" w:sz="0" w:space="0" w:color="auto"/>
            <w:left w:val="none" w:sz="0" w:space="0" w:color="auto"/>
            <w:bottom w:val="none" w:sz="0" w:space="0" w:color="auto"/>
            <w:right w:val="none" w:sz="0" w:space="0" w:color="auto"/>
          </w:divBdr>
        </w:div>
      </w:divsChild>
    </w:div>
    <w:div w:id="88282791">
      <w:bodyDiv w:val="1"/>
      <w:marLeft w:val="0"/>
      <w:marRight w:val="0"/>
      <w:marTop w:val="0"/>
      <w:marBottom w:val="0"/>
      <w:divBdr>
        <w:top w:val="none" w:sz="0" w:space="0" w:color="auto"/>
        <w:left w:val="none" w:sz="0" w:space="0" w:color="auto"/>
        <w:bottom w:val="none" w:sz="0" w:space="0" w:color="auto"/>
        <w:right w:val="none" w:sz="0" w:space="0" w:color="auto"/>
      </w:divBdr>
    </w:div>
    <w:div w:id="105393439">
      <w:bodyDiv w:val="1"/>
      <w:marLeft w:val="0"/>
      <w:marRight w:val="0"/>
      <w:marTop w:val="0"/>
      <w:marBottom w:val="0"/>
      <w:divBdr>
        <w:top w:val="none" w:sz="0" w:space="0" w:color="auto"/>
        <w:left w:val="none" w:sz="0" w:space="0" w:color="auto"/>
        <w:bottom w:val="none" w:sz="0" w:space="0" w:color="auto"/>
        <w:right w:val="none" w:sz="0" w:space="0" w:color="auto"/>
      </w:divBdr>
      <w:divsChild>
        <w:div w:id="1075931194">
          <w:marLeft w:val="0"/>
          <w:marRight w:val="0"/>
          <w:marTop w:val="0"/>
          <w:marBottom w:val="0"/>
          <w:divBdr>
            <w:top w:val="none" w:sz="0" w:space="0" w:color="auto"/>
            <w:left w:val="none" w:sz="0" w:space="0" w:color="auto"/>
            <w:bottom w:val="none" w:sz="0" w:space="0" w:color="auto"/>
            <w:right w:val="none" w:sz="0" w:space="0" w:color="auto"/>
          </w:divBdr>
          <w:divsChild>
            <w:div w:id="1677265202">
              <w:marLeft w:val="0"/>
              <w:marRight w:val="0"/>
              <w:marTop w:val="0"/>
              <w:marBottom w:val="0"/>
              <w:divBdr>
                <w:top w:val="none" w:sz="0" w:space="0" w:color="auto"/>
                <w:left w:val="none" w:sz="0" w:space="0" w:color="auto"/>
                <w:bottom w:val="none" w:sz="0" w:space="0" w:color="auto"/>
                <w:right w:val="none" w:sz="0" w:space="0" w:color="auto"/>
              </w:divBdr>
              <w:divsChild>
                <w:div w:id="658965229">
                  <w:marLeft w:val="0"/>
                  <w:marRight w:val="0"/>
                  <w:marTop w:val="0"/>
                  <w:marBottom w:val="0"/>
                  <w:divBdr>
                    <w:top w:val="none" w:sz="0" w:space="0" w:color="auto"/>
                    <w:left w:val="none" w:sz="0" w:space="0" w:color="auto"/>
                    <w:bottom w:val="none" w:sz="0" w:space="0" w:color="auto"/>
                    <w:right w:val="none" w:sz="0" w:space="0" w:color="auto"/>
                  </w:divBdr>
                  <w:divsChild>
                    <w:div w:id="29503415">
                      <w:marLeft w:val="0"/>
                      <w:marRight w:val="0"/>
                      <w:marTop w:val="0"/>
                      <w:marBottom w:val="0"/>
                      <w:divBdr>
                        <w:top w:val="none" w:sz="0" w:space="0" w:color="auto"/>
                        <w:left w:val="none" w:sz="0" w:space="0" w:color="auto"/>
                        <w:bottom w:val="none" w:sz="0" w:space="0" w:color="auto"/>
                        <w:right w:val="none" w:sz="0" w:space="0" w:color="auto"/>
                      </w:divBdr>
                      <w:divsChild>
                        <w:div w:id="986907061">
                          <w:marLeft w:val="0"/>
                          <w:marRight w:val="0"/>
                          <w:marTop w:val="0"/>
                          <w:marBottom w:val="0"/>
                          <w:divBdr>
                            <w:top w:val="none" w:sz="0" w:space="0" w:color="auto"/>
                            <w:left w:val="none" w:sz="0" w:space="0" w:color="auto"/>
                            <w:bottom w:val="none" w:sz="0" w:space="0" w:color="auto"/>
                            <w:right w:val="none" w:sz="0" w:space="0" w:color="auto"/>
                          </w:divBdr>
                          <w:divsChild>
                            <w:div w:id="209246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98202">
                  <w:marLeft w:val="0"/>
                  <w:marRight w:val="0"/>
                  <w:marTop w:val="0"/>
                  <w:marBottom w:val="0"/>
                  <w:divBdr>
                    <w:top w:val="none" w:sz="0" w:space="0" w:color="auto"/>
                    <w:left w:val="none" w:sz="0" w:space="0" w:color="auto"/>
                    <w:bottom w:val="none" w:sz="0" w:space="0" w:color="auto"/>
                    <w:right w:val="none" w:sz="0" w:space="0" w:color="auto"/>
                  </w:divBdr>
                  <w:divsChild>
                    <w:div w:id="125875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881351">
          <w:marLeft w:val="0"/>
          <w:marRight w:val="0"/>
          <w:marTop w:val="0"/>
          <w:marBottom w:val="0"/>
          <w:divBdr>
            <w:top w:val="none" w:sz="0" w:space="0" w:color="auto"/>
            <w:left w:val="none" w:sz="0" w:space="0" w:color="auto"/>
            <w:bottom w:val="none" w:sz="0" w:space="0" w:color="auto"/>
            <w:right w:val="none" w:sz="0" w:space="0" w:color="auto"/>
          </w:divBdr>
          <w:divsChild>
            <w:div w:id="666590470">
              <w:marLeft w:val="0"/>
              <w:marRight w:val="0"/>
              <w:marTop w:val="0"/>
              <w:marBottom w:val="0"/>
              <w:divBdr>
                <w:top w:val="none" w:sz="0" w:space="0" w:color="auto"/>
                <w:left w:val="none" w:sz="0" w:space="0" w:color="auto"/>
                <w:bottom w:val="none" w:sz="0" w:space="0" w:color="auto"/>
                <w:right w:val="none" w:sz="0" w:space="0" w:color="auto"/>
              </w:divBdr>
              <w:divsChild>
                <w:div w:id="112288536">
                  <w:marLeft w:val="0"/>
                  <w:marRight w:val="0"/>
                  <w:marTop w:val="0"/>
                  <w:marBottom w:val="0"/>
                  <w:divBdr>
                    <w:top w:val="none" w:sz="0" w:space="0" w:color="auto"/>
                    <w:left w:val="none" w:sz="0" w:space="0" w:color="auto"/>
                    <w:bottom w:val="none" w:sz="0" w:space="0" w:color="auto"/>
                    <w:right w:val="none" w:sz="0" w:space="0" w:color="auto"/>
                  </w:divBdr>
                  <w:divsChild>
                    <w:div w:id="1936018494">
                      <w:marLeft w:val="0"/>
                      <w:marRight w:val="0"/>
                      <w:marTop w:val="0"/>
                      <w:marBottom w:val="0"/>
                      <w:divBdr>
                        <w:top w:val="none" w:sz="0" w:space="0" w:color="auto"/>
                        <w:left w:val="none" w:sz="0" w:space="0" w:color="auto"/>
                        <w:bottom w:val="none" w:sz="0" w:space="0" w:color="auto"/>
                        <w:right w:val="none" w:sz="0" w:space="0" w:color="auto"/>
                      </w:divBdr>
                      <w:divsChild>
                        <w:div w:id="1128009996">
                          <w:marLeft w:val="0"/>
                          <w:marRight w:val="0"/>
                          <w:marTop w:val="0"/>
                          <w:marBottom w:val="0"/>
                          <w:divBdr>
                            <w:top w:val="none" w:sz="0" w:space="0" w:color="auto"/>
                            <w:left w:val="none" w:sz="0" w:space="0" w:color="auto"/>
                            <w:bottom w:val="none" w:sz="0" w:space="0" w:color="auto"/>
                            <w:right w:val="none" w:sz="0" w:space="0" w:color="auto"/>
                          </w:divBdr>
                          <w:divsChild>
                            <w:div w:id="2106684769">
                              <w:marLeft w:val="0"/>
                              <w:marRight w:val="0"/>
                              <w:marTop w:val="0"/>
                              <w:marBottom w:val="0"/>
                              <w:divBdr>
                                <w:top w:val="none" w:sz="0" w:space="0" w:color="auto"/>
                                <w:left w:val="none" w:sz="0" w:space="0" w:color="auto"/>
                                <w:bottom w:val="none" w:sz="0" w:space="0" w:color="auto"/>
                                <w:right w:val="none" w:sz="0" w:space="0" w:color="auto"/>
                              </w:divBdr>
                              <w:divsChild>
                                <w:div w:id="74340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7920347">
          <w:marLeft w:val="0"/>
          <w:marRight w:val="0"/>
          <w:marTop w:val="0"/>
          <w:marBottom w:val="0"/>
          <w:divBdr>
            <w:top w:val="none" w:sz="0" w:space="0" w:color="auto"/>
            <w:left w:val="none" w:sz="0" w:space="0" w:color="auto"/>
            <w:bottom w:val="none" w:sz="0" w:space="0" w:color="auto"/>
            <w:right w:val="none" w:sz="0" w:space="0" w:color="auto"/>
          </w:divBdr>
          <w:divsChild>
            <w:div w:id="744185096">
              <w:marLeft w:val="0"/>
              <w:marRight w:val="0"/>
              <w:marTop w:val="0"/>
              <w:marBottom w:val="0"/>
              <w:divBdr>
                <w:top w:val="none" w:sz="0" w:space="0" w:color="auto"/>
                <w:left w:val="none" w:sz="0" w:space="0" w:color="auto"/>
                <w:bottom w:val="none" w:sz="0" w:space="0" w:color="auto"/>
                <w:right w:val="none" w:sz="0" w:space="0" w:color="auto"/>
              </w:divBdr>
              <w:divsChild>
                <w:div w:id="1425614211">
                  <w:marLeft w:val="0"/>
                  <w:marRight w:val="0"/>
                  <w:marTop w:val="0"/>
                  <w:marBottom w:val="0"/>
                  <w:divBdr>
                    <w:top w:val="none" w:sz="0" w:space="0" w:color="auto"/>
                    <w:left w:val="none" w:sz="0" w:space="0" w:color="auto"/>
                    <w:bottom w:val="none" w:sz="0" w:space="0" w:color="auto"/>
                    <w:right w:val="none" w:sz="0" w:space="0" w:color="auto"/>
                  </w:divBdr>
                  <w:divsChild>
                    <w:div w:id="1801150122">
                      <w:marLeft w:val="0"/>
                      <w:marRight w:val="0"/>
                      <w:marTop w:val="0"/>
                      <w:marBottom w:val="0"/>
                      <w:divBdr>
                        <w:top w:val="none" w:sz="0" w:space="0" w:color="auto"/>
                        <w:left w:val="none" w:sz="0" w:space="0" w:color="auto"/>
                        <w:bottom w:val="none" w:sz="0" w:space="0" w:color="auto"/>
                        <w:right w:val="none" w:sz="0" w:space="0" w:color="auto"/>
                      </w:divBdr>
                      <w:divsChild>
                        <w:div w:id="68771663">
                          <w:marLeft w:val="0"/>
                          <w:marRight w:val="0"/>
                          <w:marTop w:val="0"/>
                          <w:marBottom w:val="0"/>
                          <w:divBdr>
                            <w:top w:val="none" w:sz="0" w:space="0" w:color="auto"/>
                            <w:left w:val="none" w:sz="0" w:space="0" w:color="auto"/>
                            <w:bottom w:val="none" w:sz="0" w:space="0" w:color="auto"/>
                            <w:right w:val="none" w:sz="0" w:space="0" w:color="auto"/>
                          </w:divBdr>
                          <w:divsChild>
                            <w:div w:id="129914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2028517">
          <w:marLeft w:val="0"/>
          <w:marRight w:val="0"/>
          <w:marTop w:val="0"/>
          <w:marBottom w:val="0"/>
          <w:divBdr>
            <w:top w:val="none" w:sz="0" w:space="0" w:color="auto"/>
            <w:left w:val="none" w:sz="0" w:space="0" w:color="auto"/>
            <w:bottom w:val="none" w:sz="0" w:space="0" w:color="auto"/>
            <w:right w:val="none" w:sz="0" w:space="0" w:color="auto"/>
          </w:divBdr>
          <w:divsChild>
            <w:div w:id="461923331">
              <w:marLeft w:val="0"/>
              <w:marRight w:val="0"/>
              <w:marTop w:val="0"/>
              <w:marBottom w:val="0"/>
              <w:divBdr>
                <w:top w:val="none" w:sz="0" w:space="0" w:color="auto"/>
                <w:left w:val="none" w:sz="0" w:space="0" w:color="auto"/>
                <w:bottom w:val="none" w:sz="0" w:space="0" w:color="auto"/>
                <w:right w:val="none" w:sz="0" w:space="0" w:color="auto"/>
              </w:divBdr>
              <w:divsChild>
                <w:div w:id="1150293564">
                  <w:marLeft w:val="0"/>
                  <w:marRight w:val="0"/>
                  <w:marTop w:val="0"/>
                  <w:marBottom w:val="0"/>
                  <w:divBdr>
                    <w:top w:val="none" w:sz="0" w:space="0" w:color="auto"/>
                    <w:left w:val="none" w:sz="0" w:space="0" w:color="auto"/>
                    <w:bottom w:val="none" w:sz="0" w:space="0" w:color="auto"/>
                    <w:right w:val="none" w:sz="0" w:space="0" w:color="auto"/>
                  </w:divBdr>
                  <w:divsChild>
                    <w:div w:id="1121454676">
                      <w:marLeft w:val="0"/>
                      <w:marRight w:val="0"/>
                      <w:marTop w:val="0"/>
                      <w:marBottom w:val="0"/>
                      <w:divBdr>
                        <w:top w:val="none" w:sz="0" w:space="0" w:color="auto"/>
                        <w:left w:val="none" w:sz="0" w:space="0" w:color="auto"/>
                        <w:bottom w:val="none" w:sz="0" w:space="0" w:color="auto"/>
                        <w:right w:val="none" w:sz="0" w:space="0" w:color="auto"/>
                      </w:divBdr>
                      <w:divsChild>
                        <w:div w:id="1822234677">
                          <w:marLeft w:val="0"/>
                          <w:marRight w:val="0"/>
                          <w:marTop w:val="0"/>
                          <w:marBottom w:val="0"/>
                          <w:divBdr>
                            <w:top w:val="none" w:sz="0" w:space="0" w:color="auto"/>
                            <w:left w:val="none" w:sz="0" w:space="0" w:color="auto"/>
                            <w:bottom w:val="none" w:sz="0" w:space="0" w:color="auto"/>
                            <w:right w:val="none" w:sz="0" w:space="0" w:color="auto"/>
                          </w:divBdr>
                          <w:divsChild>
                            <w:div w:id="550532120">
                              <w:marLeft w:val="0"/>
                              <w:marRight w:val="0"/>
                              <w:marTop w:val="0"/>
                              <w:marBottom w:val="0"/>
                              <w:divBdr>
                                <w:top w:val="none" w:sz="0" w:space="0" w:color="auto"/>
                                <w:left w:val="none" w:sz="0" w:space="0" w:color="auto"/>
                                <w:bottom w:val="none" w:sz="0" w:space="0" w:color="auto"/>
                                <w:right w:val="none" w:sz="0" w:space="0" w:color="auto"/>
                              </w:divBdr>
                              <w:divsChild>
                                <w:div w:id="180843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1709691">
          <w:marLeft w:val="0"/>
          <w:marRight w:val="0"/>
          <w:marTop w:val="0"/>
          <w:marBottom w:val="0"/>
          <w:divBdr>
            <w:top w:val="none" w:sz="0" w:space="0" w:color="auto"/>
            <w:left w:val="none" w:sz="0" w:space="0" w:color="auto"/>
            <w:bottom w:val="none" w:sz="0" w:space="0" w:color="auto"/>
            <w:right w:val="none" w:sz="0" w:space="0" w:color="auto"/>
          </w:divBdr>
          <w:divsChild>
            <w:div w:id="777599393">
              <w:marLeft w:val="0"/>
              <w:marRight w:val="0"/>
              <w:marTop w:val="0"/>
              <w:marBottom w:val="0"/>
              <w:divBdr>
                <w:top w:val="none" w:sz="0" w:space="0" w:color="auto"/>
                <w:left w:val="none" w:sz="0" w:space="0" w:color="auto"/>
                <w:bottom w:val="none" w:sz="0" w:space="0" w:color="auto"/>
                <w:right w:val="none" w:sz="0" w:space="0" w:color="auto"/>
              </w:divBdr>
              <w:divsChild>
                <w:div w:id="1472213777">
                  <w:marLeft w:val="0"/>
                  <w:marRight w:val="0"/>
                  <w:marTop w:val="0"/>
                  <w:marBottom w:val="0"/>
                  <w:divBdr>
                    <w:top w:val="none" w:sz="0" w:space="0" w:color="auto"/>
                    <w:left w:val="none" w:sz="0" w:space="0" w:color="auto"/>
                    <w:bottom w:val="none" w:sz="0" w:space="0" w:color="auto"/>
                    <w:right w:val="none" w:sz="0" w:space="0" w:color="auto"/>
                  </w:divBdr>
                  <w:divsChild>
                    <w:div w:id="747461384">
                      <w:marLeft w:val="0"/>
                      <w:marRight w:val="0"/>
                      <w:marTop w:val="0"/>
                      <w:marBottom w:val="0"/>
                      <w:divBdr>
                        <w:top w:val="none" w:sz="0" w:space="0" w:color="auto"/>
                        <w:left w:val="none" w:sz="0" w:space="0" w:color="auto"/>
                        <w:bottom w:val="none" w:sz="0" w:space="0" w:color="auto"/>
                        <w:right w:val="none" w:sz="0" w:space="0" w:color="auto"/>
                      </w:divBdr>
                      <w:divsChild>
                        <w:div w:id="96172822">
                          <w:marLeft w:val="0"/>
                          <w:marRight w:val="0"/>
                          <w:marTop w:val="0"/>
                          <w:marBottom w:val="0"/>
                          <w:divBdr>
                            <w:top w:val="none" w:sz="0" w:space="0" w:color="auto"/>
                            <w:left w:val="none" w:sz="0" w:space="0" w:color="auto"/>
                            <w:bottom w:val="none" w:sz="0" w:space="0" w:color="auto"/>
                            <w:right w:val="none" w:sz="0" w:space="0" w:color="auto"/>
                          </w:divBdr>
                          <w:divsChild>
                            <w:div w:id="114866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375532">
      <w:bodyDiv w:val="1"/>
      <w:marLeft w:val="0"/>
      <w:marRight w:val="0"/>
      <w:marTop w:val="0"/>
      <w:marBottom w:val="0"/>
      <w:divBdr>
        <w:top w:val="none" w:sz="0" w:space="0" w:color="auto"/>
        <w:left w:val="none" w:sz="0" w:space="0" w:color="auto"/>
        <w:bottom w:val="none" w:sz="0" w:space="0" w:color="auto"/>
        <w:right w:val="none" w:sz="0" w:space="0" w:color="auto"/>
      </w:divBdr>
    </w:div>
    <w:div w:id="127554648">
      <w:bodyDiv w:val="1"/>
      <w:marLeft w:val="0"/>
      <w:marRight w:val="0"/>
      <w:marTop w:val="0"/>
      <w:marBottom w:val="0"/>
      <w:divBdr>
        <w:top w:val="none" w:sz="0" w:space="0" w:color="auto"/>
        <w:left w:val="none" w:sz="0" w:space="0" w:color="auto"/>
        <w:bottom w:val="none" w:sz="0" w:space="0" w:color="auto"/>
        <w:right w:val="none" w:sz="0" w:space="0" w:color="auto"/>
      </w:divBdr>
    </w:div>
    <w:div w:id="173034326">
      <w:bodyDiv w:val="1"/>
      <w:marLeft w:val="0"/>
      <w:marRight w:val="0"/>
      <w:marTop w:val="0"/>
      <w:marBottom w:val="0"/>
      <w:divBdr>
        <w:top w:val="none" w:sz="0" w:space="0" w:color="auto"/>
        <w:left w:val="none" w:sz="0" w:space="0" w:color="auto"/>
        <w:bottom w:val="none" w:sz="0" w:space="0" w:color="auto"/>
        <w:right w:val="none" w:sz="0" w:space="0" w:color="auto"/>
      </w:divBdr>
      <w:divsChild>
        <w:div w:id="328753733">
          <w:marLeft w:val="0"/>
          <w:marRight w:val="0"/>
          <w:marTop w:val="0"/>
          <w:marBottom w:val="0"/>
          <w:divBdr>
            <w:top w:val="none" w:sz="0" w:space="0" w:color="auto"/>
            <w:left w:val="none" w:sz="0" w:space="0" w:color="auto"/>
            <w:bottom w:val="none" w:sz="0" w:space="0" w:color="auto"/>
            <w:right w:val="none" w:sz="0" w:space="0" w:color="auto"/>
          </w:divBdr>
        </w:div>
      </w:divsChild>
    </w:div>
    <w:div w:id="199828153">
      <w:bodyDiv w:val="1"/>
      <w:marLeft w:val="0"/>
      <w:marRight w:val="0"/>
      <w:marTop w:val="0"/>
      <w:marBottom w:val="0"/>
      <w:divBdr>
        <w:top w:val="none" w:sz="0" w:space="0" w:color="auto"/>
        <w:left w:val="none" w:sz="0" w:space="0" w:color="auto"/>
        <w:bottom w:val="none" w:sz="0" w:space="0" w:color="auto"/>
        <w:right w:val="none" w:sz="0" w:space="0" w:color="auto"/>
      </w:divBdr>
      <w:divsChild>
        <w:div w:id="951714406">
          <w:marLeft w:val="0"/>
          <w:marRight w:val="0"/>
          <w:marTop w:val="0"/>
          <w:marBottom w:val="0"/>
          <w:divBdr>
            <w:top w:val="none" w:sz="0" w:space="0" w:color="auto"/>
            <w:left w:val="none" w:sz="0" w:space="0" w:color="auto"/>
            <w:bottom w:val="none" w:sz="0" w:space="0" w:color="auto"/>
            <w:right w:val="none" w:sz="0" w:space="0" w:color="auto"/>
          </w:divBdr>
        </w:div>
      </w:divsChild>
    </w:div>
    <w:div w:id="210921877">
      <w:bodyDiv w:val="1"/>
      <w:marLeft w:val="0"/>
      <w:marRight w:val="0"/>
      <w:marTop w:val="0"/>
      <w:marBottom w:val="0"/>
      <w:divBdr>
        <w:top w:val="none" w:sz="0" w:space="0" w:color="auto"/>
        <w:left w:val="none" w:sz="0" w:space="0" w:color="auto"/>
        <w:bottom w:val="none" w:sz="0" w:space="0" w:color="auto"/>
        <w:right w:val="none" w:sz="0" w:space="0" w:color="auto"/>
      </w:divBdr>
    </w:div>
    <w:div w:id="217516310">
      <w:bodyDiv w:val="1"/>
      <w:marLeft w:val="0"/>
      <w:marRight w:val="0"/>
      <w:marTop w:val="0"/>
      <w:marBottom w:val="0"/>
      <w:divBdr>
        <w:top w:val="none" w:sz="0" w:space="0" w:color="auto"/>
        <w:left w:val="none" w:sz="0" w:space="0" w:color="auto"/>
        <w:bottom w:val="none" w:sz="0" w:space="0" w:color="auto"/>
        <w:right w:val="none" w:sz="0" w:space="0" w:color="auto"/>
      </w:divBdr>
      <w:divsChild>
        <w:div w:id="1408268196">
          <w:marLeft w:val="0"/>
          <w:marRight w:val="0"/>
          <w:marTop w:val="0"/>
          <w:marBottom w:val="0"/>
          <w:divBdr>
            <w:top w:val="none" w:sz="0" w:space="0" w:color="auto"/>
            <w:left w:val="none" w:sz="0" w:space="0" w:color="auto"/>
            <w:bottom w:val="none" w:sz="0" w:space="0" w:color="auto"/>
            <w:right w:val="none" w:sz="0" w:space="0" w:color="auto"/>
          </w:divBdr>
        </w:div>
      </w:divsChild>
    </w:div>
    <w:div w:id="230896914">
      <w:bodyDiv w:val="1"/>
      <w:marLeft w:val="0"/>
      <w:marRight w:val="0"/>
      <w:marTop w:val="0"/>
      <w:marBottom w:val="0"/>
      <w:divBdr>
        <w:top w:val="none" w:sz="0" w:space="0" w:color="auto"/>
        <w:left w:val="none" w:sz="0" w:space="0" w:color="auto"/>
        <w:bottom w:val="none" w:sz="0" w:space="0" w:color="auto"/>
        <w:right w:val="none" w:sz="0" w:space="0" w:color="auto"/>
      </w:divBdr>
    </w:div>
    <w:div w:id="233397102">
      <w:bodyDiv w:val="1"/>
      <w:marLeft w:val="0"/>
      <w:marRight w:val="0"/>
      <w:marTop w:val="0"/>
      <w:marBottom w:val="0"/>
      <w:divBdr>
        <w:top w:val="none" w:sz="0" w:space="0" w:color="auto"/>
        <w:left w:val="none" w:sz="0" w:space="0" w:color="auto"/>
        <w:bottom w:val="none" w:sz="0" w:space="0" w:color="auto"/>
        <w:right w:val="none" w:sz="0" w:space="0" w:color="auto"/>
      </w:divBdr>
    </w:div>
    <w:div w:id="239875295">
      <w:bodyDiv w:val="1"/>
      <w:marLeft w:val="0"/>
      <w:marRight w:val="0"/>
      <w:marTop w:val="0"/>
      <w:marBottom w:val="0"/>
      <w:divBdr>
        <w:top w:val="none" w:sz="0" w:space="0" w:color="auto"/>
        <w:left w:val="none" w:sz="0" w:space="0" w:color="auto"/>
        <w:bottom w:val="none" w:sz="0" w:space="0" w:color="auto"/>
        <w:right w:val="none" w:sz="0" w:space="0" w:color="auto"/>
      </w:divBdr>
      <w:divsChild>
        <w:div w:id="883249181">
          <w:marLeft w:val="0"/>
          <w:marRight w:val="0"/>
          <w:marTop w:val="0"/>
          <w:marBottom w:val="0"/>
          <w:divBdr>
            <w:top w:val="none" w:sz="0" w:space="0" w:color="auto"/>
            <w:left w:val="none" w:sz="0" w:space="0" w:color="auto"/>
            <w:bottom w:val="none" w:sz="0" w:space="0" w:color="auto"/>
            <w:right w:val="none" w:sz="0" w:space="0" w:color="auto"/>
          </w:divBdr>
        </w:div>
      </w:divsChild>
    </w:div>
    <w:div w:id="253054447">
      <w:bodyDiv w:val="1"/>
      <w:marLeft w:val="0"/>
      <w:marRight w:val="0"/>
      <w:marTop w:val="0"/>
      <w:marBottom w:val="0"/>
      <w:divBdr>
        <w:top w:val="none" w:sz="0" w:space="0" w:color="auto"/>
        <w:left w:val="none" w:sz="0" w:space="0" w:color="auto"/>
        <w:bottom w:val="none" w:sz="0" w:space="0" w:color="auto"/>
        <w:right w:val="none" w:sz="0" w:space="0" w:color="auto"/>
      </w:divBdr>
    </w:div>
    <w:div w:id="253362674">
      <w:bodyDiv w:val="1"/>
      <w:marLeft w:val="0"/>
      <w:marRight w:val="0"/>
      <w:marTop w:val="0"/>
      <w:marBottom w:val="0"/>
      <w:divBdr>
        <w:top w:val="none" w:sz="0" w:space="0" w:color="auto"/>
        <w:left w:val="none" w:sz="0" w:space="0" w:color="auto"/>
        <w:bottom w:val="none" w:sz="0" w:space="0" w:color="auto"/>
        <w:right w:val="none" w:sz="0" w:space="0" w:color="auto"/>
      </w:divBdr>
    </w:div>
    <w:div w:id="266350620">
      <w:bodyDiv w:val="1"/>
      <w:marLeft w:val="0"/>
      <w:marRight w:val="0"/>
      <w:marTop w:val="0"/>
      <w:marBottom w:val="0"/>
      <w:divBdr>
        <w:top w:val="none" w:sz="0" w:space="0" w:color="auto"/>
        <w:left w:val="none" w:sz="0" w:space="0" w:color="auto"/>
        <w:bottom w:val="none" w:sz="0" w:space="0" w:color="auto"/>
        <w:right w:val="none" w:sz="0" w:space="0" w:color="auto"/>
      </w:divBdr>
      <w:divsChild>
        <w:div w:id="1759787566">
          <w:marLeft w:val="0"/>
          <w:marRight w:val="0"/>
          <w:marTop w:val="0"/>
          <w:marBottom w:val="0"/>
          <w:divBdr>
            <w:top w:val="none" w:sz="0" w:space="0" w:color="auto"/>
            <w:left w:val="none" w:sz="0" w:space="0" w:color="auto"/>
            <w:bottom w:val="none" w:sz="0" w:space="0" w:color="auto"/>
            <w:right w:val="none" w:sz="0" w:space="0" w:color="auto"/>
          </w:divBdr>
        </w:div>
      </w:divsChild>
    </w:div>
    <w:div w:id="282420148">
      <w:bodyDiv w:val="1"/>
      <w:marLeft w:val="0"/>
      <w:marRight w:val="0"/>
      <w:marTop w:val="0"/>
      <w:marBottom w:val="0"/>
      <w:divBdr>
        <w:top w:val="none" w:sz="0" w:space="0" w:color="auto"/>
        <w:left w:val="none" w:sz="0" w:space="0" w:color="auto"/>
        <w:bottom w:val="none" w:sz="0" w:space="0" w:color="auto"/>
        <w:right w:val="none" w:sz="0" w:space="0" w:color="auto"/>
      </w:divBdr>
    </w:div>
    <w:div w:id="300038414">
      <w:bodyDiv w:val="1"/>
      <w:marLeft w:val="0"/>
      <w:marRight w:val="0"/>
      <w:marTop w:val="0"/>
      <w:marBottom w:val="0"/>
      <w:divBdr>
        <w:top w:val="none" w:sz="0" w:space="0" w:color="auto"/>
        <w:left w:val="none" w:sz="0" w:space="0" w:color="auto"/>
        <w:bottom w:val="none" w:sz="0" w:space="0" w:color="auto"/>
        <w:right w:val="none" w:sz="0" w:space="0" w:color="auto"/>
      </w:divBdr>
      <w:divsChild>
        <w:div w:id="1082261855">
          <w:marLeft w:val="0"/>
          <w:marRight w:val="0"/>
          <w:marTop w:val="0"/>
          <w:marBottom w:val="0"/>
          <w:divBdr>
            <w:top w:val="none" w:sz="0" w:space="0" w:color="auto"/>
            <w:left w:val="none" w:sz="0" w:space="0" w:color="auto"/>
            <w:bottom w:val="none" w:sz="0" w:space="0" w:color="auto"/>
            <w:right w:val="none" w:sz="0" w:space="0" w:color="auto"/>
          </w:divBdr>
        </w:div>
      </w:divsChild>
    </w:div>
    <w:div w:id="304748806">
      <w:bodyDiv w:val="1"/>
      <w:marLeft w:val="0"/>
      <w:marRight w:val="0"/>
      <w:marTop w:val="0"/>
      <w:marBottom w:val="0"/>
      <w:divBdr>
        <w:top w:val="none" w:sz="0" w:space="0" w:color="auto"/>
        <w:left w:val="none" w:sz="0" w:space="0" w:color="auto"/>
        <w:bottom w:val="none" w:sz="0" w:space="0" w:color="auto"/>
        <w:right w:val="none" w:sz="0" w:space="0" w:color="auto"/>
      </w:divBdr>
      <w:divsChild>
        <w:div w:id="520634099">
          <w:marLeft w:val="0"/>
          <w:marRight w:val="0"/>
          <w:marTop w:val="0"/>
          <w:marBottom w:val="0"/>
          <w:divBdr>
            <w:top w:val="none" w:sz="0" w:space="0" w:color="auto"/>
            <w:left w:val="none" w:sz="0" w:space="0" w:color="auto"/>
            <w:bottom w:val="none" w:sz="0" w:space="0" w:color="auto"/>
            <w:right w:val="none" w:sz="0" w:space="0" w:color="auto"/>
          </w:divBdr>
        </w:div>
      </w:divsChild>
    </w:div>
    <w:div w:id="308753607">
      <w:bodyDiv w:val="1"/>
      <w:marLeft w:val="0"/>
      <w:marRight w:val="0"/>
      <w:marTop w:val="0"/>
      <w:marBottom w:val="0"/>
      <w:divBdr>
        <w:top w:val="none" w:sz="0" w:space="0" w:color="auto"/>
        <w:left w:val="none" w:sz="0" w:space="0" w:color="auto"/>
        <w:bottom w:val="none" w:sz="0" w:space="0" w:color="auto"/>
        <w:right w:val="none" w:sz="0" w:space="0" w:color="auto"/>
      </w:divBdr>
    </w:div>
    <w:div w:id="309942852">
      <w:bodyDiv w:val="1"/>
      <w:marLeft w:val="0"/>
      <w:marRight w:val="0"/>
      <w:marTop w:val="0"/>
      <w:marBottom w:val="0"/>
      <w:divBdr>
        <w:top w:val="none" w:sz="0" w:space="0" w:color="auto"/>
        <w:left w:val="none" w:sz="0" w:space="0" w:color="auto"/>
        <w:bottom w:val="none" w:sz="0" w:space="0" w:color="auto"/>
        <w:right w:val="none" w:sz="0" w:space="0" w:color="auto"/>
      </w:divBdr>
      <w:divsChild>
        <w:div w:id="601887432">
          <w:marLeft w:val="0"/>
          <w:marRight w:val="0"/>
          <w:marTop w:val="0"/>
          <w:marBottom w:val="0"/>
          <w:divBdr>
            <w:top w:val="none" w:sz="0" w:space="0" w:color="auto"/>
            <w:left w:val="none" w:sz="0" w:space="0" w:color="auto"/>
            <w:bottom w:val="none" w:sz="0" w:space="0" w:color="auto"/>
            <w:right w:val="none" w:sz="0" w:space="0" w:color="auto"/>
          </w:divBdr>
        </w:div>
      </w:divsChild>
    </w:div>
    <w:div w:id="356393925">
      <w:bodyDiv w:val="1"/>
      <w:marLeft w:val="0"/>
      <w:marRight w:val="0"/>
      <w:marTop w:val="0"/>
      <w:marBottom w:val="0"/>
      <w:divBdr>
        <w:top w:val="none" w:sz="0" w:space="0" w:color="auto"/>
        <w:left w:val="none" w:sz="0" w:space="0" w:color="auto"/>
        <w:bottom w:val="none" w:sz="0" w:space="0" w:color="auto"/>
        <w:right w:val="none" w:sz="0" w:space="0" w:color="auto"/>
      </w:divBdr>
      <w:divsChild>
        <w:div w:id="1528446240">
          <w:marLeft w:val="0"/>
          <w:marRight w:val="0"/>
          <w:marTop w:val="0"/>
          <w:marBottom w:val="0"/>
          <w:divBdr>
            <w:top w:val="none" w:sz="0" w:space="0" w:color="auto"/>
            <w:left w:val="none" w:sz="0" w:space="0" w:color="auto"/>
            <w:bottom w:val="none" w:sz="0" w:space="0" w:color="auto"/>
            <w:right w:val="none" w:sz="0" w:space="0" w:color="auto"/>
          </w:divBdr>
        </w:div>
      </w:divsChild>
    </w:div>
    <w:div w:id="388959135">
      <w:bodyDiv w:val="1"/>
      <w:marLeft w:val="0"/>
      <w:marRight w:val="0"/>
      <w:marTop w:val="0"/>
      <w:marBottom w:val="0"/>
      <w:divBdr>
        <w:top w:val="none" w:sz="0" w:space="0" w:color="auto"/>
        <w:left w:val="none" w:sz="0" w:space="0" w:color="auto"/>
        <w:bottom w:val="none" w:sz="0" w:space="0" w:color="auto"/>
        <w:right w:val="none" w:sz="0" w:space="0" w:color="auto"/>
      </w:divBdr>
    </w:div>
    <w:div w:id="392431699">
      <w:bodyDiv w:val="1"/>
      <w:marLeft w:val="0"/>
      <w:marRight w:val="0"/>
      <w:marTop w:val="0"/>
      <w:marBottom w:val="0"/>
      <w:divBdr>
        <w:top w:val="none" w:sz="0" w:space="0" w:color="auto"/>
        <w:left w:val="none" w:sz="0" w:space="0" w:color="auto"/>
        <w:bottom w:val="none" w:sz="0" w:space="0" w:color="auto"/>
        <w:right w:val="none" w:sz="0" w:space="0" w:color="auto"/>
      </w:divBdr>
    </w:div>
    <w:div w:id="396319822">
      <w:bodyDiv w:val="1"/>
      <w:marLeft w:val="0"/>
      <w:marRight w:val="0"/>
      <w:marTop w:val="0"/>
      <w:marBottom w:val="0"/>
      <w:divBdr>
        <w:top w:val="none" w:sz="0" w:space="0" w:color="auto"/>
        <w:left w:val="none" w:sz="0" w:space="0" w:color="auto"/>
        <w:bottom w:val="none" w:sz="0" w:space="0" w:color="auto"/>
        <w:right w:val="none" w:sz="0" w:space="0" w:color="auto"/>
      </w:divBdr>
    </w:div>
    <w:div w:id="473910166">
      <w:bodyDiv w:val="1"/>
      <w:marLeft w:val="0"/>
      <w:marRight w:val="0"/>
      <w:marTop w:val="0"/>
      <w:marBottom w:val="0"/>
      <w:divBdr>
        <w:top w:val="none" w:sz="0" w:space="0" w:color="auto"/>
        <w:left w:val="none" w:sz="0" w:space="0" w:color="auto"/>
        <w:bottom w:val="none" w:sz="0" w:space="0" w:color="auto"/>
        <w:right w:val="none" w:sz="0" w:space="0" w:color="auto"/>
      </w:divBdr>
      <w:divsChild>
        <w:div w:id="1478256071">
          <w:marLeft w:val="0"/>
          <w:marRight w:val="0"/>
          <w:marTop w:val="0"/>
          <w:marBottom w:val="0"/>
          <w:divBdr>
            <w:top w:val="none" w:sz="0" w:space="0" w:color="auto"/>
            <w:left w:val="none" w:sz="0" w:space="0" w:color="auto"/>
            <w:bottom w:val="none" w:sz="0" w:space="0" w:color="auto"/>
            <w:right w:val="none" w:sz="0" w:space="0" w:color="auto"/>
          </w:divBdr>
        </w:div>
      </w:divsChild>
    </w:div>
    <w:div w:id="528027237">
      <w:bodyDiv w:val="1"/>
      <w:marLeft w:val="0"/>
      <w:marRight w:val="0"/>
      <w:marTop w:val="0"/>
      <w:marBottom w:val="0"/>
      <w:divBdr>
        <w:top w:val="none" w:sz="0" w:space="0" w:color="auto"/>
        <w:left w:val="none" w:sz="0" w:space="0" w:color="auto"/>
        <w:bottom w:val="none" w:sz="0" w:space="0" w:color="auto"/>
        <w:right w:val="none" w:sz="0" w:space="0" w:color="auto"/>
      </w:divBdr>
    </w:div>
    <w:div w:id="568426338">
      <w:bodyDiv w:val="1"/>
      <w:marLeft w:val="0"/>
      <w:marRight w:val="0"/>
      <w:marTop w:val="0"/>
      <w:marBottom w:val="0"/>
      <w:divBdr>
        <w:top w:val="none" w:sz="0" w:space="0" w:color="auto"/>
        <w:left w:val="none" w:sz="0" w:space="0" w:color="auto"/>
        <w:bottom w:val="none" w:sz="0" w:space="0" w:color="auto"/>
        <w:right w:val="none" w:sz="0" w:space="0" w:color="auto"/>
      </w:divBdr>
      <w:divsChild>
        <w:div w:id="173498305">
          <w:marLeft w:val="0"/>
          <w:marRight w:val="0"/>
          <w:marTop w:val="0"/>
          <w:marBottom w:val="0"/>
          <w:divBdr>
            <w:top w:val="none" w:sz="0" w:space="0" w:color="auto"/>
            <w:left w:val="none" w:sz="0" w:space="0" w:color="auto"/>
            <w:bottom w:val="none" w:sz="0" w:space="0" w:color="auto"/>
            <w:right w:val="none" w:sz="0" w:space="0" w:color="auto"/>
          </w:divBdr>
        </w:div>
      </w:divsChild>
    </w:div>
    <w:div w:id="568612128">
      <w:bodyDiv w:val="1"/>
      <w:marLeft w:val="0"/>
      <w:marRight w:val="0"/>
      <w:marTop w:val="0"/>
      <w:marBottom w:val="0"/>
      <w:divBdr>
        <w:top w:val="none" w:sz="0" w:space="0" w:color="auto"/>
        <w:left w:val="none" w:sz="0" w:space="0" w:color="auto"/>
        <w:bottom w:val="none" w:sz="0" w:space="0" w:color="auto"/>
        <w:right w:val="none" w:sz="0" w:space="0" w:color="auto"/>
      </w:divBdr>
      <w:divsChild>
        <w:div w:id="667829838">
          <w:marLeft w:val="0"/>
          <w:marRight w:val="0"/>
          <w:marTop w:val="0"/>
          <w:marBottom w:val="0"/>
          <w:divBdr>
            <w:top w:val="none" w:sz="0" w:space="0" w:color="auto"/>
            <w:left w:val="none" w:sz="0" w:space="0" w:color="auto"/>
            <w:bottom w:val="none" w:sz="0" w:space="0" w:color="auto"/>
            <w:right w:val="none" w:sz="0" w:space="0" w:color="auto"/>
          </w:divBdr>
          <w:divsChild>
            <w:div w:id="947547541">
              <w:marLeft w:val="0"/>
              <w:marRight w:val="0"/>
              <w:marTop w:val="0"/>
              <w:marBottom w:val="0"/>
              <w:divBdr>
                <w:top w:val="none" w:sz="0" w:space="0" w:color="auto"/>
                <w:left w:val="none" w:sz="0" w:space="0" w:color="auto"/>
                <w:bottom w:val="none" w:sz="0" w:space="0" w:color="auto"/>
                <w:right w:val="none" w:sz="0" w:space="0" w:color="auto"/>
              </w:divBdr>
              <w:divsChild>
                <w:div w:id="386804666">
                  <w:marLeft w:val="0"/>
                  <w:marRight w:val="0"/>
                  <w:marTop w:val="0"/>
                  <w:marBottom w:val="0"/>
                  <w:divBdr>
                    <w:top w:val="none" w:sz="0" w:space="0" w:color="auto"/>
                    <w:left w:val="none" w:sz="0" w:space="0" w:color="auto"/>
                    <w:bottom w:val="none" w:sz="0" w:space="0" w:color="auto"/>
                    <w:right w:val="none" w:sz="0" w:space="0" w:color="auto"/>
                  </w:divBdr>
                  <w:divsChild>
                    <w:div w:id="731733149">
                      <w:marLeft w:val="0"/>
                      <w:marRight w:val="0"/>
                      <w:marTop w:val="0"/>
                      <w:marBottom w:val="0"/>
                      <w:divBdr>
                        <w:top w:val="none" w:sz="0" w:space="0" w:color="auto"/>
                        <w:left w:val="none" w:sz="0" w:space="0" w:color="auto"/>
                        <w:bottom w:val="none" w:sz="0" w:space="0" w:color="auto"/>
                        <w:right w:val="none" w:sz="0" w:space="0" w:color="auto"/>
                      </w:divBdr>
                      <w:divsChild>
                        <w:div w:id="303587873">
                          <w:marLeft w:val="0"/>
                          <w:marRight w:val="0"/>
                          <w:marTop w:val="0"/>
                          <w:marBottom w:val="0"/>
                          <w:divBdr>
                            <w:top w:val="none" w:sz="0" w:space="0" w:color="auto"/>
                            <w:left w:val="none" w:sz="0" w:space="0" w:color="auto"/>
                            <w:bottom w:val="none" w:sz="0" w:space="0" w:color="auto"/>
                            <w:right w:val="none" w:sz="0" w:space="0" w:color="auto"/>
                          </w:divBdr>
                          <w:divsChild>
                            <w:div w:id="82485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384394">
                  <w:marLeft w:val="0"/>
                  <w:marRight w:val="0"/>
                  <w:marTop w:val="0"/>
                  <w:marBottom w:val="0"/>
                  <w:divBdr>
                    <w:top w:val="none" w:sz="0" w:space="0" w:color="auto"/>
                    <w:left w:val="none" w:sz="0" w:space="0" w:color="auto"/>
                    <w:bottom w:val="none" w:sz="0" w:space="0" w:color="auto"/>
                    <w:right w:val="none" w:sz="0" w:space="0" w:color="auto"/>
                  </w:divBdr>
                  <w:divsChild>
                    <w:div w:id="55293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123186">
          <w:marLeft w:val="0"/>
          <w:marRight w:val="0"/>
          <w:marTop w:val="0"/>
          <w:marBottom w:val="0"/>
          <w:divBdr>
            <w:top w:val="none" w:sz="0" w:space="0" w:color="auto"/>
            <w:left w:val="none" w:sz="0" w:space="0" w:color="auto"/>
            <w:bottom w:val="none" w:sz="0" w:space="0" w:color="auto"/>
            <w:right w:val="none" w:sz="0" w:space="0" w:color="auto"/>
          </w:divBdr>
          <w:divsChild>
            <w:div w:id="1544445289">
              <w:marLeft w:val="0"/>
              <w:marRight w:val="0"/>
              <w:marTop w:val="0"/>
              <w:marBottom w:val="0"/>
              <w:divBdr>
                <w:top w:val="none" w:sz="0" w:space="0" w:color="auto"/>
                <w:left w:val="none" w:sz="0" w:space="0" w:color="auto"/>
                <w:bottom w:val="none" w:sz="0" w:space="0" w:color="auto"/>
                <w:right w:val="none" w:sz="0" w:space="0" w:color="auto"/>
              </w:divBdr>
              <w:divsChild>
                <w:div w:id="1862090272">
                  <w:marLeft w:val="0"/>
                  <w:marRight w:val="0"/>
                  <w:marTop w:val="0"/>
                  <w:marBottom w:val="0"/>
                  <w:divBdr>
                    <w:top w:val="none" w:sz="0" w:space="0" w:color="auto"/>
                    <w:left w:val="none" w:sz="0" w:space="0" w:color="auto"/>
                    <w:bottom w:val="none" w:sz="0" w:space="0" w:color="auto"/>
                    <w:right w:val="none" w:sz="0" w:space="0" w:color="auto"/>
                  </w:divBdr>
                  <w:divsChild>
                    <w:div w:id="148986702">
                      <w:marLeft w:val="0"/>
                      <w:marRight w:val="0"/>
                      <w:marTop w:val="0"/>
                      <w:marBottom w:val="0"/>
                      <w:divBdr>
                        <w:top w:val="none" w:sz="0" w:space="0" w:color="auto"/>
                        <w:left w:val="none" w:sz="0" w:space="0" w:color="auto"/>
                        <w:bottom w:val="none" w:sz="0" w:space="0" w:color="auto"/>
                        <w:right w:val="none" w:sz="0" w:space="0" w:color="auto"/>
                      </w:divBdr>
                      <w:divsChild>
                        <w:div w:id="1364401261">
                          <w:marLeft w:val="0"/>
                          <w:marRight w:val="0"/>
                          <w:marTop w:val="0"/>
                          <w:marBottom w:val="0"/>
                          <w:divBdr>
                            <w:top w:val="none" w:sz="0" w:space="0" w:color="auto"/>
                            <w:left w:val="none" w:sz="0" w:space="0" w:color="auto"/>
                            <w:bottom w:val="none" w:sz="0" w:space="0" w:color="auto"/>
                            <w:right w:val="none" w:sz="0" w:space="0" w:color="auto"/>
                          </w:divBdr>
                          <w:divsChild>
                            <w:div w:id="245498799">
                              <w:marLeft w:val="0"/>
                              <w:marRight w:val="0"/>
                              <w:marTop w:val="0"/>
                              <w:marBottom w:val="0"/>
                              <w:divBdr>
                                <w:top w:val="none" w:sz="0" w:space="0" w:color="auto"/>
                                <w:left w:val="none" w:sz="0" w:space="0" w:color="auto"/>
                                <w:bottom w:val="none" w:sz="0" w:space="0" w:color="auto"/>
                                <w:right w:val="none" w:sz="0" w:space="0" w:color="auto"/>
                              </w:divBdr>
                              <w:divsChild>
                                <w:div w:id="109250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860156">
          <w:marLeft w:val="0"/>
          <w:marRight w:val="0"/>
          <w:marTop w:val="0"/>
          <w:marBottom w:val="0"/>
          <w:divBdr>
            <w:top w:val="none" w:sz="0" w:space="0" w:color="auto"/>
            <w:left w:val="none" w:sz="0" w:space="0" w:color="auto"/>
            <w:bottom w:val="none" w:sz="0" w:space="0" w:color="auto"/>
            <w:right w:val="none" w:sz="0" w:space="0" w:color="auto"/>
          </w:divBdr>
          <w:divsChild>
            <w:div w:id="1418400582">
              <w:marLeft w:val="0"/>
              <w:marRight w:val="0"/>
              <w:marTop w:val="0"/>
              <w:marBottom w:val="0"/>
              <w:divBdr>
                <w:top w:val="none" w:sz="0" w:space="0" w:color="auto"/>
                <w:left w:val="none" w:sz="0" w:space="0" w:color="auto"/>
                <w:bottom w:val="none" w:sz="0" w:space="0" w:color="auto"/>
                <w:right w:val="none" w:sz="0" w:space="0" w:color="auto"/>
              </w:divBdr>
              <w:divsChild>
                <w:div w:id="854806886">
                  <w:marLeft w:val="0"/>
                  <w:marRight w:val="0"/>
                  <w:marTop w:val="0"/>
                  <w:marBottom w:val="0"/>
                  <w:divBdr>
                    <w:top w:val="none" w:sz="0" w:space="0" w:color="auto"/>
                    <w:left w:val="none" w:sz="0" w:space="0" w:color="auto"/>
                    <w:bottom w:val="none" w:sz="0" w:space="0" w:color="auto"/>
                    <w:right w:val="none" w:sz="0" w:space="0" w:color="auto"/>
                  </w:divBdr>
                  <w:divsChild>
                    <w:div w:id="659307999">
                      <w:marLeft w:val="0"/>
                      <w:marRight w:val="0"/>
                      <w:marTop w:val="0"/>
                      <w:marBottom w:val="0"/>
                      <w:divBdr>
                        <w:top w:val="none" w:sz="0" w:space="0" w:color="auto"/>
                        <w:left w:val="none" w:sz="0" w:space="0" w:color="auto"/>
                        <w:bottom w:val="none" w:sz="0" w:space="0" w:color="auto"/>
                        <w:right w:val="none" w:sz="0" w:space="0" w:color="auto"/>
                      </w:divBdr>
                      <w:divsChild>
                        <w:div w:id="945162682">
                          <w:marLeft w:val="0"/>
                          <w:marRight w:val="0"/>
                          <w:marTop w:val="0"/>
                          <w:marBottom w:val="0"/>
                          <w:divBdr>
                            <w:top w:val="none" w:sz="0" w:space="0" w:color="auto"/>
                            <w:left w:val="none" w:sz="0" w:space="0" w:color="auto"/>
                            <w:bottom w:val="none" w:sz="0" w:space="0" w:color="auto"/>
                            <w:right w:val="none" w:sz="0" w:space="0" w:color="auto"/>
                          </w:divBdr>
                          <w:divsChild>
                            <w:div w:id="20800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8718333">
          <w:marLeft w:val="0"/>
          <w:marRight w:val="0"/>
          <w:marTop w:val="0"/>
          <w:marBottom w:val="0"/>
          <w:divBdr>
            <w:top w:val="none" w:sz="0" w:space="0" w:color="auto"/>
            <w:left w:val="none" w:sz="0" w:space="0" w:color="auto"/>
            <w:bottom w:val="none" w:sz="0" w:space="0" w:color="auto"/>
            <w:right w:val="none" w:sz="0" w:space="0" w:color="auto"/>
          </w:divBdr>
          <w:divsChild>
            <w:div w:id="1052771141">
              <w:marLeft w:val="0"/>
              <w:marRight w:val="0"/>
              <w:marTop w:val="0"/>
              <w:marBottom w:val="0"/>
              <w:divBdr>
                <w:top w:val="none" w:sz="0" w:space="0" w:color="auto"/>
                <w:left w:val="none" w:sz="0" w:space="0" w:color="auto"/>
                <w:bottom w:val="none" w:sz="0" w:space="0" w:color="auto"/>
                <w:right w:val="none" w:sz="0" w:space="0" w:color="auto"/>
              </w:divBdr>
              <w:divsChild>
                <w:div w:id="675115841">
                  <w:marLeft w:val="0"/>
                  <w:marRight w:val="0"/>
                  <w:marTop w:val="0"/>
                  <w:marBottom w:val="0"/>
                  <w:divBdr>
                    <w:top w:val="none" w:sz="0" w:space="0" w:color="auto"/>
                    <w:left w:val="none" w:sz="0" w:space="0" w:color="auto"/>
                    <w:bottom w:val="none" w:sz="0" w:space="0" w:color="auto"/>
                    <w:right w:val="none" w:sz="0" w:space="0" w:color="auto"/>
                  </w:divBdr>
                  <w:divsChild>
                    <w:div w:id="1649549108">
                      <w:marLeft w:val="0"/>
                      <w:marRight w:val="0"/>
                      <w:marTop w:val="0"/>
                      <w:marBottom w:val="0"/>
                      <w:divBdr>
                        <w:top w:val="none" w:sz="0" w:space="0" w:color="auto"/>
                        <w:left w:val="none" w:sz="0" w:space="0" w:color="auto"/>
                        <w:bottom w:val="none" w:sz="0" w:space="0" w:color="auto"/>
                        <w:right w:val="none" w:sz="0" w:space="0" w:color="auto"/>
                      </w:divBdr>
                      <w:divsChild>
                        <w:div w:id="552233577">
                          <w:marLeft w:val="0"/>
                          <w:marRight w:val="0"/>
                          <w:marTop w:val="0"/>
                          <w:marBottom w:val="0"/>
                          <w:divBdr>
                            <w:top w:val="none" w:sz="0" w:space="0" w:color="auto"/>
                            <w:left w:val="none" w:sz="0" w:space="0" w:color="auto"/>
                            <w:bottom w:val="none" w:sz="0" w:space="0" w:color="auto"/>
                            <w:right w:val="none" w:sz="0" w:space="0" w:color="auto"/>
                          </w:divBdr>
                          <w:divsChild>
                            <w:div w:id="2134397885">
                              <w:marLeft w:val="0"/>
                              <w:marRight w:val="0"/>
                              <w:marTop w:val="0"/>
                              <w:marBottom w:val="0"/>
                              <w:divBdr>
                                <w:top w:val="none" w:sz="0" w:space="0" w:color="auto"/>
                                <w:left w:val="none" w:sz="0" w:space="0" w:color="auto"/>
                                <w:bottom w:val="none" w:sz="0" w:space="0" w:color="auto"/>
                                <w:right w:val="none" w:sz="0" w:space="0" w:color="auto"/>
                              </w:divBdr>
                              <w:divsChild>
                                <w:div w:id="52228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069940">
          <w:marLeft w:val="0"/>
          <w:marRight w:val="0"/>
          <w:marTop w:val="0"/>
          <w:marBottom w:val="0"/>
          <w:divBdr>
            <w:top w:val="none" w:sz="0" w:space="0" w:color="auto"/>
            <w:left w:val="none" w:sz="0" w:space="0" w:color="auto"/>
            <w:bottom w:val="none" w:sz="0" w:space="0" w:color="auto"/>
            <w:right w:val="none" w:sz="0" w:space="0" w:color="auto"/>
          </w:divBdr>
          <w:divsChild>
            <w:div w:id="1259365093">
              <w:marLeft w:val="0"/>
              <w:marRight w:val="0"/>
              <w:marTop w:val="0"/>
              <w:marBottom w:val="0"/>
              <w:divBdr>
                <w:top w:val="none" w:sz="0" w:space="0" w:color="auto"/>
                <w:left w:val="none" w:sz="0" w:space="0" w:color="auto"/>
                <w:bottom w:val="none" w:sz="0" w:space="0" w:color="auto"/>
                <w:right w:val="none" w:sz="0" w:space="0" w:color="auto"/>
              </w:divBdr>
              <w:divsChild>
                <w:div w:id="941032026">
                  <w:marLeft w:val="0"/>
                  <w:marRight w:val="0"/>
                  <w:marTop w:val="0"/>
                  <w:marBottom w:val="0"/>
                  <w:divBdr>
                    <w:top w:val="none" w:sz="0" w:space="0" w:color="auto"/>
                    <w:left w:val="none" w:sz="0" w:space="0" w:color="auto"/>
                    <w:bottom w:val="none" w:sz="0" w:space="0" w:color="auto"/>
                    <w:right w:val="none" w:sz="0" w:space="0" w:color="auto"/>
                  </w:divBdr>
                  <w:divsChild>
                    <w:div w:id="1231160822">
                      <w:marLeft w:val="0"/>
                      <w:marRight w:val="0"/>
                      <w:marTop w:val="0"/>
                      <w:marBottom w:val="0"/>
                      <w:divBdr>
                        <w:top w:val="none" w:sz="0" w:space="0" w:color="auto"/>
                        <w:left w:val="none" w:sz="0" w:space="0" w:color="auto"/>
                        <w:bottom w:val="none" w:sz="0" w:space="0" w:color="auto"/>
                        <w:right w:val="none" w:sz="0" w:space="0" w:color="auto"/>
                      </w:divBdr>
                      <w:divsChild>
                        <w:div w:id="427166876">
                          <w:marLeft w:val="0"/>
                          <w:marRight w:val="0"/>
                          <w:marTop w:val="0"/>
                          <w:marBottom w:val="0"/>
                          <w:divBdr>
                            <w:top w:val="none" w:sz="0" w:space="0" w:color="auto"/>
                            <w:left w:val="none" w:sz="0" w:space="0" w:color="auto"/>
                            <w:bottom w:val="none" w:sz="0" w:space="0" w:color="auto"/>
                            <w:right w:val="none" w:sz="0" w:space="0" w:color="auto"/>
                          </w:divBdr>
                          <w:divsChild>
                            <w:div w:id="205468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446746">
      <w:bodyDiv w:val="1"/>
      <w:marLeft w:val="0"/>
      <w:marRight w:val="0"/>
      <w:marTop w:val="0"/>
      <w:marBottom w:val="0"/>
      <w:divBdr>
        <w:top w:val="none" w:sz="0" w:space="0" w:color="auto"/>
        <w:left w:val="none" w:sz="0" w:space="0" w:color="auto"/>
        <w:bottom w:val="none" w:sz="0" w:space="0" w:color="auto"/>
        <w:right w:val="none" w:sz="0" w:space="0" w:color="auto"/>
      </w:divBdr>
      <w:divsChild>
        <w:div w:id="6518426">
          <w:marLeft w:val="0"/>
          <w:marRight w:val="0"/>
          <w:marTop w:val="0"/>
          <w:marBottom w:val="0"/>
          <w:divBdr>
            <w:top w:val="none" w:sz="0" w:space="0" w:color="auto"/>
            <w:left w:val="none" w:sz="0" w:space="0" w:color="auto"/>
            <w:bottom w:val="none" w:sz="0" w:space="0" w:color="auto"/>
            <w:right w:val="none" w:sz="0" w:space="0" w:color="auto"/>
          </w:divBdr>
        </w:div>
      </w:divsChild>
    </w:div>
    <w:div w:id="582880292">
      <w:bodyDiv w:val="1"/>
      <w:marLeft w:val="0"/>
      <w:marRight w:val="0"/>
      <w:marTop w:val="0"/>
      <w:marBottom w:val="0"/>
      <w:divBdr>
        <w:top w:val="none" w:sz="0" w:space="0" w:color="auto"/>
        <w:left w:val="none" w:sz="0" w:space="0" w:color="auto"/>
        <w:bottom w:val="none" w:sz="0" w:space="0" w:color="auto"/>
        <w:right w:val="none" w:sz="0" w:space="0" w:color="auto"/>
      </w:divBdr>
    </w:div>
    <w:div w:id="589778179">
      <w:bodyDiv w:val="1"/>
      <w:marLeft w:val="0"/>
      <w:marRight w:val="0"/>
      <w:marTop w:val="0"/>
      <w:marBottom w:val="0"/>
      <w:divBdr>
        <w:top w:val="none" w:sz="0" w:space="0" w:color="auto"/>
        <w:left w:val="none" w:sz="0" w:space="0" w:color="auto"/>
        <w:bottom w:val="none" w:sz="0" w:space="0" w:color="auto"/>
        <w:right w:val="none" w:sz="0" w:space="0" w:color="auto"/>
      </w:divBdr>
    </w:div>
    <w:div w:id="600842686">
      <w:bodyDiv w:val="1"/>
      <w:marLeft w:val="0"/>
      <w:marRight w:val="0"/>
      <w:marTop w:val="0"/>
      <w:marBottom w:val="0"/>
      <w:divBdr>
        <w:top w:val="none" w:sz="0" w:space="0" w:color="auto"/>
        <w:left w:val="none" w:sz="0" w:space="0" w:color="auto"/>
        <w:bottom w:val="none" w:sz="0" w:space="0" w:color="auto"/>
        <w:right w:val="none" w:sz="0" w:space="0" w:color="auto"/>
      </w:divBdr>
      <w:divsChild>
        <w:div w:id="1525292418">
          <w:marLeft w:val="0"/>
          <w:marRight w:val="0"/>
          <w:marTop w:val="0"/>
          <w:marBottom w:val="0"/>
          <w:divBdr>
            <w:top w:val="none" w:sz="0" w:space="0" w:color="auto"/>
            <w:left w:val="none" w:sz="0" w:space="0" w:color="auto"/>
            <w:bottom w:val="none" w:sz="0" w:space="0" w:color="auto"/>
            <w:right w:val="none" w:sz="0" w:space="0" w:color="auto"/>
          </w:divBdr>
        </w:div>
      </w:divsChild>
    </w:div>
    <w:div w:id="616984153">
      <w:bodyDiv w:val="1"/>
      <w:marLeft w:val="0"/>
      <w:marRight w:val="0"/>
      <w:marTop w:val="0"/>
      <w:marBottom w:val="0"/>
      <w:divBdr>
        <w:top w:val="none" w:sz="0" w:space="0" w:color="auto"/>
        <w:left w:val="none" w:sz="0" w:space="0" w:color="auto"/>
        <w:bottom w:val="none" w:sz="0" w:space="0" w:color="auto"/>
        <w:right w:val="none" w:sz="0" w:space="0" w:color="auto"/>
      </w:divBdr>
      <w:divsChild>
        <w:div w:id="1603224628">
          <w:marLeft w:val="0"/>
          <w:marRight w:val="0"/>
          <w:marTop w:val="0"/>
          <w:marBottom w:val="0"/>
          <w:divBdr>
            <w:top w:val="none" w:sz="0" w:space="0" w:color="auto"/>
            <w:left w:val="none" w:sz="0" w:space="0" w:color="auto"/>
            <w:bottom w:val="none" w:sz="0" w:space="0" w:color="auto"/>
            <w:right w:val="none" w:sz="0" w:space="0" w:color="auto"/>
          </w:divBdr>
        </w:div>
      </w:divsChild>
    </w:div>
    <w:div w:id="630789891">
      <w:bodyDiv w:val="1"/>
      <w:marLeft w:val="0"/>
      <w:marRight w:val="0"/>
      <w:marTop w:val="0"/>
      <w:marBottom w:val="0"/>
      <w:divBdr>
        <w:top w:val="none" w:sz="0" w:space="0" w:color="auto"/>
        <w:left w:val="none" w:sz="0" w:space="0" w:color="auto"/>
        <w:bottom w:val="none" w:sz="0" w:space="0" w:color="auto"/>
        <w:right w:val="none" w:sz="0" w:space="0" w:color="auto"/>
      </w:divBdr>
    </w:div>
    <w:div w:id="671765111">
      <w:bodyDiv w:val="1"/>
      <w:marLeft w:val="0"/>
      <w:marRight w:val="0"/>
      <w:marTop w:val="0"/>
      <w:marBottom w:val="0"/>
      <w:divBdr>
        <w:top w:val="none" w:sz="0" w:space="0" w:color="auto"/>
        <w:left w:val="none" w:sz="0" w:space="0" w:color="auto"/>
        <w:bottom w:val="none" w:sz="0" w:space="0" w:color="auto"/>
        <w:right w:val="none" w:sz="0" w:space="0" w:color="auto"/>
      </w:divBdr>
      <w:divsChild>
        <w:div w:id="132913445">
          <w:marLeft w:val="0"/>
          <w:marRight w:val="0"/>
          <w:marTop w:val="0"/>
          <w:marBottom w:val="0"/>
          <w:divBdr>
            <w:top w:val="none" w:sz="0" w:space="0" w:color="auto"/>
            <w:left w:val="none" w:sz="0" w:space="0" w:color="auto"/>
            <w:bottom w:val="none" w:sz="0" w:space="0" w:color="auto"/>
            <w:right w:val="none" w:sz="0" w:space="0" w:color="auto"/>
          </w:divBdr>
        </w:div>
      </w:divsChild>
    </w:div>
    <w:div w:id="673653913">
      <w:bodyDiv w:val="1"/>
      <w:marLeft w:val="0"/>
      <w:marRight w:val="0"/>
      <w:marTop w:val="0"/>
      <w:marBottom w:val="0"/>
      <w:divBdr>
        <w:top w:val="none" w:sz="0" w:space="0" w:color="auto"/>
        <w:left w:val="none" w:sz="0" w:space="0" w:color="auto"/>
        <w:bottom w:val="none" w:sz="0" w:space="0" w:color="auto"/>
        <w:right w:val="none" w:sz="0" w:space="0" w:color="auto"/>
      </w:divBdr>
    </w:div>
    <w:div w:id="674697791">
      <w:bodyDiv w:val="1"/>
      <w:marLeft w:val="0"/>
      <w:marRight w:val="0"/>
      <w:marTop w:val="0"/>
      <w:marBottom w:val="0"/>
      <w:divBdr>
        <w:top w:val="none" w:sz="0" w:space="0" w:color="auto"/>
        <w:left w:val="none" w:sz="0" w:space="0" w:color="auto"/>
        <w:bottom w:val="none" w:sz="0" w:space="0" w:color="auto"/>
        <w:right w:val="none" w:sz="0" w:space="0" w:color="auto"/>
      </w:divBdr>
    </w:div>
    <w:div w:id="681857990">
      <w:bodyDiv w:val="1"/>
      <w:marLeft w:val="0"/>
      <w:marRight w:val="0"/>
      <w:marTop w:val="0"/>
      <w:marBottom w:val="0"/>
      <w:divBdr>
        <w:top w:val="none" w:sz="0" w:space="0" w:color="auto"/>
        <w:left w:val="none" w:sz="0" w:space="0" w:color="auto"/>
        <w:bottom w:val="none" w:sz="0" w:space="0" w:color="auto"/>
        <w:right w:val="none" w:sz="0" w:space="0" w:color="auto"/>
      </w:divBdr>
      <w:divsChild>
        <w:div w:id="248580753">
          <w:marLeft w:val="360"/>
          <w:marRight w:val="0"/>
          <w:marTop w:val="200"/>
          <w:marBottom w:val="0"/>
          <w:divBdr>
            <w:top w:val="none" w:sz="0" w:space="0" w:color="auto"/>
            <w:left w:val="none" w:sz="0" w:space="0" w:color="auto"/>
            <w:bottom w:val="none" w:sz="0" w:space="0" w:color="auto"/>
            <w:right w:val="none" w:sz="0" w:space="0" w:color="auto"/>
          </w:divBdr>
        </w:div>
        <w:div w:id="1987196300">
          <w:marLeft w:val="360"/>
          <w:marRight w:val="0"/>
          <w:marTop w:val="200"/>
          <w:marBottom w:val="0"/>
          <w:divBdr>
            <w:top w:val="none" w:sz="0" w:space="0" w:color="auto"/>
            <w:left w:val="none" w:sz="0" w:space="0" w:color="auto"/>
            <w:bottom w:val="none" w:sz="0" w:space="0" w:color="auto"/>
            <w:right w:val="none" w:sz="0" w:space="0" w:color="auto"/>
          </w:divBdr>
        </w:div>
        <w:div w:id="11300056">
          <w:marLeft w:val="360"/>
          <w:marRight w:val="0"/>
          <w:marTop w:val="200"/>
          <w:marBottom w:val="0"/>
          <w:divBdr>
            <w:top w:val="none" w:sz="0" w:space="0" w:color="auto"/>
            <w:left w:val="none" w:sz="0" w:space="0" w:color="auto"/>
            <w:bottom w:val="none" w:sz="0" w:space="0" w:color="auto"/>
            <w:right w:val="none" w:sz="0" w:space="0" w:color="auto"/>
          </w:divBdr>
        </w:div>
        <w:div w:id="1027872758">
          <w:marLeft w:val="360"/>
          <w:marRight w:val="0"/>
          <w:marTop w:val="200"/>
          <w:marBottom w:val="0"/>
          <w:divBdr>
            <w:top w:val="none" w:sz="0" w:space="0" w:color="auto"/>
            <w:left w:val="none" w:sz="0" w:space="0" w:color="auto"/>
            <w:bottom w:val="none" w:sz="0" w:space="0" w:color="auto"/>
            <w:right w:val="none" w:sz="0" w:space="0" w:color="auto"/>
          </w:divBdr>
        </w:div>
        <w:div w:id="449055556">
          <w:marLeft w:val="360"/>
          <w:marRight w:val="0"/>
          <w:marTop w:val="200"/>
          <w:marBottom w:val="0"/>
          <w:divBdr>
            <w:top w:val="none" w:sz="0" w:space="0" w:color="auto"/>
            <w:left w:val="none" w:sz="0" w:space="0" w:color="auto"/>
            <w:bottom w:val="none" w:sz="0" w:space="0" w:color="auto"/>
            <w:right w:val="none" w:sz="0" w:space="0" w:color="auto"/>
          </w:divBdr>
        </w:div>
        <w:div w:id="373389586">
          <w:marLeft w:val="360"/>
          <w:marRight w:val="0"/>
          <w:marTop w:val="200"/>
          <w:marBottom w:val="0"/>
          <w:divBdr>
            <w:top w:val="none" w:sz="0" w:space="0" w:color="auto"/>
            <w:left w:val="none" w:sz="0" w:space="0" w:color="auto"/>
            <w:bottom w:val="none" w:sz="0" w:space="0" w:color="auto"/>
            <w:right w:val="none" w:sz="0" w:space="0" w:color="auto"/>
          </w:divBdr>
        </w:div>
        <w:div w:id="160243743">
          <w:marLeft w:val="360"/>
          <w:marRight w:val="0"/>
          <w:marTop w:val="200"/>
          <w:marBottom w:val="0"/>
          <w:divBdr>
            <w:top w:val="none" w:sz="0" w:space="0" w:color="auto"/>
            <w:left w:val="none" w:sz="0" w:space="0" w:color="auto"/>
            <w:bottom w:val="none" w:sz="0" w:space="0" w:color="auto"/>
            <w:right w:val="none" w:sz="0" w:space="0" w:color="auto"/>
          </w:divBdr>
        </w:div>
        <w:div w:id="1771924472">
          <w:marLeft w:val="360"/>
          <w:marRight w:val="0"/>
          <w:marTop w:val="200"/>
          <w:marBottom w:val="0"/>
          <w:divBdr>
            <w:top w:val="none" w:sz="0" w:space="0" w:color="auto"/>
            <w:left w:val="none" w:sz="0" w:space="0" w:color="auto"/>
            <w:bottom w:val="none" w:sz="0" w:space="0" w:color="auto"/>
            <w:right w:val="none" w:sz="0" w:space="0" w:color="auto"/>
          </w:divBdr>
        </w:div>
        <w:div w:id="95642780">
          <w:marLeft w:val="360"/>
          <w:marRight w:val="0"/>
          <w:marTop w:val="200"/>
          <w:marBottom w:val="0"/>
          <w:divBdr>
            <w:top w:val="none" w:sz="0" w:space="0" w:color="auto"/>
            <w:left w:val="none" w:sz="0" w:space="0" w:color="auto"/>
            <w:bottom w:val="none" w:sz="0" w:space="0" w:color="auto"/>
            <w:right w:val="none" w:sz="0" w:space="0" w:color="auto"/>
          </w:divBdr>
        </w:div>
        <w:div w:id="998340978">
          <w:marLeft w:val="360"/>
          <w:marRight w:val="0"/>
          <w:marTop w:val="200"/>
          <w:marBottom w:val="0"/>
          <w:divBdr>
            <w:top w:val="none" w:sz="0" w:space="0" w:color="auto"/>
            <w:left w:val="none" w:sz="0" w:space="0" w:color="auto"/>
            <w:bottom w:val="none" w:sz="0" w:space="0" w:color="auto"/>
            <w:right w:val="none" w:sz="0" w:space="0" w:color="auto"/>
          </w:divBdr>
        </w:div>
      </w:divsChild>
    </w:div>
    <w:div w:id="708723277">
      <w:bodyDiv w:val="1"/>
      <w:marLeft w:val="0"/>
      <w:marRight w:val="0"/>
      <w:marTop w:val="0"/>
      <w:marBottom w:val="0"/>
      <w:divBdr>
        <w:top w:val="none" w:sz="0" w:space="0" w:color="auto"/>
        <w:left w:val="none" w:sz="0" w:space="0" w:color="auto"/>
        <w:bottom w:val="none" w:sz="0" w:space="0" w:color="auto"/>
        <w:right w:val="none" w:sz="0" w:space="0" w:color="auto"/>
      </w:divBdr>
      <w:divsChild>
        <w:div w:id="1102412403">
          <w:marLeft w:val="0"/>
          <w:marRight w:val="0"/>
          <w:marTop w:val="0"/>
          <w:marBottom w:val="0"/>
          <w:divBdr>
            <w:top w:val="none" w:sz="0" w:space="0" w:color="auto"/>
            <w:left w:val="none" w:sz="0" w:space="0" w:color="auto"/>
            <w:bottom w:val="none" w:sz="0" w:space="0" w:color="auto"/>
            <w:right w:val="none" w:sz="0" w:space="0" w:color="auto"/>
          </w:divBdr>
        </w:div>
      </w:divsChild>
    </w:div>
    <w:div w:id="755443457">
      <w:bodyDiv w:val="1"/>
      <w:marLeft w:val="0"/>
      <w:marRight w:val="0"/>
      <w:marTop w:val="0"/>
      <w:marBottom w:val="0"/>
      <w:divBdr>
        <w:top w:val="none" w:sz="0" w:space="0" w:color="auto"/>
        <w:left w:val="none" w:sz="0" w:space="0" w:color="auto"/>
        <w:bottom w:val="none" w:sz="0" w:space="0" w:color="auto"/>
        <w:right w:val="none" w:sz="0" w:space="0" w:color="auto"/>
      </w:divBdr>
    </w:div>
    <w:div w:id="766003416">
      <w:bodyDiv w:val="1"/>
      <w:marLeft w:val="0"/>
      <w:marRight w:val="0"/>
      <w:marTop w:val="0"/>
      <w:marBottom w:val="0"/>
      <w:divBdr>
        <w:top w:val="none" w:sz="0" w:space="0" w:color="auto"/>
        <w:left w:val="none" w:sz="0" w:space="0" w:color="auto"/>
        <w:bottom w:val="none" w:sz="0" w:space="0" w:color="auto"/>
        <w:right w:val="none" w:sz="0" w:space="0" w:color="auto"/>
      </w:divBdr>
    </w:div>
    <w:div w:id="813058307">
      <w:bodyDiv w:val="1"/>
      <w:marLeft w:val="0"/>
      <w:marRight w:val="0"/>
      <w:marTop w:val="0"/>
      <w:marBottom w:val="0"/>
      <w:divBdr>
        <w:top w:val="none" w:sz="0" w:space="0" w:color="auto"/>
        <w:left w:val="none" w:sz="0" w:space="0" w:color="auto"/>
        <w:bottom w:val="none" w:sz="0" w:space="0" w:color="auto"/>
        <w:right w:val="none" w:sz="0" w:space="0" w:color="auto"/>
      </w:divBdr>
      <w:divsChild>
        <w:div w:id="115413588">
          <w:marLeft w:val="0"/>
          <w:marRight w:val="0"/>
          <w:marTop w:val="0"/>
          <w:marBottom w:val="0"/>
          <w:divBdr>
            <w:top w:val="none" w:sz="0" w:space="0" w:color="auto"/>
            <w:left w:val="none" w:sz="0" w:space="0" w:color="auto"/>
            <w:bottom w:val="none" w:sz="0" w:space="0" w:color="auto"/>
            <w:right w:val="none" w:sz="0" w:space="0" w:color="auto"/>
          </w:divBdr>
        </w:div>
      </w:divsChild>
    </w:div>
    <w:div w:id="850141662">
      <w:bodyDiv w:val="1"/>
      <w:marLeft w:val="0"/>
      <w:marRight w:val="0"/>
      <w:marTop w:val="0"/>
      <w:marBottom w:val="0"/>
      <w:divBdr>
        <w:top w:val="none" w:sz="0" w:space="0" w:color="auto"/>
        <w:left w:val="none" w:sz="0" w:space="0" w:color="auto"/>
        <w:bottom w:val="none" w:sz="0" w:space="0" w:color="auto"/>
        <w:right w:val="none" w:sz="0" w:space="0" w:color="auto"/>
      </w:divBdr>
    </w:div>
    <w:div w:id="851577972">
      <w:bodyDiv w:val="1"/>
      <w:marLeft w:val="0"/>
      <w:marRight w:val="0"/>
      <w:marTop w:val="0"/>
      <w:marBottom w:val="0"/>
      <w:divBdr>
        <w:top w:val="none" w:sz="0" w:space="0" w:color="auto"/>
        <w:left w:val="none" w:sz="0" w:space="0" w:color="auto"/>
        <w:bottom w:val="none" w:sz="0" w:space="0" w:color="auto"/>
        <w:right w:val="none" w:sz="0" w:space="0" w:color="auto"/>
      </w:divBdr>
      <w:divsChild>
        <w:div w:id="996806441">
          <w:marLeft w:val="0"/>
          <w:marRight w:val="0"/>
          <w:marTop w:val="0"/>
          <w:marBottom w:val="0"/>
          <w:divBdr>
            <w:top w:val="none" w:sz="0" w:space="0" w:color="auto"/>
            <w:left w:val="none" w:sz="0" w:space="0" w:color="auto"/>
            <w:bottom w:val="none" w:sz="0" w:space="0" w:color="auto"/>
            <w:right w:val="none" w:sz="0" w:space="0" w:color="auto"/>
          </w:divBdr>
        </w:div>
      </w:divsChild>
    </w:div>
    <w:div w:id="852383390">
      <w:bodyDiv w:val="1"/>
      <w:marLeft w:val="0"/>
      <w:marRight w:val="0"/>
      <w:marTop w:val="0"/>
      <w:marBottom w:val="0"/>
      <w:divBdr>
        <w:top w:val="none" w:sz="0" w:space="0" w:color="auto"/>
        <w:left w:val="none" w:sz="0" w:space="0" w:color="auto"/>
        <w:bottom w:val="none" w:sz="0" w:space="0" w:color="auto"/>
        <w:right w:val="none" w:sz="0" w:space="0" w:color="auto"/>
      </w:divBdr>
      <w:divsChild>
        <w:div w:id="862593324">
          <w:marLeft w:val="0"/>
          <w:marRight w:val="0"/>
          <w:marTop w:val="0"/>
          <w:marBottom w:val="0"/>
          <w:divBdr>
            <w:top w:val="none" w:sz="0" w:space="0" w:color="auto"/>
            <w:left w:val="none" w:sz="0" w:space="0" w:color="auto"/>
            <w:bottom w:val="none" w:sz="0" w:space="0" w:color="auto"/>
            <w:right w:val="none" w:sz="0" w:space="0" w:color="auto"/>
          </w:divBdr>
        </w:div>
      </w:divsChild>
    </w:div>
    <w:div w:id="860246488">
      <w:bodyDiv w:val="1"/>
      <w:marLeft w:val="0"/>
      <w:marRight w:val="0"/>
      <w:marTop w:val="0"/>
      <w:marBottom w:val="0"/>
      <w:divBdr>
        <w:top w:val="none" w:sz="0" w:space="0" w:color="auto"/>
        <w:left w:val="none" w:sz="0" w:space="0" w:color="auto"/>
        <w:bottom w:val="none" w:sz="0" w:space="0" w:color="auto"/>
        <w:right w:val="none" w:sz="0" w:space="0" w:color="auto"/>
      </w:divBdr>
      <w:divsChild>
        <w:div w:id="1523740215">
          <w:marLeft w:val="360"/>
          <w:marRight w:val="0"/>
          <w:marTop w:val="200"/>
          <w:marBottom w:val="0"/>
          <w:divBdr>
            <w:top w:val="none" w:sz="0" w:space="0" w:color="auto"/>
            <w:left w:val="none" w:sz="0" w:space="0" w:color="auto"/>
            <w:bottom w:val="none" w:sz="0" w:space="0" w:color="auto"/>
            <w:right w:val="none" w:sz="0" w:space="0" w:color="auto"/>
          </w:divBdr>
        </w:div>
        <w:div w:id="318970011">
          <w:marLeft w:val="360"/>
          <w:marRight w:val="0"/>
          <w:marTop w:val="200"/>
          <w:marBottom w:val="0"/>
          <w:divBdr>
            <w:top w:val="none" w:sz="0" w:space="0" w:color="auto"/>
            <w:left w:val="none" w:sz="0" w:space="0" w:color="auto"/>
            <w:bottom w:val="none" w:sz="0" w:space="0" w:color="auto"/>
            <w:right w:val="none" w:sz="0" w:space="0" w:color="auto"/>
          </w:divBdr>
        </w:div>
        <w:div w:id="1187911037">
          <w:marLeft w:val="360"/>
          <w:marRight w:val="0"/>
          <w:marTop w:val="200"/>
          <w:marBottom w:val="0"/>
          <w:divBdr>
            <w:top w:val="none" w:sz="0" w:space="0" w:color="auto"/>
            <w:left w:val="none" w:sz="0" w:space="0" w:color="auto"/>
            <w:bottom w:val="none" w:sz="0" w:space="0" w:color="auto"/>
            <w:right w:val="none" w:sz="0" w:space="0" w:color="auto"/>
          </w:divBdr>
        </w:div>
        <w:div w:id="1891115066">
          <w:marLeft w:val="360"/>
          <w:marRight w:val="0"/>
          <w:marTop w:val="200"/>
          <w:marBottom w:val="0"/>
          <w:divBdr>
            <w:top w:val="none" w:sz="0" w:space="0" w:color="auto"/>
            <w:left w:val="none" w:sz="0" w:space="0" w:color="auto"/>
            <w:bottom w:val="none" w:sz="0" w:space="0" w:color="auto"/>
            <w:right w:val="none" w:sz="0" w:space="0" w:color="auto"/>
          </w:divBdr>
        </w:div>
        <w:div w:id="350643305">
          <w:marLeft w:val="360"/>
          <w:marRight w:val="0"/>
          <w:marTop w:val="200"/>
          <w:marBottom w:val="0"/>
          <w:divBdr>
            <w:top w:val="none" w:sz="0" w:space="0" w:color="auto"/>
            <w:left w:val="none" w:sz="0" w:space="0" w:color="auto"/>
            <w:bottom w:val="none" w:sz="0" w:space="0" w:color="auto"/>
            <w:right w:val="none" w:sz="0" w:space="0" w:color="auto"/>
          </w:divBdr>
        </w:div>
        <w:div w:id="1256554302">
          <w:marLeft w:val="360"/>
          <w:marRight w:val="0"/>
          <w:marTop w:val="200"/>
          <w:marBottom w:val="0"/>
          <w:divBdr>
            <w:top w:val="none" w:sz="0" w:space="0" w:color="auto"/>
            <w:left w:val="none" w:sz="0" w:space="0" w:color="auto"/>
            <w:bottom w:val="none" w:sz="0" w:space="0" w:color="auto"/>
            <w:right w:val="none" w:sz="0" w:space="0" w:color="auto"/>
          </w:divBdr>
        </w:div>
        <w:div w:id="376901309">
          <w:marLeft w:val="360"/>
          <w:marRight w:val="0"/>
          <w:marTop w:val="200"/>
          <w:marBottom w:val="0"/>
          <w:divBdr>
            <w:top w:val="none" w:sz="0" w:space="0" w:color="auto"/>
            <w:left w:val="none" w:sz="0" w:space="0" w:color="auto"/>
            <w:bottom w:val="none" w:sz="0" w:space="0" w:color="auto"/>
            <w:right w:val="none" w:sz="0" w:space="0" w:color="auto"/>
          </w:divBdr>
        </w:div>
        <w:div w:id="1073817815">
          <w:marLeft w:val="360"/>
          <w:marRight w:val="0"/>
          <w:marTop w:val="200"/>
          <w:marBottom w:val="0"/>
          <w:divBdr>
            <w:top w:val="none" w:sz="0" w:space="0" w:color="auto"/>
            <w:left w:val="none" w:sz="0" w:space="0" w:color="auto"/>
            <w:bottom w:val="none" w:sz="0" w:space="0" w:color="auto"/>
            <w:right w:val="none" w:sz="0" w:space="0" w:color="auto"/>
          </w:divBdr>
        </w:div>
        <w:div w:id="872612793">
          <w:marLeft w:val="360"/>
          <w:marRight w:val="0"/>
          <w:marTop w:val="200"/>
          <w:marBottom w:val="0"/>
          <w:divBdr>
            <w:top w:val="none" w:sz="0" w:space="0" w:color="auto"/>
            <w:left w:val="none" w:sz="0" w:space="0" w:color="auto"/>
            <w:bottom w:val="none" w:sz="0" w:space="0" w:color="auto"/>
            <w:right w:val="none" w:sz="0" w:space="0" w:color="auto"/>
          </w:divBdr>
        </w:div>
        <w:div w:id="1512333420">
          <w:marLeft w:val="360"/>
          <w:marRight w:val="0"/>
          <w:marTop w:val="200"/>
          <w:marBottom w:val="0"/>
          <w:divBdr>
            <w:top w:val="none" w:sz="0" w:space="0" w:color="auto"/>
            <w:left w:val="none" w:sz="0" w:space="0" w:color="auto"/>
            <w:bottom w:val="none" w:sz="0" w:space="0" w:color="auto"/>
            <w:right w:val="none" w:sz="0" w:space="0" w:color="auto"/>
          </w:divBdr>
        </w:div>
      </w:divsChild>
    </w:div>
    <w:div w:id="901793711">
      <w:bodyDiv w:val="1"/>
      <w:marLeft w:val="0"/>
      <w:marRight w:val="0"/>
      <w:marTop w:val="0"/>
      <w:marBottom w:val="0"/>
      <w:divBdr>
        <w:top w:val="none" w:sz="0" w:space="0" w:color="auto"/>
        <w:left w:val="none" w:sz="0" w:space="0" w:color="auto"/>
        <w:bottom w:val="none" w:sz="0" w:space="0" w:color="auto"/>
        <w:right w:val="none" w:sz="0" w:space="0" w:color="auto"/>
      </w:divBdr>
    </w:div>
    <w:div w:id="931233743">
      <w:bodyDiv w:val="1"/>
      <w:marLeft w:val="0"/>
      <w:marRight w:val="0"/>
      <w:marTop w:val="0"/>
      <w:marBottom w:val="0"/>
      <w:divBdr>
        <w:top w:val="none" w:sz="0" w:space="0" w:color="auto"/>
        <w:left w:val="none" w:sz="0" w:space="0" w:color="auto"/>
        <w:bottom w:val="none" w:sz="0" w:space="0" w:color="auto"/>
        <w:right w:val="none" w:sz="0" w:space="0" w:color="auto"/>
      </w:divBdr>
    </w:div>
    <w:div w:id="942569599">
      <w:bodyDiv w:val="1"/>
      <w:marLeft w:val="0"/>
      <w:marRight w:val="0"/>
      <w:marTop w:val="0"/>
      <w:marBottom w:val="0"/>
      <w:divBdr>
        <w:top w:val="none" w:sz="0" w:space="0" w:color="auto"/>
        <w:left w:val="none" w:sz="0" w:space="0" w:color="auto"/>
        <w:bottom w:val="none" w:sz="0" w:space="0" w:color="auto"/>
        <w:right w:val="none" w:sz="0" w:space="0" w:color="auto"/>
      </w:divBdr>
      <w:divsChild>
        <w:div w:id="469597151">
          <w:marLeft w:val="0"/>
          <w:marRight w:val="0"/>
          <w:marTop w:val="0"/>
          <w:marBottom w:val="0"/>
          <w:divBdr>
            <w:top w:val="none" w:sz="0" w:space="0" w:color="auto"/>
            <w:left w:val="none" w:sz="0" w:space="0" w:color="auto"/>
            <w:bottom w:val="none" w:sz="0" w:space="0" w:color="auto"/>
            <w:right w:val="none" w:sz="0" w:space="0" w:color="auto"/>
          </w:divBdr>
        </w:div>
      </w:divsChild>
    </w:div>
    <w:div w:id="963271657">
      <w:bodyDiv w:val="1"/>
      <w:marLeft w:val="0"/>
      <w:marRight w:val="0"/>
      <w:marTop w:val="0"/>
      <w:marBottom w:val="0"/>
      <w:divBdr>
        <w:top w:val="none" w:sz="0" w:space="0" w:color="auto"/>
        <w:left w:val="none" w:sz="0" w:space="0" w:color="auto"/>
        <w:bottom w:val="none" w:sz="0" w:space="0" w:color="auto"/>
        <w:right w:val="none" w:sz="0" w:space="0" w:color="auto"/>
      </w:divBdr>
    </w:div>
    <w:div w:id="966854638">
      <w:bodyDiv w:val="1"/>
      <w:marLeft w:val="0"/>
      <w:marRight w:val="0"/>
      <w:marTop w:val="0"/>
      <w:marBottom w:val="0"/>
      <w:divBdr>
        <w:top w:val="none" w:sz="0" w:space="0" w:color="auto"/>
        <w:left w:val="none" w:sz="0" w:space="0" w:color="auto"/>
        <w:bottom w:val="none" w:sz="0" w:space="0" w:color="auto"/>
        <w:right w:val="none" w:sz="0" w:space="0" w:color="auto"/>
      </w:divBdr>
      <w:divsChild>
        <w:div w:id="1095172311">
          <w:marLeft w:val="0"/>
          <w:marRight w:val="0"/>
          <w:marTop w:val="0"/>
          <w:marBottom w:val="0"/>
          <w:divBdr>
            <w:top w:val="none" w:sz="0" w:space="0" w:color="auto"/>
            <w:left w:val="none" w:sz="0" w:space="0" w:color="auto"/>
            <w:bottom w:val="none" w:sz="0" w:space="0" w:color="auto"/>
            <w:right w:val="none" w:sz="0" w:space="0" w:color="auto"/>
          </w:divBdr>
        </w:div>
      </w:divsChild>
    </w:div>
    <w:div w:id="990713591">
      <w:bodyDiv w:val="1"/>
      <w:marLeft w:val="0"/>
      <w:marRight w:val="0"/>
      <w:marTop w:val="0"/>
      <w:marBottom w:val="0"/>
      <w:divBdr>
        <w:top w:val="none" w:sz="0" w:space="0" w:color="auto"/>
        <w:left w:val="none" w:sz="0" w:space="0" w:color="auto"/>
        <w:bottom w:val="none" w:sz="0" w:space="0" w:color="auto"/>
        <w:right w:val="none" w:sz="0" w:space="0" w:color="auto"/>
      </w:divBdr>
      <w:divsChild>
        <w:div w:id="1473526146">
          <w:marLeft w:val="0"/>
          <w:marRight w:val="0"/>
          <w:marTop w:val="0"/>
          <w:marBottom w:val="0"/>
          <w:divBdr>
            <w:top w:val="none" w:sz="0" w:space="0" w:color="auto"/>
            <w:left w:val="none" w:sz="0" w:space="0" w:color="auto"/>
            <w:bottom w:val="none" w:sz="0" w:space="0" w:color="auto"/>
            <w:right w:val="none" w:sz="0" w:space="0" w:color="auto"/>
          </w:divBdr>
        </w:div>
      </w:divsChild>
    </w:div>
    <w:div w:id="1067999216">
      <w:bodyDiv w:val="1"/>
      <w:marLeft w:val="0"/>
      <w:marRight w:val="0"/>
      <w:marTop w:val="0"/>
      <w:marBottom w:val="0"/>
      <w:divBdr>
        <w:top w:val="none" w:sz="0" w:space="0" w:color="auto"/>
        <w:left w:val="none" w:sz="0" w:space="0" w:color="auto"/>
        <w:bottom w:val="none" w:sz="0" w:space="0" w:color="auto"/>
        <w:right w:val="none" w:sz="0" w:space="0" w:color="auto"/>
      </w:divBdr>
    </w:div>
    <w:div w:id="1097484018">
      <w:bodyDiv w:val="1"/>
      <w:marLeft w:val="0"/>
      <w:marRight w:val="0"/>
      <w:marTop w:val="0"/>
      <w:marBottom w:val="0"/>
      <w:divBdr>
        <w:top w:val="none" w:sz="0" w:space="0" w:color="auto"/>
        <w:left w:val="none" w:sz="0" w:space="0" w:color="auto"/>
        <w:bottom w:val="none" w:sz="0" w:space="0" w:color="auto"/>
        <w:right w:val="none" w:sz="0" w:space="0" w:color="auto"/>
      </w:divBdr>
      <w:divsChild>
        <w:div w:id="1932547960">
          <w:marLeft w:val="0"/>
          <w:marRight w:val="0"/>
          <w:marTop w:val="0"/>
          <w:marBottom w:val="0"/>
          <w:divBdr>
            <w:top w:val="none" w:sz="0" w:space="0" w:color="auto"/>
            <w:left w:val="none" w:sz="0" w:space="0" w:color="auto"/>
            <w:bottom w:val="none" w:sz="0" w:space="0" w:color="auto"/>
            <w:right w:val="none" w:sz="0" w:space="0" w:color="auto"/>
          </w:divBdr>
        </w:div>
      </w:divsChild>
    </w:div>
    <w:div w:id="1143275737">
      <w:bodyDiv w:val="1"/>
      <w:marLeft w:val="0"/>
      <w:marRight w:val="0"/>
      <w:marTop w:val="0"/>
      <w:marBottom w:val="0"/>
      <w:divBdr>
        <w:top w:val="none" w:sz="0" w:space="0" w:color="auto"/>
        <w:left w:val="none" w:sz="0" w:space="0" w:color="auto"/>
        <w:bottom w:val="none" w:sz="0" w:space="0" w:color="auto"/>
        <w:right w:val="none" w:sz="0" w:space="0" w:color="auto"/>
      </w:divBdr>
    </w:div>
    <w:div w:id="1161199271">
      <w:bodyDiv w:val="1"/>
      <w:marLeft w:val="0"/>
      <w:marRight w:val="0"/>
      <w:marTop w:val="0"/>
      <w:marBottom w:val="0"/>
      <w:divBdr>
        <w:top w:val="none" w:sz="0" w:space="0" w:color="auto"/>
        <w:left w:val="none" w:sz="0" w:space="0" w:color="auto"/>
        <w:bottom w:val="none" w:sz="0" w:space="0" w:color="auto"/>
        <w:right w:val="none" w:sz="0" w:space="0" w:color="auto"/>
      </w:divBdr>
      <w:divsChild>
        <w:div w:id="1346009118">
          <w:marLeft w:val="0"/>
          <w:marRight w:val="0"/>
          <w:marTop w:val="0"/>
          <w:marBottom w:val="0"/>
          <w:divBdr>
            <w:top w:val="none" w:sz="0" w:space="0" w:color="auto"/>
            <w:left w:val="none" w:sz="0" w:space="0" w:color="auto"/>
            <w:bottom w:val="none" w:sz="0" w:space="0" w:color="auto"/>
            <w:right w:val="none" w:sz="0" w:space="0" w:color="auto"/>
          </w:divBdr>
        </w:div>
      </w:divsChild>
    </w:div>
    <w:div w:id="1165365702">
      <w:bodyDiv w:val="1"/>
      <w:marLeft w:val="0"/>
      <w:marRight w:val="0"/>
      <w:marTop w:val="0"/>
      <w:marBottom w:val="0"/>
      <w:divBdr>
        <w:top w:val="none" w:sz="0" w:space="0" w:color="auto"/>
        <w:left w:val="none" w:sz="0" w:space="0" w:color="auto"/>
        <w:bottom w:val="none" w:sz="0" w:space="0" w:color="auto"/>
        <w:right w:val="none" w:sz="0" w:space="0" w:color="auto"/>
      </w:divBdr>
      <w:divsChild>
        <w:div w:id="48457547">
          <w:marLeft w:val="0"/>
          <w:marRight w:val="0"/>
          <w:marTop w:val="0"/>
          <w:marBottom w:val="0"/>
          <w:divBdr>
            <w:top w:val="none" w:sz="0" w:space="0" w:color="auto"/>
            <w:left w:val="none" w:sz="0" w:space="0" w:color="auto"/>
            <w:bottom w:val="none" w:sz="0" w:space="0" w:color="auto"/>
            <w:right w:val="none" w:sz="0" w:space="0" w:color="auto"/>
          </w:divBdr>
        </w:div>
      </w:divsChild>
    </w:div>
    <w:div w:id="1221209310">
      <w:bodyDiv w:val="1"/>
      <w:marLeft w:val="0"/>
      <w:marRight w:val="0"/>
      <w:marTop w:val="0"/>
      <w:marBottom w:val="0"/>
      <w:divBdr>
        <w:top w:val="none" w:sz="0" w:space="0" w:color="auto"/>
        <w:left w:val="none" w:sz="0" w:space="0" w:color="auto"/>
        <w:bottom w:val="none" w:sz="0" w:space="0" w:color="auto"/>
        <w:right w:val="none" w:sz="0" w:space="0" w:color="auto"/>
      </w:divBdr>
      <w:divsChild>
        <w:div w:id="825820029">
          <w:marLeft w:val="0"/>
          <w:marRight w:val="0"/>
          <w:marTop w:val="0"/>
          <w:marBottom w:val="0"/>
          <w:divBdr>
            <w:top w:val="none" w:sz="0" w:space="0" w:color="auto"/>
            <w:left w:val="none" w:sz="0" w:space="0" w:color="auto"/>
            <w:bottom w:val="none" w:sz="0" w:space="0" w:color="auto"/>
            <w:right w:val="none" w:sz="0" w:space="0" w:color="auto"/>
          </w:divBdr>
        </w:div>
      </w:divsChild>
    </w:div>
    <w:div w:id="1251281574">
      <w:bodyDiv w:val="1"/>
      <w:marLeft w:val="0"/>
      <w:marRight w:val="0"/>
      <w:marTop w:val="0"/>
      <w:marBottom w:val="0"/>
      <w:divBdr>
        <w:top w:val="none" w:sz="0" w:space="0" w:color="auto"/>
        <w:left w:val="none" w:sz="0" w:space="0" w:color="auto"/>
        <w:bottom w:val="none" w:sz="0" w:space="0" w:color="auto"/>
        <w:right w:val="none" w:sz="0" w:space="0" w:color="auto"/>
      </w:divBdr>
    </w:div>
    <w:div w:id="1281762847">
      <w:bodyDiv w:val="1"/>
      <w:marLeft w:val="0"/>
      <w:marRight w:val="0"/>
      <w:marTop w:val="0"/>
      <w:marBottom w:val="0"/>
      <w:divBdr>
        <w:top w:val="none" w:sz="0" w:space="0" w:color="auto"/>
        <w:left w:val="none" w:sz="0" w:space="0" w:color="auto"/>
        <w:bottom w:val="none" w:sz="0" w:space="0" w:color="auto"/>
        <w:right w:val="none" w:sz="0" w:space="0" w:color="auto"/>
      </w:divBdr>
      <w:divsChild>
        <w:div w:id="1961374946">
          <w:marLeft w:val="0"/>
          <w:marRight w:val="0"/>
          <w:marTop w:val="0"/>
          <w:marBottom w:val="0"/>
          <w:divBdr>
            <w:top w:val="none" w:sz="0" w:space="0" w:color="auto"/>
            <w:left w:val="none" w:sz="0" w:space="0" w:color="auto"/>
            <w:bottom w:val="none" w:sz="0" w:space="0" w:color="auto"/>
            <w:right w:val="none" w:sz="0" w:space="0" w:color="auto"/>
          </w:divBdr>
        </w:div>
      </w:divsChild>
    </w:div>
    <w:div w:id="1304040181">
      <w:bodyDiv w:val="1"/>
      <w:marLeft w:val="0"/>
      <w:marRight w:val="0"/>
      <w:marTop w:val="0"/>
      <w:marBottom w:val="0"/>
      <w:divBdr>
        <w:top w:val="none" w:sz="0" w:space="0" w:color="auto"/>
        <w:left w:val="none" w:sz="0" w:space="0" w:color="auto"/>
        <w:bottom w:val="none" w:sz="0" w:space="0" w:color="auto"/>
        <w:right w:val="none" w:sz="0" w:space="0" w:color="auto"/>
      </w:divBdr>
      <w:divsChild>
        <w:div w:id="1724406252">
          <w:marLeft w:val="0"/>
          <w:marRight w:val="0"/>
          <w:marTop w:val="0"/>
          <w:marBottom w:val="0"/>
          <w:divBdr>
            <w:top w:val="none" w:sz="0" w:space="0" w:color="auto"/>
            <w:left w:val="none" w:sz="0" w:space="0" w:color="auto"/>
            <w:bottom w:val="none" w:sz="0" w:space="0" w:color="auto"/>
            <w:right w:val="none" w:sz="0" w:space="0" w:color="auto"/>
          </w:divBdr>
        </w:div>
      </w:divsChild>
    </w:div>
    <w:div w:id="1333995958">
      <w:bodyDiv w:val="1"/>
      <w:marLeft w:val="0"/>
      <w:marRight w:val="0"/>
      <w:marTop w:val="0"/>
      <w:marBottom w:val="0"/>
      <w:divBdr>
        <w:top w:val="none" w:sz="0" w:space="0" w:color="auto"/>
        <w:left w:val="none" w:sz="0" w:space="0" w:color="auto"/>
        <w:bottom w:val="none" w:sz="0" w:space="0" w:color="auto"/>
        <w:right w:val="none" w:sz="0" w:space="0" w:color="auto"/>
      </w:divBdr>
    </w:div>
    <w:div w:id="1356924181">
      <w:bodyDiv w:val="1"/>
      <w:marLeft w:val="0"/>
      <w:marRight w:val="0"/>
      <w:marTop w:val="0"/>
      <w:marBottom w:val="0"/>
      <w:divBdr>
        <w:top w:val="none" w:sz="0" w:space="0" w:color="auto"/>
        <w:left w:val="none" w:sz="0" w:space="0" w:color="auto"/>
        <w:bottom w:val="none" w:sz="0" w:space="0" w:color="auto"/>
        <w:right w:val="none" w:sz="0" w:space="0" w:color="auto"/>
      </w:divBdr>
      <w:divsChild>
        <w:div w:id="1774520286">
          <w:marLeft w:val="0"/>
          <w:marRight w:val="0"/>
          <w:marTop w:val="0"/>
          <w:marBottom w:val="0"/>
          <w:divBdr>
            <w:top w:val="none" w:sz="0" w:space="0" w:color="auto"/>
            <w:left w:val="none" w:sz="0" w:space="0" w:color="auto"/>
            <w:bottom w:val="none" w:sz="0" w:space="0" w:color="auto"/>
            <w:right w:val="none" w:sz="0" w:space="0" w:color="auto"/>
          </w:divBdr>
        </w:div>
      </w:divsChild>
    </w:div>
    <w:div w:id="1358847700">
      <w:bodyDiv w:val="1"/>
      <w:marLeft w:val="0"/>
      <w:marRight w:val="0"/>
      <w:marTop w:val="0"/>
      <w:marBottom w:val="0"/>
      <w:divBdr>
        <w:top w:val="none" w:sz="0" w:space="0" w:color="auto"/>
        <w:left w:val="none" w:sz="0" w:space="0" w:color="auto"/>
        <w:bottom w:val="none" w:sz="0" w:space="0" w:color="auto"/>
        <w:right w:val="none" w:sz="0" w:space="0" w:color="auto"/>
      </w:divBdr>
    </w:div>
    <w:div w:id="1375688631">
      <w:bodyDiv w:val="1"/>
      <w:marLeft w:val="0"/>
      <w:marRight w:val="0"/>
      <w:marTop w:val="0"/>
      <w:marBottom w:val="0"/>
      <w:divBdr>
        <w:top w:val="none" w:sz="0" w:space="0" w:color="auto"/>
        <w:left w:val="none" w:sz="0" w:space="0" w:color="auto"/>
        <w:bottom w:val="none" w:sz="0" w:space="0" w:color="auto"/>
        <w:right w:val="none" w:sz="0" w:space="0" w:color="auto"/>
      </w:divBdr>
      <w:divsChild>
        <w:div w:id="1428883912">
          <w:marLeft w:val="0"/>
          <w:marRight w:val="0"/>
          <w:marTop w:val="0"/>
          <w:marBottom w:val="0"/>
          <w:divBdr>
            <w:top w:val="none" w:sz="0" w:space="0" w:color="auto"/>
            <w:left w:val="none" w:sz="0" w:space="0" w:color="auto"/>
            <w:bottom w:val="none" w:sz="0" w:space="0" w:color="auto"/>
            <w:right w:val="none" w:sz="0" w:space="0" w:color="auto"/>
          </w:divBdr>
        </w:div>
      </w:divsChild>
    </w:div>
    <w:div w:id="1432431258">
      <w:bodyDiv w:val="1"/>
      <w:marLeft w:val="0"/>
      <w:marRight w:val="0"/>
      <w:marTop w:val="0"/>
      <w:marBottom w:val="0"/>
      <w:divBdr>
        <w:top w:val="none" w:sz="0" w:space="0" w:color="auto"/>
        <w:left w:val="none" w:sz="0" w:space="0" w:color="auto"/>
        <w:bottom w:val="none" w:sz="0" w:space="0" w:color="auto"/>
        <w:right w:val="none" w:sz="0" w:space="0" w:color="auto"/>
      </w:divBdr>
      <w:divsChild>
        <w:div w:id="274215708">
          <w:marLeft w:val="0"/>
          <w:marRight w:val="0"/>
          <w:marTop w:val="0"/>
          <w:marBottom w:val="0"/>
          <w:divBdr>
            <w:top w:val="none" w:sz="0" w:space="0" w:color="auto"/>
            <w:left w:val="none" w:sz="0" w:space="0" w:color="auto"/>
            <w:bottom w:val="none" w:sz="0" w:space="0" w:color="auto"/>
            <w:right w:val="none" w:sz="0" w:space="0" w:color="auto"/>
          </w:divBdr>
        </w:div>
      </w:divsChild>
    </w:div>
    <w:div w:id="1455908693">
      <w:bodyDiv w:val="1"/>
      <w:marLeft w:val="0"/>
      <w:marRight w:val="0"/>
      <w:marTop w:val="0"/>
      <w:marBottom w:val="0"/>
      <w:divBdr>
        <w:top w:val="none" w:sz="0" w:space="0" w:color="auto"/>
        <w:left w:val="none" w:sz="0" w:space="0" w:color="auto"/>
        <w:bottom w:val="none" w:sz="0" w:space="0" w:color="auto"/>
        <w:right w:val="none" w:sz="0" w:space="0" w:color="auto"/>
      </w:divBdr>
      <w:divsChild>
        <w:div w:id="811484844">
          <w:marLeft w:val="0"/>
          <w:marRight w:val="0"/>
          <w:marTop w:val="0"/>
          <w:marBottom w:val="0"/>
          <w:divBdr>
            <w:top w:val="none" w:sz="0" w:space="0" w:color="auto"/>
            <w:left w:val="none" w:sz="0" w:space="0" w:color="auto"/>
            <w:bottom w:val="none" w:sz="0" w:space="0" w:color="auto"/>
            <w:right w:val="none" w:sz="0" w:space="0" w:color="auto"/>
          </w:divBdr>
        </w:div>
      </w:divsChild>
    </w:div>
    <w:div w:id="1476220952">
      <w:bodyDiv w:val="1"/>
      <w:marLeft w:val="0"/>
      <w:marRight w:val="0"/>
      <w:marTop w:val="0"/>
      <w:marBottom w:val="0"/>
      <w:divBdr>
        <w:top w:val="none" w:sz="0" w:space="0" w:color="auto"/>
        <w:left w:val="none" w:sz="0" w:space="0" w:color="auto"/>
        <w:bottom w:val="none" w:sz="0" w:space="0" w:color="auto"/>
        <w:right w:val="none" w:sz="0" w:space="0" w:color="auto"/>
      </w:divBdr>
      <w:divsChild>
        <w:div w:id="1676108772">
          <w:marLeft w:val="0"/>
          <w:marRight w:val="0"/>
          <w:marTop w:val="0"/>
          <w:marBottom w:val="0"/>
          <w:divBdr>
            <w:top w:val="none" w:sz="0" w:space="0" w:color="auto"/>
            <w:left w:val="none" w:sz="0" w:space="0" w:color="auto"/>
            <w:bottom w:val="none" w:sz="0" w:space="0" w:color="auto"/>
            <w:right w:val="none" w:sz="0" w:space="0" w:color="auto"/>
          </w:divBdr>
        </w:div>
      </w:divsChild>
    </w:div>
    <w:div w:id="1484736221">
      <w:bodyDiv w:val="1"/>
      <w:marLeft w:val="0"/>
      <w:marRight w:val="0"/>
      <w:marTop w:val="0"/>
      <w:marBottom w:val="0"/>
      <w:divBdr>
        <w:top w:val="none" w:sz="0" w:space="0" w:color="auto"/>
        <w:left w:val="none" w:sz="0" w:space="0" w:color="auto"/>
        <w:bottom w:val="none" w:sz="0" w:space="0" w:color="auto"/>
        <w:right w:val="none" w:sz="0" w:space="0" w:color="auto"/>
      </w:divBdr>
      <w:divsChild>
        <w:div w:id="1555459829">
          <w:marLeft w:val="0"/>
          <w:marRight w:val="0"/>
          <w:marTop w:val="0"/>
          <w:marBottom w:val="0"/>
          <w:divBdr>
            <w:top w:val="none" w:sz="0" w:space="0" w:color="auto"/>
            <w:left w:val="none" w:sz="0" w:space="0" w:color="auto"/>
            <w:bottom w:val="none" w:sz="0" w:space="0" w:color="auto"/>
            <w:right w:val="none" w:sz="0" w:space="0" w:color="auto"/>
          </w:divBdr>
        </w:div>
      </w:divsChild>
    </w:div>
    <w:div w:id="1492790411">
      <w:bodyDiv w:val="1"/>
      <w:marLeft w:val="0"/>
      <w:marRight w:val="0"/>
      <w:marTop w:val="0"/>
      <w:marBottom w:val="0"/>
      <w:divBdr>
        <w:top w:val="none" w:sz="0" w:space="0" w:color="auto"/>
        <w:left w:val="none" w:sz="0" w:space="0" w:color="auto"/>
        <w:bottom w:val="none" w:sz="0" w:space="0" w:color="auto"/>
        <w:right w:val="none" w:sz="0" w:space="0" w:color="auto"/>
      </w:divBdr>
    </w:div>
    <w:div w:id="1549226307">
      <w:bodyDiv w:val="1"/>
      <w:marLeft w:val="0"/>
      <w:marRight w:val="0"/>
      <w:marTop w:val="0"/>
      <w:marBottom w:val="0"/>
      <w:divBdr>
        <w:top w:val="none" w:sz="0" w:space="0" w:color="auto"/>
        <w:left w:val="none" w:sz="0" w:space="0" w:color="auto"/>
        <w:bottom w:val="none" w:sz="0" w:space="0" w:color="auto"/>
        <w:right w:val="none" w:sz="0" w:space="0" w:color="auto"/>
      </w:divBdr>
      <w:divsChild>
        <w:div w:id="1844660315">
          <w:marLeft w:val="360"/>
          <w:marRight w:val="0"/>
          <w:marTop w:val="200"/>
          <w:marBottom w:val="0"/>
          <w:divBdr>
            <w:top w:val="none" w:sz="0" w:space="0" w:color="auto"/>
            <w:left w:val="none" w:sz="0" w:space="0" w:color="auto"/>
            <w:bottom w:val="none" w:sz="0" w:space="0" w:color="auto"/>
            <w:right w:val="none" w:sz="0" w:space="0" w:color="auto"/>
          </w:divBdr>
        </w:div>
        <w:div w:id="1346131513">
          <w:marLeft w:val="360"/>
          <w:marRight w:val="0"/>
          <w:marTop w:val="200"/>
          <w:marBottom w:val="0"/>
          <w:divBdr>
            <w:top w:val="none" w:sz="0" w:space="0" w:color="auto"/>
            <w:left w:val="none" w:sz="0" w:space="0" w:color="auto"/>
            <w:bottom w:val="none" w:sz="0" w:space="0" w:color="auto"/>
            <w:right w:val="none" w:sz="0" w:space="0" w:color="auto"/>
          </w:divBdr>
        </w:div>
        <w:div w:id="1799034735">
          <w:marLeft w:val="360"/>
          <w:marRight w:val="0"/>
          <w:marTop w:val="200"/>
          <w:marBottom w:val="0"/>
          <w:divBdr>
            <w:top w:val="none" w:sz="0" w:space="0" w:color="auto"/>
            <w:left w:val="none" w:sz="0" w:space="0" w:color="auto"/>
            <w:bottom w:val="none" w:sz="0" w:space="0" w:color="auto"/>
            <w:right w:val="none" w:sz="0" w:space="0" w:color="auto"/>
          </w:divBdr>
        </w:div>
        <w:div w:id="1381976641">
          <w:marLeft w:val="360"/>
          <w:marRight w:val="0"/>
          <w:marTop w:val="200"/>
          <w:marBottom w:val="0"/>
          <w:divBdr>
            <w:top w:val="none" w:sz="0" w:space="0" w:color="auto"/>
            <w:left w:val="none" w:sz="0" w:space="0" w:color="auto"/>
            <w:bottom w:val="none" w:sz="0" w:space="0" w:color="auto"/>
            <w:right w:val="none" w:sz="0" w:space="0" w:color="auto"/>
          </w:divBdr>
        </w:div>
        <w:div w:id="1027869122">
          <w:marLeft w:val="360"/>
          <w:marRight w:val="0"/>
          <w:marTop w:val="200"/>
          <w:marBottom w:val="0"/>
          <w:divBdr>
            <w:top w:val="none" w:sz="0" w:space="0" w:color="auto"/>
            <w:left w:val="none" w:sz="0" w:space="0" w:color="auto"/>
            <w:bottom w:val="none" w:sz="0" w:space="0" w:color="auto"/>
            <w:right w:val="none" w:sz="0" w:space="0" w:color="auto"/>
          </w:divBdr>
        </w:div>
      </w:divsChild>
    </w:div>
    <w:div w:id="1554344622">
      <w:bodyDiv w:val="1"/>
      <w:marLeft w:val="0"/>
      <w:marRight w:val="0"/>
      <w:marTop w:val="0"/>
      <w:marBottom w:val="0"/>
      <w:divBdr>
        <w:top w:val="none" w:sz="0" w:space="0" w:color="auto"/>
        <w:left w:val="none" w:sz="0" w:space="0" w:color="auto"/>
        <w:bottom w:val="none" w:sz="0" w:space="0" w:color="auto"/>
        <w:right w:val="none" w:sz="0" w:space="0" w:color="auto"/>
      </w:divBdr>
      <w:divsChild>
        <w:div w:id="651376716">
          <w:marLeft w:val="0"/>
          <w:marRight w:val="0"/>
          <w:marTop w:val="0"/>
          <w:marBottom w:val="0"/>
          <w:divBdr>
            <w:top w:val="none" w:sz="0" w:space="0" w:color="auto"/>
            <w:left w:val="none" w:sz="0" w:space="0" w:color="auto"/>
            <w:bottom w:val="none" w:sz="0" w:space="0" w:color="auto"/>
            <w:right w:val="none" w:sz="0" w:space="0" w:color="auto"/>
          </w:divBdr>
        </w:div>
      </w:divsChild>
    </w:div>
    <w:div w:id="1558470004">
      <w:bodyDiv w:val="1"/>
      <w:marLeft w:val="0"/>
      <w:marRight w:val="0"/>
      <w:marTop w:val="0"/>
      <w:marBottom w:val="0"/>
      <w:divBdr>
        <w:top w:val="none" w:sz="0" w:space="0" w:color="auto"/>
        <w:left w:val="none" w:sz="0" w:space="0" w:color="auto"/>
        <w:bottom w:val="none" w:sz="0" w:space="0" w:color="auto"/>
        <w:right w:val="none" w:sz="0" w:space="0" w:color="auto"/>
      </w:divBdr>
      <w:divsChild>
        <w:div w:id="1769813779">
          <w:marLeft w:val="0"/>
          <w:marRight w:val="0"/>
          <w:marTop w:val="0"/>
          <w:marBottom w:val="0"/>
          <w:divBdr>
            <w:top w:val="none" w:sz="0" w:space="0" w:color="auto"/>
            <w:left w:val="none" w:sz="0" w:space="0" w:color="auto"/>
            <w:bottom w:val="none" w:sz="0" w:space="0" w:color="auto"/>
            <w:right w:val="none" w:sz="0" w:space="0" w:color="auto"/>
          </w:divBdr>
        </w:div>
      </w:divsChild>
    </w:div>
    <w:div w:id="1571191591">
      <w:bodyDiv w:val="1"/>
      <w:marLeft w:val="0"/>
      <w:marRight w:val="0"/>
      <w:marTop w:val="0"/>
      <w:marBottom w:val="0"/>
      <w:divBdr>
        <w:top w:val="none" w:sz="0" w:space="0" w:color="auto"/>
        <w:left w:val="none" w:sz="0" w:space="0" w:color="auto"/>
        <w:bottom w:val="none" w:sz="0" w:space="0" w:color="auto"/>
        <w:right w:val="none" w:sz="0" w:space="0" w:color="auto"/>
      </w:divBdr>
    </w:div>
    <w:div w:id="1573932101">
      <w:bodyDiv w:val="1"/>
      <w:marLeft w:val="0"/>
      <w:marRight w:val="0"/>
      <w:marTop w:val="0"/>
      <w:marBottom w:val="0"/>
      <w:divBdr>
        <w:top w:val="none" w:sz="0" w:space="0" w:color="auto"/>
        <w:left w:val="none" w:sz="0" w:space="0" w:color="auto"/>
        <w:bottom w:val="none" w:sz="0" w:space="0" w:color="auto"/>
        <w:right w:val="none" w:sz="0" w:space="0" w:color="auto"/>
      </w:divBdr>
    </w:div>
    <w:div w:id="1602489030">
      <w:bodyDiv w:val="1"/>
      <w:marLeft w:val="0"/>
      <w:marRight w:val="0"/>
      <w:marTop w:val="0"/>
      <w:marBottom w:val="0"/>
      <w:divBdr>
        <w:top w:val="none" w:sz="0" w:space="0" w:color="auto"/>
        <w:left w:val="none" w:sz="0" w:space="0" w:color="auto"/>
        <w:bottom w:val="none" w:sz="0" w:space="0" w:color="auto"/>
        <w:right w:val="none" w:sz="0" w:space="0" w:color="auto"/>
      </w:divBdr>
      <w:divsChild>
        <w:div w:id="1522627617">
          <w:marLeft w:val="0"/>
          <w:marRight w:val="0"/>
          <w:marTop w:val="0"/>
          <w:marBottom w:val="0"/>
          <w:divBdr>
            <w:top w:val="none" w:sz="0" w:space="0" w:color="auto"/>
            <w:left w:val="none" w:sz="0" w:space="0" w:color="auto"/>
            <w:bottom w:val="none" w:sz="0" w:space="0" w:color="auto"/>
            <w:right w:val="none" w:sz="0" w:space="0" w:color="auto"/>
          </w:divBdr>
          <w:divsChild>
            <w:div w:id="1087457497">
              <w:marLeft w:val="0"/>
              <w:marRight w:val="0"/>
              <w:marTop w:val="0"/>
              <w:marBottom w:val="0"/>
              <w:divBdr>
                <w:top w:val="none" w:sz="0" w:space="0" w:color="auto"/>
                <w:left w:val="none" w:sz="0" w:space="0" w:color="auto"/>
                <w:bottom w:val="none" w:sz="0" w:space="0" w:color="auto"/>
                <w:right w:val="none" w:sz="0" w:space="0" w:color="auto"/>
              </w:divBdr>
              <w:divsChild>
                <w:div w:id="646085966">
                  <w:marLeft w:val="0"/>
                  <w:marRight w:val="0"/>
                  <w:marTop w:val="0"/>
                  <w:marBottom w:val="0"/>
                  <w:divBdr>
                    <w:top w:val="none" w:sz="0" w:space="0" w:color="auto"/>
                    <w:left w:val="none" w:sz="0" w:space="0" w:color="auto"/>
                    <w:bottom w:val="none" w:sz="0" w:space="0" w:color="auto"/>
                    <w:right w:val="none" w:sz="0" w:space="0" w:color="auto"/>
                  </w:divBdr>
                  <w:divsChild>
                    <w:div w:id="62070387">
                      <w:marLeft w:val="0"/>
                      <w:marRight w:val="0"/>
                      <w:marTop w:val="0"/>
                      <w:marBottom w:val="0"/>
                      <w:divBdr>
                        <w:top w:val="none" w:sz="0" w:space="0" w:color="auto"/>
                        <w:left w:val="none" w:sz="0" w:space="0" w:color="auto"/>
                        <w:bottom w:val="none" w:sz="0" w:space="0" w:color="auto"/>
                        <w:right w:val="none" w:sz="0" w:space="0" w:color="auto"/>
                      </w:divBdr>
                      <w:divsChild>
                        <w:div w:id="1834640474">
                          <w:marLeft w:val="0"/>
                          <w:marRight w:val="0"/>
                          <w:marTop w:val="0"/>
                          <w:marBottom w:val="0"/>
                          <w:divBdr>
                            <w:top w:val="none" w:sz="0" w:space="0" w:color="auto"/>
                            <w:left w:val="none" w:sz="0" w:space="0" w:color="auto"/>
                            <w:bottom w:val="none" w:sz="0" w:space="0" w:color="auto"/>
                            <w:right w:val="none" w:sz="0" w:space="0" w:color="auto"/>
                          </w:divBdr>
                          <w:divsChild>
                            <w:div w:id="229510888">
                              <w:marLeft w:val="0"/>
                              <w:marRight w:val="0"/>
                              <w:marTop w:val="0"/>
                              <w:marBottom w:val="0"/>
                              <w:divBdr>
                                <w:top w:val="none" w:sz="0" w:space="0" w:color="auto"/>
                                <w:left w:val="none" w:sz="0" w:space="0" w:color="auto"/>
                                <w:bottom w:val="none" w:sz="0" w:space="0" w:color="auto"/>
                                <w:right w:val="none" w:sz="0" w:space="0" w:color="auto"/>
                              </w:divBdr>
                              <w:divsChild>
                                <w:div w:id="982806398">
                                  <w:marLeft w:val="0"/>
                                  <w:marRight w:val="0"/>
                                  <w:marTop w:val="0"/>
                                  <w:marBottom w:val="0"/>
                                  <w:divBdr>
                                    <w:top w:val="none" w:sz="0" w:space="0" w:color="auto"/>
                                    <w:left w:val="none" w:sz="0" w:space="0" w:color="auto"/>
                                    <w:bottom w:val="none" w:sz="0" w:space="0" w:color="auto"/>
                                    <w:right w:val="none" w:sz="0" w:space="0" w:color="auto"/>
                                  </w:divBdr>
                                  <w:divsChild>
                                    <w:div w:id="1202208697">
                                      <w:marLeft w:val="0"/>
                                      <w:marRight w:val="0"/>
                                      <w:marTop w:val="0"/>
                                      <w:marBottom w:val="0"/>
                                      <w:divBdr>
                                        <w:top w:val="none" w:sz="0" w:space="0" w:color="auto"/>
                                        <w:left w:val="none" w:sz="0" w:space="0" w:color="auto"/>
                                        <w:bottom w:val="none" w:sz="0" w:space="0" w:color="auto"/>
                                        <w:right w:val="none" w:sz="0" w:space="0" w:color="auto"/>
                                      </w:divBdr>
                                      <w:divsChild>
                                        <w:div w:id="938100045">
                                          <w:marLeft w:val="0"/>
                                          <w:marRight w:val="0"/>
                                          <w:marTop w:val="0"/>
                                          <w:marBottom w:val="0"/>
                                          <w:divBdr>
                                            <w:top w:val="none" w:sz="0" w:space="0" w:color="auto"/>
                                            <w:left w:val="none" w:sz="0" w:space="0" w:color="auto"/>
                                            <w:bottom w:val="none" w:sz="0" w:space="0" w:color="auto"/>
                                            <w:right w:val="none" w:sz="0" w:space="0" w:color="auto"/>
                                          </w:divBdr>
                                          <w:divsChild>
                                            <w:div w:id="131209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678342">
                                  <w:marLeft w:val="0"/>
                                  <w:marRight w:val="0"/>
                                  <w:marTop w:val="0"/>
                                  <w:marBottom w:val="0"/>
                                  <w:divBdr>
                                    <w:top w:val="none" w:sz="0" w:space="0" w:color="auto"/>
                                    <w:left w:val="none" w:sz="0" w:space="0" w:color="auto"/>
                                    <w:bottom w:val="none" w:sz="0" w:space="0" w:color="auto"/>
                                    <w:right w:val="none" w:sz="0" w:space="0" w:color="auto"/>
                                  </w:divBdr>
                                  <w:divsChild>
                                    <w:div w:id="131445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0310492">
          <w:marLeft w:val="0"/>
          <w:marRight w:val="0"/>
          <w:marTop w:val="0"/>
          <w:marBottom w:val="0"/>
          <w:divBdr>
            <w:top w:val="none" w:sz="0" w:space="0" w:color="auto"/>
            <w:left w:val="none" w:sz="0" w:space="0" w:color="auto"/>
            <w:bottom w:val="none" w:sz="0" w:space="0" w:color="auto"/>
            <w:right w:val="none" w:sz="0" w:space="0" w:color="auto"/>
          </w:divBdr>
          <w:divsChild>
            <w:div w:id="784811900">
              <w:marLeft w:val="0"/>
              <w:marRight w:val="0"/>
              <w:marTop w:val="0"/>
              <w:marBottom w:val="0"/>
              <w:divBdr>
                <w:top w:val="none" w:sz="0" w:space="0" w:color="auto"/>
                <w:left w:val="none" w:sz="0" w:space="0" w:color="auto"/>
                <w:bottom w:val="none" w:sz="0" w:space="0" w:color="auto"/>
                <w:right w:val="none" w:sz="0" w:space="0" w:color="auto"/>
              </w:divBdr>
              <w:divsChild>
                <w:div w:id="825513841">
                  <w:marLeft w:val="0"/>
                  <w:marRight w:val="0"/>
                  <w:marTop w:val="0"/>
                  <w:marBottom w:val="0"/>
                  <w:divBdr>
                    <w:top w:val="none" w:sz="0" w:space="0" w:color="auto"/>
                    <w:left w:val="none" w:sz="0" w:space="0" w:color="auto"/>
                    <w:bottom w:val="none" w:sz="0" w:space="0" w:color="auto"/>
                    <w:right w:val="none" w:sz="0" w:space="0" w:color="auto"/>
                  </w:divBdr>
                  <w:divsChild>
                    <w:div w:id="1561592303">
                      <w:marLeft w:val="0"/>
                      <w:marRight w:val="0"/>
                      <w:marTop w:val="0"/>
                      <w:marBottom w:val="0"/>
                      <w:divBdr>
                        <w:top w:val="none" w:sz="0" w:space="0" w:color="auto"/>
                        <w:left w:val="none" w:sz="0" w:space="0" w:color="auto"/>
                        <w:bottom w:val="none" w:sz="0" w:space="0" w:color="auto"/>
                        <w:right w:val="none" w:sz="0" w:space="0" w:color="auto"/>
                      </w:divBdr>
                      <w:divsChild>
                        <w:div w:id="117102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9656656">
      <w:bodyDiv w:val="1"/>
      <w:marLeft w:val="0"/>
      <w:marRight w:val="0"/>
      <w:marTop w:val="0"/>
      <w:marBottom w:val="0"/>
      <w:divBdr>
        <w:top w:val="none" w:sz="0" w:space="0" w:color="auto"/>
        <w:left w:val="none" w:sz="0" w:space="0" w:color="auto"/>
        <w:bottom w:val="none" w:sz="0" w:space="0" w:color="auto"/>
        <w:right w:val="none" w:sz="0" w:space="0" w:color="auto"/>
      </w:divBdr>
      <w:divsChild>
        <w:div w:id="1352225113">
          <w:marLeft w:val="0"/>
          <w:marRight w:val="0"/>
          <w:marTop w:val="0"/>
          <w:marBottom w:val="0"/>
          <w:divBdr>
            <w:top w:val="none" w:sz="0" w:space="0" w:color="auto"/>
            <w:left w:val="none" w:sz="0" w:space="0" w:color="auto"/>
            <w:bottom w:val="none" w:sz="0" w:space="0" w:color="auto"/>
            <w:right w:val="none" w:sz="0" w:space="0" w:color="auto"/>
          </w:divBdr>
        </w:div>
      </w:divsChild>
    </w:div>
    <w:div w:id="1617834654">
      <w:bodyDiv w:val="1"/>
      <w:marLeft w:val="0"/>
      <w:marRight w:val="0"/>
      <w:marTop w:val="0"/>
      <w:marBottom w:val="0"/>
      <w:divBdr>
        <w:top w:val="none" w:sz="0" w:space="0" w:color="auto"/>
        <w:left w:val="none" w:sz="0" w:space="0" w:color="auto"/>
        <w:bottom w:val="none" w:sz="0" w:space="0" w:color="auto"/>
        <w:right w:val="none" w:sz="0" w:space="0" w:color="auto"/>
      </w:divBdr>
    </w:div>
    <w:div w:id="1631938667">
      <w:bodyDiv w:val="1"/>
      <w:marLeft w:val="0"/>
      <w:marRight w:val="0"/>
      <w:marTop w:val="0"/>
      <w:marBottom w:val="0"/>
      <w:divBdr>
        <w:top w:val="none" w:sz="0" w:space="0" w:color="auto"/>
        <w:left w:val="none" w:sz="0" w:space="0" w:color="auto"/>
        <w:bottom w:val="none" w:sz="0" w:space="0" w:color="auto"/>
        <w:right w:val="none" w:sz="0" w:space="0" w:color="auto"/>
      </w:divBdr>
    </w:div>
    <w:div w:id="1637375326">
      <w:bodyDiv w:val="1"/>
      <w:marLeft w:val="0"/>
      <w:marRight w:val="0"/>
      <w:marTop w:val="0"/>
      <w:marBottom w:val="0"/>
      <w:divBdr>
        <w:top w:val="none" w:sz="0" w:space="0" w:color="auto"/>
        <w:left w:val="none" w:sz="0" w:space="0" w:color="auto"/>
        <w:bottom w:val="none" w:sz="0" w:space="0" w:color="auto"/>
        <w:right w:val="none" w:sz="0" w:space="0" w:color="auto"/>
      </w:divBdr>
    </w:div>
    <w:div w:id="1678539582">
      <w:bodyDiv w:val="1"/>
      <w:marLeft w:val="0"/>
      <w:marRight w:val="0"/>
      <w:marTop w:val="0"/>
      <w:marBottom w:val="0"/>
      <w:divBdr>
        <w:top w:val="none" w:sz="0" w:space="0" w:color="auto"/>
        <w:left w:val="none" w:sz="0" w:space="0" w:color="auto"/>
        <w:bottom w:val="none" w:sz="0" w:space="0" w:color="auto"/>
        <w:right w:val="none" w:sz="0" w:space="0" w:color="auto"/>
      </w:divBdr>
      <w:divsChild>
        <w:div w:id="1385179702">
          <w:marLeft w:val="0"/>
          <w:marRight w:val="0"/>
          <w:marTop w:val="0"/>
          <w:marBottom w:val="0"/>
          <w:divBdr>
            <w:top w:val="none" w:sz="0" w:space="0" w:color="auto"/>
            <w:left w:val="none" w:sz="0" w:space="0" w:color="auto"/>
            <w:bottom w:val="none" w:sz="0" w:space="0" w:color="auto"/>
            <w:right w:val="none" w:sz="0" w:space="0" w:color="auto"/>
          </w:divBdr>
        </w:div>
      </w:divsChild>
    </w:div>
    <w:div w:id="1680035577">
      <w:bodyDiv w:val="1"/>
      <w:marLeft w:val="0"/>
      <w:marRight w:val="0"/>
      <w:marTop w:val="0"/>
      <w:marBottom w:val="0"/>
      <w:divBdr>
        <w:top w:val="none" w:sz="0" w:space="0" w:color="auto"/>
        <w:left w:val="none" w:sz="0" w:space="0" w:color="auto"/>
        <w:bottom w:val="none" w:sz="0" w:space="0" w:color="auto"/>
        <w:right w:val="none" w:sz="0" w:space="0" w:color="auto"/>
      </w:divBdr>
      <w:divsChild>
        <w:div w:id="595791242">
          <w:marLeft w:val="0"/>
          <w:marRight w:val="0"/>
          <w:marTop w:val="0"/>
          <w:marBottom w:val="0"/>
          <w:divBdr>
            <w:top w:val="none" w:sz="0" w:space="0" w:color="auto"/>
            <w:left w:val="none" w:sz="0" w:space="0" w:color="auto"/>
            <w:bottom w:val="none" w:sz="0" w:space="0" w:color="auto"/>
            <w:right w:val="none" w:sz="0" w:space="0" w:color="auto"/>
          </w:divBdr>
        </w:div>
      </w:divsChild>
    </w:div>
    <w:div w:id="1739091127">
      <w:bodyDiv w:val="1"/>
      <w:marLeft w:val="0"/>
      <w:marRight w:val="0"/>
      <w:marTop w:val="0"/>
      <w:marBottom w:val="0"/>
      <w:divBdr>
        <w:top w:val="none" w:sz="0" w:space="0" w:color="auto"/>
        <w:left w:val="none" w:sz="0" w:space="0" w:color="auto"/>
        <w:bottom w:val="none" w:sz="0" w:space="0" w:color="auto"/>
        <w:right w:val="none" w:sz="0" w:space="0" w:color="auto"/>
      </w:divBdr>
      <w:divsChild>
        <w:div w:id="1466386873">
          <w:marLeft w:val="0"/>
          <w:marRight w:val="0"/>
          <w:marTop w:val="0"/>
          <w:marBottom w:val="0"/>
          <w:divBdr>
            <w:top w:val="none" w:sz="0" w:space="0" w:color="auto"/>
            <w:left w:val="none" w:sz="0" w:space="0" w:color="auto"/>
            <w:bottom w:val="none" w:sz="0" w:space="0" w:color="auto"/>
            <w:right w:val="none" w:sz="0" w:space="0" w:color="auto"/>
          </w:divBdr>
        </w:div>
      </w:divsChild>
    </w:div>
    <w:div w:id="1767573037">
      <w:bodyDiv w:val="1"/>
      <w:marLeft w:val="0"/>
      <w:marRight w:val="0"/>
      <w:marTop w:val="0"/>
      <w:marBottom w:val="0"/>
      <w:divBdr>
        <w:top w:val="none" w:sz="0" w:space="0" w:color="auto"/>
        <w:left w:val="none" w:sz="0" w:space="0" w:color="auto"/>
        <w:bottom w:val="none" w:sz="0" w:space="0" w:color="auto"/>
        <w:right w:val="none" w:sz="0" w:space="0" w:color="auto"/>
      </w:divBdr>
    </w:div>
    <w:div w:id="1775249640">
      <w:bodyDiv w:val="1"/>
      <w:marLeft w:val="0"/>
      <w:marRight w:val="0"/>
      <w:marTop w:val="0"/>
      <w:marBottom w:val="0"/>
      <w:divBdr>
        <w:top w:val="none" w:sz="0" w:space="0" w:color="auto"/>
        <w:left w:val="none" w:sz="0" w:space="0" w:color="auto"/>
        <w:bottom w:val="none" w:sz="0" w:space="0" w:color="auto"/>
        <w:right w:val="none" w:sz="0" w:space="0" w:color="auto"/>
      </w:divBdr>
    </w:div>
    <w:div w:id="1783110884">
      <w:bodyDiv w:val="1"/>
      <w:marLeft w:val="0"/>
      <w:marRight w:val="0"/>
      <w:marTop w:val="0"/>
      <w:marBottom w:val="0"/>
      <w:divBdr>
        <w:top w:val="none" w:sz="0" w:space="0" w:color="auto"/>
        <w:left w:val="none" w:sz="0" w:space="0" w:color="auto"/>
        <w:bottom w:val="none" w:sz="0" w:space="0" w:color="auto"/>
        <w:right w:val="none" w:sz="0" w:space="0" w:color="auto"/>
      </w:divBdr>
      <w:divsChild>
        <w:div w:id="477381626">
          <w:marLeft w:val="0"/>
          <w:marRight w:val="0"/>
          <w:marTop w:val="0"/>
          <w:marBottom w:val="0"/>
          <w:divBdr>
            <w:top w:val="none" w:sz="0" w:space="0" w:color="auto"/>
            <w:left w:val="none" w:sz="0" w:space="0" w:color="auto"/>
            <w:bottom w:val="none" w:sz="0" w:space="0" w:color="auto"/>
            <w:right w:val="none" w:sz="0" w:space="0" w:color="auto"/>
          </w:divBdr>
        </w:div>
      </w:divsChild>
    </w:div>
    <w:div w:id="1785810745">
      <w:bodyDiv w:val="1"/>
      <w:marLeft w:val="0"/>
      <w:marRight w:val="0"/>
      <w:marTop w:val="0"/>
      <w:marBottom w:val="0"/>
      <w:divBdr>
        <w:top w:val="none" w:sz="0" w:space="0" w:color="auto"/>
        <w:left w:val="none" w:sz="0" w:space="0" w:color="auto"/>
        <w:bottom w:val="none" w:sz="0" w:space="0" w:color="auto"/>
        <w:right w:val="none" w:sz="0" w:space="0" w:color="auto"/>
      </w:divBdr>
      <w:divsChild>
        <w:div w:id="527910312">
          <w:marLeft w:val="0"/>
          <w:marRight w:val="0"/>
          <w:marTop w:val="0"/>
          <w:marBottom w:val="0"/>
          <w:divBdr>
            <w:top w:val="none" w:sz="0" w:space="0" w:color="auto"/>
            <w:left w:val="none" w:sz="0" w:space="0" w:color="auto"/>
            <w:bottom w:val="none" w:sz="0" w:space="0" w:color="auto"/>
            <w:right w:val="none" w:sz="0" w:space="0" w:color="auto"/>
          </w:divBdr>
        </w:div>
      </w:divsChild>
    </w:div>
    <w:div w:id="1831291119">
      <w:bodyDiv w:val="1"/>
      <w:marLeft w:val="0"/>
      <w:marRight w:val="0"/>
      <w:marTop w:val="0"/>
      <w:marBottom w:val="0"/>
      <w:divBdr>
        <w:top w:val="none" w:sz="0" w:space="0" w:color="auto"/>
        <w:left w:val="none" w:sz="0" w:space="0" w:color="auto"/>
        <w:bottom w:val="none" w:sz="0" w:space="0" w:color="auto"/>
        <w:right w:val="none" w:sz="0" w:space="0" w:color="auto"/>
      </w:divBdr>
      <w:divsChild>
        <w:div w:id="2000839045">
          <w:marLeft w:val="360"/>
          <w:marRight w:val="0"/>
          <w:marTop w:val="200"/>
          <w:marBottom w:val="0"/>
          <w:divBdr>
            <w:top w:val="none" w:sz="0" w:space="0" w:color="auto"/>
            <w:left w:val="none" w:sz="0" w:space="0" w:color="auto"/>
            <w:bottom w:val="none" w:sz="0" w:space="0" w:color="auto"/>
            <w:right w:val="none" w:sz="0" w:space="0" w:color="auto"/>
          </w:divBdr>
        </w:div>
        <w:div w:id="389161191">
          <w:marLeft w:val="360"/>
          <w:marRight w:val="0"/>
          <w:marTop w:val="200"/>
          <w:marBottom w:val="0"/>
          <w:divBdr>
            <w:top w:val="none" w:sz="0" w:space="0" w:color="auto"/>
            <w:left w:val="none" w:sz="0" w:space="0" w:color="auto"/>
            <w:bottom w:val="none" w:sz="0" w:space="0" w:color="auto"/>
            <w:right w:val="none" w:sz="0" w:space="0" w:color="auto"/>
          </w:divBdr>
        </w:div>
        <w:div w:id="400181724">
          <w:marLeft w:val="360"/>
          <w:marRight w:val="0"/>
          <w:marTop w:val="200"/>
          <w:marBottom w:val="0"/>
          <w:divBdr>
            <w:top w:val="none" w:sz="0" w:space="0" w:color="auto"/>
            <w:left w:val="none" w:sz="0" w:space="0" w:color="auto"/>
            <w:bottom w:val="none" w:sz="0" w:space="0" w:color="auto"/>
            <w:right w:val="none" w:sz="0" w:space="0" w:color="auto"/>
          </w:divBdr>
        </w:div>
        <w:div w:id="1989703167">
          <w:marLeft w:val="360"/>
          <w:marRight w:val="0"/>
          <w:marTop w:val="200"/>
          <w:marBottom w:val="0"/>
          <w:divBdr>
            <w:top w:val="none" w:sz="0" w:space="0" w:color="auto"/>
            <w:left w:val="none" w:sz="0" w:space="0" w:color="auto"/>
            <w:bottom w:val="none" w:sz="0" w:space="0" w:color="auto"/>
            <w:right w:val="none" w:sz="0" w:space="0" w:color="auto"/>
          </w:divBdr>
        </w:div>
      </w:divsChild>
    </w:div>
    <w:div w:id="1852328905">
      <w:bodyDiv w:val="1"/>
      <w:marLeft w:val="0"/>
      <w:marRight w:val="0"/>
      <w:marTop w:val="0"/>
      <w:marBottom w:val="0"/>
      <w:divBdr>
        <w:top w:val="none" w:sz="0" w:space="0" w:color="auto"/>
        <w:left w:val="none" w:sz="0" w:space="0" w:color="auto"/>
        <w:bottom w:val="none" w:sz="0" w:space="0" w:color="auto"/>
        <w:right w:val="none" w:sz="0" w:space="0" w:color="auto"/>
      </w:divBdr>
      <w:divsChild>
        <w:div w:id="721632306">
          <w:marLeft w:val="0"/>
          <w:marRight w:val="0"/>
          <w:marTop w:val="0"/>
          <w:marBottom w:val="0"/>
          <w:divBdr>
            <w:top w:val="none" w:sz="0" w:space="0" w:color="auto"/>
            <w:left w:val="none" w:sz="0" w:space="0" w:color="auto"/>
            <w:bottom w:val="none" w:sz="0" w:space="0" w:color="auto"/>
            <w:right w:val="none" w:sz="0" w:space="0" w:color="auto"/>
          </w:divBdr>
        </w:div>
      </w:divsChild>
    </w:div>
    <w:div w:id="1863668131">
      <w:bodyDiv w:val="1"/>
      <w:marLeft w:val="0"/>
      <w:marRight w:val="0"/>
      <w:marTop w:val="0"/>
      <w:marBottom w:val="0"/>
      <w:divBdr>
        <w:top w:val="none" w:sz="0" w:space="0" w:color="auto"/>
        <w:left w:val="none" w:sz="0" w:space="0" w:color="auto"/>
        <w:bottom w:val="none" w:sz="0" w:space="0" w:color="auto"/>
        <w:right w:val="none" w:sz="0" w:space="0" w:color="auto"/>
      </w:divBdr>
    </w:div>
    <w:div w:id="1879656247">
      <w:bodyDiv w:val="1"/>
      <w:marLeft w:val="0"/>
      <w:marRight w:val="0"/>
      <w:marTop w:val="0"/>
      <w:marBottom w:val="0"/>
      <w:divBdr>
        <w:top w:val="none" w:sz="0" w:space="0" w:color="auto"/>
        <w:left w:val="none" w:sz="0" w:space="0" w:color="auto"/>
        <w:bottom w:val="none" w:sz="0" w:space="0" w:color="auto"/>
        <w:right w:val="none" w:sz="0" w:space="0" w:color="auto"/>
      </w:divBdr>
    </w:div>
    <w:div w:id="1893072978">
      <w:bodyDiv w:val="1"/>
      <w:marLeft w:val="0"/>
      <w:marRight w:val="0"/>
      <w:marTop w:val="0"/>
      <w:marBottom w:val="0"/>
      <w:divBdr>
        <w:top w:val="none" w:sz="0" w:space="0" w:color="auto"/>
        <w:left w:val="none" w:sz="0" w:space="0" w:color="auto"/>
        <w:bottom w:val="none" w:sz="0" w:space="0" w:color="auto"/>
        <w:right w:val="none" w:sz="0" w:space="0" w:color="auto"/>
      </w:divBdr>
    </w:div>
    <w:div w:id="1901086535">
      <w:bodyDiv w:val="1"/>
      <w:marLeft w:val="0"/>
      <w:marRight w:val="0"/>
      <w:marTop w:val="0"/>
      <w:marBottom w:val="0"/>
      <w:divBdr>
        <w:top w:val="none" w:sz="0" w:space="0" w:color="auto"/>
        <w:left w:val="none" w:sz="0" w:space="0" w:color="auto"/>
        <w:bottom w:val="none" w:sz="0" w:space="0" w:color="auto"/>
        <w:right w:val="none" w:sz="0" w:space="0" w:color="auto"/>
      </w:divBdr>
    </w:div>
    <w:div w:id="1943099707">
      <w:bodyDiv w:val="1"/>
      <w:marLeft w:val="0"/>
      <w:marRight w:val="0"/>
      <w:marTop w:val="0"/>
      <w:marBottom w:val="0"/>
      <w:divBdr>
        <w:top w:val="none" w:sz="0" w:space="0" w:color="auto"/>
        <w:left w:val="none" w:sz="0" w:space="0" w:color="auto"/>
        <w:bottom w:val="none" w:sz="0" w:space="0" w:color="auto"/>
        <w:right w:val="none" w:sz="0" w:space="0" w:color="auto"/>
      </w:divBdr>
      <w:divsChild>
        <w:div w:id="1410615761">
          <w:marLeft w:val="0"/>
          <w:marRight w:val="0"/>
          <w:marTop w:val="0"/>
          <w:marBottom w:val="0"/>
          <w:divBdr>
            <w:top w:val="none" w:sz="0" w:space="0" w:color="auto"/>
            <w:left w:val="none" w:sz="0" w:space="0" w:color="auto"/>
            <w:bottom w:val="none" w:sz="0" w:space="0" w:color="auto"/>
            <w:right w:val="none" w:sz="0" w:space="0" w:color="auto"/>
          </w:divBdr>
        </w:div>
      </w:divsChild>
    </w:div>
    <w:div w:id="1964115747">
      <w:bodyDiv w:val="1"/>
      <w:marLeft w:val="0"/>
      <w:marRight w:val="0"/>
      <w:marTop w:val="0"/>
      <w:marBottom w:val="0"/>
      <w:divBdr>
        <w:top w:val="none" w:sz="0" w:space="0" w:color="auto"/>
        <w:left w:val="none" w:sz="0" w:space="0" w:color="auto"/>
        <w:bottom w:val="none" w:sz="0" w:space="0" w:color="auto"/>
        <w:right w:val="none" w:sz="0" w:space="0" w:color="auto"/>
      </w:divBdr>
    </w:div>
    <w:div w:id="1970239654">
      <w:bodyDiv w:val="1"/>
      <w:marLeft w:val="0"/>
      <w:marRight w:val="0"/>
      <w:marTop w:val="0"/>
      <w:marBottom w:val="0"/>
      <w:divBdr>
        <w:top w:val="none" w:sz="0" w:space="0" w:color="auto"/>
        <w:left w:val="none" w:sz="0" w:space="0" w:color="auto"/>
        <w:bottom w:val="none" w:sz="0" w:space="0" w:color="auto"/>
        <w:right w:val="none" w:sz="0" w:space="0" w:color="auto"/>
      </w:divBdr>
      <w:divsChild>
        <w:div w:id="2043820549">
          <w:marLeft w:val="0"/>
          <w:marRight w:val="0"/>
          <w:marTop w:val="0"/>
          <w:marBottom w:val="0"/>
          <w:divBdr>
            <w:top w:val="none" w:sz="0" w:space="0" w:color="auto"/>
            <w:left w:val="none" w:sz="0" w:space="0" w:color="auto"/>
            <w:bottom w:val="none" w:sz="0" w:space="0" w:color="auto"/>
            <w:right w:val="none" w:sz="0" w:space="0" w:color="auto"/>
          </w:divBdr>
        </w:div>
      </w:divsChild>
    </w:div>
    <w:div w:id="2000577087">
      <w:bodyDiv w:val="1"/>
      <w:marLeft w:val="0"/>
      <w:marRight w:val="0"/>
      <w:marTop w:val="0"/>
      <w:marBottom w:val="0"/>
      <w:divBdr>
        <w:top w:val="none" w:sz="0" w:space="0" w:color="auto"/>
        <w:left w:val="none" w:sz="0" w:space="0" w:color="auto"/>
        <w:bottom w:val="none" w:sz="0" w:space="0" w:color="auto"/>
        <w:right w:val="none" w:sz="0" w:space="0" w:color="auto"/>
      </w:divBdr>
      <w:divsChild>
        <w:div w:id="11735157">
          <w:marLeft w:val="0"/>
          <w:marRight w:val="0"/>
          <w:marTop w:val="0"/>
          <w:marBottom w:val="0"/>
          <w:divBdr>
            <w:top w:val="none" w:sz="0" w:space="0" w:color="auto"/>
            <w:left w:val="none" w:sz="0" w:space="0" w:color="auto"/>
            <w:bottom w:val="none" w:sz="0" w:space="0" w:color="auto"/>
            <w:right w:val="none" w:sz="0" w:space="0" w:color="auto"/>
          </w:divBdr>
        </w:div>
      </w:divsChild>
    </w:div>
    <w:div w:id="2033458701">
      <w:bodyDiv w:val="1"/>
      <w:marLeft w:val="0"/>
      <w:marRight w:val="0"/>
      <w:marTop w:val="0"/>
      <w:marBottom w:val="0"/>
      <w:divBdr>
        <w:top w:val="none" w:sz="0" w:space="0" w:color="auto"/>
        <w:left w:val="none" w:sz="0" w:space="0" w:color="auto"/>
        <w:bottom w:val="none" w:sz="0" w:space="0" w:color="auto"/>
        <w:right w:val="none" w:sz="0" w:space="0" w:color="auto"/>
      </w:divBdr>
      <w:divsChild>
        <w:div w:id="1474326576">
          <w:marLeft w:val="0"/>
          <w:marRight w:val="0"/>
          <w:marTop w:val="0"/>
          <w:marBottom w:val="0"/>
          <w:divBdr>
            <w:top w:val="none" w:sz="0" w:space="0" w:color="auto"/>
            <w:left w:val="none" w:sz="0" w:space="0" w:color="auto"/>
            <w:bottom w:val="none" w:sz="0" w:space="0" w:color="auto"/>
            <w:right w:val="none" w:sz="0" w:space="0" w:color="auto"/>
          </w:divBdr>
        </w:div>
      </w:divsChild>
    </w:div>
    <w:div w:id="2072192433">
      <w:bodyDiv w:val="1"/>
      <w:marLeft w:val="0"/>
      <w:marRight w:val="0"/>
      <w:marTop w:val="0"/>
      <w:marBottom w:val="0"/>
      <w:divBdr>
        <w:top w:val="none" w:sz="0" w:space="0" w:color="auto"/>
        <w:left w:val="none" w:sz="0" w:space="0" w:color="auto"/>
        <w:bottom w:val="none" w:sz="0" w:space="0" w:color="auto"/>
        <w:right w:val="none" w:sz="0" w:space="0" w:color="auto"/>
      </w:divBdr>
      <w:divsChild>
        <w:div w:id="1475558818">
          <w:marLeft w:val="0"/>
          <w:marRight w:val="0"/>
          <w:marTop w:val="0"/>
          <w:marBottom w:val="0"/>
          <w:divBdr>
            <w:top w:val="none" w:sz="0" w:space="0" w:color="auto"/>
            <w:left w:val="none" w:sz="0" w:space="0" w:color="auto"/>
            <w:bottom w:val="none" w:sz="0" w:space="0" w:color="auto"/>
            <w:right w:val="none" w:sz="0" w:space="0" w:color="auto"/>
          </w:divBdr>
        </w:div>
      </w:divsChild>
    </w:div>
    <w:div w:id="2115244537">
      <w:bodyDiv w:val="1"/>
      <w:marLeft w:val="0"/>
      <w:marRight w:val="0"/>
      <w:marTop w:val="0"/>
      <w:marBottom w:val="0"/>
      <w:divBdr>
        <w:top w:val="none" w:sz="0" w:space="0" w:color="auto"/>
        <w:left w:val="none" w:sz="0" w:space="0" w:color="auto"/>
        <w:bottom w:val="none" w:sz="0" w:space="0" w:color="auto"/>
        <w:right w:val="none" w:sz="0" w:space="0" w:color="auto"/>
      </w:divBdr>
      <w:divsChild>
        <w:div w:id="2035882437">
          <w:marLeft w:val="360"/>
          <w:marRight w:val="0"/>
          <w:marTop w:val="200"/>
          <w:marBottom w:val="0"/>
          <w:divBdr>
            <w:top w:val="none" w:sz="0" w:space="0" w:color="auto"/>
            <w:left w:val="none" w:sz="0" w:space="0" w:color="auto"/>
            <w:bottom w:val="none" w:sz="0" w:space="0" w:color="auto"/>
            <w:right w:val="none" w:sz="0" w:space="0" w:color="auto"/>
          </w:divBdr>
        </w:div>
        <w:div w:id="39207764">
          <w:marLeft w:val="360"/>
          <w:marRight w:val="0"/>
          <w:marTop w:val="200"/>
          <w:marBottom w:val="0"/>
          <w:divBdr>
            <w:top w:val="none" w:sz="0" w:space="0" w:color="auto"/>
            <w:left w:val="none" w:sz="0" w:space="0" w:color="auto"/>
            <w:bottom w:val="none" w:sz="0" w:space="0" w:color="auto"/>
            <w:right w:val="none" w:sz="0" w:space="0" w:color="auto"/>
          </w:divBdr>
        </w:div>
        <w:div w:id="389429520">
          <w:marLeft w:val="360"/>
          <w:marRight w:val="0"/>
          <w:marTop w:val="200"/>
          <w:marBottom w:val="0"/>
          <w:divBdr>
            <w:top w:val="none" w:sz="0" w:space="0" w:color="auto"/>
            <w:left w:val="none" w:sz="0" w:space="0" w:color="auto"/>
            <w:bottom w:val="none" w:sz="0" w:space="0" w:color="auto"/>
            <w:right w:val="none" w:sz="0" w:space="0" w:color="auto"/>
          </w:divBdr>
        </w:div>
        <w:div w:id="1110512538">
          <w:marLeft w:val="360"/>
          <w:marRight w:val="0"/>
          <w:marTop w:val="200"/>
          <w:marBottom w:val="0"/>
          <w:divBdr>
            <w:top w:val="none" w:sz="0" w:space="0" w:color="auto"/>
            <w:left w:val="none" w:sz="0" w:space="0" w:color="auto"/>
            <w:bottom w:val="none" w:sz="0" w:space="0" w:color="auto"/>
            <w:right w:val="none" w:sz="0" w:space="0" w:color="auto"/>
          </w:divBdr>
        </w:div>
        <w:div w:id="944000132">
          <w:marLeft w:val="360"/>
          <w:marRight w:val="0"/>
          <w:marTop w:val="200"/>
          <w:marBottom w:val="0"/>
          <w:divBdr>
            <w:top w:val="none" w:sz="0" w:space="0" w:color="auto"/>
            <w:left w:val="none" w:sz="0" w:space="0" w:color="auto"/>
            <w:bottom w:val="none" w:sz="0" w:space="0" w:color="auto"/>
            <w:right w:val="none" w:sz="0" w:space="0" w:color="auto"/>
          </w:divBdr>
        </w:div>
        <w:div w:id="2094663247">
          <w:marLeft w:val="360"/>
          <w:marRight w:val="0"/>
          <w:marTop w:val="200"/>
          <w:marBottom w:val="0"/>
          <w:divBdr>
            <w:top w:val="none" w:sz="0" w:space="0" w:color="auto"/>
            <w:left w:val="none" w:sz="0" w:space="0" w:color="auto"/>
            <w:bottom w:val="none" w:sz="0" w:space="0" w:color="auto"/>
            <w:right w:val="none" w:sz="0" w:space="0" w:color="auto"/>
          </w:divBdr>
        </w:div>
        <w:div w:id="1688284655">
          <w:marLeft w:val="360"/>
          <w:marRight w:val="0"/>
          <w:marTop w:val="200"/>
          <w:marBottom w:val="0"/>
          <w:divBdr>
            <w:top w:val="none" w:sz="0" w:space="0" w:color="auto"/>
            <w:left w:val="none" w:sz="0" w:space="0" w:color="auto"/>
            <w:bottom w:val="none" w:sz="0" w:space="0" w:color="auto"/>
            <w:right w:val="none" w:sz="0" w:space="0" w:color="auto"/>
          </w:divBdr>
        </w:div>
        <w:div w:id="1212110808">
          <w:marLeft w:val="360"/>
          <w:marRight w:val="0"/>
          <w:marTop w:val="200"/>
          <w:marBottom w:val="0"/>
          <w:divBdr>
            <w:top w:val="none" w:sz="0" w:space="0" w:color="auto"/>
            <w:left w:val="none" w:sz="0" w:space="0" w:color="auto"/>
            <w:bottom w:val="none" w:sz="0" w:space="0" w:color="auto"/>
            <w:right w:val="none" w:sz="0" w:space="0" w:color="auto"/>
          </w:divBdr>
        </w:div>
        <w:div w:id="823861450">
          <w:marLeft w:val="360"/>
          <w:marRight w:val="0"/>
          <w:marTop w:val="200"/>
          <w:marBottom w:val="0"/>
          <w:divBdr>
            <w:top w:val="none" w:sz="0" w:space="0" w:color="auto"/>
            <w:left w:val="none" w:sz="0" w:space="0" w:color="auto"/>
            <w:bottom w:val="none" w:sz="0" w:space="0" w:color="auto"/>
            <w:right w:val="none" w:sz="0" w:space="0" w:color="auto"/>
          </w:divBdr>
        </w:div>
        <w:div w:id="1381635023">
          <w:marLeft w:val="360"/>
          <w:marRight w:val="0"/>
          <w:marTop w:val="200"/>
          <w:marBottom w:val="0"/>
          <w:divBdr>
            <w:top w:val="none" w:sz="0" w:space="0" w:color="auto"/>
            <w:left w:val="none" w:sz="0" w:space="0" w:color="auto"/>
            <w:bottom w:val="none" w:sz="0" w:space="0" w:color="auto"/>
            <w:right w:val="none" w:sz="0" w:space="0" w:color="auto"/>
          </w:divBdr>
        </w:div>
      </w:divsChild>
    </w:div>
    <w:div w:id="2125617595">
      <w:bodyDiv w:val="1"/>
      <w:marLeft w:val="0"/>
      <w:marRight w:val="0"/>
      <w:marTop w:val="0"/>
      <w:marBottom w:val="0"/>
      <w:divBdr>
        <w:top w:val="none" w:sz="0" w:space="0" w:color="auto"/>
        <w:left w:val="none" w:sz="0" w:space="0" w:color="auto"/>
        <w:bottom w:val="none" w:sz="0" w:space="0" w:color="auto"/>
        <w:right w:val="none" w:sz="0" w:space="0" w:color="auto"/>
      </w:divBdr>
      <w:divsChild>
        <w:div w:id="1115952713">
          <w:marLeft w:val="0"/>
          <w:marRight w:val="0"/>
          <w:marTop w:val="0"/>
          <w:marBottom w:val="0"/>
          <w:divBdr>
            <w:top w:val="none" w:sz="0" w:space="0" w:color="auto"/>
            <w:left w:val="none" w:sz="0" w:space="0" w:color="auto"/>
            <w:bottom w:val="none" w:sz="0" w:space="0" w:color="auto"/>
            <w:right w:val="none" w:sz="0" w:space="0" w:color="auto"/>
          </w:divBdr>
        </w:div>
      </w:divsChild>
    </w:div>
    <w:div w:id="2130538843">
      <w:bodyDiv w:val="1"/>
      <w:marLeft w:val="0"/>
      <w:marRight w:val="0"/>
      <w:marTop w:val="0"/>
      <w:marBottom w:val="0"/>
      <w:divBdr>
        <w:top w:val="none" w:sz="0" w:space="0" w:color="auto"/>
        <w:left w:val="none" w:sz="0" w:space="0" w:color="auto"/>
        <w:bottom w:val="none" w:sz="0" w:space="0" w:color="auto"/>
        <w:right w:val="none" w:sz="0" w:space="0" w:color="auto"/>
      </w:divBdr>
      <w:divsChild>
        <w:div w:id="2117870678">
          <w:marLeft w:val="0"/>
          <w:marRight w:val="0"/>
          <w:marTop w:val="0"/>
          <w:marBottom w:val="0"/>
          <w:divBdr>
            <w:top w:val="none" w:sz="0" w:space="0" w:color="auto"/>
            <w:left w:val="none" w:sz="0" w:space="0" w:color="auto"/>
            <w:bottom w:val="none" w:sz="0" w:space="0" w:color="auto"/>
            <w:right w:val="none" w:sz="0" w:space="0" w:color="auto"/>
          </w:divBdr>
        </w:div>
      </w:divsChild>
    </w:div>
    <w:div w:id="2133985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3010-023-00144-6" TargetMode="External"/><Relationship Id="rId18" Type="http://schemas.openxmlformats.org/officeDocument/2006/relationships/hyperlink" Target="https://www.iicsa.org.uk/investigations-research.html" TargetMode="External"/><Relationship Id="rId26" Type="http://schemas.openxmlformats.org/officeDocument/2006/relationships/hyperlink" Target="https://www.nice.org.uk/guidance/ng116/resources/posttraumatic-stress-disorder-pdf-66141601777861" TargetMode="External"/><Relationship Id="rId39" Type="http://schemas.openxmlformats.org/officeDocument/2006/relationships/hyperlink" Target="https://www.communitycare.co.uk/2020/07/02/stereotyping-social-workers-creates-barriers-disclosing-sexual-abuse-ethnic-minority-groups/" TargetMode="External"/><Relationship Id="rId21" Type="http://schemas.openxmlformats.org/officeDocument/2006/relationships/hyperlink" Target="https://doi.org/10.1017/s0033291720001750" TargetMode="External"/><Relationship Id="rId34" Type="http://schemas.openxmlformats.org/officeDocument/2006/relationships/hyperlink" Target="https://www.ons.gov.uk/peoplepopulationandcommunity/crimeandjustice/articles/childsexualabuseinenglandandwales/yearendingmarch2019" TargetMode="External"/><Relationship Id="rId42" Type="http://schemas.openxmlformats.org/officeDocument/2006/relationships/hyperlink" Target="https://doi.org/10.3389/fpsyt.2018.00450" TargetMode="External"/><Relationship Id="rId47" Type="http://schemas.openxmlformats.org/officeDocument/2006/relationships/theme" Target="theme/theme1.xml"/><Relationship Id="rId7" Type="http://schemas.openxmlformats.org/officeDocument/2006/relationships/hyperlink" Target="https://doi.org/10.1007/s00787-022-02015-5" TargetMode="External"/><Relationship Id="rId2" Type="http://schemas.openxmlformats.org/officeDocument/2006/relationships/styles" Target="styles.xml"/><Relationship Id="rId16" Type="http://schemas.openxmlformats.org/officeDocument/2006/relationships/hyperlink" Target="https://doi.org/10.46692/9781447351429.009" TargetMode="External"/><Relationship Id="rId29" Type="http://schemas.openxmlformats.org/officeDocument/2006/relationships/hyperlink" Target="https://www.longtermplan.nhs.uk/" TargetMode="External"/><Relationship Id="rId1" Type="http://schemas.openxmlformats.org/officeDocument/2006/relationships/numbering" Target="numbering.xml"/><Relationship Id="rId6" Type="http://schemas.openxmlformats.org/officeDocument/2006/relationships/hyperlink" Target="https://doi.org/10.1136/bmj-2021-069405" TargetMode="External"/><Relationship Id="rId11" Type="http://schemas.openxmlformats.org/officeDocument/2006/relationships/hyperlink" Target="https://doi.org/10.1371/journal.pone.0211882" TargetMode="External"/><Relationship Id="rId24" Type="http://schemas.openxmlformats.org/officeDocument/2006/relationships/hyperlink" Target="https://www.researchgate.net/publication/389030755_Attachment_theory_Bowlby" TargetMode="External"/><Relationship Id="rId32" Type="http://schemas.openxmlformats.org/officeDocument/2006/relationships/hyperlink" Target="https://doi.org/10.1146/annurev-clinpsy-081219-112621" TargetMode="External"/><Relationship Id="rId37" Type="http://schemas.openxmlformats.org/officeDocument/2006/relationships/hyperlink" Target="https://doi.org/10.1080/10926770903475968" TargetMode="External"/><Relationship Id="rId40" Type="http://schemas.openxmlformats.org/officeDocument/2006/relationships/hyperlink" Target="https://www.communitycare.co.uk/2024/01/22/55000-on-waiting-lists-for-child-sexual-abuse-support-services-estimates-research/" TargetMode="External"/><Relationship Id="rId45" Type="http://schemas.openxmlformats.org/officeDocument/2006/relationships/hyperlink" Target="https://doi.org/10.1080/00377317.2016.1222110" TargetMode="External"/><Relationship Id="rId5" Type="http://schemas.openxmlformats.org/officeDocument/2006/relationships/hyperlink" Target="https://doi.org/10.3389/fpsyt.2024.1528914" TargetMode="External"/><Relationship Id="rId15" Type="http://schemas.openxmlformats.org/officeDocument/2006/relationships/hyperlink" Target="https://doi.org/10.1016/s2215-0366(19)30286-x" TargetMode="External"/><Relationship Id="rId23" Type="http://schemas.openxmlformats.org/officeDocument/2006/relationships/hyperlink" Target="https://doi.org/10.1016/s0145-2134(99)00081-2" TargetMode="External"/><Relationship Id="rId28" Type="http://schemas.openxmlformats.org/officeDocument/2006/relationships/hyperlink" Target="https://www.nhs.uk/mental-health/conditions/depression-in-adults/overview/" TargetMode="External"/><Relationship Id="rId36" Type="http://schemas.openxmlformats.org/officeDocument/2006/relationships/hyperlink" Target="https://assets.publishing.service.gov.uk/media/65021079702634000d89b7f1/The-effectiveness-of-trauma-informed-approaches-to-prevent-adverse-outcomes-in-mental-health-and-wellbeing-a-rapid-review.pdf" TargetMode="External"/><Relationship Id="rId10" Type="http://schemas.openxmlformats.org/officeDocument/2006/relationships/hyperlink" Target="https://doi.org/10.4065/mcp.2009.0583" TargetMode="External"/><Relationship Id="rId19" Type="http://schemas.openxmlformats.org/officeDocument/2006/relationships/hyperlink" Target="https://doi.org/10.1016/j.chiabu.2016.10.015" TargetMode="External"/><Relationship Id="rId31" Type="http://schemas.openxmlformats.org/officeDocument/2006/relationships/hyperlink" Target="https://www.nice.org.uk/guidance/ng116/chapter/Recommendations" TargetMode="External"/><Relationship Id="rId44" Type="http://schemas.openxmlformats.org/officeDocument/2006/relationships/hyperlink" Target="https://visibleproject.org.uk/wp-content/uploads/2023/08/Visible-Childhood-Sexual-Abuse-and-Trauma-Informed-Practice-v2.pdf" TargetMode="External"/><Relationship Id="rId4" Type="http://schemas.openxmlformats.org/officeDocument/2006/relationships/webSettings" Target="webSettings.xml"/><Relationship Id="rId9" Type="http://schemas.openxmlformats.org/officeDocument/2006/relationships/hyperlink" Target="https://www.counselling-directory.org.uk/articles/identifying-attachment-and-trauma-with-children-at-risk-of-sexual-exploitation" TargetMode="External"/><Relationship Id="rId14" Type="http://schemas.openxmlformats.org/officeDocument/2006/relationships/hyperlink" Target="https://www.jstor.org/stable/27010942" TargetMode="External"/><Relationship Id="rId22" Type="http://schemas.openxmlformats.org/officeDocument/2006/relationships/hyperlink" Target="https://doi.org/10.1016/j.jbct.2024.100505" TargetMode="External"/><Relationship Id="rId27" Type="http://schemas.openxmlformats.org/officeDocument/2006/relationships/hyperlink" Target="https://digital.nhs.uk/data-and-information/publications/statistical/adult-psychiatric-morbidity-survey" TargetMode="External"/><Relationship Id="rId30" Type="http://schemas.openxmlformats.org/officeDocument/2006/relationships/hyperlink" Target="https://www.nice.org.uk/guidance/ng116/chapter/Recommendations" TargetMode="External"/><Relationship Id="rId35" Type="http://schemas.openxmlformats.org/officeDocument/2006/relationships/hyperlink" Target="https://www.csacentre.org.uk/app/uploads/2025/05/Support-Matters-2025.pdf" TargetMode="External"/><Relationship Id="rId43" Type="http://schemas.openxmlformats.org/officeDocument/2006/relationships/hyperlink" Target="https://www.csacentre.org.uk/app/uploads/2023/03/Key-messages-from-research-Impacts-of-child-sexual-abuse.pdf" TargetMode="External"/><Relationship Id="rId8" Type="http://schemas.openxmlformats.org/officeDocument/2006/relationships/hyperlink" Target="https://www.legislation.gov.uk/ukpga/2014/23/section/1" TargetMode="External"/><Relationship Id="rId3" Type="http://schemas.openxmlformats.org/officeDocument/2006/relationships/settings" Target="settings.xml"/><Relationship Id="rId12" Type="http://schemas.openxmlformats.org/officeDocument/2006/relationships/hyperlink" Target="https://doi.org/10.1016/j.neubiorev.2021.05.028" TargetMode="External"/><Relationship Id="rId17" Type="http://schemas.openxmlformats.org/officeDocument/2006/relationships/hyperlink" Target="https://www.iicsa.org.uk/reports-recommendations/publications/research/impacts-csa/research-findings/1-impacts-csa-victims-and-survivors.html" TargetMode="External"/><Relationship Id="rId25" Type="http://schemas.openxmlformats.org/officeDocument/2006/relationships/hyperlink" Target="https://journals.sagepub.com/doi/10.1177/16094069231205789" TargetMode="External"/><Relationship Id="rId33" Type="http://schemas.openxmlformats.org/officeDocument/2006/relationships/hyperlink" Target="https://www.ons.gov.uk/peoplepopulationandcommunity/crimeandjustice/bulletins/childabuseinenglandandwales/january2020" TargetMode="External"/><Relationship Id="rId38" Type="http://schemas.openxmlformats.org/officeDocument/2006/relationships/hyperlink" Target="https://www.nice.org.uk/guidance/ng116/evidence/full-guideline-pdf-6602623598" TargetMode="External"/><Relationship Id="rId46" Type="http://schemas.openxmlformats.org/officeDocument/2006/relationships/fontTable" Target="fontTable.xml"/><Relationship Id="rId20" Type="http://schemas.openxmlformats.org/officeDocument/2006/relationships/hyperlink" Target="https://journals.sagepub.com/doi/full/10.1177/1524838016673601" TargetMode="External"/><Relationship Id="rId41" Type="http://schemas.openxmlformats.org/officeDocument/2006/relationships/hyperlink" Target="https://doi.org/10.1080/10538712.2020.1751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6202</Words>
  <Characters>42985</Characters>
  <Application>Microsoft Office Word</Application>
  <DocSecurity>0</DocSecurity>
  <Lines>641</Lines>
  <Paragraphs>130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sofia rashid</cp:lastModifiedBy>
  <cp:revision>2</cp:revision>
  <dcterms:created xsi:type="dcterms:W3CDTF">2025-08-01T21:49:00Z</dcterms:created>
  <dcterms:modified xsi:type="dcterms:W3CDTF">2025-08-01T21:49:00Z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ad4ce6ea-7179-4e14-b81d-6a4a02dfbd89</vt:lpwstr>
  </property>
</Properties>
</file>