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54C79E" w14:textId="77777777" w:rsidR="00284685" w:rsidRDefault="00284685" w:rsidP="007260D9">
      <w:pPr>
        <w:spacing w:line="480" w:lineRule="auto"/>
        <w:rPr>
          <w:color w:val="000000" w:themeColor="text1"/>
          <w:lang w:val="en-IN"/>
        </w:rPr>
      </w:pPr>
      <w:bookmarkStart w:id="0" w:name="_Hlk213353924"/>
    </w:p>
    <w:p w14:paraId="5D7AD35C" w14:textId="77777777" w:rsidR="00284685" w:rsidRDefault="00284685" w:rsidP="007260D9">
      <w:pPr>
        <w:spacing w:line="480" w:lineRule="auto"/>
        <w:rPr>
          <w:color w:val="000000" w:themeColor="text1"/>
          <w:lang w:val="en-IN"/>
        </w:rPr>
      </w:pPr>
    </w:p>
    <w:p w14:paraId="4C0B5DE4" w14:textId="77777777" w:rsidR="00284685" w:rsidRDefault="00284685" w:rsidP="007260D9">
      <w:pPr>
        <w:spacing w:line="480" w:lineRule="auto"/>
        <w:rPr>
          <w:color w:val="000000" w:themeColor="text1"/>
          <w:lang w:val="en-IN"/>
        </w:rPr>
      </w:pPr>
    </w:p>
    <w:p w14:paraId="6B1DDC20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7392B1D5" w14:textId="77777777" w:rsidR="00284685" w:rsidRPr="00284685" w:rsidRDefault="00284685" w:rsidP="00284685">
      <w:pPr>
        <w:rPr>
          <w:rFonts w:ascii="Arial" w:hAnsi="Arial" w:cs="Arial"/>
          <w:b/>
          <w:bCs/>
          <w:color w:val="000000" w:themeColor="text1"/>
          <w:sz w:val="22"/>
          <w:szCs w:val="22"/>
          <w:lang w:val="en-IN"/>
        </w:rPr>
      </w:pPr>
    </w:p>
    <w:p w14:paraId="5DBD1C1B" w14:textId="3D5162FB" w:rsidR="00284685" w:rsidRPr="00284685" w:rsidRDefault="00284685" w:rsidP="00284685">
      <w:pPr>
        <w:rPr>
          <w:rFonts w:ascii="Arial" w:hAnsi="Arial" w:cs="Arial"/>
          <w:b/>
          <w:bCs/>
          <w:color w:val="000000" w:themeColor="text1"/>
          <w:sz w:val="22"/>
          <w:szCs w:val="22"/>
          <w:lang w:val="en-IN"/>
        </w:rPr>
      </w:pPr>
      <w:r w:rsidRPr="00284685">
        <w:rPr>
          <w:rFonts w:ascii="Arial" w:hAnsi="Arial" w:cs="Arial"/>
          <w:b/>
          <w:bCs/>
          <w:color w:val="000000" w:themeColor="text1"/>
          <w:sz w:val="22"/>
          <w:szCs w:val="22"/>
          <w:lang w:val="en-IN"/>
        </w:rPr>
        <w:t>The Role of Residential Care Homes: Do They Provide Quality Care or Restrict Freedom?</w:t>
      </w:r>
    </w:p>
    <w:p w14:paraId="3AEC2F05" w14:textId="77777777" w:rsid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26867917" w14:textId="5A0EB9C6" w:rsidR="00FD15F2" w:rsidRDefault="00FD15F2" w:rsidP="00FD15F2">
      <w:pPr>
        <w:jc w:val="center"/>
        <w:rPr>
          <w:rFonts w:ascii="Arial" w:hAnsi="Arial" w:cs="Arial"/>
          <w:color w:val="000000" w:themeColor="text1"/>
          <w:sz w:val="22"/>
          <w:szCs w:val="22"/>
          <w:lang w:val="en-IN"/>
        </w:rPr>
      </w:pPr>
      <w:r>
        <w:rPr>
          <w:rFonts w:ascii="Arial" w:hAnsi="Arial" w:cs="Arial"/>
          <w:color w:val="000000" w:themeColor="text1"/>
          <w:sz w:val="22"/>
          <w:szCs w:val="22"/>
          <w:lang w:val="en-IN"/>
        </w:rPr>
        <w:t>Empowering the Older Person – BMHP6027</w:t>
      </w:r>
    </w:p>
    <w:p w14:paraId="68EE5627" w14:textId="72070609" w:rsidR="00FD15F2" w:rsidRDefault="00FD15F2" w:rsidP="00FD15F2">
      <w:pPr>
        <w:jc w:val="center"/>
        <w:rPr>
          <w:rFonts w:ascii="Arial" w:hAnsi="Arial" w:cs="Arial"/>
          <w:color w:val="000000" w:themeColor="text1"/>
          <w:sz w:val="22"/>
          <w:szCs w:val="22"/>
          <w:lang w:val="en-IN"/>
        </w:rPr>
      </w:pPr>
      <w:r>
        <w:rPr>
          <w:rFonts w:ascii="Arial" w:hAnsi="Arial" w:cs="Arial"/>
          <w:color w:val="000000" w:themeColor="text1"/>
          <w:sz w:val="22"/>
          <w:szCs w:val="22"/>
          <w:lang w:val="en-IN"/>
        </w:rPr>
        <w:t>Student Name: Dana Zaharia</w:t>
      </w:r>
    </w:p>
    <w:p w14:paraId="3FD671A4" w14:textId="73EB39D5" w:rsidR="00FD15F2" w:rsidRDefault="00FD15F2" w:rsidP="00FD15F2">
      <w:pPr>
        <w:jc w:val="center"/>
        <w:rPr>
          <w:rFonts w:ascii="Arial" w:hAnsi="Arial" w:cs="Arial"/>
          <w:color w:val="000000" w:themeColor="text1"/>
          <w:sz w:val="22"/>
          <w:szCs w:val="22"/>
          <w:lang w:val="en-IN"/>
        </w:rPr>
      </w:pPr>
      <w:r>
        <w:rPr>
          <w:rFonts w:ascii="Arial" w:hAnsi="Arial" w:cs="Arial"/>
          <w:color w:val="000000" w:themeColor="text1"/>
          <w:sz w:val="22"/>
          <w:szCs w:val="22"/>
          <w:lang w:val="en-IN"/>
        </w:rPr>
        <w:t>Student Number: 2241343</w:t>
      </w:r>
    </w:p>
    <w:p w14:paraId="54DF96B5" w14:textId="0B99EE02" w:rsidR="00FD15F2" w:rsidRDefault="00FD15F2" w:rsidP="00FD15F2">
      <w:pPr>
        <w:jc w:val="center"/>
        <w:rPr>
          <w:rFonts w:ascii="Arial" w:hAnsi="Arial" w:cs="Arial"/>
          <w:color w:val="000000" w:themeColor="text1"/>
          <w:sz w:val="22"/>
          <w:szCs w:val="22"/>
          <w:lang w:val="en-IN"/>
        </w:rPr>
      </w:pPr>
      <w:r>
        <w:rPr>
          <w:rFonts w:ascii="Arial" w:hAnsi="Arial" w:cs="Arial"/>
          <w:color w:val="000000" w:themeColor="text1"/>
          <w:sz w:val="22"/>
          <w:szCs w:val="22"/>
          <w:lang w:val="en-IN"/>
        </w:rPr>
        <w:t>Lecturer: Zakiyyah Ahmed</w:t>
      </w:r>
    </w:p>
    <w:p w14:paraId="32C95340" w14:textId="33D9FACA" w:rsidR="00FD15F2" w:rsidRPr="00284685" w:rsidRDefault="00FD15F2" w:rsidP="00FD15F2">
      <w:pPr>
        <w:jc w:val="center"/>
        <w:rPr>
          <w:rFonts w:ascii="Arial" w:hAnsi="Arial" w:cs="Arial"/>
          <w:color w:val="000000" w:themeColor="text1"/>
          <w:sz w:val="22"/>
          <w:szCs w:val="22"/>
          <w:lang w:val="en-IN"/>
        </w:rPr>
      </w:pPr>
      <w:r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Component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2</w:t>
      </w:r>
    </w:p>
    <w:p w14:paraId="11D4AC49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26E21B5A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4B401354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743249DD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4848A702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263BDE28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61C6639E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12E8A25B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01A93D80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54A91311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754D5C86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33E374D2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380564BF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41F6BFAA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3223B327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</w:p>
    <w:p w14:paraId="1E9CA335" w14:textId="77777777" w:rsidR="00284685" w:rsidRPr="00284685" w:rsidRDefault="00284685" w:rsidP="00284685">
      <w:pPr>
        <w:rPr>
          <w:rFonts w:ascii="Arial" w:hAnsi="Arial" w:cs="Arial"/>
          <w:sz w:val="22"/>
          <w:szCs w:val="22"/>
        </w:rPr>
      </w:pPr>
    </w:p>
    <w:bookmarkEnd w:id="0"/>
    <w:p w14:paraId="7A2DD907" w14:textId="77777777" w:rsidR="00284685" w:rsidRPr="00284685" w:rsidRDefault="00284685" w:rsidP="00284685">
      <w:pPr>
        <w:rPr>
          <w:rFonts w:ascii="Arial" w:hAnsi="Arial" w:cs="Arial"/>
          <w:sz w:val="22"/>
          <w:szCs w:val="22"/>
        </w:rPr>
      </w:pPr>
    </w:p>
    <w:p w14:paraId="4BEBEB43" w14:textId="77777777" w:rsidR="00284685" w:rsidRDefault="00284685" w:rsidP="00284685">
      <w:pPr>
        <w:rPr>
          <w:rFonts w:ascii="Arial" w:hAnsi="Arial" w:cs="Arial"/>
          <w:sz w:val="22"/>
          <w:szCs w:val="22"/>
        </w:rPr>
      </w:pPr>
    </w:p>
    <w:p w14:paraId="4ED1CCF1" w14:textId="77777777" w:rsidR="00284685" w:rsidRDefault="00284685" w:rsidP="00284685">
      <w:pPr>
        <w:rPr>
          <w:rFonts w:ascii="Arial" w:hAnsi="Arial" w:cs="Arial"/>
          <w:sz w:val="22"/>
          <w:szCs w:val="22"/>
        </w:rPr>
      </w:pPr>
    </w:p>
    <w:p w14:paraId="3C8E21DC" w14:textId="77777777" w:rsidR="00284685" w:rsidRDefault="00284685" w:rsidP="00284685">
      <w:pPr>
        <w:rPr>
          <w:rFonts w:ascii="Arial" w:hAnsi="Arial" w:cs="Arial"/>
          <w:sz w:val="22"/>
          <w:szCs w:val="22"/>
        </w:rPr>
      </w:pPr>
    </w:p>
    <w:p w14:paraId="614E1A90" w14:textId="77777777" w:rsidR="00284685" w:rsidRDefault="00284685" w:rsidP="00284685">
      <w:pPr>
        <w:rPr>
          <w:rFonts w:ascii="Arial" w:hAnsi="Arial" w:cs="Arial"/>
          <w:sz w:val="22"/>
          <w:szCs w:val="22"/>
        </w:rPr>
      </w:pPr>
    </w:p>
    <w:p w14:paraId="08B206BD" w14:textId="77777777" w:rsidR="00284685" w:rsidRDefault="00284685" w:rsidP="00284685">
      <w:pPr>
        <w:rPr>
          <w:rFonts w:ascii="Arial" w:hAnsi="Arial" w:cs="Arial"/>
          <w:sz w:val="22"/>
          <w:szCs w:val="22"/>
        </w:rPr>
      </w:pPr>
    </w:p>
    <w:p w14:paraId="4E6D993A" w14:textId="77777777" w:rsidR="00284685" w:rsidRDefault="00284685" w:rsidP="00284685">
      <w:pPr>
        <w:rPr>
          <w:rFonts w:ascii="Arial" w:hAnsi="Arial" w:cs="Arial"/>
          <w:sz w:val="22"/>
          <w:szCs w:val="22"/>
        </w:rPr>
      </w:pPr>
    </w:p>
    <w:p w14:paraId="4BF962DD" w14:textId="77777777" w:rsidR="00284685" w:rsidRPr="00284685" w:rsidRDefault="00284685" w:rsidP="00284685">
      <w:pPr>
        <w:rPr>
          <w:rFonts w:ascii="Arial" w:hAnsi="Arial" w:cs="Arial"/>
          <w:sz w:val="22"/>
          <w:szCs w:val="22"/>
        </w:rPr>
      </w:pPr>
    </w:p>
    <w:p w14:paraId="34AD3DC9" w14:textId="77777777" w:rsidR="00284685" w:rsidRPr="00284685" w:rsidRDefault="00284685" w:rsidP="00284685">
      <w:pPr>
        <w:rPr>
          <w:rFonts w:ascii="Arial" w:hAnsi="Arial" w:cs="Arial"/>
          <w:sz w:val="22"/>
          <w:szCs w:val="22"/>
        </w:rPr>
      </w:pPr>
    </w:p>
    <w:p w14:paraId="752816B1" w14:textId="77777777" w:rsidR="00284685" w:rsidRPr="00284685" w:rsidRDefault="00284685" w:rsidP="00284685">
      <w:pPr>
        <w:rPr>
          <w:rFonts w:ascii="Arial" w:hAnsi="Arial" w:cs="Arial"/>
          <w:sz w:val="22"/>
          <w:szCs w:val="22"/>
        </w:rPr>
      </w:pPr>
    </w:p>
    <w:p w14:paraId="1DFB79DE" w14:textId="77777777" w:rsidR="00284685" w:rsidRPr="00284685" w:rsidRDefault="00284685" w:rsidP="00284685">
      <w:pPr>
        <w:rPr>
          <w:rFonts w:ascii="Arial" w:hAnsi="Arial" w:cs="Arial"/>
          <w:sz w:val="22"/>
          <w:szCs w:val="22"/>
        </w:rPr>
      </w:pPr>
    </w:p>
    <w:p w14:paraId="537EECF9" w14:textId="47330805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</w:rPr>
      </w:pP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Age UK (2019).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</w:rPr>
        <w:t>Briefing: Health and Care of Older People in England 2019.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4" w:history="1">
        <w:r w:rsidRPr="00284685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Microsoft Word - State of Health and Care of Older People FINAL</w:t>
        </w:r>
      </w:hyperlink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3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4755F68E" w14:textId="01D3E40A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</w:rPr>
      </w:pPr>
      <w:bookmarkStart w:id="1" w:name="_Hlk213355035"/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Age UK </w:t>
      </w:r>
      <w:bookmarkEnd w:id="1"/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(2023).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</w:rPr>
        <w:t>A hidden crisis: Older people and deprivation of liberty in care homes.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5" w:history="1">
        <w:r w:rsidRPr="00284685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deprivation_of_liberty_safeguards_report.pdf</w:t>
        </w:r>
      </w:hyperlink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4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47E08738" w14:textId="076358FE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</w:rPr>
      </w:pPr>
      <w:bookmarkStart w:id="2" w:name="_Hlk213354091"/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Alzheimer’s Society </w:t>
      </w:r>
      <w:bookmarkEnd w:id="2"/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(2018).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</w:rPr>
        <w:t>Dementia – the true cost: Fixing the care crisis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6" w:history="1">
        <w:r w:rsidRPr="00284685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https://www.alzheimers.org.uk/sites/default/files/2018-05/Dementia%20the%20true%20cost%20-%20Alzheimers%20Society%20report.pdf</w:t>
        </w:r>
      </w:hyperlink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3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0BB03CD3" w14:textId="7777777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</w:rPr>
      </w:pPr>
      <w:bookmarkStart w:id="3" w:name="_Hlk213354432"/>
      <w:r w:rsidRPr="00284685">
        <w:rPr>
          <w:rFonts w:ascii="Arial" w:hAnsi="Arial" w:cs="Arial"/>
          <w:color w:val="000000" w:themeColor="text1"/>
          <w:sz w:val="22"/>
          <w:szCs w:val="22"/>
        </w:rPr>
        <w:t>Bach-Mortensen</w:t>
      </w:r>
      <w:bookmarkEnd w:id="3"/>
      <w:r w:rsidRPr="00284685">
        <w:rPr>
          <w:rFonts w:ascii="Arial" w:hAnsi="Arial" w:cs="Arial"/>
          <w:color w:val="000000" w:themeColor="text1"/>
          <w:sz w:val="22"/>
          <w:szCs w:val="22"/>
        </w:rPr>
        <w:t>, A., Goodair, B. and Degli Esposti, M., 2024. Involuntary closures of for-profit care homes in England by the Care Quality Commission. 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</w:rPr>
        <w:t>The Lancet Healthy Longevity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>, 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</w:rPr>
        <w:t>5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(4), </w:t>
      </w:r>
      <w:proofErr w:type="gramStart"/>
      <w:r w:rsidRPr="00284685">
        <w:rPr>
          <w:rFonts w:ascii="Arial" w:hAnsi="Arial" w:cs="Arial"/>
          <w:color w:val="000000" w:themeColor="text1"/>
          <w:sz w:val="22"/>
          <w:szCs w:val="22"/>
        </w:rPr>
        <w:t>pp.e</w:t>
      </w:r>
      <w:proofErr w:type="gramEnd"/>
      <w:r w:rsidRPr="00284685">
        <w:rPr>
          <w:rFonts w:ascii="Arial" w:hAnsi="Arial" w:cs="Arial"/>
          <w:color w:val="000000" w:themeColor="text1"/>
          <w:sz w:val="22"/>
          <w:szCs w:val="22"/>
        </w:rPr>
        <w:t>297-e302.</w:t>
      </w:r>
    </w:p>
    <w:p w14:paraId="031A1717" w14:textId="5502A9B6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  <w:bookmarkStart w:id="4" w:name="_Hlk213353306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BMJ </w:t>
      </w:r>
      <w:bookmarkEnd w:id="4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(2020). Covid-19: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  <w:lang w:val="en-IN"/>
        </w:rPr>
        <w:t>The support UK care homes need to survive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. 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7" w:history="1">
        <w:r w:rsidRPr="00284685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https://www.bmj.com/content/369/bmj.m1858</w:t>
        </w:r>
      </w:hyperlink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2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1AF475D2" w14:textId="3B09735D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  <w:bookmarkStart w:id="5" w:name="_Hlk213353205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BMJ </w:t>
      </w:r>
      <w:bookmarkEnd w:id="5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(2022).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  <w:lang w:val="en-IN"/>
        </w:rPr>
        <w:t>Covid-19: Policy to discharge vulnerable patients to care homes was irrational, say judges.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8" w:history="1">
        <w:r w:rsidRPr="00284685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https://www.bmj.com/content/377/bmj.o1098</w:t>
        </w:r>
      </w:hyperlink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2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2F58B011" w14:textId="107DCAFD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</w:rPr>
      </w:pPr>
      <w:bookmarkStart w:id="6" w:name="_Hlk213354868"/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Care England </w:t>
      </w:r>
      <w:bookmarkEnd w:id="6"/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(2025).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</w:rPr>
        <w:t>The Arrival of the Second Report in Care England and Cornerstone’s New Report Series to Address Care Home Challenges.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https://www.careengland.org.uk/the-arrival-of-the-second-report-in-care-england-and-cornerstones-new-report-series-to-address-care-home-challenges/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3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78673E2F" w14:textId="06D4C917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  <w:bookmarkStart w:id="7" w:name="_Hlk213349449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CMM </w:t>
      </w:r>
      <w:bookmarkEnd w:id="7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(2021).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  <w:lang w:val="en-IN"/>
        </w:rPr>
        <w:t>NAO publishes adult social care market report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. 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9" w:history="1">
        <w:r w:rsidRPr="00284685">
          <w:rPr>
            <w:rStyle w:val="Hyperlink"/>
            <w:rFonts w:ascii="Arial" w:hAnsi="Arial" w:cs="Arial"/>
            <w:sz w:val="22"/>
            <w:szCs w:val="22"/>
          </w:rPr>
          <w:t>https://www.caremanagementmatters.co.uk/nao-publishes-adult-social-care-market-report/</w:t>
        </w:r>
      </w:hyperlink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2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2BC99241" w14:textId="404452F8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</w:rPr>
      </w:pPr>
      <w:bookmarkStart w:id="8" w:name="_Hlk213354362"/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CQC </w:t>
      </w:r>
      <w:bookmarkEnd w:id="8"/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(2021).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  <w:lang w:val="en-IN"/>
        </w:rPr>
        <w:t>Infection prevention and control.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0" w:history="1">
        <w:r w:rsidRPr="00284685">
          <w:rPr>
            <w:rStyle w:val="Hyperlink"/>
            <w:rFonts w:ascii="Arial" w:hAnsi="Arial" w:cs="Arial"/>
            <w:sz w:val="22"/>
            <w:szCs w:val="22"/>
          </w:rPr>
          <w:t>https://www.cqc.org.uk/publications/major-reports/soc202021_02e_ipc</w:t>
        </w:r>
      </w:hyperlink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3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6EFC80C8" w14:textId="7A4A3A88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  <w:bookmarkStart w:id="9" w:name="_Hlk213352930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CQC </w:t>
      </w:r>
      <w:bookmarkEnd w:id="9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(2024).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  <w:lang w:val="en-IN"/>
        </w:rPr>
        <w:t>Publication of statistics on deaths involving COVID-19 in care homes in England: transparency statement.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1" w:history="1">
        <w:r w:rsidRPr="00284685">
          <w:rPr>
            <w:rStyle w:val="Hyperlink"/>
            <w:rFonts w:ascii="Arial" w:hAnsi="Arial" w:cs="Arial"/>
            <w:sz w:val="22"/>
            <w:szCs w:val="22"/>
          </w:rPr>
          <w:t>https://www.cqc.org.uk/publications/major-reports/publication-statistics-deaths-involving-covid-19-care-homes-england</w:t>
        </w:r>
      </w:hyperlink>
      <w:r w:rsidRPr="00284685">
        <w:rPr>
          <w:rFonts w:ascii="Arial" w:hAnsi="Arial" w:cs="Arial"/>
          <w:sz w:val="22"/>
          <w:szCs w:val="22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1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67E56932" w14:textId="77777777" w:rsidR="00284685" w:rsidRPr="00284685" w:rsidRDefault="00284685" w:rsidP="00284685">
      <w:pPr>
        <w:rPr>
          <w:rFonts w:ascii="Arial" w:hAnsi="Arial" w:cs="Arial"/>
          <w:sz w:val="22"/>
          <w:szCs w:val="22"/>
        </w:rPr>
      </w:pPr>
      <w:r w:rsidRPr="00284685">
        <w:rPr>
          <w:rFonts w:ascii="Arial" w:hAnsi="Arial" w:cs="Arial"/>
          <w:sz w:val="22"/>
          <w:szCs w:val="22"/>
        </w:rPr>
        <w:lastRenderedPageBreak/>
        <w:t xml:space="preserve">Davies, S.L., Goodman, C., Bunn, F., Victor, C., Dickinson, A., Iliffe, S., Gage, H., Martin, W. &amp; Froggatt, K. (2011) ‘A systematic review of integrated working between care homes and health care services’, BMC Health Services Research, 11, p. 320. </w:t>
      </w:r>
      <w:proofErr w:type="spellStart"/>
      <w:r w:rsidRPr="00284685">
        <w:rPr>
          <w:rFonts w:ascii="Arial" w:hAnsi="Arial" w:cs="Arial"/>
          <w:sz w:val="22"/>
          <w:szCs w:val="22"/>
        </w:rPr>
        <w:t>doi</w:t>
      </w:r>
      <w:proofErr w:type="spellEnd"/>
      <w:r w:rsidRPr="00284685">
        <w:rPr>
          <w:rFonts w:ascii="Arial" w:hAnsi="Arial" w:cs="Arial"/>
          <w:sz w:val="22"/>
          <w:szCs w:val="22"/>
        </w:rPr>
        <w:t>: 10.1186/1472-6963-11-320.</w:t>
      </w:r>
    </w:p>
    <w:p w14:paraId="67019CC5" w14:textId="0070C8AF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</w:rPr>
      </w:pP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Foster, D., (2022).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</w:rPr>
        <w:t>Coronavirus: Adult social care key issues and sources.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2" w:history="1">
        <w:r w:rsidRPr="00284685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https://researchbriefings.files.parliament.uk/documents/CBP-9019/CBP-9019.pdf</w:t>
        </w:r>
      </w:hyperlink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3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43E82A33" w14:textId="77777777" w:rsidR="00284685" w:rsidRPr="00284685" w:rsidRDefault="00284685" w:rsidP="00284685">
      <w:pPr>
        <w:rPr>
          <w:rFonts w:ascii="Arial" w:hAnsi="Arial" w:cs="Arial"/>
          <w:sz w:val="22"/>
          <w:szCs w:val="22"/>
        </w:rPr>
      </w:pPr>
      <w:r w:rsidRPr="00284685">
        <w:rPr>
          <w:rFonts w:ascii="Arial" w:hAnsi="Arial" w:cs="Arial"/>
          <w:sz w:val="22"/>
          <w:szCs w:val="22"/>
        </w:rPr>
        <w:t xml:space="preserve">Hargreaves, C., Tucker, S., Hughes, J., Hays, R. &amp; Challis, D. (2019) ‘Specialist healthcare services for UK care home residents: a latent class analysis’, Primary Health Care Research &amp; Development, 20, e113. </w:t>
      </w:r>
      <w:proofErr w:type="spellStart"/>
      <w:r w:rsidRPr="00284685">
        <w:rPr>
          <w:rFonts w:ascii="Arial" w:hAnsi="Arial" w:cs="Arial"/>
          <w:sz w:val="22"/>
          <w:szCs w:val="22"/>
        </w:rPr>
        <w:t>doi</w:t>
      </w:r>
      <w:proofErr w:type="spellEnd"/>
      <w:r w:rsidRPr="00284685">
        <w:rPr>
          <w:rFonts w:ascii="Arial" w:hAnsi="Arial" w:cs="Arial"/>
          <w:sz w:val="22"/>
          <w:szCs w:val="22"/>
        </w:rPr>
        <w:t>: 10.1017/S1463423619000586.</w:t>
      </w:r>
    </w:p>
    <w:p w14:paraId="3CA7D14D" w14:textId="12B2CF9E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</w:rPr>
      </w:pPr>
      <w:bookmarkStart w:id="10" w:name="_Hlk213354622"/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Healthwatch </w:t>
      </w:r>
      <w:bookmarkEnd w:id="10"/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(2022).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</w:rPr>
        <w:t>Our annual report 2020-21.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3" w:history="1">
        <w:r w:rsidRPr="00284685">
          <w:rPr>
            <w:rStyle w:val="Hyperlink"/>
            <w:rFonts w:ascii="Arial" w:hAnsi="Arial" w:cs="Arial"/>
            <w:sz w:val="22"/>
            <w:szCs w:val="22"/>
          </w:rPr>
          <w:t>https://www.healthwatch.co.uk/report/2022-02-03/our-annual-report-2020-21</w:t>
        </w:r>
      </w:hyperlink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3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0D154A99" w14:textId="7E90B1FA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  <w:bookmarkStart w:id="11" w:name="_Hlk213353136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House of Commons </w:t>
      </w:r>
      <w:bookmarkEnd w:id="11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(2024).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</w:rPr>
        <w:t>Reforming adult social care in England.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4" w:history="1">
        <w:r w:rsidRPr="00284685">
          <w:rPr>
            <w:rStyle w:val="Hyperlink"/>
            <w:rFonts w:ascii="Arial" w:hAnsi="Arial" w:cs="Arial"/>
            <w:sz w:val="22"/>
            <w:szCs w:val="22"/>
          </w:rPr>
          <w:t>https://committees.parliament.uk/publications/43918/documents/217743/default/</w:t>
        </w:r>
      </w:hyperlink>
      <w:r w:rsidRPr="00284685">
        <w:rPr>
          <w:rFonts w:ascii="Arial" w:hAnsi="Arial" w:cs="Arial"/>
          <w:sz w:val="22"/>
          <w:szCs w:val="22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2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04DB77F9" w14:textId="3C186322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  <w:bookmarkStart w:id="12" w:name="_Hlk213347885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IFS </w:t>
      </w:r>
      <w:bookmarkEnd w:id="12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(2024).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  <w:lang w:val="en-IN"/>
        </w:rPr>
        <w:t>Adult social care in England: what next?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5" w:history="1">
        <w:r w:rsidRPr="00284685">
          <w:rPr>
            <w:rStyle w:val="Hyperlink"/>
            <w:rFonts w:ascii="Arial" w:hAnsi="Arial" w:cs="Arial"/>
            <w:sz w:val="22"/>
            <w:szCs w:val="22"/>
          </w:rPr>
          <w:t>https://ifs.org.uk/publications/adult-social-care-england-what-next</w:t>
        </w:r>
      </w:hyperlink>
      <w:r w:rsidRPr="00284685">
        <w:rPr>
          <w:rFonts w:ascii="Arial" w:hAnsi="Arial" w:cs="Arial"/>
          <w:sz w:val="22"/>
          <w:szCs w:val="22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1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72963B42" w14:textId="77777777" w:rsidR="00284685" w:rsidRPr="00284685" w:rsidRDefault="00284685" w:rsidP="00284685">
      <w:pPr>
        <w:rPr>
          <w:rFonts w:ascii="Arial" w:hAnsi="Arial" w:cs="Arial"/>
          <w:sz w:val="22"/>
          <w:szCs w:val="22"/>
        </w:rPr>
      </w:pPr>
      <w:r w:rsidRPr="00284685">
        <w:rPr>
          <w:rFonts w:ascii="Arial" w:hAnsi="Arial" w:cs="Arial"/>
          <w:sz w:val="22"/>
          <w:szCs w:val="22"/>
        </w:rPr>
        <w:t xml:space="preserve">Jacob, N., Maden, M., Griffiths, A.W., Stokes, L., Shepherd, V., Hill, R., Scott, S., Prout, H., Gates, C., Jones, L., Bethell, L., Hewkin, P., Smith, G., Ingle, M. &amp; Williams, N. (2025) ‘What is known about the design, delivery and implementation of mental capacity training in care homes?: a scoping review’, BMC Geriatrics, 25, p. 860. </w:t>
      </w:r>
      <w:proofErr w:type="spellStart"/>
      <w:r w:rsidRPr="00284685">
        <w:rPr>
          <w:rFonts w:ascii="Arial" w:hAnsi="Arial" w:cs="Arial"/>
          <w:sz w:val="22"/>
          <w:szCs w:val="22"/>
        </w:rPr>
        <w:t>doi</w:t>
      </w:r>
      <w:proofErr w:type="spellEnd"/>
      <w:r w:rsidRPr="00284685">
        <w:rPr>
          <w:rFonts w:ascii="Arial" w:hAnsi="Arial" w:cs="Arial"/>
          <w:sz w:val="22"/>
          <w:szCs w:val="22"/>
        </w:rPr>
        <w:t>: 10.1186/s12877-025-06476-6.</w:t>
      </w:r>
    </w:p>
    <w:p w14:paraId="086C4ED6" w14:textId="26FB7766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Murphy, S., (2018).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  <w:lang w:val="en-IN"/>
        </w:rPr>
        <w:t>This article is more than 6 years old Companies running 'inadequate' UK care homes make £113m profit.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6" w:history="1">
        <w:r w:rsidRPr="00284685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https://www.theguardian.com/society/2018/nov/23/revealed-companies-running-inadequate-uk-care-homes-make-113m-profit</w:t>
        </w:r>
      </w:hyperlink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2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3E1924F6" w14:textId="294C7391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</w:rPr>
      </w:pPr>
      <w:bookmarkStart w:id="13" w:name="_Hlk213354765"/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NAO </w:t>
      </w:r>
      <w:bookmarkEnd w:id="13"/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(2018).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</w:rPr>
        <w:t>The adult social care workforce in England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7" w:history="1">
        <w:r w:rsidRPr="00284685">
          <w:rPr>
            <w:rStyle w:val="Hyperlink"/>
            <w:rFonts w:ascii="Arial" w:hAnsi="Arial" w:cs="Arial"/>
            <w:sz w:val="22"/>
            <w:szCs w:val="22"/>
          </w:rPr>
          <w:t>https://www.nao.org.uk/reports/the-adult-social-care-workforce-in-england/</w:t>
        </w:r>
      </w:hyperlink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3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65ABB434" w14:textId="4364CAD3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  <w:bookmarkStart w:id="14" w:name="_Hlk213353048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NAO </w:t>
      </w:r>
      <w:bookmarkEnd w:id="14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(2023).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  <w:lang w:val="en-IN"/>
        </w:rPr>
        <w:t xml:space="preserve">Reforming adult social care in England. 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8" w:history="1">
        <w:r w:rsidRPr="00284685">
          <w:rPr>
            <w:rStyle w:val="Hyperlink"/>
            <w:rFonts w:ascii="Arial" w:hAnsi="Arial" w:cs="Arial"/>
            <w:sz w:val="22"/>
            <w:szCs w:val="22"/>
          </w:rPr>
          <w:t>https://www.nao.org.uk/reports/reforming-adult-social-care-in-england/</w:t>
        </w:r>
      </w:hyperlink>
      <w:r w:rsidRPr="00284685">
        <w:rPr>
          <w:rFonts w:ascii="Arial" w:hAnsi="Arial" w:cs="Arial"/>
          <w:sz w:val="22"/>
          <w:szCs w:val="22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1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072D09A2" w14:textId="77777777" w:rsidR="00284685" w:rsidRPr="00284685" w:rsidRDefault="00284685" w:rsidP="00284685">
      <w:pPr>
        <w:rPr>
          <w:rFonts w:ascii="Arial" w:hAnsi="Arial" w:cs="Arial"/>
          <w:sz w:val="22"/>
          <w:szCs w:val="22"/>
        </w:rPr>
      </w:pPr>
      <w:r w:rsidRPr="00284685">
        <w:rPr>
          <w:rFonts w:ascii="Arial" w:hAnsi="Arial" w:cs="Arial"/>
          <w:sz w:val="22"/>
          <w:szCs w:val="22"/>
        </w:rPr>
        <w:t xml:space="preserve">NHS England (2019) The NHS Long Term Plan. Available at: https://www.longtermplan.nhs.uk (Accessed: </w:t>
      </w:r>
      <w:r>
        <w:rPr>
          <w:rFonts w:ascii="Arial" w:hAnsi="Arial" w:cs="Arial"/>
          <w:sz w:val="22"/>
          <w:szCs w:val="22"/>
        </w:rPr>
        <w:t>09 Nov 2025</w:t>
      </w:r>
      <w:r w:rsidRPr="00284685">
        <w:rPr>
          <w:rFonts w:ascii="Arial" w:hAnsi="Arial" w:cs="Arial"/>
          <w:sz w:val="22"/>
          <w:szCs w:val="22"/>
        </w:rPr>
        <w:t>).</w:t>
      </w:r>
    </w:p>
    <w:p w14:paraId="65D73E0D" w14:textId="1C4DB19B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lastRenderedPageBreak/>
        <w:t xml:space="preserve">Nuffield Trust (2022).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  <w:lang w:val="en-IN"/>
        </w:rPr>
        <w:t>Admissions to care homes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. 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9" w:history="1">
        <w:r w:rsidRPr="00284685">
          <w:rPr>
            <w:rStyle w:val="Hyperlink"/>
            <w:rFonts w:ascii="Arial" w:hAnsi="Arial" w:cs="Arial"/>
            <w:sz w:val="22"/>
            <w:szCs w:val="22"/>
          </w:rPr>
          <w:t>https://www.nuffieldtrust.org.uk/resource/admissions-to-care-homes</w:t>
        </w:r>
      </w:hyperlink>
      <w:r w:rsidRPr="00284685">
        <w:rPr>
          <w:rFonts w:ascii="Arial" w:hAnsi="Arial" w:cs="Arial"/>
          <w:sz w:val="22"/>
          <w:szCs w:val="22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1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0D746D64" w14:textId="70917D00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</w:rPr>
      </w:pPr>
      <w:bookmarkStart w:id="15" w:name="_Hlk213353717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Nuffield Trust </w:t>
      </w:r>
      <w:bookmarkEnd w:id="15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(2025).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  <w:lang w:val="en-IN"/>
        </w:rPr>
        <w:t>Care home bed availability.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20" w:history="1">
        <w:r w:rsidRPr="00284685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https://www.nuffieldtrust.org.uk/resource/care-home-bed-availability</w:t>
        </w:r>
      </w:hyperlink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3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p w14:paraId="469541B0" w14:textId="77777777" w:rsidR="00284685" w:rsidRPr="00284685" w:rsidRDefault="00284685" w:rsidP="00284685">
      <w:pPr>
        <w:rPr>
          <w:rFonts w:ascii="Arial" w:hAnsi="Arial" w:cs="Arial"/>
          <w:sz w:val="22"/>
          <w:szCs w:val="22"/>
        </w:rPr>
      </w:pPr>
      <w:r w:rsidRPr="00284685">
        <w:rPr>
          <w:rFonts w:ascii="Arial" w:hAnsi="Arial" w:cs="Arial"/>
          <w:sz w:val="22"/>
          <w:szCs w:val="22"/>
        </w:rPr>
        <w:t xml:space="preserve">The Care Act 2014. Available at: https://www.legislation.gov.uk/ukpga/2014/23/contents (Accessed: </w:t>
      </w:r>
      <w:r>
        <w:rPr>
          <w:rFonts w:ascii="Arial" w:hAnsi="Arial" w:cs="Arial"/>
          <w:sz w:val="22"/>
          <w:szCs w:val="22"/>
        </w:rPr>
        <w:t>09 Nov 2025</w:t>
      </w:r>
      <w:r w:rsidRPr="00284685">
        <w:rPr>
          <w:rFonts w:ascii="Arial" w:hAnsi="Arial" w:cs="Arial"/>
          <w:sz w:val="22"/>
          <w:szCs w:val="22"/>
        </w:rPr>
        <w:t>).</w:t>
      </w:r>
    </w:p>
    <w:p w14:paraId="635B8100" w14:textId="6718F243" w:rsidR="00284685" w:rsidRPr="00284685" w:rsidRDefault="00284685" w:rsidP="00284685">
      <w:pPr>
        <w:rPr>
          <w:rFonts w:ascii="Arial" w:hAnsi="Arial" w:cs="Arial"/>
          <w:color w:val="000000" w:themeColor="text1"/>
          <w:sz w:val="22"/>
          <w:szCs w:val="22"/>
          <w:lang w:val="en-IN"/>
        </w:rPr>
      </w:pPr>
      <w:bookmarkStart w:id="16" w:name="_Hlk213353567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Wall</w:t>
      </w:r>
      <w:bookmarkEnd w:id="16"/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, T., (2024). </w:t>
      </w:r>
      <w:r w:rsidRPr="00284685">
        <w:rPr>
          <w:rFonts w:ascii="Arial" w:hAnsi="Arial" w:cs="Arial"/>
          <w:i/>
          <w:iCs/>
          <w:color w:val="000000" w:themeColor="text1"/>
          <w:sz w:val="22"/>
          <w:szCs w:val="22"/>
          <w:lang w:val="en-IN"/>
        </w:rPr>
        <w:t>Private firms ran almost all care homes forced to shut for breaches in England.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Available at:</w:t>
      </w:r>
      <w:r w:rsidRPr="0028468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21" w:history="1">
        <w:r w:rsidRPr="00284685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https://www.theguardian.com/society/2024/oct/06/private-firms-ran-almost-all-care-homes-forced-to-shut-for-breaches-in-england</w:t>
        </w:r>
      </w:hyperlink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 xml:space="preserve"> 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(</w:t>
      </w:r>
      <w:r w:rsidRPr="00284685">
        <w:rPr>
          <w:rFonts w:ascii="Arial" w:hAnsi="Arial" w:cs="Arial"/>
          <w:color w:val="000000" w:themeColor="text1"/>
          <w:sz w:val="22"/>
          <w:szCs w:val="22"/>
          <w:lang w:val="en-IN"/>
        </w:rPr>
        <w:t>Accessed: 3 November 2025</w:t>
      </w:r>
      <w:r w:rsidR="00EF5172">
        <w:rPr>
          <w:rFonts w:ascii="Arial" w:hAnsi="Arial" w:cs="Arial"/>
          <w:color w:val="000000" w:themeColor="text1"/>
          <w:sz w:val="22"/>
          <w:szCs w:val="22"/>
          <w:lang w:val="en-IN"/>
        </w:rPr>
        <w:t>)</w:t>
      </w:r>
    </w:p>
    <w:sectPr w:rsidR="00284685" w:rsidRPr="00284685" w:rsidSect="00F355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60D9"/>
    <w:rsid w:val="000436CF"/>
    <w:rsid w:val="000649D9"/>
    <w:rsid w:val="000B7CC7"/>
    <w:rsid w:val="000D6F60"/>
    <w:rsid w:val="000F438E"/>
    <w:rsid w:val="000F44C5"/>
    <w:rsid w:val="001128BE"/>
    <w:rsid w:val="00134E83"/>
    <w:rsid w:val="00182174"/>
    <w:rsid w:val="0019747C"/>
    <w:rsid w:val="001B6C01"/>
    <w:rsid w:val="002032FD"/>
    <w:rsid w:val="00217FBD"/>
    <w:rsid w:val="002316F0"/>
    <w:rsid w:val="002430B4"/>
    <w:rsid w:val="00284685"/>
    <w:rsid w:val="00291400"/>
    <w:rsid w:val="002E2B67"/>
    <w:rsid w:val="002F3B8B"/>
    <w:rsid w:val="0030139D"/>
    <w:rsid w:val="00324727"/>
    <w:rsid w:val="00335D6A"/>
    <w:rsid w:val="003442AC"/>
    <w:rsid w:val="003B727A"/>
    <w:rsid w:val="003D08F3"/>
    <w:rsid w:val="003F6A8B"/>
    <w:rsid w:val="00404E0F"/>
    <w:rsid w:val="00415B92"/>
    <w:rsid w:val="00470FD1"/>
    <w:rsid w:val="004A35AD"/>
    <w:rsid w:val="004E3BFC"/>
    <w:rsid w:val="00533F0B"/>
    <w:rsid w:val="005879A6"/>
    <w:rsid w:val="00587CB5"/>
    <w:rsid w:val="005B4184"/>
    <w:rsid w:val="005B5DFD"/>
    <w:rsid w:val="005D57DD"/>
    <w:rsid w:val="00625277"/>
    <w:rsid w:val="00636023"/>
    <w:rsid w:val="006A1B6C"/>
    <w:rsid w:val="007260D9"/>
    <w:rsid w:val="0079739B"/>
    <w:rsid w:val="007E0F68"/>
    <w:rsid w:val="007F2D38"/>
    <w:rsid w:val="00865CA6"/>
    <w:rsid w:val="00887F2E"/>
    <w:rsid w:val="008C272E"/>
    <w:rsid w:val="009022EA"/>
    <w:rsid w:val="00910CF3"/>
    <w:rsid w:val="00994600"/>
    <w:rsid w:val="009C22AA"/>
    <w:rsid w:val="009C761B"/>
    <w:rsid w:val="00A11D3E"/>
    <w:rsid w:val="00A3456B"/>
    <w:rsid w:val="00A465E0"/>
    <w:rsid w:val="00A65256"/>
    <w:rsid w:val="00A837B6"/>
    <w:rsid w:val="00AB4589"/>
    <w:rsid w:val="00AB4853"/>
    <w:rsid w:val="00AC4186"/>
    <w:rsid w:val="00AF10A4"/>
    <w:rsid w:val="00B05211"/>
    <w:rsid w:val="00B337F0"/>
    <w:rsid w:val="00BE390C"/>
    <w:rsid w:val="00C33DA3"/>
    <w:rsid w:val="00C7629A"/>
    <w:rsid w:val="00D2543A"/>
    <w:rsid w:val="00D421D2"/>
    <w:rsid w:val="00D43C19"/>
    <w:rsid w:val="00D717A0"/>
    <w:rsid w:val="00DA5B26"/>
    <w:rsid w:val="00DC53B4"/>
    <w:rsid w:val="00DF59DF"/>
    <w:rsid w:val="00E07F94"/>
    <w:rsid w:val="00E16486"/>
    <w:rsid w:val="00E30F13"/>
    <w:rsid w:val="00E6461E"/>
    <w:rsid w:val="00E820E2"/>
    <w:rsid w:val="00EE3630"/>
    <w:rsid w:val="00EE66FB"/>
    <w:rsid w:val="00EF5172"/>
    <w:rsid w:val="00F35529"/>
    <w:rsid w:val="00F52D22"/>
    <w:rsid w:val="00F85C4D"/>
    <w:rsid w:val="00FD15F2"/>
    <w:rsid w:val="00FD3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671529B"/>
  <w15:chartTrackingRefBased/>
  <w15:docId w15:val="{10883D11-DF21-4689-9C83-1A38895A7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before="60" w:after="160" w:line="259" w:lineRule="auto"/>
        <w:ind w:left="284" w:right="284" w:hanging="284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60D9"/>
    <w:pPr>
      <w:spacing w:before="0" w:after="0" w:line="360" w:lineRule="auto"/>
      <w:ind w:left="0" w:right="0" w:firstLine="0"/>
      <w:jc w:val="both"/>
    </w:pPr>
    <w:rPr>
      <w:rFonts w:ascii="Times New Roman" w:eastAsia="Times New Roman" w:hAnsi="Times New Roman" w:cs="Times New Roman"/>
      <w:sz w:val="24"/>
      <w:szCs w:val="2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15B92"/>
    <w:pPr>
      <w:keepNext/>
      <w:keepLines/>
      <w:pBdr>
        <w:top w:val="nil"/>
        <w:left w:val="nil"/>
        <w:bottom w:val="nil"/>
        <w:right w:val="nil"/>
        <w:between w:val="nil"/>
      </w:pBdr>
      <w:spacing w:line="480" w:lineRule="auto"/>
      <w:ind w:left="10" w:hanging="10"/>
      <w:outlineLvl w:val="0"/>
    </w:pPr>
    <w:rPr>
      <w:rFonts w:eastAsia="Arial" w:cs="Arial"/>
      <w:b/>
      <w:color w:val="000000"/>
      <w:sz w:val="28"/>
      <w:szCs w:val="22"/>
      <w:lang w:eastAsia="en-I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33DA3"/>
    <w:pPr>
      <w:keepNext/>
      <w:keepLines/>
      <w:widowControl w:val="0"/>
      <w:autoSpaceDE w:val="0"/>
      <w:autoSpaceDN w:val="0"/>
      <w:spacing w:before="40"/>
      <w:outlineLvl w:val="1"/>
    </w:pPr>
    <w:rPr>
      <w:rFonts w:eastAsiaTheme="majorEastAsia" w:cstheme="majorBidi"/>
      <w:b/>
      <w:color w:val="000000" w:themeColor="text1"/>
      <w:kern w:val="2"/>
      <w:sz w:val="26"/>
      <w:szCs w:val="26"/>
      <w:lang w:val="en-IN" w:eastAsia="en-I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B7CC7"/>
    <w:pPr>
      <w:keepNext/>
      <w:keepLines/>
      <w:spacing w:before="40" w:line="480" w:lineRule="auto"/>
      <w:outlineLvl w:val="2"/>
    </w:pPr>
    <w:rPr>
      <w:rFonts w:eastAsiaTheme="majorEastAsia" w:cstheme="majorBidi"/>
      <w:b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60D9"/>
    <w:pPr>
      <w:keepNext/>
      <w:keepLines/>
      <w:spacing w:before="80" w:after="40" w:line="480" w:lineRule="auto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60D9"/>
    <w:pPr>
      <w:keepNext/>
      <w:keepLines/>
      <w:spacing w:before="80" w:after="40" w:line="480" w:lineRule="auto"/>
      <w:outlineLvl w:val="4"/>
    </w:pPr>
    <w:rPr>
      <w:rFonts w:asciiTheme="minorHAnsi" w:eastAsiaTheme="majorEastAsia" w:hAnsiTheme="minorHAnsi" w:cstheme="majorBidi"/>
      <w:color w:val="2F5496" w:themeColor="accent1" w:themeShade="BF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60D9"/>
    <w:pPr>
      <w:keepNext/>
      <w:keepLines/>
      <w:spacing w:before="40" w:line="480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60D9"/>
    <w:pPr>
      <w:keepNext/>
      <w:keepLines/>
      <w:spacing w:before="40" w:line="480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60D9"/>
    <w:pPr>
      <w:keepNext/>
      <w:keepLines/>
      <w:spacing w:line="480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60D9"/>
    <w:pPr>
      <w:keepNext/>
      <w:keepLines/>
      <w:spacing w:line="480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5B92"/>
    <w:rPr>
      <w:rFonts w:ascii="Times New Roman" w:eastAsia="Arial" w:hAnsi="Times New Roman" w:cs="Arial"/>
      <w:b/>
      <w:color w:val="000000"/>
      <w:kern w:val="0"/>
      <w:sz w:val="28"/>
      <w:lang w:val="en-GB" w:eastAsia="en-IN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C33DA3"/>
    <w:rPr>
      <w:rFonts w:ascii="Times New Roman" w:eastAsiaTheme="majorEastAsia" w:hAnsi="Times New Roman" w:cstheme="majorBidi"/>
      <w:b/>
      <w:color w:val="000000" w:themeColor="text1"/>
      <w:kern w:val="2"/>
      <w:sz w:val="26"/>
      <w:szCs w:val="26"/>
      <w:lang w:val="en-IN" w:eastAsia="en-IN"/>
    </w:rPr>
  </w:style>
  <w:style w:type="character" w:customStyle="1" w:styleId="Heading3Char">
    <w:name w:val="Heading 3 Char"/>
    <w:basedOn w:val="DefaultParagraphFont"/>
    <w:link w:val="Heading3"/>
    <w:uiPriority w:val="9"/>
    <w:rsid w:val="000B7CC7"/>
    <w:rPr>
      <w:rFonts w:ascii="Times New Roman" w:eastAsiaTheme="majorEastAsia" w:hAnsi="Times New Roman" w:cstheme="majorBidi"/>
      <w:b/>
      <w:sz w:val="24"/>
      <w:szCs w:val="24"/>
    </w:rPr>
  </w:style>
  <w:style w:type="paragraph" w:styleId="NoSpacing">
    <w:name w:val="No Spacing"/>
    <w:uiPriority w:val="1"/>
    <w:qFormat/>
    <w:rsid w:val="00F85C4D"/>
    <w:pPr>
      <w:spacing w:before="0" w:after="0" w:line="360" w:lineRule="auto"/>
      <w:jc w:val="both"/>
    </w:pPr>
    <w:rPr>
      <w:rFonts w:ascii="Times New Roman" w:hAnsi="Times New Roman" w:cs="Arial"/>
      <w:sz w:val="24"/>
    </w:rPr>
  </w:style>
  <w:style w:type="paragraph" w:styleId="BodyText">
    <w:name w:val="Body Text"/>
    <w:basedOn w:val="Normal"/>
    <w:link w:val="BodyTextChar"/>
    <w:uiPriority w:val="1"/>
    <w:qFormat/>
    <w:rsid w:val="00910CF3"/>
    <w:pPr>
      <w:widowControl w:val="0"/>
      <w:autoSpaceDE w:val="0"/>
      <w:autoSpaceDN w:val="0"/>
      <w:spacing w:line="480" w:lineRule="auto"/>
      <w:ind w:left="284" w:right="284" w:hanging="284"/>
    </w:pPr>
    <w:rPr>
      <w:rFonts w:eastAsiaTheme="minorHAnsi"/>
      <w:szCs w:val="24"/>
    </w:rPr>
  </w:style>
  <w:style w:type="character" w:customStyle="1" w:styleId="BodyTextChar">
    <w:name w:val="Body Text Char"/>
    <w:basedOn w:val="DefaultParagraphFont"/>
    <w:link w:val="BodyText"/>
    <w:uiPriority w:val="1"/>
    <w:rsid w:val="00910CF3"/>
    <w:rPr>
      <w:rFonts w:ascii="Times New Roman" w:eastAsia="Times New Roman" w:hAnsi="Times New Roman" w:cs="Times New Roman"/>
      <w:sz w:val="24"/>
      <w:szCs w:val="24"/>
      <w:lang w:eastAsia="en-GB" w:bidi="bn-BD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60D9"/>
    <w:rPr>
      <w:rFonts w:eastAsiaTheme="majorEastAsia" w:cstheme="majorBidi"/>
      <w:i/>
      <w:iCs/>
      <w:color w:val="2F5496" w:themeColor="accent1" w:themeShade="BF"/>
      <w:sz w:val="24"/>
      <w:szCs w:val="24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60D9"/>
    <w:rPr>
      <w:rFonts w:eastAsiaTheme="majorEastAsia" w:cstheme="majorBidi"/>
      <w:color w:val="2F5496" w:themeColor="accent1" w:themeShade="BF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60D9"/>
    <w:rPr>
      <w:rFonts w:eastAsiaTheme="majorEastAsia" w:cstheme="majorBidi"/>
      <w:i/>
      <w:iCs/>
      <w:color w:val="595959" w:themeColor="text1" w:themeTint="A6"/>
      <w:sz w:val="24"/>
      <w:szCs w:val="24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60D9"/>
    <w:rPr>
      <w:rFonts w:eastAsiaTheme="majorEastAsia" w:cstheme="majorBidi"/>
      <w:color w:val="595959" w:themeColor="text1" w:themeTint="A6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60D9"/>
    <w:rPr>
      <w:rFonts w:eastAsiaTheme="majorEastAsia" w:cstheme="majorBidi"/>
      <w:i/>
      <w:iCs/>
      <w:color w:val="272727" w:themeColor="text1" w:themeTint="D8"/>
      <w:sz w:val="24"/>
      <w:szCs w:val="24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60D9"/>
    <w:rPr>
      <w:rFonts w:eastAsiaTheme="majorEastAsia" w:cstheme="majorBidi"/>
      <w:color w:val="272727" w:themeColor="text1" w:themeTint="D8"/>
      <w:sz w:val="24"/>
      <w:szCs w:val="24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7260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60D9"/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60D9"/>
    <w:pPr>
      <w:numPr>
        <w:ilvl w:val="1"/>
      </w:numPr>
      <w:spacing w:after="160" w:line="480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60D9"/>
    <w:rPr>
      <w:rFonts w:eastAsiaTheme="majorEastAsia" w:cstheme="majorBidi"/>
      <w:color w:val="595959" w:themeColor="text1" w:themeTint="A6"/>
      <w:spacing w:val="15"/>
      <w:sz w:val="28"/>
      <w:szCs w:val="28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7260D9"/>
    <w:pPr>
      <w:spacing w:before="160" w:after="160" w:line="480" w:lineRule="auto"/>
      <w:jc w:val="center"/>
    </w:pPr>
    <w:rPr>
      <w:rFonts w:eastAsiaTheme="minorHAnsi"/>
      <w:i/>
      <w:iCs/>
      <w:color w:val="404040" w:themeColor="text1" w:themeTint="BF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260D9"/>
    <w:rPr>
      <w:rFonts w:ascii="Times New Roman" w:hAnsi="Times New Roman" w:cs="Times New Roman"/>
      <w:i/>
      <w:iCs/>
      <w:color w:val="404040" w:themeColor="text1" w:themeTint="BF"/>
      <w:sz w:val="24"/>
      <w:szCs w:val="24"/>
      <w14:ligatures w14:val="none"/>
    </w:rPr>
  </w:style>
  <w:style w:type="paragraph" w:styleId="ListParagraph">
    <w:name w:val="List Paragraph"/>
    <w:basedOn w:val="Normal"/>
    <w:uiPriority w:val="34"/>
    <w:qFormat/>
    <w:rsid w:val="007260D9"/>
    <w:pPr>
      <w:spacing w:line="480" w:lineRule="auto"/>
      <w:ind w:left="720"/>
      <w:contextualSpacing/>
    </w:pPr>
    <w:rPr>
      <w:rFonts w:eastAsiaTheme="minorHAnsi"/>
      <w:szCs w:val="24"/>
    </w:rPr>
  </w:style>
  <w:style w:type="character" w:styleId="IntenseEmphasis">
    <w:name w:val="Intense Emphasis"/>
    <w:basedOn w:val="DefaultParagraphFont"/>
    <w:uiPriority w:val="21"/>
    <w:qFormat/>
    <w:rsid w:val="007260D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60D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 w:line="480" w:lineRule="auto"/>
      <w:ind w:left="864" w:right="864"/>
      <w:jc w:val="center"/>
    </w:pPr>
    <w:rPr>
      <w:rFonts w:eastAsiaTheme="minorHAnsi"/>
      <w:i/>
      <w:iCs/>
      <w:color w:val="2F5496" w:themeColor="accent1" w:themeShade="BF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60D9"/>
    <w:rPr>
      <w:rFonts w:ascii="Times New Roman" w:hAnsi="Times New Roman" w:cs="Times New Roman"/>
      <w:i/>
      <w:iCs/>
      <w:color w:val="2F5496" w:themeColor="accent1" w:themeShade="BF"/>
      <w:sz w:val="24"/>
      <w:szCs w:val="24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7260D9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260D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B4853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48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mj.com/content/377/bmj.o1098" TargetMode="External"/><Relationship Id="rId13" Type="http://schemas.openxmlformats.org/officeDocument/2006/relationships/hyperlink" Target="https://www.healthwatch.co.uk/report/2022-02-03/our-annual-report-2020-21" TargetMode="External"/><Relationship Id="rId18" Type="http://schemas.openxmlformats.org/officeDocument/2006/relationships/hyperlink" Target="https://www.nao.org.uk/reports/reforming-adult-social-care-in-england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heguardian.com/society/2024/oct/06/private-firms-ran-almost-all-care-homes-forced-to-shut-for-breaches-in-england" TargetMode="External"/><Relationship Id="rId7" Type="http://schemas.openxmlformats.org/officeDocument/2006/relationships/hyperlink" Target="https://www.bmj.com/content/369/bmj.m1858" TargetMode="External"/><Relationship Id="rId12" Type="http://schemas.openxmlformats.org/officeDocument/2006/relationships/hyperlink" Target="https://researchbriefings.files.parliament.uk/documents/CBP-9019/CBP-9019.pdf" TargetMode="External"/><Relationship Id="rId17" Type="http://schemas.openxmlformats.org/officeDocument/2006/relationships/hyperlink" Target="https://www.nao.org.uk/reports/the-adult-social-care-workforce-in-england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theguardian.com/society/2018/nov/23/revealed-companies-running-inadequate-uk-care-homes-make-113m-profit" TargetMode="External"/><Relationship Id="rId20" Type="http://schemas.openxmlformats.org/officeDocument/2006/relationships/hyperlink" Target="https://www.nuffieldtrust.org.uk/resource/care-home-bed-availability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lzheimers.org.uk/sites/default/files/2018-05/Dementia%20the%20true%20cost%20-%20Alzheimers%20Society%20report.pdf" TargetMode="External"/><Relationship Id="rId11" Type="http://schemas.openxmlformats.org/officeDocument/2006/relationships/hyperlink" Target="https://www.cqc.org.uk/publications/major-reports/publication-statistics-deaths-involving-covid-19-care-homes-england" TargetMode="External"/><Relationship Id="rId5" Type="http://schemas.openxmlformats.org/officeDocument/2006/relationships/hyperlink" Target="https://www.ageuk.org.uk/siteassets/documents/reports-and-publications/reports-and-briefings/equality-and-human-rights/deprivation_of_liberty_safeguards_report.pdf" TargetMode="External"/><Relationship Id="rId15" Type="http://schemas.openxmlformats.org/officeDocument/2006/relationships/hyperlink" Target="https://ifs.org.uk/publications/adult-social-care-england-what-next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qc.org.uk/publications/major-reports/soc202021_02e_ipc" TargetMode="External"/><Relationship Id="rId19" Type="http://schemas.openxmlformats.org/officeDocument/2006/relationships/hyperlink" Target="https://www.nuffieldtrust.org.uk/resource/admissions-to-care-homes" TargetMode="External"/><Relationship Id="rId4" Type="http://schemas.openxmlformats.org/officeDocument/2006/relationships/hyperlink" Target="https://www.ageuk.org.uk/siteassets/documents/reports-and-publications/reports-and-briefings/health--wellbeing/age_uk_briefing_state_of_health_and_care_of_older_people_july2019.pdf" TargetMode="External"/><Relationship Id="rId9" Type="http://schemas.openxmlformats.org/officeDocument/2006/relationships/hyperlink" Target="https://www.caremanagementmatters.co.uk/nao-publishes-adult-social-care-market-report/" TargetMode="External"/><Relationship Id="rId14" Type="http://schemas.openxmlformats.org/officeDocument/2006/relationships/hyperlink" Target="https://committees.parliament.uk/publications/43918/documents/217743/default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1088</Words>
  <Characters>6203</Characters>
  <Application>Microsoft Office Word</Application>
  <DocSecurity>0</DocSecurity>
  <Lines>51</Lines>
  <Paragraphs>14</Paragraphs>
  <ScaleCrop>false</ScaleCrop>
  <Company/>
  <LinksUpToDate>false</LinksUpToDate>
  <CharactersWithSpaces>7277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Cristina Tudor</dc:creator>
  <cp:keywords/>
  <dc:description/>
  <cp:lastModifiedBy>Alexandru Gaiu (2332587)</cp:lastModifiedBy>
  <cp:revision>2</cp:revision>
  <dcterms:created xsi:type="dcterms:W3CDTF">2025-11-09T15:37:00Z</dcterms:created>
  <dcterms:modified xsi:type="dcterms:W3CDTF">2025-11-09T15:37:00Z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4181eab2-960f-42ce-b4f4-9b83fab1758c</vt:lpwstr>
  </property>
</Properties>
</file>