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36A18" w14:textId="72E0DBCF" w:rsidR="00D67320" w:rsidRPr="00C03A91" w:rsidRDefault="00D67320" w:rsidP="00D67320">
      <w:pPr>
        <w:spacing w:line="360" w:lineRule="auto"/>
        <w:rPr>
          <w:rFonts w:ascii="Arial" w:hAnsi="Arial" w:cs="Arial"/>
        </w:rPr>
      </w:pPr>
      <w:r w:rsidRPr="00C03A91">
        <w:rPr>
          <w:rFonts w:ascii="Arial" w:hAnsi="Arial" w:cs="Arial"/>
          <w:noProof/>
        </w:rPr>
        <w:drawing>
          <wp:anchor distT="0" distB="0" distL="114300" distR="114300" simplePos="0" relativeHeight="251659264" behindDoc="0" locked="0" layoutInCell="1" allowOverlap="1" wp14:anchorId="375D8052" wp14:editId="1910A7D4">
            <wp:simplePos x="0" y="0"/>
            <wp:positionH relativeFrom="column">
              <wp:posOffset>0</wp:posOffset>
            </wp:positionH>
            <wp:positionV relativeFrom="paragraph">
              <wp:posOffset>364490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519DB3B" w14:textId="77777777" w:rsidR="00D67320" w:rsidRPr="00C03A91" w:rsidRDefault="00D67320" w:rsidP="00D67320">
      <w:pPr>
        <w:spacing w:line="360" w:lineRule="auto"/>
        <w:rPr>
          <w:rFonts w:ascii="Arial" w:hAnsi="Arial" w:cs="Arial"/>
        </w:rPr>
      </w:pPr>
    </w:p>
    <w:p w14:paraId="0BFC4F56" w14:textId="77777777" w:rsidR="00D67320" w:rsidRPr="00C03A91" w:rsidRDefault="00D67320" w:rsidP="00D67320">
      <w:pPr>
        <w:spacing w:line="360" w:lineRule="auto"/>
        <w:rPr>
          <w:rFonts w:ascii="Arial" w:hAnsi="Arial" w:cs="Arial"/>
        </w:rPr>
      </w:pPr>
    </w:p>
    <w:p w14:paraId="697C551B" w14:textId="77777777" w:rsidR="00D67320" w:rsidRPr="00C03A91" w:rsidRDefault="00D67320" w:rsidP="00D67320">
      <w:pPr>
        <w:spacing w:line="360" w:lineRule="auto"/>
        <w:rPr>
          <w:rFonts w:ascii="Arial" w:hAnsi="Arial" w:cs="Arial"/>
        </w:rPr>
      </w:pPr>
    </w:p>
    <w:p w14:paraId="61D9D5DB" w14:textId="77777777" w:rsidR="00D67320" w:rsidRPr="00C03A91" w:rsidRDefault="00D67320" w:rsidP="00D67320">
      <w:pPr>
        <w:tabs>
          <w:tab w:val="left" w:pos="6540"/>
        </w:tabs>
        <w:spacing w:line="360" w:lineRule="auto"/>
        <w:rPr>
          <w:rFonts w:ascii="Arial" w:hAnsi="Arial" w:cs="Arial"/>
          <w:sz w:val="28"/>
          <w:szCs w:val="28"/>
        </w:rPr>
      </w:pPr>
    </w:p>
    <w:p w14:paraId="7CEE25B8" w14:textId="729B814F" w:rsidR="00D67320" w:rsidRPr="007A3A21" w:rsidRDefault="00D67320" w:rsidP="00D67320">
      <w:pPr>
        <w:tabs>
          <w:tab w:val="left" w:pos="6540"/>
        </w:tabs>
        <w:spacing w:line="360" w:lineRule="auto"/>
        <w:rPr>
          <w:rFonts w:ascii="Arial" w:hAnsi="Arial" w:cs="Arial"/>
          <w:sz w:val="28"/>
          <w:szCs w:val="28"/>
        </w:rPr>
      </w:pPr>
      <w:r w:rsidRPr="007A3A21">
        <w:rPr>
          <w:rFonts w:ascii="Arial" w:hAnsi="Arial" w:cs="Arial"/>
          <w:b/>
          <w:bCs/>
          <w:sz w:val="28"/>
          <w:szCs w:val="28"/>
        </w:rPr>
        <w:t>Student name</w:t>
      </w:r>
      <w:r w:rsidRPr="007A3A21">
        <w:rPr>
          <w:rFonts w:ascii="Arial" w:hAnsi="Arial" w:cs="Arial"/>
          <w:sz w:val="28"/>
          <w:szCs w:val="28"/>
        </w:rPr>
        <w:t xml:space="preserve">: Seli </w:t>
      </w:r>
      <w:proofErr w:type="spellStart"/>
      <w:r w:rsidR="007A3A21">
        <w:rPr>
          <w:rFonts w:ascii="Arial" w:hAnsi="Arial" w:cs="Arial"/>
          <w:sz w:val="28"/>
          <w:szCs w:val="28"/>
        </w:rPr>
        <w:t>itu</w:t>
      </w:r>
      <w:proofErr w:type="spellEnd"/>
      <w:r w:rsidR="007A3A21">
        <w:rPr>
          <w:rFonts w:ascii="Arial" w:hAnsi="Arial" w:cs="Arial"/>
          <w:sz w:val="28"/>
          <w:szCs w:val="28"/>
        </w:rPr>
        <w:t xml:space="preserve"> </w:t>
      </w:r>
      <w:r w:rsidRPr="007A3A21">
        <w:rPr>
          <w:rFonts w:ascii="Arial" w:hAnsi="Arial" w:cs="Arial"/>
          <w:sz w:val="28"/>
          <w:szCs w:val="28"/>
        </w:rPr>
        <w:t>Henriques Sequeira</w:t>
      </w:r>
    </w:p>
    <w:p w14:paraId="572A0B03" w14:textId="7138E474" w:rsidR="00D67320" w:rsidRPr="007A3A21" w:rsidRDefault="00D67320" w:rsidP="00D67320">
      <w:pPr>
        <w:tabs>
          <w:tab w:val="left" w:pos="6540"/>
        </w:tabs>
        <w:spacing w:line="360" w:lineRule="auto"/>
        <w:rPr>
          <w:rFonts w:ascii="Arial" w:hAnsi="Arial" w:cs="Arial"/>
          <w:sz w:val="28"/>
          <w:szCs w:val="28"/>
        </w:rPr>
      </w:pPr>
      <w:r w:rsidRPr="007A3A21">
        <w:rPr>
          <w:rFonts w:ascii="Arial" w:hAnsi="Arial" w:cs="Arial"/>
          <w:b/>
          <w:bCs/>
          <w:sz w:val="28"/>
          <w:szCs w:val="28"/>
        </w:rPr>
        <w:t>Student ID</w:t>
      </w:r>
      <w:r w:rsidRPr="007A3A21">
        <w:rPr>
          <w:rFonts w:ascii="Arial" w:hAnsi="Arial" w:cs="Arial"/>
          <w:sz w:val="28"/>
          <w:szCs w:val="28"/>
        </w:rPr>
        <w:t>:</w:t>
      </w:r>
      <w:r w:rsidR="007A3A21" w:rsidRPr="007A3A21">
        <w:rPr>
          <w:rFonts w:ascii="Arial" w:hAnsi="Arial" w:cs="Arial"/>
          <w:sz w:val="28"/>
          <w:szCs w:val="28"/>
        </w:rPr>
        <w:t>2</w:t>
      </w:r>
      <w:r w:rsidR="007A3A21">
        <w:rPr>
          <w:rFonts w:ascii="Arial" w:hAnsi="Arial" w:cs="Arial"/>
          <w:sz w:val="28"/>
          <w:szCs w:val="28"/>
        </w:rPr>
        <w:t>412665</w:t>
      </w:r>
    </w:p>
    <w:p w14:paraId="02F56602" w14:textId="2E4CC6C4" w:rsidR="00D67320" w:rsidRPr="007A3A21" w:rsidRDefault="00D67320" w:rsidP="00D67320">
      <w:pPr>
        <w:tabs>
          <w:tab w:val="left" w:pos="6540"/>
        </w:tabs>
        <w:spacing w:line="360" w:lineRule="auto"/>
        <w:rPr>
          <w:rFonts w:ascii="Arial" w:hAnsi="Arial" w:cs="Arial"/>
          <w:sz w:val="28"/>
          <w:szCs w:val="28"/>
        </w:rPr>
      </w:pPr>
      <w:r w:rsidRPr="007A3A21">
        <w:rPr>
          <w:rFonts w:ascii="Arial" w:hAnsi="Arial" w:cs="Arial"/>
          <w:b/>
          <w:bCs/>
          <w:sz w:val="28"/>
          <w:szCs w:val="28"/>
        </w:rPr>
        <w:t>Module name</w:t>
      </w:r>
      <w:r w:rsidRPr="007A3A21">
        <w:rPr>
          <w:rFonts w:ascii="Arial" w:hAnsi="Arial" w:cs="Arial"/>
          <w:sz w:val="28"/>
          <w:szCs w:val="28"/>
        </w:rPr>
        <w:t>:  Principles of Health and Social Care Practice</w:t>
      </w:r>
    </w:p>
    <w:p w14:paraId="1B570E21" w14:textId="0A01F633" w:rsidR="00D67320" w:rsidRPr="00137113" w:rsidRDefault="00D67320" w:rsidP="00D67320">
      <w:pPr>
        <w:tabs>
          <w:tab w:val="left" w:pos="6540"/>
        </w:tabs>
        <w:spacing w:line="360" w:lineRule="auto"/>
        <w:rPr>
          <w:rFonts w:ascii="Arial" w:hAnsi="Arial" w:cs="Arial"/>
          <w:sz w:val="24"/>
          <w:szCs w:val="24"/>
        </w:rPr>
      </w:pPr>
      <w:r w:rsidRPr="00610D31">
        <w:rPr>
          <w:rFonts w:ascii="Arial" w:hAnsi="Arial" w:cs="Arial"/>
          <w:b/>
          <w:bCs/>
          <w:sz w:val="28"/>
          <w:szCs w:val="28"/>
        </w:rPr>
        <w:t>Module code</w:t>
      </w:r>
      <w:r w:rsidRPr="00610D31">
        <w:rPr>
          <w:rFonts w:ascii="Arial" w:hAnsi="Arial" w:cs="Arial"/>
          <w:sz w:val="28"/>
          <w:szCs w:val="28"/>
        </w:rPr>
        <w:t xml:space="preserve">: </w:t>
      </w:r>
      <w:r w:rsidRPr="00D67320">
        <w:rPr>
          <w:rFonts w:ascii="Arial" w:hAnsi="Arial" w:cs="Arial"/>
          <w:sz w:val="28"/>
          <w:szCs w:val="28"/>
        </w:rPr>
        <w:t>BMHP5016</w:t>
      </w:r>
    </w:p>
    <w:p w14:paraId="75C5D2B1" w14:textId="0CF167B7" w:rsidR="00D67320" w:rsidRPr="00DC5D6D" w:rsidRDefault="00D67320" w:rsidP="00D67320">
      <w:pPr>
        <w:tabs>
          <w:tab w:val="left" w:pos="6540"/>
        </w:tabs>
        <w:spacing w:line="360" w:lineRule="auto"/>
        <w:rPr>
          <w:rFonts w:ascii="Arial" w:hAnsi="Arial" w:cs="Arial"/>
          <w:sz w:val="28"/>
          <w:szCs w:val="28"/>
        </w:rPr>
      </w:pPr>
      <w:r w:rsidRPr="00610D31">
        <w:rPr>
          <w:rFonts w:ascii="Arial" w:hAnsi="Arial" w:cs="Arial"/>
          <w:b/>
          <w:bCs/>
          <w:sz w:val="28"/>
          <w:szCs w:val="28"/>
        </w:rPr>
        <w:t>Lecturer name</w:t>
      </w:r>
      <w:r w:rsidRPr="00610D31">
        <w:rPr>
          <w:rFonts w:ascii="Arial" w:hAnsi="Arial" w:cs="Arial"/>
          <w:sz w:val="28"/>
          <w:szCs w:val="28"/>
        </w:rPr>
        <w:t xml:space="preserve">: </w:t>
      </w:r>
      <w:r w:rsidRPr="00D67320">
        <w:rPr>
          <w:rFonts w:ascii="Arial" w:hAnsi="Arial" w:cs="Arial"/>
          <w:sz w:val="28"/>
          <w:szCs w:val="28"/>
        </w:rPr>
        <w:t>Dr</w:t>
      </w:r>
      <w:r w:rsidR="007A3A21">
        <w:rPr>
          <w:rFonts w:ascii="Arial" w:hAnsi="Arial" w:cs="Arial"/>
          <w:sz w:val="28"/>
          <w:szCs w:val="28"/>
        </w:rPr>
        <w:t xml:space="preserve"> </w:t>
      </w:r>
      <w:proofErr w:type="spellStart"/>
      <w:r w:rsidR="007A3A21">
        <w:rPr>
          <w:rFonts w:ascii="Arial" w:hAnsi="Arial" w:cs="Arial"/>
          <w:sz w:val="28"/>
          <w:szCs w:val="28"/>
        </w:rPr>
        <w:t>Itse</w:t>
      </w:r>
      <w:proofErr w:type="spellEnd"/>
      <w:r w:rsidR="007A3A21">
        <w:rPr>
          <w:rFonts w:ascii="Arial" w:hAnsi="Arial" w:cs="Arial"/>
          <w:sz w:val="28"/>
          <w:szCs w:val="28"/>
        </w:rPr>
        <w:t xml:space="preserve"> Olaoye</w:t>
      </w:r>
    </w:p>
    <w:p w14:paraId="4130C4D1" w14:textId="77777777" w:rsidR="00D67320" w:rsidRPr="00DC5D6D" w:rsidRDefault="00D67320" w:rsidP="00D67320">
      <w:pPr>
        <w:jc w:val="center"/>
        <w:rPr>
          <w:rFonts w:ascii="Arial" w:hAnsi="Arial" w:cs="Arial"/>
          <w:b/>
          <w:bCs/>
          <w:sz w:val="28"/>
          <w:szCs w:val="28"/>
        </w:rPr>
      </w:pPr>
      <w:r w:rsidRPr="00DC5D6D">
        <w:rPr>
          <w:rFonts w:ascii="Arial" w:hAnsi="Arial" w:cs="Arial"/>
          <w:b/>
          <w:bCs/>
          <w:sz w:val="28"/>
          <w:szCs w:val="28"/>
        </w:rPr>
        <w:t>Assessment:</w:t>
      </w:r>
    </w:p>
    <w:p w14:paraId="6AD06C91" w14:textId="163F7F25" w:rsidR="0030715D" w:rsidRDefault="00D67320" w:rsidP="00D67320">
      <w:pPr>
        <w:jc w:val="center"/>
        <w:rPr>
          <w:rFonts w:ascii="Times New Roman" w:hAnsi="Times New Roman" w:cs="Times New Roman"/>
        </w:rPr>
      </w:pPr>
      <w:r w:rsidRPr="00D67320">
        <w:rPr>
          <w:rFonts w:ascii="Arial" w:hAnsi="Arial" w:cs="Arial"/>
          <w:b/>
          <w:bCs/>
          <w:sz w:val="28"/>
          <w:szCs w:val="28"/>
        </w:rPr>
        <w:t>Reflection on Person-Centred Care, Partnership Working and Ethics in Practice</w:t>
      </w:r>
    </w:p>
    <w:p w14:paraId="71ACAA43" w14:textId="77777777" w:rsidR="00D67320" w:rsidRDefault="00D67320" w:rsidP="0030715D">
      <w:pPr>
        <w:rPr>
          <w:rFonts w:ascii="Times New Roman" w:hAnsi="Times New Roman" w:cs="Times New Roman"/>
        </w:rPr>
      </w:pPr>
    </w:p>
    <w:p w14:paraId="4983907D" w14:textId="77777777" w:rsidR="00D67320" w:rsidRDefault="00D67320" w:rsidP="0030715D">
      <w:pPr>
        <w:rPr>
          <w:rFonts w:ascii="Times New Roman" w:hAnsi="Times New Roman" w:cs="Times New Roman"/>
        </w:rPr>
      </w:pPr>
    </w:p>
    <w:p w14:paraId="6F0A5CC4" w14:textId="77777777" w:rsidR="00D67320" w:rsidRDefault="00D67320" w:rsidP="0030715D">
      <w:pPr>
        <w:rPr>
          <w:rFonts w:ascii="Times New Roman" w:hAnsi="Times New Roman" w:cs="Times New Roman"/>
        </w:rPr>
      </w:pPr>
    </w:p>
    <w:p w14:paraId="38EED177" w14:textId="77777777" w:rsidR="00D67320" w:rsidRDefault="00D67320" w:rsidP="0030715D">
      <w:pPr>
        <w:rPr>
          <w:rFonts w:ascii="Times New Roman" w:hAnsi="Times New Roman" w:cs="Times New Roman"/>
        </w:rPr>
      </w:pPr>
    </w:p>
    <w:p w14:paraId="750CBB12" w14:textId="77777777" w:rsidR="00D67320" w:rsidRDefault="00D67320" w:rsidP="0030715D">
      <w:pPr>
        <w:rPr>
          <w:rFonts w:ascii="Times New Roman" w:hAnsi="Times New Roman" w:cs="Times New Roman"/>
        </w:rPr>
      </w:pPr>
    </w:p>
    <w:p w14:paraId="166806FF" w14:textId="77777777" w:rsidR="00D67320" w:rsidRDefault="00D67320" w:rsidP="0030715D">
      <w:pPr>
        <w:rPr>
          <w:rFonts w:ascii="Times New Roman" w:hAnsi="Times New Roman" w:cs="Times New Roman"/>
        </w:rPr>
      </w:pPr>
    </w:p>
    <w:p w14:paraId="6C6C1F6A" w14:textId="77777777" w:rsidR="00D67320" w:rsidRDefault="00D67320" w:rsidP="0030715D">
      <w:pPr>
        <w:rPr>
          <w:rFonts w:ascii="Times New Roman" w:hAnsi="Times New Roman" w:cs="Times New Roman"/>
        </w:rPr>
      </w:pPr>
    </w:p>
    <w:p w14:paraId="5380A2DC" w14:textId="77777777" w:rsidR="00D67320" w:rsidRDefault="00D67320" w:rsidP="0030715D">
      <w:pPr>
        <w:rPr>
          <w:rFonts w:ascii="Times New Roman" w:hAnsi="Times New Roman" w:cs="Times New Roman"/>
        </w:rPr>
      </w:pPr>
    </w:p>
    <w:p w14:paraId="2F2BB578" w14:textId="77777777" w:rsidR="00D67320" w:rsidRDefault="00D67320" w:rsidP="0030715D">
      <w:pPr>
        <w:rPr>
          <w:rFonts w:ascii="Times New Roman" w:hAnsi="Times New Roman" w:cs="Times New Roman"/>
        </w:rPr>
      </w:pPr>
    </w:p>
    <w:p w14:paraId="5E127DD6" w14:textId="77777777" w:rsidR="00D67320" w:rsidRDefault="00D67320" w:rsidP="0030715D">
      <w:pPr>
        <w:rPr>
          <w:rFonts w:ascii="Times New Roman" w:hAnsi="Times New Roman" w:cs="Times New Roman"/>
        </w:rPr>
      </w:pPr>
    </w:p>
    <w:p w14:paraId="6D76AF07" w14:textId="77777777" w:rsidR="00D67320" w:rsidRDefault="00D67320" w:rsidP="0030715D">
      <w:pPr>
        <w:rPr>
          <w:rFonts w:ascii="Times New Roman" w:hAnsi="Times New Roman" w:cs="Times New Roman"/>
        </w:rPr>
      </w:pPr>
    </w:p>
    <w:p w14:paraId="2601247C" w14:textId="77777777" w:rsidR="00D67320" w:rsidRDefault="00D67320" w:rsidP="0030715D">
      <w:pPr>
        <w:rPr>
          <w:rFonts w:ascii="Times New Roman" w:hAnsi="Times New Roman" w:cs="Times New Roman"/>
        </w:rPr>
      </w:pPr>
    </w:p>
    <w:sdt>
      <w:sdtPr>
        <w:rPr>
          <w:rFonts w:asciiTheme="minorHAnsi" w:eastAsiaTheme="minorHAnsi" w:hAnsiTheme="minorHAnsi" w:cstheme="minorBidi"/>
          <w:color w:val="auto"/>
          <w:kern w:val="2"/>
          <w:sz w:val="24"/>
          <w:szCs w:val="24"/>
          <w14:ligatures w14:val="standardContextual"/>
        </w:rPr>
        <w:id w:val="-240176273"/>
        <w:docPartObj>
          <w:docPartGallery w:val="Table of Contents"/>
          <w:docPartUnique/>
        </w:docPartObj>
      </w:sdtPr>
      <w:sdtEndPr>
        <w:rPr>
          <w:rFonts w:eastAsiaTheme="minorEastAsia"/>
          <w:b/>
          <w:bCs/>
          <w:kern w:val="0"/>
          <w:sz w:val="22"/>
          <w:szCs w:val="22"/>
          <w14:ligatures w14:val="none"/>
        </w:rPr>
      </w:sdtEndPr>
      <w:sdtContent>
        <w:p w14:paraId="1193240C" w14:textId="64DDB0C5" w:rsidR="00D67320" w:rsidRDefault="00D67320">
          <w:pPr>
            <w:pStyle w:val="TOCHeading"/>
          </w:pPr>
          <w:r>
            <w:t>Table of Contents</w:t>
          </w:r>
        </w:p>
        <w:p w14:paraId="1B647E1C" w14:textId="342FE5AB" w:rsidR="006B0086" w:rsidRDefault="00D67320" w:rsidP="006B0086">
          <w:r>
            <w:fldChar w:fldCharType="begin"/>
          </w:r>
          <w:r>
            <w:instrText xml:space="preserve"> TOC \o "1-3" \h \z \u </w:instrText>
          </w:r>
          <w:r>
            <w:fldChar w:fldCharType="separate"/>
          </w:r>
          <w:r w:rsidR="006B0086" w:rsidRPr="006B0086">
            <w:t xml:space="preserve"> </w:t>
          </w:r>
          <w:r w:rsidR="006B0086">
            <w:t>Introduction .................................................................... 3</w:t>
          </w:r>
        </w:p>
        <w:p w14:paraId="7946C99E" w14:textId="5F79E947" w:rsidR="006B0086" w:rsidRDefault="006B0086" w:rsidP="006B0086">
          <w:r>
            <w:t>TASK 1: Reflection on the Importance of Principles .............................. 3</w:t>
          </w:r>
        </w:p>
        <w:p w14:paraId="2BB19D3F" w14:textId="52B7F6FD" w:rsidR="006B0086" w:rsidRDefault="006B0086" w:rsidP="006B0086">
          <w:r>
            <w:lastRenderedPageBreak/>
            <w:t xml:space="preserve">   Person-Centred Care .......................................................... 3</w:t>
          </w:r>
        </w:p>
        <w:p w14:paraId="57EA54A0" w14:textId="553B3629" w:rsidR="006B0086" w:rsidRDefault="006B0086" w:rsidP="006B0086">
          <w:r>
            <w:t xml:space="preserve">   Partnership Working .......................................................... 3</w:t>
          </w:r>
        </w:p>
        <w:p w14:paraId="53BD56B0" w14:textId="3F18422A" w:rsidR="006B0086" w:rsidRDefault="006B0086" w:rsidP="006B0086">
          <w:r>
            <w:t xml:space="preserve">   Ethics in Health and Social Care ............................................. 4</w:t>
          </w:r>
        </w:p>
        <w:p w14:paraId="21B3929A" w14:textId="26EC5BDD" w:rsidR="006B0086" w:rsidRDefault="006B0086" w:rsidP="006B0086">
          <w:r>
            <w:t xml:space="preserve">   Interconnections Between the Principles ...................................... 4</w:t>
          </w:r>
        </w:p>
        <w:p w14:paraId="010BF0AC" w14:textId="027F01F9" w:rsidR="006B0086" w:rsidRDefault="006B0086" w:rsidP="006B0086">
          <w:r>
            <w:t xml:space="preserve">TASK 2: Practical Examples of Concepts in Practice .............................. </w:t>
          </w:r>
          <w:r w:rsidR="00307657">
            <w:t>5</w:t>
          </w:r>
        </w:p>
        <w:p w14:paraId="421C97FA" w14:textId="5F067C3C" w:rsidR="006B0086" w:rsidRDefault="006B0086" w:rsidP="006B0086">
          <w:r>
            <w:t xml:space="preserve">   Case Study: Margaret’s Situation ............................................. </w:t>
          </w:r>
          <w:r w:rsidR="00307657">
            <w:t>5</w:t>
          </w:r>
        </w:p>
        <w:p w14:paraId="5DFF3314" w14:textId="78AD3716" w:rsidR="006B0086" w:rsidRDefault="006B0086" w:rsidP="006B0086">
          <w:r>
            <w:t xml:space="preserve">   Application of Person-Centred Care ........................................... </w:t>
          </w:r>
          <w:r w:rsidR="00307657">
            <w:t>6</w:t>
          </w:r>
        </w:p>
        <w:p w14:paraId="225762BB" w14:textId="65A5C35B" w:rsidR="006B0086" w:rsidRDefault="006B0086" w:rsidP="006B0086">
          <w:r>
            <w:t xml:space="preserve">   Partnership Working in Practice .............................................. </w:t>
          </w:r>
          <w:r w:rsidR="00307657">
            <w:t>6</w:t>
          </w:r>
        </w:p>
        <w:p w14:paraId="0D7358F5" w14:textId="5B6E9314" w:rsidR="006B0086" w:rsidRPr="005A494D" w:rsidRDefault="006B0086" w:rsidP="006B0086">
          <w:pPr>
            <w:rPr>
              <w:rFonts w:cstheme="minorHAnsi"/>
            </w:rPr>
          </w:pPr>
          <w:r>
            <w:t xml:space="preserve">   Ethical Considerations ....................................................... </w:t>
          </w:r>
          <w:r w:rsidR="00307657">
            <w:t>6</w:t>
          </w:r>
        </w:p>
        <w:p w14:paraId="1D286B40" w14:textId="2A265330" w:rsidR="006B0086" w:rsidRDefault="006B0086" w:rsidP="006B0086">
          <w:r>
            <w:t xml:space="preserve">   Critical Reflection on the Case .............................................. </w:t>
          </w:r>
          <w:r w:rsidR="00307657">
            <w:t>7</w:t>
          </w:r>
        </w:p>
        <w:p w14:paraId="32A72B3A" w14:textId="3BAD3BF9" w:rsidR="006B0086" w:rsidRDefault="006B0086" w:rsidP="006B0086">
          <w:r>
            <w:t xml:space="preserve">TASK 3: Self-Reflection as a Professional ....................................... </w:t>
          </w:r>
          <w:r w:rsidR="00307657">
            <w:t>7</w:t>
          </w:r>
        </w:p>
        <w:p w14:paraId="523213A8" w14:textId="33A12476" w:rsidR="006B0086" w:rsidRDefault="006B0086" w:rsidP="006B0086">
          <w:r>
            <w:t xml:space="preserve">   Current Strengths ............................................................ </w:t>
          </w:r>
          <w:r w:rsidR="00307657">
            <w:t>7</w:t>
          </w:r>
        </w:p>
        <w:p w14:paraId="6628E7B9" w14:textId="685F0DDE" w:rsidR="006B0086" w:rsidRDefault="006B0086" w:rsidP="006B0086">
          <w:r>
            <w:t xml:space="preserve">   Areas for Development ........................................................ </w:t>
          </w:r>
          <w:r w:rsidR="00307657">
            <w:t>7</w:t>
          </w:r>
        </w:p>
        <w:p w14:paraId="4A4EA04A" w14:textId="3980C88B" w:rsidR="006B0086" w:rsidRDefault="006B0086" w:rsidP="006B0086">
          <w:r>
            <w:t xml:space="preserve">   Professional Development Plan ................................................ </w:t>
          </w:r>
          <w:r w:rsidR="00307657">
            <w:t>8</w:t>
          </w:r>
        </w:p>
        <w:p w14:paraId="456808EE" w14:textId="5B390B6C" w:rsidR="006B0086" w:rsidRDefault="006B0086" w:rsidP="006B0086">
          <w:r>
            <w:t xml:space="preserve">   Monitoring Progress and Future Practice ...................................... </w:t>
          </w:r>
          <w:r w:rsidR="00307657">
            <w:t>8</w:t>
          </w:r>
        </w:p>
        <w:p w14:paraId="432B6854" w14:textId="4C5CA69F" w:rsidR="006B0086" w:rsidRDefault="006B0086" w:rsidP="006B0086">
          <w:r>
            <w:t xml:space="preserve">Conclusion ...................................................................... </w:t>
          </w:r>
          <w:r w:rsidR="004053E7">
            <w:t>9</w:t>
          </w:r>
        </w:p>
        <w:p w14:paraId="734E3E7F" w14:textId="004C48D2" w:rsidR="006B0086" w:rsidRDefault="006B0086" w:rsidP="006B0086">
          <w:r>
            <w:t xml:space="preserve">References ...................................................................... </w:t>
          </w:r>
          <w:r w:rsidR="004053E7">
            <w:t>10</w:t>
          </w:r>
        </w:p>
        <w:p w14:paraId="3BFCD898" w14:textId="1BC08221" w:rsidR="00D67320" w:rsidRDefault="00D67320" w:rsidP="00DA7DE8">
          <w:pPr>
            <w:pStyle w:val="TOC1"/>
            <w:tabs>
              <w:tab w:val="right" w:leader="dot" w:pos="9016"/>
            </w:tabs>
            <w:rPr>
              <w:noProof/>
            </w:rPr>
          </w:pPr>
        </w:p>
        <w:p w14:paraId="54DA89A5" w14:textId="2C0F5FDF" w:rsidR="00D67320" w:rsidRDefault="00D67320">
          <w:r>
            <w:rPr>
              <w:b/>
              <w:bCs/>
            </w:rPr>
            <w:fldChar w:fldCharType="end"/>
          </w:r>
        </w:p>
      </w:sdtContent>
    </w:sdt>
    <w:p w14:paraId="6D9CC76A" w14:textId="77777777" w:rsidR="00D67320" w:rsidRDefault="00D67320" w:rsidP="0030715D">
      <w:pPr>
        <w:rPr>
          <w:rFonts w:ascii="Times New Roman" w:hAnsi="Times New Roman" w:cs="Times New Roman"/>
        </w:rPr>
      </w:pPr>
    </w:p>
    <w:p w14:paraId="7791781A" w14:textId="782E1E00" w:rsidR="006F6CE2" w:rsidRDefault="006F6CE2" w:rsidP="006F6CE2">
      <w:pPr>
        <w:rPr>
          <w:rFonts w:ascii="Times New Roman" w:hAnsi="Times New Roman" w:cs="Times New Roman"/>
        </w:rPr>
      </w:pPr>
    </w:p>
    <w:p w14:paraId="1C41EA40" w14:textId="77777777" w:rsidR="006B0086" w:rsidRPr="006F6CE2" w:rsidRDefault="006B0086" w:rsidP="006F6CE2">
      <w:pPr>
        <w:rPr>
          <w:rFonts w:ascii="Times New Roman" w:hAnsi="Times New Roman" w:cs="Times New Roman"/>
        </w:rPr>
      </w:pPr>
    </w:p>
    <w:p w14:paraId="3DC90113" w14:textId="47D10691" w:rsidR="006F6CE2" w:rsidRDefault="006F6CE2" w:rsidP="006F6CE2">
      <w:pPr>
        <w:rPr>
          <w:rFonts w:ascii="Times New Roman" w:hAnsi="Times New Roman" w:cs="Times New Roman"/>
        </w:rPr>
      </w:pPr>
    </w:p>
    <w:p w14:paraId="38F5C656" w14:textId="77777777" w:rsidR="006F6CE2" w:rsidRPr="006F6CE2" w:rsidRDefault="006F6CE2" w:rsidP="006F6CE2">
      <w:pPr>
        <w:rPr>
          <w:rFonts w:ascii="Times New Roman" w:hAnsi="Times New Roman" w:cs="Times New Roman"/>
        </w:rPr>
      </w:pPr>
    </w:p>
    <w:p w14:paraId="3FB60B34" w14:textId="77777777" w:rsidR="004C5E65" w:rsidRPr="00DA7DE8" w:rsidRDefault="004C5E65" w:rsidP="00DA7DE8">
      <w:pPr>
        <w:spacing w:line="360" w:lineRule="auto"/>
        <w:rPr>
          <w:rFonts w:ascii="Arial" w:hAnsi="Arial" w:cs="Arial"/>
        </w:rPr>
      </w:pPr>
    </w:p>
    <w:p w14:paraId="45D8AA06" w14:textId="4FCE40C5" w:rsidR="004C5E65" w:rsidRPr="003E1CC6" w:rsidRDefault="004C5E65" w:rsidP="00DA7DE8">
      <w:pPr>
        <w:spacing w:line="360" w:lineRule="auto"/>
        <w:rPr>
          <w:rFonts w:ascii="Arial" w:hAnsi="Arial" w:cs="Arial"/>
          <w:color w:val="0070C0"/>
          <w:sz w:val="28"/>
          <w:szCs w:val="28"/>
        </w:rPr>
      </w:pPr>
      <w:r w:rsidRPr="003E1CC6">
        <w:rPr>
          <w:rFonts w:ascii="Arial" w:hAnsi="Arial" w:cs="Arial"/>
          <w:color w:val="0070C0"/>
          <w:sz w:val="28"/>
          <w:szCs w:val="28"/>
        </w:rPr>
        <w:t>Introduction</w:t>
      </w:r>
    </w:p>
    <w:p w14:paraId="23FF83BE" w14:textId="6721025A" w:rsidR="004C5E65" w:rsidRPr="00DA7DE8" w:rsidRDefault="00E91832" w:rsidP="00DA7DE8">
      <w:pPr>
        <w:spacing w:line="360" w:lineRule="auto"/>
        <w:rPr>
          <w:rFonts w:ascii="Arial" w:hAnsi="Arial" w:cs="Arial"/>
        </w:rPr>
      </w:pPr>
      <w:r>
        <w:rPr>
          <w:rFonts w:ascii="Arial" w:hAnsi="Arial" w:cs="Arial"/>
        </w:rPr>
        <w:t xml:space="preserve">Reflective practice is an essential component of professional development in health and social care. This report critically examines three fundamental principles — person-centred care, partnership working, and ethics — in UK health and social care practice. It explores the theoretical and legislative foundations of these principles, their practical application, and their influence on professional development.  </w:t>
      </w:r>
    </w:p>
    <w:p w14:paraId="1C6DE884" w14:textId="77777777" w:rsidR="004C5E65" w:rsidRPr="00DA7DE8" w:rsidRDefault="004C5E65" w:rsidP="00DA7DE8">
      <w:pPr>
        <w:spacing w:line="360" w:lineRule="auto"/>
        <w:rPr>
          <w:rFonts w:ascii="Arial" w:hAnsi="Arial" w:cs="Arial"/>
        </w:rPr>
      </w:pPr>
    </w:p>
    <w:p w14:paraId="3F7DD749" w14:textId="35AD1DE4" w:rsidR="004C5E65" w:rsidRPr="00DA7DE8" w:rsidRDefault="00C55223" w:rsidP="00DA7DE8">
      <w:pPr>
        <w:spacing w:line="360" w:lineRule="auto"/>
        <w:rPr>
          <w:rFonts w:ascii="Arial" w:hAnsi="Arial" w:cs="Arial"/>
        </w:rPr>
      </w:pPr>
      <w:r>
        <w:rPr>
          <w:rFonts w:ascii="Arial" w:hAnsi="Arial" w:cs="Arial"/>
        </w:rPr>
        <w:lastRenderedPageBreak/>
        <w:t>The analysis draws on key UK legislation, including the Care Act 2014 and the Health and Social Care Act 2012, as well as professional guidelines and relevant theoretical frameworks, particularly Vygotsky’s sociocultural theory, which emphasises learning through social interaction and collaboration (Vygotsky, 1978). These principles collectively underpin the delivery of high-quality, respectful, and effective care.</w:t>
      </w:r>
    </w:p>
    <w:p w14:paraId="59B8E25C" w14:textId="77777777" w:rsidR="004C5E65" w:rsidRPr="003E1CC6" w:rsidRDefault="004C5E65" w:rsidP="00DA7DE8">
      <w:pPr>
        <w:spacing w:line="360" w:lineRule="auto"/>
        <w:rPr>
          <w:rFonts w:ascii="Arial" w:hAnsi="Arial" w:cs="Arial"/>
          <w:color w:val="0070C0"/>
          <w:sz w:val="24"/>
          <w:szCs w:val="24"/>
        </w:rPr>
      </w:pPr>
    </w:p>
    <w:p w14:paraId="24D0D145" w14:textId="080EAB1D" w:rsidR="004C5E65" w:rsidRPr="003E1CC6" w:rsidRDefault="004C5E65" w:rsidP="00DA7DE8">
      <w:pPr>
        <w:spacing w:line="360" w:lineRule="auto"/>
        <w:rPr>
          <w:rFonts w:ascii="Arial" w:hAnsi="Arial" w:cs="Arial"/>
          <w:color w:val="0070C0"/>
          <w:sz w:val="24"/>
          <w:szCs w:val="24"/>
        </w:rPr>
      </w:pPr>
      <w:r w:rsidRPr="003E1CC6">
        <w:rPr>
          <w:rFonts w:ascii="Arial" w:hAnsi="Arial" w:cs="Arial"/>
          <w:color w:val="0070C0"/>
          <w:sz w:val="24"/>
          <w:szCs w:val="24"/>
        </w:rPr>
        <w:t>TASK 1: Reflection on the Importance of Principles</w:t>
      </w:r>
    </w:p>
    <w:p w14:paraId="79F9027A" w14:textId="77777777" w:rsidR="004C5E65" w:rsidRPr="00DA7DE8" w:rsidRDefault="004C5E65" w:rsidP="00DA7DE8">
      <w:pPr>
        <w:spacing w:line="360" w:lineRule="auto"/>
        <w:rPr>
          <w:rFonts w:ascii="Arial" w:hAnsi="Arial" w:cs="Arial"/>
        </w:rPr>
      </w:pPr>
    </w:p>
    <w:p w14:paraId="60E10E49" w14:textId="18E131CA" w:rsidR="004C5E65" w:rsidRPr="003E1CC6" w:rsidRDefault="004C5E65" w:rsidP="00DA7DE8">
      <w:pPr>
        <w:spacing w:line="360" w:lineRule="auto"/>
        <w:rPr>
          <w:rFonts w:ascii="Arial" w:hAnsi="Arial" w:cs="Arial"/>
          <w:color w:val="00B050"/>
          <w:sz w:val="24"/>
          <w:szCs w:val="24"/>
        </w:rPr>
      </w:pPr>
      <w:r w:rsidRPr="003E1CC6">
        <w:rPr>
          <w:rFonts w:ascii="Arial" w:hAnsi="Arial" w:cs="Arial"/>
          <w:color w:val="00B050"/>
          <w:sz w:val="24"/>
          <w:szCs w:val="24"/>
        </w:rPr>
        <w:t>Person-Centred Care</w:t>
      </w:r>
    </w:p>
    <w:p w14:paraId="34EDEC0C" w14:textId="5C1D7B7B" w:rsidR="004C5E65" w:rsidRPr="00DA7DE8" w:rsidRDefault="00C55223" w:rsidP="00DA7DE8">
      <w:pPr>
        <w:spacing w:line="360" w:lineRule="auto"/>
        <w:rPr>
          <w:rFonts w:ascii="Arial" w:hAnsi="Arial" w:cs="Arial"/>
        </w:rPr>
      </w:pPr>
      <w:r>
        <w:rPr>
          <w:rFonts w:ascii="Arial" w:hAnsi="Arial" w:cs="Arial"/>
        </w:rPr>
        <w:t xml:space="preserve">Person-centred care places the individual at the heart of care planning and delivery. It moves beyond a purely medical model to recognise the person’s values, preferences, experiences, and aspirations (Skills for Health, 2024; Health Education England, 2023). This approach is rooted in humanistic psychology, particularly Carl Rogers’ person-centred therapy, which emphasises empathy, unconditional positive regard, and congruence (Rogers, 1951). In UK practice, person-centred care is embedded in legislation through the Care Act 2014, which places a statutory duty on local authorities to promote individual wellbeing, dignity, and control over daily life (Department of Health and Social Care, 2014). McCormack and McCance’s Person-centred Nursing Framework further emphasises the importance of contextual, attitudinal, and moral dimensions in keeping the person at the heart of caring relationships (McCormack and McCance, 2021).  </w:t>
      </w:r>
    </w:p>
    <w:p w14:paraId="268566EC" w14:textId="77777777" w:rsidR="004C5E65" w:rsidRPr="00DA7DE8" w:rsidRDefault="004C5E65" w:rsidP="00DA7DE8">
      <w:pPr>
        <w:spacing w:line="360" w:lineRule="auto"/>
        <w:rPr>
          <w:rFonts w:ascii="Arial" w:hAnsi="Arial" w:cs="Arial"/>
        </w:rPr>
      </w:pPr>
    </w:p>
    <w:p w14:paraId="66CA280D" w14:textId="4BD562C3" w:rsidR="004C5E65" w:rsidRPr="003E1CC6" w:rsidRDefault="004C5E65" w:rsidP="00DA7DE8">
      <w:pPr>
        <w:spacing w:line="360" w:lineRule="auto"/>
        <w:rPr>
          <w:rFonts w:ascii="Arial" w:hAnsi="Arial" w:cs="Arial"/>
          <w:color w:val="00B050"/>
        </w:rPr>
      </w:pPr>
      <w:r w:rsidRPr="003E1CC6">
        <w:rPr>
          <w:rFonts w:ascii="Arial" w:hAnsi="Arial" w:cs="Arial"/>
          <w:color w:val="00B050"/>
        </w:rPr>
        <w:t>Partnership Working</w:t>
      </w:r>
    </w:p>
    <w:p w14:paraId="746F5D07" w14:textId="13F6A9EF" w:rsidR="004C5E65" w:rsidRDefault="00C55223" w:rsidP="00DA7DE8">
      <w:pPr>
        <w:spacing w:line="360" w:lineRule="auto"/>
        <w:rPr>
          <w:rFonts w:ascii="Arial" w:hAnsi="Arial" w:cs="Arial"/>
        </w:rPr>
      </w:pPr>
      <w:r>
        <w:rPr>
          <w:rFonts w:ascii="Arial" w:hAnsi="Arial" w:cs="Arial"/>
        </w:rPr>
        <w:t xml:space="preserve">Partnership working involves collaboration among professionals, service users, families, and organisations to achieve shared goals. It is particularly important for addressing complex needs that extend beyond a single discipline (Glasby, 2024). This principle is strongly supported by the Health and Social Care Act 2012 and the Health and Care Act 2022, which established Integrated Care Systems (ICSs) to promote </w:t>
      </w:r>
      <w:proofErr w:type="gramStart"/>
      <w:r>
        <w:rPr>
          <w:rFonts w:ascii="Arial" w:hAnsi="Arial" w:cs="Arial"/>
        </w:rPr>
        <w:t>joined-up</w:t>
      </w:r>
      <w:proofErr w:type="gramEnd"/>
      <w:r>
        <w:rPr>
          <w:rFonts w:ascii="Arial" w:hAnsi="Arial" w:cs="Arial"/>
        </w:rPr>
        <w:t xml:space="preserve"> working and reduce health inequalities (Department of Health, 2012; Department of Health and Social Care, 2022). From a theoretical perspective, partnership working aligns with Lev Vygotsky’s sociocultural theory, which emphasises that cognitive and social development occurs through interaction, shared knowledge construction, and collaborative processes within a social and cultural context (Vygotsky, 1978).  </w:t>
      </w:r>
    </w:p>
    <w:p w14:paraId="5B0A7E64" w14:textId="1E97080E" w:rsidR="004053E7" w:rsidRPr="00DA7DE8" w:rsidRDefault="004053E7" w:rsidP="00DA7DE8">
      <w:pPr>
        <w:spacing w:line="360" w:lineRule="auto"/>
        <w:rPr>
          <w:rFonts w:ascii="Arial" w:hAnsi="Arial" w:cs="Arial"/>
        </w:rPr>
      </w:pPr>
      <w:r>
        <w:rPr>
          <w:rFonts w:ascii="Arial" w:hAnsi="Arial" w:cs="Arial"/>
        </w:rPr>
        <w:lastRenderedPageBreak/>
        <w:t xml:space="preserve">                              </w:t>
      </w:r>
      <w:r>
        <w:rPr>
          <w:rFonts w:ascii="Arial" w:hAnsi="Arial" w:cs="Arial"/>
          <w:noProof/>
        </w:rPr>
        <w:drawing>
          <wp:inline distT="0" distB="0" distL="0" distR="0" wp14:anchorId="231CC340" wp14:editId="0E05B482">
            <wp:extent cx="3774160" cy="20574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3774160" cy="2057499"/>
                    </a:xfrm>
                    <a:prstGeom prst="rect">
                      <a:avLst/>
                    </a:prstGeom>
                  </pic:spPr>
                </pic:pic>
              </a:graphicData>
            </a:graphic>
          </wp:inline>
        </w:drawing>
      </w:r>
    </w:p>
    <w:p w14:paraId="66E2C777" w14:textId="77777777" w:rsidR="004053E7" w:rsidRPr="0030715D" w:rsidRDefault="004053E7" w:rsidP="004053E7">
      <w:pPr>
        <w:jc w:val="center"/>
        <w:rPr>
          <w:rFonts w:ascii="Times New Roman" w:hAnsi="Times New Roman" w:cs="Times New Roman"/>
          <w:b/>
          <w:bCs/>
        </w:rPr>
      </w:pPr>
      <w:r w:rsidRPr="003F42B6">
        <w:rPr>
          <w:rFonts w:ascii="Times New Roman" w:hAnsi="Times New Roman" w:cs="Times New Roman"/>
          <w:b/>
          <w:bCs/>
        </w:rPr>
        <w:t>Vygotsky Sociocultural Theory Diagram</w:t>
      </w:r>
    </w:p>
    <w:p w14:paraId="6F50BB5E" w14:textId="77777777" w:rsidR="004C5E65" w:rsidRPr="00DA7DE8" w:rsidRDefault="004C5E65" w:rsidP="00DA7DE8">
      <w:pPr>
        <w:spacing w:line="360" w:lineRule="auto"/>
        <w:rPr>
          <w:rFonts w:ascii="Arial" w:hAnsi="Arial" w:cs="Arial"/>
        </w:rPr>
      </w:pPr>
    </w:p>
    <w:p w14:paraId="0730FFA9" w14:textId="47266AF4" w:rsidR="004C5E65" w:rsidRPr="003E1CC6" w:rsidRDefault="004C5E65" w:rsidP="00DA7DE8">
      <w:pPr>
        <w:spacing w:line="360" w:lineRule="auto"/>
        <w:rPr>
          <w:rFonts w:ascii="Arial" w:hAnsi="Arial" w:cs="Arial"/>
          <w:color w:val="00B050"/>
          <w:sz w:val="24"/>
          <w:szCs w:val="24"/>
        </w:rPr>
      </w:pPr>
      <w:r w:rsidRPr="003E1CC6">
        <w:rPr>
          <w:rFonts w:ascii="Arial" w:hAnsi="Arial" w:cs="Arial"/>
          <w:color w:val="00B050"/>
          <w:sz w:val="24"/>
          <w:szCs w:val="24"/>
        </w:rPr>
        <w:t xml:space="preserve">Ethics in Health and Social Care  </w:t>
      </w:r>
    </w:p>
    <w:p w14:paraId="7DCCA944" w14:textId="14ECE3BB" w:rsidR="004C5E65" w:rsidRPr="00DA7DE8" w:rsidRDefault="00C55223" w:rsidP="00DA7DE8">
      <w:pPr>
        <w:spacing w:line="360" w:lineRule="auto"/>
        <w:rPr>
          <w:rFonts w:ascii="Arial" w:hAnsi="Arial" w:cs="Arial"/>
        </w:rPr>
      </w:pPr>
      <w:r>
        <w:rPr>
          <w:rFonts w:ascii="Arial" w:hAnsi="Arial" w:cs="Arial"/>
        </w:rPr>
        <w:t xml:space="preserve">Ethics underpins health and social care practice. The four core principles of biomedical ethics — autonomy, beneficence, non-maleficence, and justice — guide decision-making (Beauchamp and Childress, 2019). These principles are reflected in professional codes such as the Nursing and Midwifery Council (NMC) Code, which requires practitioners to treat people with respect and uphold dignity (Nursing and Midwifery Council, 2018). The Mental Capacity Act 2005 further supports autonomy by providing a legal framework for assessing capacity and making best-interest decisions (Department of Health, 2005).  </w:t>
      </w:r>
    </w:p>
    <w:p w14:paraId="2F86A2B8" w14:textId="77777777" w:rsidR="004C5E65" w:rsidRPr="00DA7DE8" w:rsidRDefault="004C5E65" w:rsidP="00DA7DE8">
      <w:pPr>
        <w:spacing w:line="360" w:lineRule="auto"/>
        <w:rPr>
          <w:rFonts w:ascii="Arial" w:hAnsi="Arial" w:cs="Arial"/>
        </w:rPr>
      </w:pPr>
    </w:p>
    <w:p w14:paraId="5B1D40FD" w14:textId="24188EB7" w:rsidR="004C5E65" w:rsidRPr="003E1CC6" w:rsidRDefault="004C5E65" w:rsidP="00DA7DE8">
      <w:pPr>
        <w:spacing w:line="360" w:lineRule="auto"/>
        <w:rPr>
          <w:rFonts w:ascii="Arial" w:hAnsi="Arial" w:cs="Arial"/>
          <w:color w:val="00B050"/>
        </w:rPr>
      </w:pPr>
      <w:r w:rsidRPr="003E1CC6">
        <w:rPr>
          <w:rFonts w:ascii="Arial" w:hAnsi="Arial" w:cs="Arial"/>
          <w:color w:val="00B050"/>
        </w:rPr>
        <w:t xml:space="preserve">Interconnections Between the Principles </w:t>
      </w:r>
    </w:p>
    <w:p w14:paraId="0C530314" w14:textId="7EEA8045" w:rsidR="004C5E65" w:rsidRDefault="00C55223" w:rsidP="00DA7DE8">
      <w:pPr>
        <w:spacing w:line="360" w:lineRule="auto"/>
        <w:rPr>
          <w:rFonts w:ascii="Arial" w:hAnsi="Arial" w:cs="Arial"/>
        </w:rPr>
      </w:pPr>
      <w:r>
        <w:rPr>
          <w:rFonts w:ascii="Arial" w:hAnsi="Arial" w:cs="Arial"/>
        </w:rPr>
        <w:t>These three principles are closely interconnected. Person-centred care depends on effective partnership working, and both are underpinned by ethical practice. When applied together, they promote care that is respectful, coordinated, and rights-based rather than purely task-oriented. However, in practice, time pressures and resource constraints can undermine their full implementation, highlighting the need for ongoing commitment at both individual and organisational levels.</w:t>
      </w:r>
    </w:p>
    <w:p w14:paraId="448E8C95" w14:textId="592CF6B2" w:rsidR="004053E7" w:rsidRPr="00DA7DE8" w:rsidRDefault="004053E7" w:rsidP="00DA7DE8">
      <w:pPr>
        <w:spacing w:line="360" w:lineRule="auto"/>
        <w:rPr>
          <w:rFonts w:ascii="Arial" w:hAnsi="Arial" w:cs="Arial"/>
        </w:rPr>
      </w:pPr>
      <w:r>
        <w:rPr>
          <w:rFonts w:ascii="Arial" w:hAnsi="Arial" w:cs="Arial"/>
        </w:rPr>
        <w:lastRenderedPageBreak/>
        <w:t xml:space="preserve">                       </w:t>
      </w:r>
      <w:r>
        <w:rPr>
          <w:rFonts w:ascii="Arial" w:hAnsi="Arial" w:cs="Arial"/>
          <w:noProof/>
        </w:rPr>
        <w:drawing>
          <wp:inline distT="0" distB="0" distL="0" distR="0" wp14:anchorId="2D00F763" wp14:editId="0B286D38">
            <wp:extent cx="5008660" cy="2730863"/>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5008660" cy="2730863"/>
                    </a:xfrm>
                    <a:prstGeom prst="rect">
                      <a:avLst/>
                    </a:prstGeom>
                  </pic:spPr>
                </pic:pic>
              </a:graphicData>
            </a:graphic>
          </wp:inline>
        </w:drawing>
      </w:r>
    </w:p>
    <w:p w14:paraId="045618DC" w14:textId="35CA7570" w:rsidR="004053E7" w:rsidRDefault="007B4F05" w:rsidP="004053E7">
      <w:pPr>
        <w:jc w:val="center"/>
        <w:rPr>
          <w:rFonts w:ascii="Times New Roman" w:hAnsi="Times New Roman" w:cs="Times New Roman"/>
        </w:rPr>
      </w:pPr>
      <w:r>
        <w:rPr>
          <w:rFonts w:ascii="Times New Roman" w:hAnsi="Times New Roman" w:cs="Times New Roman"/>
        </w:rPr>
        <w:t>(Reflection on the Importance of Principles) to visually summarise how the three principles connect and support high-quality care</w:t>
      </w:r>
    </w:p>
    <w:p w14:paraId="67A9CF95" w14:textId="77777777" w:rsidR="004C5E65" w:rsidRPr="00DA7DE8" w:rsidRDefault="004C5E65" w:rsidP="00DA7DE8">
      <w:pPr>
        <w:spacing w:line="360" w:lineRule="auto"/>
        <w:rPr>
          <w:rFonts w:ascii="Arial" w:hAnsi="Arial" w:cs="Arial"/>
        </w:rPr>
      </w:pPr>
    </w:p>
    <w:p w14:paraId="788D859B" w14:textId="17B6EC9B" w:rsidR="004C5E65" w:rsidRPr="003E1CC6" w:rsidRDefault="004C5E65" w:rsidP="00DA7DE8">
      <w:pPr>
        <w:spacing w:line="360" w:lineRule="auto"/>
        <w:rPr>
          <w:rFonts w:ascii="Arial" w:hAnsi="Arial" w:cs="Arial"/>
          <w:color w:val="00B050"/>
        </w:rPr>
      </w:pPr>
      <w:r w:rsidRPr="003E1CC6">
        <w:rPr>
          <w:rFonts w:ascii="Arial" w:hAnsi="Arial" w:cs="Arial"/>
          <w:color w:val="00B050"/>
        </w:rPr>
        <w:t>TASK 2: Practical Examples of Concepts in Practice</w:t>
      </w:r>
    </w:p>
    <w:p w14:paraId="684B7C86" w14:textId="77777777" w:rsidR="004C5E65" w:rsidRPr="00DA7DE8" w:rsidRDefault="004C5E65" w:rsidP="00DA7DE8">
      <w:pPr>
        <w:spacing w:line="360" w:lineRule="auto"/>
        <w:rPr>
          <w:rFonts w:ascii="Arial" w:hAnsi="Arial" w:cs="Arial"/>
        </w:rPr>
      </w:pPr>
    </w:p>
    <w:p w14:paraId="32F50C34" w14:textId="684460C8" w:rsidR="004C5E65" w:rsidRPr="003E1CC6" w:rsidRDefault="004C5E65" w:rsidP="00DA7DE8">
      <w:pPr>
        <w:spacing w:line="360" w:lineRule="auto"/>
        <w:rPr>
          <w:rFonts w:ascii="Arial" w:hAnsi="Arial" w:cs="Arial"/>
          <w:color w:val="00B0F0"/>
          <w:sz w:val="28"/>
          <w:szCs w:val="28"/>
        </w:rPr>
      </w:pPr>
      <w:r w:rsidRPr="003E1CC6">
        <w:rPr>
          <w:rFonts w:ascii="Arial" w:hAnsi="Arial" w:cs="Arial"/>
          <w:color w:val="00B0F0"/>
          <w:sz w:val="28"/>
          <w:szCs w:val="28"/>
        </w:rPr>
        <w:t>Case Study: Margaret’s Situation</w:t>
      </w:r>
    </w:p>
    <w:p w14:paraId="36A5D6C1" w14:textId="71456334" w:rsidR="00680155" w:rsidRPr="00DA7DE8" w:rsidRDefault="007B4F05" w:rsidP="00DA7DE8">
      <w:pPr>
        <w:pStyle w:val="NormalWeb"/>
        <w:spacing w:line="360" w:lineRule="auto"/>
        <w:rPr>
          <w:rFonts w:ascii="Arial" w:hAnsi="Arial" w:cs="Arial"/>
        </w:rPr>
      </w:pPr>
      <w:r>
        <w:rPr>
          <w:rFonts w:ascii="Arial" w:hAnsi="Arial" w:cs="Arial"/>
        </w:rPr>
        <w:t>A good example of how these principles can be applied to a specific case can be seen in the case of Margaret, an 82-year-old woman who was admitted to a health and social care setting after a fall at home. Margaret has lived alone until the incident, which left her with a fractured hip and necessitated surgery and rehabilitation. She was also diagnosed with early-stage dementia, which complicated her discharge planning. This combination of physical injury, cognitive impairment and social isolation indicated that a holistic, well-coordinated approach was crucial to guarantee her safety, wellbeing and desired outcomes. The case has raised various issues, including Margaret’s desire to return home despite her vulnerability and the level of assistance needed in the community.</w:t>
      </w:r>
    </w:p>
    <w:p w14:paraId="7AA6F81F" w14:textId="78BF3BD2" w:rsidR="004C5E65" w:rsidRPr="003E1CC6" w:rsidRDefault="004C5E65" w:rsidP="00DA7DE8">
      <w:pPr>
        <w:spacing w:line="360" w:lineRule="auto"/>
        <w:rPr>
          <w:rFonts w:ascii="Arial" w:hAnsi="Arial" w:cs="Arial"/>
          <w:color w:val="00B050"/>
        </w:rPr>
      </w:pPr>
      <w:r w:rsidRPr="003E1CC6">
        <w:rPr>
          <w:rFonts w:ascii="Arial" w:hAnsi="Arial" w:cs="Arial"/>
          <w:color w:val="00B050"/>
        </w:rPr>
        <w:t>Application of Person-Centred Care</w:t>
      </w:r>
    </w:p>
    <w:p w14:paraId="7289C33B" w14:textId="536CACD9" w:rsidR="004C5E65" w:rsidRPr="00DA7DE8" w:rsidRDefault="007B4F05" w:rsidP="00DA7DE8">
      <w:pPr>
        <w:spacing w:line="360" w:lineRule="auto"/>
        <w:rPr>
          <w:rFonts w:ascii="Arial" w:hAnsi="Arial" w:cs="Arial"/>
        </w:rPr>
      </w:pPr>
      <w:r>
        <w:rPr>
          <w:rFonts w:ascii="Arial" w:hAnsi="Arial" w:cs="Arial"/>
        </w:rPr>
        <w:t xml:space="preserve">The care team applied person-centred care by actively involving Margaret in decision-making. Nurses used clear, simple communication to explain options and confirm her understanding, recognising her as an individual with preferences and rights rather than focusing solely on her medical condition (Skills for Health, 2024; Health Education England, </w:t>
      </w:r>
      <w:r>
        <w:rPr>
          <w:rFonts w:ascii="Arial" w:hAnsi="Arial" w:cs="Arial"/>
        </w:rPr>
        <w:lastRenderedPageBreak/>
        <w:t xml:space="preserve">2023). This approach directly supports the wellbeing principle in the Care Act 2014, which requires care and support to be based on individual aspirations and to promote independence (Department of Health and Social Care, 2014).  </w:t>
      </w:r>
    </w:p>
    <w:p w14:paraId="2A13A5F2" w14:textId="77777777" w:rsidR="004C5E65" w:rsidRPr="00DA7DE8" w:rsidRDefault="004C5E65" w:rsidP="00DA7DE8">
      <w:pPr>
        <w:spacing w:line="360" w:lineRule="auto"/>
        <w:rPr>
          <w:rFonts w:ascii="Arial" w:hAnsi="Arial" w:cs="Arial"/>
        </w:rPr>
      </w:pPr>
    </w:p>
    <w:p w14:paraId="4ED203F6" w14:textId="2BB57605" w:rsidR="004C5E65" w:rsidRPr="003E1CC6" w:rsidRDefault="004C5E65" w:rsidP="00DA7DE8">
      <w:pPr>
        <w:spacing w:line="360" w:lineRule="auto"/>
        <w:rPr>
          <w:rFonts w:ascii="Arial" w:hAnsi="Arial" w:cs="Arial"/>
          <w:color w:val="00B0F0"/>
          <w:sz w:val="28"/>
          <w:szCs w:val="28"/>
        </w:rPr>
      </w:pPr>
      <w:r w:rsidRPr="003E1CC6">
        <w:rPr>
          <w:rFonts w:ascii="Arial" w:hAnsi="Arial" w:cs="Arial"/>
          <w:color w:val="00B0F0"/>
          <w:sz w:val="28"/>
          <w:szCs w:val="28"/>
        </w:rPr>
        <w:t>Partnership Working in Practice</w:t>
      </w:r>
    </w:p>
    <w:p w14:paraId="69EEE668" w14:textId="3996CBFA" w:rsidR="004C5E65" w:rsidRPr="00DA7DE8" w:rsidRDefault="007B4F05" w:rsidP="00DA7DE8">
      <w:pPr>
        <w:spacing w:line="360" w:lineRule="auto"/>
        <w:rPr>
          <w:rFonts w:ascii="Arial" w:hAnsi="Arial" w:cs="Arial"/>
        </w:rPr>
      </w:pPr>
      <w:r>
        <w:rPr>
          <w:rFonts w:ascii="Arial" w:hAnsi="Arial" w:cs="Arial"/>
        </w:rPr>
        <w:t xml:space="preserve">Partnership working was demonstrated through a multidisciplinary team (MDT) meeting with the physiotherapist, occupational therapist, social worker, and Margaret’s daughter. Each professional contributed specialist expertise, including home adaptations, mobility assessments, and community support packages. This collaborative model aligns with the integrated care approach promoted by the Health and Care Act 2022 and NICE guidance on older people’s integrated care (Department of Health and Social Care, 2022; National Institute for Health and Care Excellence, 2021).  </w:t>
      </w:r>
    </w:p>
    <w:p w14:paraId="0D0A0F28" w14:textId="77777777" w:rsidR="004C5E65" w:rsidRPr="00DA7DE8" w:rsidRDefault="004C5E65" w:rsidP="00DA7DE8">
      <w:pPr>
        <w:spacing w:line="360" w:lineRule="auto"/>
        <w:rPr>
          <w:rFonts w:ascii="Arial" w:hAnsi="Arial" w:cs="Arial"/>
        </w:rPr>
      </w:pPr>
    </w:p>
    <w:p w14:paraId="7608094E" w14:textId="77777777" w:rsidR="001D5B79" w:rsidRPr="003E1CC6" w:rsidRDefault="001D5B79" w:rsidP="00DA7DE8">
      <w:pPr>
        <w:pStyle w:val="NormalWeb"/>
        <w:spacing w:line="360" w:lineRule="auto"/>
        <w:rPr>
          <w:rFonts w:ascii="Arial" w:hAnsi="Arial" w:cs="Arial"/>
          <w:color w:val="00B0F0"/>
          <w:sz w:val="28"/>
          <w:szCs w:val="28"/>
        </w:rPr>
      </w:pPr>
      <w:r w:rsidRPr="003E1CC6">
        <w:rPr>
          <w:rFonts w:ascii="Arial" w:hAnsi="Arial" w:cs="Arial"/>
          <w:color w:val="00B0F0"/>
          <w:sz w:val="28"/>
          <w:szCs w:val="28"/>
        </w:rPr>
        <w:t>Ethical Considerations</w:t>
      </w:r>
    </w:p>
    <w:p w14:paraId="2D59E4FB" w14:textId="1954CAF3" w:rsidR="001D5B79" w:rsidRPr="00DA7DE8" w:rsidRDefault="007B4F05" w:rsidP="00DA7DE8">
      <w:pPr>
        <w:pStyle w:val="NormalWeb"/>
        <w:spacing w:line="360" w:lineRule="auto"/>
        <w:rPr>
          <w:rFonts w:ascii="Arial" w:hAnsi="Arial" w:cs="Arial"/>
        </w:rPr>
      </w:pPr>
      <w:r>
        <w:rPr>
          <w:rFonts w:ascii="Arial" w:hAnsi="Arial" w:cs="Arial"/>
        </w:rPr>
        <w:t>The process was ethically grounded. The team took into account Margaret’s expressed wish to go home, despite her daughter’s wish for her to be placed in a care home. This ruling was a close call between the ethical doctrines of autonomy and non-maleficence, and was justified by the framework of the Mental Capacity Act 2005 for evaluating capacity and establishing best interests (Department of Health, 2005; Beauchamp and Childress, 2019).</w:t>
      </w:r>
    </w:p>
    <w:p w14:paraId="6CB23D88" w14:textId="0BBA0D42" w:rsidR="001D5B79" w:rsidRPr="00DA7DE8" w:rsidRDefault="007B4F05" w:rsidP="00DA7DE8">
      <w:pPr>
        <w:pStyle w:val="NormalWeb"/>
        <w:spacing w:line="360" w:lineRule="auto"/>
        <w:rPr>
          <w:rFonts w:ascii="Arial" w:hAnsi="Arial" w:cs="Arial"/>
        </w:rPr>
      </w:pPr>
      <w:r>
        <w:rPr>
          <w:rFonts w:ascii="Arial" w:hAnsi="Arial" w:cs="Arial"/>
        </w:rPr>
        <w:t>The care team conducted a detailed capacity assessment and concluded that Margaret was able to make this particular decision. Respecting her autonomy was paramount, though it carried some risk. Meanwhile, the principle of non-maleficence was observed by introducing a strong home care package and conducting frequent monitoring to avoid any harm. The team also considered beneficence by promoting Margaret’s overall well-being and quality of life, and justice by providing her with resources equitably. This ethical practice demonstrates how professionals need to navigate intricate family dynamics and conflicting priorities while adhering to person-centred values and the requirements of the legislation.</w:t>
      </w:r>
    </w:p>
    <w:p w14:paraId="77674DD4" w14:textId="77777777" w:rsidR="00680155" w:rsidRPr="00DA7DE8" w:rsidRDefault="00680155" w:rsidP="00DA7DE8">
      <w:pPr>
        <w:spacing w:line="360" w:lineRule="auto"/>
        <w:rPr>
          <w:rFonts w:ascii="Arial" w:hAnsi="Arial" w:cs="Arial"/>
        </w:rPr>
      </w:pPr>
    </w:p>
    <w:p w14:paraId="44EC32DA" w14:textId="61401EEE" w:rsidR="004C5E65" w:rsidRPr="003E1CC6" w:rsidRDefault="004C5E65" w:rsidP="00DA7DE8">
      <w:pPr>
        <w:spacing w:line="360" w:lineRule="auto"/>
        <w:rPr>
          <w:rFonts w:ascii="Arial" w:hAnsi="Arial" w:cs="Arial"/>
          <w:color w:val="00B0F0"/>
          <w:sz w:val="28"/>
          <w:szCs w:val="28"/>
        </w:rPr>
      </w:pPr>
      <w:r w:rsidRPr="003E1CC6">
        <w:rPr>
          <w:rFonts w:ascii="Arial" w:hAnsi="Arial" w:cs="Arial"/>
          <w:color w:val="00B0F0"/>
          <w:sz w:val="28"/>
          <w:szCs w:val="28"/>
        </w:rPr>
        <w:t>Critical Reflection on the Case</w:t>
      </w:r>
    </w:p>
    <w:p w14:paraId="3467AD50" w14:textId="3039FECC" w:rsidR="004C5E65" w:rsidRPr="00DA7DE8" w:rsidRDefault="007B4F05" w:rsidP="00DA7DE8">
      <w:pPr>
        <w:spacing w:line="360" w:lineRule="auto"/>
        <w:rPr>
          <w:rFonts w:ascii="Arial" w:hAnsi="Arial" w:cs="Arial"/>
        </w:rPr>
      </w:pPr>
      <w:r>
        <w:rPr>
          <w:rFonts w:ascii="Arial" w:hAnsi="Arial" w:cs="Arial"/>
        </w:rPr>
        <w:lastRenderedPageBreak/>
        <w:t xml:space="preserve">While the outcome was positive, with Margaret returning home with a comprehensive care package, limitations were evident. Margaret appeared overwhelmed during the MDT meeting, suggesting that additional preparatory one-to-one discussions could have better supported her participation. This highlights a common challenge in multidisciplinary working, where time pressures and differing professional perspectives can reduce the depth of person-centred engagement (Glasby, 2024; Care Quality Commission, 2023).  </w:t>
      </w:r>
    </w:p>
    <w:p w14:paraId="0870A0EB" w14:textId="77777777" w:rsidR="004C5E65" w:rsidRPr="00DA7DE8" w:rsidRDefault="004C5E65" w:rsidP="00DA7DE8">
      <w:pPr>
        <w:spacing w:line="360" w:lineRule="auto"/>
        <w:rPr>
          <w:rFonts w:ascii="Arial" w:hAnsi="Arial" w:cs="Arial"/>
        </w:rPr>
      </w:pPr>
    </w:p>
    <w:p w14:paraId="63DA1C74" w14:textId="201015BA" w:rsidR="004C5E65" w:rsidRPr="00DA7DE8" w:rsidRDefault="007B4F05" w:rsidP="00DA7DE8">
      <w:pPr>
        <w:spacing w:line="360" w:lineRule="auto"/>
        <w:rPr>
          <w:rFonts w:ascii="Arial" w:hAnsi="Arial" w:cs="Arial"/>
        </w:rPr>
      </w:pPr>
      <w:r>
        <w:rPr>
          <w:rFonts w:ascii="Arial" w:hAnsi="Arial" w:cs="Arial"/>
        </w:rPr>
        <w:t>Overall, this case demonstrates that the effective integration of person-centred care, partnership working, and ethical principles leads to improved outcomes, higher service-user satisfaction, and more coordinated care.</w:t>
      </w:r>
    </w:p>
    <w:p w14:paraId="41827A1D" w14:textId="77777777" w:rsidR="004C5E65" w:rsidRPr="00DA7DE8" w:rsidRDefault="004C5E65" w:rsidP="00DA7DE8">
      <w:pPr>
        <w:spacing w:line="360" w:lineRule="auto"/>
        <w:rPr>
          <w:rFonts w:ascii="Arial" w:hAnsi="Arial" w:cs="Arial"/>
        </w:rPr>
      </w:pPr>
    </w:p>
    <w:p w14:paraId="45937A8F" w14:textId="1B1765E2" w:rsidR="004C5E65" w:rsidRPr="003E1CC6" w:rsidRDefault="004C5E65" w:rsidP="00DA7DE8">
      <w:pPr>
        <w:spacing w:line="360" w:lineRule="auto"/>
        <w:rPr>
          <w:rFonts w:ascii="Arial" w:hAnsi="Arial" w:cs="Arial"/>
          <w:color w:val="92D050"/>
          <w:sz w:val="24"/>
          <w:szCs w:val="24"/>
        </w:rPr>
      </w:pPr>
      <w:r w:rsidRPr="003E1CC6">
        <w:rPr>
          <w:rFonts w:ascii="Arial" w:hAnsi="Arial" w:cs="Arial"/>
          <w:color w:val="92D050"/>
          <w:sz w:val="24"/>
          <w:szCs w:val="24"/>
        </w:rPr>
        <w:t>TASK 3: Self-Reflection as a Professional</w:t>
      </w:r>
    </w:p>
    <w:p w14:paraId="45D1997D" w14:textId="77777777" w:rsidR="004C5E65" w:rsidRPr="00DA7DE8" w:rsidRDefault="004C5E65" w:rsidP="00DA7DE8">
      <w:pPr>
        <w:spacing w:line="360" w:lineRule="auto"/>
        <w:rPr>
          <w:rFonts w:ascii="Arial" w:hAnsi="Arial" w:cs="Arial"/>
        </w:rPr>
      </w:pPr>
    </w:p>
    <w:p w14:paraId="14FA2C93" w14:textId="7338E2BF" w:rsidR="004C5E65" w:rsidRPr="003E1CC6" w:rsidRDefault="004C5E65" w:rsidP="00DA7DE8">
      <w:pPr>
        <w:spacing w:line="360" w:lineRule="auto"/>
        <w:rPr>
          <w:rFonts w:ascii="Arial" w:hAnsi="Arial" w:cs="Arial"/>
          <w:color w:val="0070C0"/>
          <w:sz w:val="28"/>
          <w:szCs w:val="28"/>
        </w:rPr>
      </w:pPr>
      <w:r w:rsidRPr="003E1CC6">
        <w:rPr>
          <w:rFonts w:ascii="Arial" w:hAnsi="Arial" w:cs="Arial"/>
          <w:color w:val="0070C0"/>
          <w:sz w:val="28"/>
          <w:szCs w:val="28"/>
        </w:rPr>
        <w:t>Current Strengths</w:t>
      </w:r>
    </w:p>
    <w:p w14:paraId="5C8CC6E9" w14:textId="601EC2C3" w:rsidR="004C5E65" w:rsidRPr="00DA7DE8" w:rsidRDefault="007B4F05" w:rsidP="00DA7DE8">
      <w:pPr>
        <w:spacing w:line="360" w:lineRule="auto"/>
        <w:rPr>
          <w:rFonts w:ascii="Arial" w:hAnsi="Arial" w:cs="Arial"/>
        </w:rPr>
      </w:pPr>
      <w:r>
        <w:rPr>
          <w:rFonts w:ascii="Arial" w:hAnsi="Arial" w:cs="Arial"/>
        </w:rPr>
        <w:t xml:space="preserve">As a final-year student approaching qualification, reflection on person-centred care, partnership working, and ethics has shifted from theoretical understanding to practical application through placement experiences.  </w:t>
      </w:r>
    </w:p>
    <w:p w14:paraId="1FB7CBBD" w14:textId="77777777" w:rsidR="004C5E65" w:rsidRPr="00DA7DE8" w:rsidRDefault="004C5E65" w:rsidP="00DA7DE8">
      <w:pPr>
        <w:spacing w:line="360" w:lineRule="auto"/>
        <w:rPr>
          <w:rFonts w:ascii="Arial" w:hAnsi="Arial" w:cs="Arial"/>
        </w:rPr>
      </w:pPr>
    </w:p>
    <w:p w14:paraId="690FC522" w14:textId="0F3D51E4" w:rsidR="004C5E65" w:rsidRPr="00DA7DE8" w:rsidRDefault="007B4F05" w:rsidP="00DA7DE8">
      <w:pPr>
        <w:spacing w:line="360" w:lineRule="auto"/>
        <w:rPr>
          <w:rFonts w:ascii="Arial" w:hAnsi="Arial" w:cs="Arial"/>
        </w:rPr>
      </w:pPr>
      <w:r>
        <w:rPr>
          <w:rFonts w:ascii="Arial" w:hAnsi="Arial" w:cs="Arial"/>
        </w:rPr>
        <w:t xml:space="preserve">Among current strengths, empathy stands out as a key attribute underpinning person-centred care. On placement, when a patient became agitated due to a discharge delay, taking time to listen to their concerns helped the individual feel heard and respected, aligning with the core values of person-centred practice (Skills for Health, 2024). Confidence in partnership working has also grown through active participation in handovers and MDT discussions, recognising the value of diverse professional contributions as promoted by the Health and Social Care Act 2012 (Department of Health, 2012).  </w:t>
      </w:r>
    </w:p>
    <w:p w14:paraId="1D0AA164" w14:textId="77777777" w:rsidR="004C5E65" w:rsidRPr="003E1CC6" w:rsidRDefault="004C5E65" w:rsidP="00DA7DE8">
      <w:pPr>
        <w:spacing w:line="360" w:lineRule="auto"/>
        <w:rPr>
          <w:rFonts w:ascii="Arial" w:hAnsi="Arial" w:cs="Arial"/>
          <w:color w:val="0070C0"/>
          <w:sz w:val="28"/>
          <w:szCs w:val="28"/>
        </w:rPr>
      </w:pPr>
    </w:p>
    <w:p w14:paraId="3BDE2C5B" w14:textId="39F359EB" w:rsidR="004C5E65" w:rsidRPr="003E1CC6" w:rsidRDefault="004C5E65" w:rsidP="00DA7DE8">
      <w:pPr>
        <w:spacing w:line="360" w:lineRule="auto"/>
        <w:rPr>
          <w:rFonts w:ascii="Arial" w:hAnsi="Arial" w:cs="Arial"/>
          <w:color w:val="0070C0"/>
          <w:sz w:val="28"/>
          <w:szCs w:val="28"/>
        </w:rPr>
      </w:pPr>
      <w:r w:rsidRPr="003E1CC6">
        <w:rPr>
          <w:rFonts w:ascii="Arial" w:hAnsi="Arial" w:cs="Arial"/>
          <w:color w:val="0070C0"/>
          <w:sz w:val="28"/>
          <w:szCs w:val="28"/>
        </w:rPr>
        <w:t>Areas for Development</w:t>
      </w:r>
    </w:p>
    <w:p w14:paraId="55586D48" w14:textId="7BF15E07" w:rsidR="004C5E65" w:rsidRPr="00DA7DE8" w:rsidRDefault="007B4F05" w:rsidP="00DA7DE8">
      <w:pPr>
        <w:spacing w:line="360" w:lineRule="auto"/>
        <w:rPr>
          <w:rFonts w:ascii="Arial" w:hAnsi="Arial" w:cs="Arial"/>
        </w:rPr>
      </w:pPr>
      <w:r>
        <w:rPr>
          <w:rFonts w:ascii="Arial" w:hAnsi="Arial" w:cs="Arial"/>
        </w:rPr>
        <w:t xml:space="preserve">Areas requiring further development include building confidence in formal and high-pressure situations, such as family meetings, where hesitation has occasionally limited contributions. Balancing empathy with professional boundaries remains another challenge, particularly in emotionally demanding end-of-life situations. The NHS Constitution emphasises the </w:t>
      </w:r>
      <w:r>
        <w:rPr>
          <w:rFonts w:ascii="Arial" w:hAnsi="Arial" w:cs="Arial"/>
        </w:rPr>
        <w:lastRenderedPageBreak/>
        <w:t xml:space="preserve">importance of maintaining boundaries for sustainable practice (Department of Health and Social Care, 2021). In ethics, applying the Mental Capacity Act 2005 in complex cases involving capacity and consent still requires greater confidence (Department of Health, 2005).  </w:t>
      </w:r>
    </w:p>
    <w:p w14:paraId="3C655546" w14:textId="77777777" w:rsidR="004C5E65" w:rsidRPr="00DA7DE8" w:rsidRDefault="004C5E65" w:rsidP="00DA7DE8">
      <w:pPr>
        <w:spacing w:line="360" w:lineRule="auto"/>
        <w:rPr>
          <w:rFonts w:ascii="Arial" w:hAnsi="Arial" w:cs="Arial"/>
        </w:rPr>
      </w:pPr>
    </w:p>
    <w:p w14:paraId="16852A69" w14:textId="57DE8CB8" w:rsidR="004C5E65" w:rsidRPr="003E1CC6" w:rsidRDefault="004C5E65" w:rsidP="00DA7DE8">
      <w:pPr>
        <w:spacing w:line="360" w:lineRule="auto"/>
        <w:rPr>
          <w:rFonts w:ascii="Arial" w:hAnsi="Arial" w:cs="Arial"/>
          <w:color w:val="0070C0"/>
          <w:sz w:val="28"/>
          <w:szCs w:val="28"/>
        </w:rPr>
      </w:pPr>
      <w:r w:rsidRPr="003E1CC6">
        <w:rPr>
          <w:rFonts w:ascii="Arial" w:hAnsi="Arial" w:cs="Arial"/>
          <w:color w:val="0070C0"/>
          <w:sz w:val="28"/>
          <w:szCs w:val="28"/>
        </w:rPr>
        <w:t>Professional Development Plan</w:t>
      </w:r>
    </w:p>
    <w:p w14:paraId="0DB8B8AB" w14:textId="5F0354FB" w:rsidR="004C5E65" w:rsidRPr="00DA7DE8" w:rsidRDefault="007B4F05" w:rsidP="00DA7DE8">
      <w:pPr>
        <w:spacing w:line="360" w:lineRule="auto"/>
        <w:rPr>
          <w:rFonts w:ascii="Arial" w:hAnsi="Arial" w:cs="Arial"/>
        </w:rPr>
      </w:pPr>
      <w:r>
        <w:rPr>
          <w:rFonts w:ascii="Arial" w:hAnsi="Arial" w:cs="Arial"/>
        </w:rPr>
        <w:t xml:space="preserve">A clear development plan has been established. By the end of the module, active participation in placement discussions and seminars will be prioritised to build communication confidence. Over the next six months, targeted learning on safeguarding, ethics, and the Mental Capacity Act will be undertaken, using resources from the Social Care Institute for Excellence (SCIE, 2022). During the first year of qualified practice, regular supervision sessions will be sought to support reflective learning, consistent with Vygotsky’s emphasis on development through social interaction (Vygotsky, 1978).  </w:t>
      </w:r>
    </w:p>
    <w:p w14:paraId="02912648" w14:textId="77777777" w:rsidR="004C5E65" w:rsidRPr="00DA7DE8" w:rsidRDefault="004C5E65" w:rsidP="00DA7DE8">
      <w:pPr>
        <w:spacing w:line="360" w:lineRule="auto"/>
        <w:rPr>
          <w:rFonts w:ascii="Arial" w:hAnsi="Arial" w:cs="Arial"/>
        </w:rPr>
      </w:pPr>
    </w:p>
    <w:p w14:paraId="15764770" w14:textId="45A3730C" w:rsidR="004C5E65" w:rsidRPr="003E1CC6" w:rsidRDefault="004C5E65" w:rsidP="00DA7DE8">
      <w:pPr>
        <w:spacing w:line="360" w:lineRule="auto"/>
        <w:rPr>
          <w:rFonts w:ascii="Arial" w:hAnsi="Arial" w:cs="Arial"/>
          <w:color w:val="0070C0"/>
          <w:sz w:val="32"/>
          <w:szCs w:val="32"/>
        </w:rPr>
      </w:pPr>
      <w:r w:rsidRPr="003E1CC6">
        <w:rPr>
          <w:rFonts w:ascii="Arial" w:hAnsi="Arial" w:cs="Arial"/>
          <w:color w:val="0070C0"/>
          <w:sz w:val="32"/>
          <w:szCs w:val="32"/>
        </w:rPr>
        <w:t>Monitoring Progress and Future Practice</w:t>
      </w:r>
    </w:p>
    <w:p w14:paraId="7E037631" w14:textId="775B9E7E" w:rsidR="004C5E65" w:rsidRPr="00DA7DE8" w:rsidRDefault="007B4F05" w:rsidP="00DA7DE8">
      <w:pPr>
        <w:spacing w:line="360" w:lineRule="auto"/>
        <w:rPr>
          <w:rFonts w:ascii="Arial" w:hAnsi="Arial" w:cs="Arial"/>
        </w:rPr>
      </w:pPr>
      <w:r>
        <w:rPr>
          <w:rFonts w:ascii="Arial" w:hAnsi="Arial" w:cs="Arial"/>
        </w:rPr>
        <w:t xml:space="preserve">Progress will be monitored through a reflective journal and by actively seeking feedback. Practice will be guided by the CQC’s “Right support, right care, right culture” framework (Care Quality Commission, 2022) and the NHS Long Term Plan (NHS England, 2019), ensuring a continued commitment to person-centred, integrated, and ethically sound care. </w:t>
      </w:r>
    </w:p>
    <w:p w14:paraId="65DA32B4" w14:textId="6D00FA84" w:rsidR="004C5E65" w:rsidRDefault="004C5E65" w:rsidP="00DA7DE8">
      <w:pPr>
        <w:spacing w:line="360" w:lineRule="auto"/>
        <w:rPr>
          <w:rFonts w:ascii="Arial" w:hAnsi="Arial" w:cs="Arial"/>
        </w:rPr>
      </w:pPr>
      <w:r w:rsidRPr="00DA7DE8">
        <w:rPr>
          <w:rFonts w:ascii="Arial" w:hAnsi="Arial" w:cs="Arial"/>
        </w:rPr>
        <w:t>This professional journey is viewed as an ongoing process of learning and refinement. Maintaining honest reflection and openness to development will be essential in becoming a competent, compassionate, and ethically grounded health and social care professional.</w:t>
      </w:r>
    </w:p>
    <w:p w14:paraId="59979848" w14:textId="482E7768" w:rsidR="004053E7" w:rsidRPr="00DA7DE8" w:rsidRDefault="004053E7" w:rsidP="00DA7DE8">
      <w:pPr>
        <w:spacing w:line="360" w:lineRule="auto"/>
        <w:rPr>
          <w:rFonts w:ascii="Arial" w:hAnsi="Arial" w:cs="Arial"/>
        </w:rPr>
      </w:pPr>
      <w:r>
        <w:rPr>
          <w:rFonts w:ascii="Arial" w:hAnsi="Arial" w:cs="Arial"/>
        </w:rPr>
        <w:t xml:space="preserve">                   </w:t>
      </w:r>
      <w:r>
        <w:rPr>
          <w:rFonts w:ascii="Arial" w:hAnsi="Arial" w:cs="Arial"/>
          <w:noProof/>
        </w:rPr>
        <w:drawing>
          <wp:inline distT="0" distB="0" distL="0" distR="0" wp14:anchorId="39A7A1EE" wp14:editId="0A387143">
            <wp:extent cx="4800831" cy="1001732"/>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4800831" cy="1001732"/>
                    </a:xfrm>
                    <a:prstGeom prst="rect">
                      <a:avLst/>
                    </a:prstGeom>
                  </pic:spPr>
                </pic:pic>
              </a:graphicData>
            </a:graphic>
          </wp:inline>
        </w:drawing>
      </w:r>
    </w:p>
    <w:p w14:paraId="2AE40D42" w14:textId="77777777" w:rsidR="00680155" w:rsidRPr="003E1CC6" w:rsidRDefault="00680155" w:rsidP="00DA7DE8">
      <w:pPr>
        <w:spacing w:line="360" w:lineRule="auto"/>
        <w:rPr>
          <w:rFonts w:ascii="Arial" w:hAnsi="Arial" w:cs="Arial"/>
          <w:color w:val="0070C0"/>
          <w:sz w:val="32"/>
          <w:szCs w:val="32"/>
        </w:rPr>
      </w:pPr>
      <w:r w:rsidRPr="003E1CC6">
        <w:rPr>
          <w:rFonts w:ascii="Arial" w:hAnsi="Arial" w:cs="Arial"/>
          <w:color w:val="0070C0"/>
          <w:sz w:val="32"/>
          <w:szCs w:val="32"/>
        </w:rPr>
        <w:t>Conclusion</w:t>
      </w:r>
    </w:p>
    <w:p w14:paraId="09DD6429" w14:textId="77777777" w:rsidR="00680155" w:rsidRPr="00DA7DE8" w:rsidRDefault="00680155" w:rsidP="00DA7DE8">
      <w:pPr>
        <w:spacing w:line="360" w:lineRule="auto"/>
        <w:rPr>
          <w:rFonts w:ascii="Arial" w:hAnsi="Arial" w:cs="Arial"/>
        </w:rPr>
      </w:pPr>
    </w:p>
    <w:p w14:paraId="0D5841CE" w14:textId="49D9E59D" w:rsidR="00680155" w:rsidRPr="00DA7DE8" w:rsidRDefault="007B4F05" w:rsidP="00DA7DE8">
      <w:pPr>
        <w:spacing w:line="360" w:lineRule="auto"/>
        <w:rPr>
          <w:rFonts w:ascii="Arial" w:hAnsi="Arial" w:cs="Arial"/>
        </w:rPr>
      </w:pPr>
      <w:r>
        <w:rPr>
          <w:rFonts w:ascii="Arial" w:hAnsi="Arial" w:cs="Arial"/>
        </w:rPr>
        <w:t xml:space="preserve">To sum up, effective, compassionate, and legally compliant health and social care practice in the United Kingdom depends on person-centred care, partnership working, and ethics. This </w:t>
      </w:r>
      <w:r>
        <w:rPr>
          <w:rFonts w:ascii="Arial" w:hAnsi="Arial" w:cs="Arial"/>
        </w:rPr>
        <w:lastRenderedPageBreak/>
        <w:t xml:space="preserve">report has shown that person-centred care provides people with dignity and active participation in their care decisions, both of which are strongly encouraged by the Care Act 2014 and the humanistic principles of Rogers. A coordinated, multidisciplinary response to complex needs is achieved through partnership working, which is supported by the Health and Care Act 2022 and the sociocultural theory of Vygotsky. In the meantime, ethical practice, guided by the four principles of Beauchamp and Childress and the Mental Capacity Act 2005, will help to keep decisions ethically sound and </w:t>
      </w:r>
      <w:proofErr w:type="gramStart"/>
      <w:r>
        <w:rPr>
          <w:rFonts w:ascii="Arial" w:hAnsi="Arial" w:cs="Arial"/>
        </w:rPr>
        <w:t>rights-based</w:t>
      </w:r>
      <w:proofErr w:type="gramEnd"/>
      <w:r>
        <w:rPr>
          <w:rFonts w:ascii="Arial" w:hAnsi="Arial" w:cs="Arial"/>
        </w:rPr>
        <w:t xml:space="preserve">.  </w:t>
      </w:r>
    </w:p>
    <w:p w14:paraId="0DE12533" w14:textId="77777777" w:rsidR="00680155" w:rsidRPr="00DA7DE8" w:rsidRDefault="00680155" w:rsidP="00DA7DE8">
      <w:pPr>
        <w:spacing w:line="360" w:lineRule="auto"/>
        <w:rPr>
          <w:rFonts w:ascii="Arial" w:hAnsi="Arial" w:cs="Arial"/>
        </w:rPr>
      </w:pPr>
    </w:p>
    <w:p w14:paraId="115CD332" w14:textId="4C9CDC50" w:rsidR="00680155" w:rsidRPr="00DA7DE8" w:rsidRDefault="007B4F05" w:rsidP="00DA7DE8">
      <w:pPr>
        <w:spacing w:line="360" w:lineRule="auto"/>
        <w:rPr>
          <w:rFonts w:ascii="Arial" w:hAnsi="Arial" w:cs="Arial"/>
        </w:rPr>
      </w:pPr>
      <w:r>
        <w:rPr>
          <w:rFonts w:ascii="Arial" w:hAnsi="Arial" w:cs="Arial"/>
        </w:rPr>
        <w:t xml:space="preserve">The example of Margaret clearly illustrates how a combination of these principles can deliver safer, more personalised outcomes and highlights the current issues of time constraints and communication problems. As future professionals, we should not treat these as mere concepts to be kept in theory; rather, we need to apply them to provide quality services. With the ever-increasing needs in health and social care, a long-term commitment to these values, alongside ongoing professional reflection and growth, will be essential. In the end, ensuring that all these principles are embedded in practice will help to make the care system more humane, equitable, and effective, which will </w:t>
      </w:r>
      <w:proofErr w:type="gramStart"/>
      <w:r>
        <w:rPr>
          <w:rFonts w:ascii="Arial" w:hAnsi="Arial" w:cs="Arial"/>
        </w:rPr>
        <w:t>actually make</w:t>
      </w:r>
      <w:proofErr w:type="gramEnd"/>
      <w:r>
        <w:rPr>
          <w:rFonts w:ascii="Arial" w:hAnsi="Arial" w:cs="Arial"/>
        </w:rPr>
        <w:t xml:space="preserve"> the individual the centre of it.</w:t>
      </w:r>
    </w:p>
    <w:p w14:paraId="311EEB73" w14:textId="1F219AB5" w:rsidR="00680155" w:rsidRDefault="00680155" w:rsidP="00DA7DE8">
      <w:pPr>
        <w:spacing w:line="360" w:lineRule="auto"/>
        <w:rPr>
          <w:rFonts w:ascii="Arial" w:hAnsi="Arial" w:cs="Arial"/>
        </w:rPr>
      </w:pPr>
    </w:p>
    <w:p w14:paraId="6738DF9A" w14:textId="325DDC93" w:rsidR="006B0086" w:rsidRDefault="006B0086" w:rsidP="00DA7DE8">
      <w:pPr>
        <w:spacing w:line="360" w:lineRule="auto"/>
        <w:rPr>
          <w:rFonts w:ascii="Arial" w:hAnsi="Arial" w:cs="Arial"/>
        </w:rPr>
      </w:pPr>
    </w:p>
    <w:p w14:paraId="55E3C6F2" w14:textId="1E542010" w:rsidR="004053E7" w:rsidRDefault="004053E7" w:rsidP="00DA7DE8">
      <w:pPr>
        <w:spacing w:line="360" w:lineRule="auto"/>
        <w:rPr>
          <w:rFonts w:ascii="Arial" w:hAnsi="Arial" w:cs="Arial"/>
        </w:rPr>
      </w:pPr>
    </w:p>
    <w:p w14:paraId="1C5EB9BE" w14:textId="79085CC7" w:rsidR="004053E7" w:rsidRDefault="004053E7" w:rsidP="00DA7DE8">
      <w:pPr>
        <w:spacing w:line="360" w:lineRule="auto"/>
        <w:rPr>
          <w:rFonts w:ascii="Arial" w:hAnsi="Arial" w:cs="Arial"/>
        </w:rPr>
      </w:pPr>
    </w:p>
    <w:p w14:paraId="50DC2552" w14:textId="28908B57" w:rsidR="004053E7" w:rsidRDefault="004053E7" w:rsidP="00DA7DE8">
      <w:pPr>
        <w:spacing w:line="360" w:lineRule="auto"/>
        <w:rPr>
          <w:rFonts w:ascii="Arial" w:hAnsi="Arial" w:cs="Arial"/>
        </w:rPr>
      </w:pPr>
    </w:p>
    <w:p w14:paraId="4C3E4632" w14:textId="0C17D1D8" w:rsidR="004053E7" w:rsidRDefault="004053E7" w:rsidP="00DA7DE8">
      <w:pPr>
        <w:spacing w:line="360" w:lineRule="auto"/>
        <w:rPr>
          <w:rFonts w:ascii="Arial" w:hAnsi="Arial" w:cs="Arial"/>
        </w:rPr>
      </w:pPr>
    </w:p>
    <w:p w14:paraId="08DA119B" w14:textId="77777777" w:rsidR="004053E7" w:rsidRDefault="004053E7" w:rsidP="00DA7DE8">
      <w:pPr>
        <w:spacing w:line="360" w:lineRule="auto"/>
        <w:rPr>
          <w:rFonts w:ascii="Arial" w:hAnsi="Arial" w:cs="Arial"/>
        </w:rPr>
      </w:pPr>
    </w:p>
    <w:p w14:paraId="39DA90B6" w14:textId="10EE7521" w:rsidR="006B0086" w:rsidRDefault="006B0086" w:rsidP="00DA7DE8">
      <w:pPr>
        <w:spacing w:line="360" w:lineRule="auto"/>
        <w:rPr>
          <w:rFonts w:ascii="Arial" w:hAnsi="Arial" w:cs="Arial"/>
        </w:rPr>
      </w:pPr>
    </w:p>
    <w:p w14:paraId="271032C1" w14:textId="3377DFB2" w:rsidR="006B0086" w:rsidRDefault="006B0086" w:rsidP="00DA7DE8">
      <w:pPr>
        <w:spacing w:line="360" w:lineRule="auto"/>
        <w:rPr>
          <w:rFonts w:ascii="Arial" w:hAnsi="Arial" w:cs="Arial"/>
        </w:rPr>
      </w:pPr>
    </w:p>
    <w:p w14:paraId="601667E3" w14:textId="569C6327" w:rsidR="006B0086" w:rsidRDefault="006B0086" w:rsidP="00DA7DE8">
      <w:pPr>
        <w:spacing w:line="360" w:lineRule="auto"/>
        <w:rPr>
          <w:rFonts w:ascii="Arial" w:hAnsi="Arial" w:cs="Arial"/>
        </w:rPr>
      </w:pPr>
    </w:p>
    <w:p w14:paraId="4894BA64" w14:textId="77777777" w:rsidR="006B0086" w:rsidRPr="00DA7DE8" w:rsidRDefault="006B0086" w:rsidP="00DA7DE8">
      <w:pPr>
        <w:spacing w:line="360" w:lineRule="auto"/>
        <w:rPr>
          <w:rFonts w:ascii="Arial" w:hAnsi="Arial" w:cs="Arial"/>
        </w:rPr>
      </w:pPr>
    </w:p>
    <w:p w14:paraId="66D8224F" w14:textId="77777777" w:rsidR="00680155" w:rsidRPr="00DA7DE8" w:rsidRDefault="00680155" w:rsidP="00DA7DE8">
      <w:pPr>
        <w:spacing w:line="360" w:lineRule="auto"/>
        <w:rPr>
          <w:rFonts w:ascii="Arial" w:hAnsi="Arial" w:cs="Arial"/>
        </w:rPr>
      </w:pPr>
    </w:p>
    <w:p w14:paraId="0CA91DA6" w14:textId="77777777" w:rsidR="00680155" w:rsidRPr="00D12DDB" w:rsidRDefault="00680155" w:rsidP="00DA7DE8">
      <w:pPr>
        <w:spacing w:line="360" w:lineRule="auto"/>
        <w:rPr>
          <w:rFonts w:ascii="Arial" w:hAnsi="Arial" w:cs="Arial"/>
          <w:color w:val="0070C0"/>
          <w:sz w:val="32"/>
          <w:szCs w:val="32"/>
        </w:rPr>
      </w:pPr>
      <w:r w:rsidRPr="00D12DDB">
        <w:rPr>
          <w:rFonts w:ascii="Arial" w:hAnsi="Arial" w:cs="Arial"/>
          <w:color w:val="0070C0"/>
          <w:sz w:val="32"/>
          <w:szCs w:val="32"/>
        </w:rPr>
        <w:t>Reference</w:t>
      </w:r>
    </w:p>
    <w:p w14:paraId="4EE320D3" w14:textId="77777777" w:rsidR="00680155" w:rsidRPr="00DA7DE8" w:rsidRDefault="00680155" w:rsidP="00DA7DE8">
      <w:pPr>
        <w:spacing w:line="360" w:lineRule="auto"/>
        <w:rPr>
          <w:rFonts w:ascii="Arial" w:hAnsi="Arial" w:cs="Arial"/>
        </w:rPr>
      </w:pPr>
      <w:r w:rsidRPr="00DA7DE8">
        <w:rPr>
          <w:rFonts w:ascii="Arial" w:hAnsi="Arial" w:cs="Arial"/>
        </w:rPr>
        <w:lastRenderedPageBreak/>
        <w:t xml:space="preserve">Beauchamp, T. L. and Childress, J. F. (2019) Principles of Biomedical Ethics. 8th </w:t>
      </w:r>
      <w:proofErr w:type="spellStart"/>
      <w:r w:rsidRPr="00DA7DE8">
        <w:rPr>
          <w:rFonts w:ascii="Arial" w:hAnsi="Arial" w:cs="Arial"/>
        </w:rPr>
        <w:t>edn</w:t>
      </w:r>
      <w:proofErr w:type="spellEnd"/>
      <w:r w:rsidRPr="00DA7DE8">
        <w:rPr>
          <w:rFonts w:ascii="Arial" w:hAnsi="Arial" w:cs="Arial"/>
        </w:rPr>
        <w:t xml:space="preserve">. Oxford: Oxford University Press.  </w:t>
      </w:r>
    </w:p>
    <w:p w14:paraId="7A6F2F57" w14:textId="77777777" w:rsidR="00680155" w:rsidRPr="00DA7DE8" w:rsidRDefault="00680155" w:rsidP="00DA7DE8">
      <w:pPr>
        <w:spacing w:line="360" w:lineRule="auto"/>
        <w:rPr>
          <w:rFonts w:ascii="Arial" w:hAnsi="Arial" w:cs="Arial"/>
        </w:rPr>
      </w:pPr>
      <w:r w:rsidRPr="00DA7DE8">
        <w:rPr>
          <w:rFonts w:ascii="Arial" w:hAnsi="Arial" w:cs="Arial"/>
        </w:rPr>
        <w:t xml:space="preserve">Care Quality Commission (CQC) (2022) Right support, right care, right culture. London: CQC.  </w:t>
      </w:r>
    </w:p>
    <w:p w14:paraId="16782401" w14:textId="77777777" w:rsidR="00680155" w:rsidRPr="00DA7DE8" w:rsidRDefault="00680155" w:rsidP="00DA7DE8">
      <w:pPr>
        <w:spacing w:line="360" w:lineRule="auto"/>
        <w:rPr>
          <w:rFonts w:ascii="Arial" w:hAnsi="Arial" w:cs="Arial"/>
        </w:rPr>
      </w:pPr>
      <w:r w:rsidRPr="00DA7DE8">
        <w:rPr>
          <w:rFonts w:ascii="Arial" w:hAnsi="Arial" w:cs="Arial"/>
        </w:rPr>
        <w:t xml:space="preserve">Care Quality Commission (CQC) (2023) Fundamental standards. London: CQC.  </w:t>
      </w:r>
    </w:p>
    <w:p w14:paraId="1A09F689" w14:textId="77777777" w:rsidR="00680155" w:rsidRPr="00DA7DE8" w:rsidRDefault="00680155" w:rsidP="00DA7DE8">
      <w:pPr>
        <w:spacing w:line="360" w:lineRule="auto"/>
        <w:rPr>
          <w:rFonts w:ascii="Arial" w:hAnsi="Arial" w:cs="Arial"/>
        </w:rPr>
      </w:pPr>
      <w:r w:rsidRPr="00DA7DE8">
        <w:rPr>
          <w:rFonts w:ascii="Arial" w:hAnsi="Arial" w:cs="Arial"/>
        </w:rPr>
        <w:t xml:space="preserve">Department of Health (2005) Mental Capacity Act 2005. London: HMSO.  </w:t>
      </w:r>
    </w:p>
    <w:p w14:paraId="0B4393C7" w14:textId="77777777" w:rsidR="00680155" w:rsidRPr="00DA7DE8" w:rsidRDefault="00680155" w:rsidP="00DA7DE8">
      <w:pPr>
        <w:spacing w:line="360" w:lineRule="auto"/>
        <w:rPr>
          <w:rFonts w:ascii="Arial" w:hAnsi="Arial" w:cs="Arial"/>
        </w:rPr>
      </w:pPr>
      <w:r w:rsidRPr="00DA7DE8">
        <w:rPr>
          <w:rFonts w:ascii="Arial" w:hAnsi="Arial" w:cs="Arial"/>
        </w:rPr>
        <w:t xml:space="preserve">Department of Health (2012) Health and Social Care Act 2012. London: HMSO.  </w:t>
      </w:r>
    </w:p>
    <w:p w14:paraId="3A890100" w14:textId="77777777" w:rsidR="00680155" w:rsidRPr="00DA7DE8" w:rsidRDefault="00680155" w:rsidP="00DA7DE8">
      <w:pPr>
        <w:spacing w:line="360" w:lineRule="auto"/>
        <w:rPr>
          <w:rFonts w:ascii="Arial" w:hAnsi="Arial" w:cs="Arial"/>
        </w:rPr>
      </w:pPr>
      <w:r w:rsidRPr="00DA7DE8">
        <w:rPr>
          <w:rFonts w:ascii="Arial" w:hAnsi="Arial" w:cs="Arial"/>
        </w:rPr>
        <w:t xml:space="preserve">Department of Health and Social Care (2014) Care Act 2014. London: HMSO.  </w:t>
      </w:r>
    </w:p>
    <w:p w14:paraId="34F83052" w14:textId="77777777" w:rsidR="00680155" w:rsidRPr="00DA7DE8" w:rsidRDefault="00680155" w:rsidP="00DA7DE8">
      <w:pPr>
        <w:spacing w:line="360" w:lineRule="auto"/>
        <w:rPr>
          <w:rFonts w:ascii="Arial" w:hAnsi="Arial" w:cs="Arial"/>
        </w:rPr>
      </w:pPr>
      <w:r w:rsidRPr="00DA7DE8">
        <w:rPr>
          <w:rFonts w:ascii="Arial" w:hAnsi="Arial" w:cs="Arial"/>
        </w:rPr>
        <w:t xml:space="preserve">Department of Health and Social Care (2021) The NHS Constitution for England. London: DHSC.  </w:t>
      </w:r>
    </w:p>
    <w:p w14:paraId="30629308" w14:textId="77777777" w:rsidR="00680155" w:rsidRPr="00DA7DE8" w:rsidRDefault="00680155" w:rsidP="00DA7DE8">
      <w:pPr>
        <w:spacing w:line="360" w:lineRule="auto"/>
        <w:rPr>
          <w:rFonts w:ascii="Arial" w:hAnsi="Arial" w:cs="Arial"/>
        </w:rPr>
      </w:pPr>
      <w:r w:rsidRPr="00DA7DE8">
        <w:rPr>
          <w:rFonts w:ascii="Arial" w:hAnsi="Arial" w:cs="Arial"/>
        </w:rPr>
        <w:t xml:space="preserve">Department of Health and Social Care (2022) Health and Care Act 2022. London: HMSO.  </w:t>
      </w:r>
    </w:p>
    <w:p w14:paraId="50AF5A32" w14:textId="77777777" w:rsidR="00680155" w:rsidRPr="00DA7DE8" w:rsidRDefault="00680155" w:rsidP="00DA7DE8">
      <w:pPr>
        <w:spacing w:line="360" w:lineRule="auto"/>
        <w:rPr>
          <w:rFonts w:ascii="Arial" w:hAnsi="Arial" w:cs="Arial"/>
        </w:rPr>
      </w:pPr>
      <w:r w:rsidRPr="00DA7DE8">
        <w:rPr>
          <w:rFonts w:ascii="Arial" w:hAnsi="Arial" w:cs="Arial"/>
        </w:rPr>
        <w:t xml:space="preserve">Glasby, J. (2024) Partnership working in health and social care. 4th </w:t>
      </w:r>
      <w:proofErr w:type="spellStart"/>
      <w:r w:rsidRPr="00DA7DE8">
        <w:rPr>
          <w:rFonts w:ascii="Arial" w:hAnsi="Arial" w:cs="Arial"/>
        </w:rPr>
        <w:t>edn</w:t>
      </w:r>
      <w:proofErr w:type="spellEnd"/>
      <w:r w:rsidRPr="00DA7DE8">
        <w:rPr>
          <w:rFonts w:ascii="Arial" w:hAnsi="Arial" w:cs="Arial"/>
        </w:rPr>
        <w:t xml:space="preserve">. Bristol: Policy Press.  </w:t>
      </w:r>
    </w:p>
    <w:p w14:paraId="72240428" w14:textId="77777777" w:rsidR="00680155" w:rsidRPr="00DA7DE8" w:rsidRDefault="00680155" w:rsidP="00DA7DE8">
      <w:pPr>
        <w:spacing w:line="360" w:lineRule="auto"/>
        <w:rPr>
          <w:rFonts w:ascii="Arial" w:hAnsi="Arial" w:cs="Arial"/>
        </w:rPr>
      </w:pPr>
      <w:r w:rsidRPr="00DA7DE8">
        <w:rPr>
          <w:rFonts w:ascii="Arial" w:hAnsi="Arial" w:cs="Arial"/>
        </w:rPr>
        <w:t xml:space="preserve">Health Education England (2023) Person-centred care. Available at: https://www.hee.nhs.uk/our-work/person-centred-care  </w:t>
      </w:r>
    </w:p>
    <w:p w14:paraId="6AC0641F" w14:textId="77777777" w:rsidR="00680155" w:rsidRPr="00DA7DE8" w:rsidRDefault="00680155" w:rsidP="00DA7DE8">
      <w:pPr>
        <w:spacing w:line="360" w:lineRule="auto"/>
        <w:rPr>
          <w:rFonts w:ascii="Arial" w:hAnsi="Arial" w:cs="Arial"/>
        </w:rPr>
      </w:pPr>
      <w:r w:rsidRPr="00DA7DE8">
        <w:rPr>
          <w:rFonts w:ascii="Arial" w:hAnsi="Arial" w:cs="Arial"/>
        </w:rPr>
        <w:t xml:space="preserve">McCormack, B. and McCance, T. (2021) ‘The Person-centred Nursing Framework: a mid-range theory for nursing practice’, Journal of Research in Nursing, 26(1-2), pp. 47-60.  </w:t>
      </w:r>
    </w:p>
    <w:p w14:paraId="71CDE12F" w14:textId="77777777" w:rsidR="00680155" w:rsidRPr="00DA7DE8" w:rsidRDefault="00680155" w:rsidP="00DA7DE8">
      <w:pPr>
        <w:spacing w:line="360" w:lineRule="auto"/>
        <w:rPr>
          <w:rFonts w:ascii="Arial" w:hAnsi="Arial" w:cs="Arial"/>
        </w:rPr>
      </w:pPr>
      <w:r w:rsidRPr="00DA7DE8">
        <w:rPr>
          <w:rFonts w:ascii="Arial" w:hAnsi="Arial" w:cs="Arial"/>
        </w:rPr>
        <w:t xml:space="preserve">National Institute for Health and Care Excellence (NICE) (2021) Older people: integrated care. London: NICE.  </w:t>
      </w:r>
    </w:p>
    <w:p w14:paraId="0244C5CF" w14:textId="77777777" w:rsidR="00680155" w:rsidRPr="00DA7DE8" w:rsidRDefault="00680155" w:rsidP="00DA7DE8">
      <w:pPr>
        <w:spacing w:line="360" w:lineRule="auto"/>
        <w:rPr>
          <w:rFonts w:ascii="Arial" w:hAnsi="Arial" w:cs="Arial"/>
        </w:rPr>
      </w:pPr>
      <w:r w:rsidRPr="00DA7DE8">
        <w:rPr>
          <w:rFonts w:ascii="Arial" w:hAnsi="Arial" w:cs="Arial"/>
        </w:rPr>
        <w:t xml:space="preserve">NHS England (2019) The NHS Long Term Plan. London: NHS England.  </w:t>
      </w:r>
    </w:p>
    <w:p w14:paraId="236541E2" w14:textId="77777777" w:rsidR="00680155" w:rsidRPr="00DA7DE8" w:rsidRDefault="00680155" w:rsidP="00DA7DE8">
      <w:pPr>
        <w:spacing w:line="360" w:lineRule="auto"/>
        <w:rPr>
          <w:rFonts w:ascii="Arial" w:hAnsi="Arial" w:cs="Arial"/>
        </w:rPr>
      </w:pPr>
      <w:r w:rsidRPr="00DA7DE8">
        <w:rPr>
          <w:rFonts w:ascii="Arial" w:hAnsi="Arial" w:cs="Arial"/>
        </w:rPr>
        <w:t xml:space="preserve">Nursing and Midwifery Council (2018) The Code: Professional standards of practice and behaviour for nurses, midwives and nursing associates. London: NMC.  </w:t>
      </w:r>
    </w:p>
    <w:p w14:paraId="7E9D50F8" w14:textId="77777777" w:rsidR="00680155" w:rsidRPr="00DA7DE8" w:rsidRDefault="00680155" w:rsidP="00DA7DE8">
      <w:pPr>
        <w:spacing w:line="360" w:lineRule="auto"/>
        <w:rPr>
          <w:rFonts w:ascii="Arial" w:hAnsi="Arial" w:cs="Arial"/>
        </w:rPr>
      </w:pPr>
      <w:r w:rsidRPr="00DA7DE8">
        <w:rPr>
          <w:rFonts w:ascii="Arial" w:hAnsi="Arial" w:cs="Arial"/>
        </w:rPr>
        <w:t>Rogers, C. R. (1951) Client-</w:t>
      </w:r>
      <w:proofErr w:type="spellStart"/>
      <w:r w:rsidRPr="00DA7DE8">
        <w:rPr>
          <w:rFonts w:ascii="Arial" w:hAnsi="Arial" w:cs="Arial"/>
        </w:rPr>
        <w:t>Centered</w:t>
      </w:r>
      <w:proofErr w:type="spellEnd"/>
      <w:r w:rsidRPr="00DA7DE8">
        <w:rPr>
          <w:rFonts w:ascii="Arial" w:hAnsi="Arial" w:cs="Arial"/>
        </w:rPr>
        <w:t xml:space="preserve"> Therapy: Its Current Practice, Implications, and Theory. Boston: Houghton Mifflin.  </w:t>
      </w:r>
    </w:p>
    <w:p w14:paraId="74383114" w14:textId="77777777" w:rsidR="00680155" w:rsidRPr="00DA7DE8" w:rsidRDefault="00680155" w:rsidP="00DA7DE8">
      <w:pPr>
        <w:spacing w:line="360" w:lineRule="auto"/>
        <w:rPr>
          <w:rFonts w:ascii="Arial" w:hAnsi="Arial" w:cs="Arial"/>
        </w:rPr>
      </w:pPr>
      <w:r w:rsidRPr="00DA7DE8">
        <w:rPr>
          <w:rFonts w:ascii="Arial" w:hAnsi="Arial" w:cs="Arial"/>
        </w:rPr>
        <w:t xml:space="preserve">Skills for Health (2024) Person-Centred Care: Meaning and Implications. Available at: https://www.skillsforhealth.org.uk/article/person-centred-care-meaning-implications/ </w:t>
      </w:r>
    </w:p>
    <w:p w14:paraId="2ABFB731" w14:textId="77777777" w:rsidR="00680155" w:rsidRPr="00DA7DE8" w:rsidRDefault="00680155" w:rsidP="00DA7DE8">
      <w:pPr>
        <w:spacing w:line="360" w:lineRule="auto"/>
        <w:rPr>
          <w:rFonts w:ascii="Arial" w:hAnsi="Arial" w:cs="Arial"/>
        </w:rPr>
      </w:pPr>
      <w:r w:rsidRPr="00DA7DE8">
        <w:rPr>
          <w:rFonts w:ascii="Arial" w:hAnsi="Arial" w:cs="Arial"/>
        </w:rPr>
        <w:t xml:space="preserve">Social Care Institute for Excellence (SCIE) (2022) Safeguarding and good practice guidance. London: SCIE.  </w:t>
      </w:r>
    </w:p>
    <w:p w14:paraId="17E38E12" w14:textId="77777777" w:rsidR="00680155" w:rsidRPr="00DA7DE8" w:rsidRDefault="00680155" w:rsidP="00DA7DE8">
      <w:pPr>
        <w:spacing w:line="360" w:lineRule="auto"/>
        <w:rPr>
          <w:rFonts w:ascii="Arial" w:hAnsi="Arial" w:cs="Arial"/>
        </w:rPr>
      </w:pPr>
      <w:r w:rsidRPr="00DA7DE8">
        <w:rPr>
          <w:rFonts w:ascii="Arial" w:hAnsi="Arial" w:cs="Arial"/>
        </w:rPr>
        <w:lastRenderedPageBreak/>
        <w:t>Vygotsky, L.S. (1978) Mind in Society: The Development of Higher Psychological Processes. Cambridge, MA: Harvard University Press.</w:t>
      </w:r>
    </w:p>
    <w:p w14:paraId="0FCE1605" w14:textId="77777777" w:rsidR="00680155" w:rsidRPr="00DA7DE8" w:rsidRDefault="00680155" w:rsidP="00DA7DE8">
      <w:pPr>
        <w:spacing w:line="360" w:lineRule="auto"/>
        <w:rPr>
          <w:rFonts w:ascii="Arial" w:hAnsi="Arial" w:cs="Arial"/>
        </w:rPr>
      </w:pPr>
    </w:p>
    <w:p w14:paraId="702F6A3F" w14:textId="77777777" w:rsidR="00680155" w:rsidRPr="00DA7DE8" w:rsidRDefault="00680155" w:rsidP="00DA7DE8">
      <w:pPr>
        <w:spacing w:line="360" w:lineRule="auto"/>
        <w:rPr>
          <w:rFonts w:ascii="Arial" w:hAnsi="Arial" w:cs="Arial"/>
        </w:rPr>
      </w:pPr>
    </w:p>
    <w:p w14:paraId="61DF6E39" w14:textId="58CC6F56" w:rsidR="002A4DA0" w:rsidRPr="00DA7DE8" w:rsidRDefault="002A4DA0" w:rsidP="00DA7DE8">
      <w:pPr>
        <w:spacing w:line="360" w:lineRule="auto"/>
        <w:rPr>
          <w:rFonts w:ascii="Arial" w:hAnsi="Arial" w:cs="Arial"/>
        </w:rPr>
      </w:pPr>
    </w:p>
    <w:sectPr w:rsidR="002A4DA0" w:rsidRPr="00DA7DE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A26C0" w14:textId="77777777" w:rsidR="008B3450" w:rsidRDefault="008B3450" w:rsidP="006B0086">
      <w:pPr>
        <w:spacing w:after="0" w:line="240" w:lineRule="auto"/>
      </w:pPr>
      <w:r>
        <w:separator/>
      </w:r>
    </w:p>
  </w:endnote>
  <w:endnote w:type="continuationSeparator" w:id="0">
    <w:p w14:paraId="29035528" w14:textId="77777777" w:rsidR="008B3450" w:rsidRDefault="008B3450" w:rsidP="006B0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6C943" w14:textId="77777777" w:rsidR="008B3450" w:rsidRDefault="008B3450" w:rsidP="006B0086">
      <w:pPr>
        <w:spacing w:after="0" w:line="240" w:lineRule="auto"/>
      </w:pPr>
      <w:r>
        <w:separator/>
      </w:r>
    </w:p>
  </w:footnote>
  <w:footnote w:type="continuationSeparator" w:id="0">
    <w:p w14:paraId="36AD7A5E" w14:textId="77777777" w:rsidR="008B3450" w:rsidRDefault="008B3450" w:rsidP="006B00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715825"/>
      <w:docPartObj>
        <w:docPartGallery w:val="Page Numbers (Top of Page)"/>
        <w:docPartUnique/>
      </w:docPartObj>
    </w:sdtPr>
    <w:sdtEndPr>
      <w:rPr>
        <w:noProof/>
      </w:rPr>
    </w:sdtEndPr>
    <w:sdtContent>
      <w:p w14:paraId="11CDF163" w14:textId="6232DAC5" w:rsidR="006B0086" w:rsidRDefault="006B008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A95385D" w14:textId="77777777" w:rsidR="006B0086" w:rsidRDefault="006B00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15D"/>
    <w:rsid w:val="000534E9"/>
    <w:rsid w:val="000859E9"/>
    <w:rsid w:val="00137113"/>
    <w:rsid w:val="001D5B79"/>
    <w:rsid w:val="001E0C26"/>
    <w:rsid w:val="00237ADA"/>
    <w:rsid w:val="002A4DA0"/>
    <w:rsid w:val="0030715D"/>
    <w:rsid w:val="00307657"/>
    <w:rsid w:val="003E1CC6"/>
    <w:rsid w:val="003F21DD"/>
    <w:rsid w:val="003F42B6"/>
    <w:rsid w:val="00400A8A"/>
    <w:rsid w:val="004053E7"/>
    <w:rsid w:val="004C5E65"/>
    <w:rsid w:val="005A494D"/>
    <w:rsid w:val="005F2E79"/>
    <w:rsid w:val="005F67C5"/>
    <w:rsid w:val="00663F13"/>
    <w:rsid w:val="00680155"/>
    <w:rsid w:val="006A23AE"/>
    <w:rsid w:val="006B0086"/>
    <w:rsid w:val="006F506E"/>
    <w:rsid w:val="006F6CE2"/>
    <w:rsid w:val="00707C7F"/>
    <w:rsid w:val="007A3A21"/>
    <w:rsid w:val="007B4F05"/>
    <w:rsid w:val="00824AC0"/>
    <w:rsid w:val="008B3450"/>
    <w:rsid w:val="00920D27"/>
    <w:rsid w:val="00933FB1"/>
    <w:rsid w:val="00AE1B24"/>
    <w:rsid w:val="00B058B4"/>
    <w:rsid w:val="00B418B5"/>
    <w:rsid w:val="00C55223"/>
    <w:rsid w:val="00CB7129"/>
    <w:rsid w:val="00D12DDB"/>
    <w:rsid w:val="00D67320"/>
    <w:rsid w:val="00DA7DE8"/>
    <w:rsid w:val="00E1081E"/>
    <w:rsid w:val="00E91832"/>
    <w:rsid w:val="00F8437D"/>
    <w:rsid w:val="00FE4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2BE6A"/>
  <w15:chartTrackingRefBased/>
  <w15:docId w15:val="{2FC61817-6C45-4D3E-9502-8AB0E8C56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603"/>
  </w:style>
  <w:style w:type="paragraph" w:styleId="Heading1">
    <w:name w:val="heading 1"/>
    <w:basedOn w:val="Normal"/>
    <w:next w:val="Normal"/>
    <w:link w:val="Heading1Char"/>
    <w:uiPriority w:val="9"/>
    <w:qFormat/>
    <w:rsid w:val="00FE4603"/>
    <w:pPr>
      <w:keepNext/>
      <w:keepLines/>
      <w:spacing w:before="400" w:after="40" w:line="240" w:lineRule="auto"/>
      <w:outlineLvl w:val="0"/>
    </w:pPr>
    <w:rPr>
      <w:rFonts w:asciiTheme="majorHAnsi" w:eastAsiaTheme="majorEastAsia" w:hAnsiTheme="majorHAnsi" w:cstheme="majorBidi"/>
      <w:color w:val="1A495D" w:themeColor="accent1" w:themeShade="80"/>
      <w:sz w:val="36"/>
      <w:szCs w:val="36"/>
    </w:rPr>
  </w:style>
  <w:style w:type="paragraph" w:styleId="Heading2">
    <w:name w:val="heading 2"/>
    <w:basedOn w:val="Normal"/>
    <w:next w:val="Normal"/>
    <w:link w:val="Heading2Char"/>
    <w:uiPriority w:val="9"/>
    <w:unhideWhenUsed/>
    <w:qFormat/>
    <w:rsid w:val="00FE4603"/>
    <w:pPr>
      <w:keepNext/>
      <w:keepLines/>
      <w:spacing w:before="40" w:after="0" w:line="240" w:lineRule="auto"/>
      <w:outlineLvl w:val="1"/>
    </w:pPr>
    <w:rPr>
      <w:rFonts w:asciiTheme="majorHAnsi" w:eastAsiaTheme="majorEastAsia" w:hAnsiTheme="majorHAnsi" w:cstheme="majorBidi"/>
      <w:color w:val="276E8B" w:themeColor="accent1" w:themeShade="BF"/>
      <w:sz w:val="32"/>
      <w:szCs w:val="32"/>
    </w:rPr>
  </w:style>
  <w:style w:type="paragraph" w:styleId="Heading3">
    <w:name w:val="heading 3"/>
    <w:basedOn w:val="Normal"/>
    <w:next w:val="Normal"/>
    <w:link w:val="Heading3Char"/>
    <w:uiPriority w:val="9"/>
    <w:semiHidden/>
    <w:unhideWhenUsed/>
    <w:qFormat/>
    <w:rsid w:val="00FE4603"/>
    <w:pPr>
      <w:keepNext/>
      <w:keepLines/>
      <w:spacing w:before="40" w:after="0" w:line="240" w:lineRule="auto"/>
      <w:outlineLvl w:val="2"/>
    </w:pPr>
    <w:rPr>
      <w:rFonts w:asciiTheme="majorHAnsi" w:eastAsiaTheme="majorEastAsia" w:hAnsiTheme="majorHAnsi" w:cstheme="majorBidi"/>
      <w:color w:val="276E8B" w:themeColor="accent1" w:themeShade="BF"/>
      <w:sz w:val="28"/>
      <w:szCs w:val="28"/>
    </w:rPr>
  </w:style>
  <w:style w:type="paragraph" w:styleId="Heading4">
    <w:name w:val="heading 4"/>
    <w:basedOn w:val="Normal"/>
    <w:next w:val="Normal"/>
    <w:link w:val="Heading4Char"/>
    <w:uiPriority w:val="9"/>
    <w:semiHidden/>
    <w:unhideWhenUsed/>
    <w:qFormat/>
    <w:rsid w:val="00FE4603"/>
    <w:pPr>
      <w:keepNext/>
      <w:keepLines/>
      <w:spacing w:before="40" w:after="0"/>
      <w:outlineLvl w:val="3"/>
    </w:pPr>
    <w:rPr>
      <w:rFonts w:asciiTheme="majorHAnsi" w:eastAsiaTheme="majorEastAsia" w:hAnsiTheme="majorHAnsi" w:cstheme="majorBidi"/>
      <w:color w:val="276E8B" w:themeColor="accent1" w:themeShade="BF"/>
      <w:sz w:val="24"/>
      <w:szCs w:val="24"/>
    </w:rPr>
  </w:style>
  <w:style w:type="paragraph" w:styleId="Heading5">
    <w:name w:val="heading 5"/>
    <w:basedOn w:val="Normal"/>
    <w:next w:val="Normal"/>
    <w:link w:val="Heading5Char"/>
    <w:uiPriority w:val="9"/>
    <w:semiHidden/>
    <w:unhideWhenUsed/>
    <w:qFormat/>
    <w:rsid w:val="00FE4603"/>
    <w:pPr>
      <w:keepNext/>
      <w:keepLines/>
      <w:spacing w:before="40" w:after="0"/>
      <w:outlineLvl w:val="4"/>
    </w:pPr>
    <w:rPr>
      <w:rFonts w:asciiTheme="majorHAnsi" w:eastAsiaTheme="majorEastAsia" w:hAnsiTheme="majorHAnsi" w:cstheme="majorBidi"/>
      <w:caps/>
      <w:color w:val="276E8B" w:themeColor="accent1" w:themeShade="BF"/>
    </w:rPr>
  </w:style>
  <w:style w:type="paragraph" w:styleId="Heading6">
    <w:name w:val="heading 6"/>
    <w:basedOn w:val="Normal"/>
    <w:next w:val="Normal"/>
    <w:link w:val="Heading6Char"/>
    <w:uiPriority w:val="9"/>
    <w:semiHidden/>
    <w:unhideWhenUsed/>
    <w:qFormat/>
    <w:rsid w:val="00FE4603"/>
    <w:pPr>
      <w:keepNext/>
      <w:keepLines/>
      <w:spacing w:before="40" w:after="0"/>
      <w:outlineLvl w:val="5"/>
    </w:pPr>
    <w:rPr>
      <w:rFonts w:asciiTheme="majorHAnsi" w:eastAsiaTheme="majorEastAsia" w:hAnsiTheme="majorHAnsi" w:cstheme="majorBidi"/>
      <w:i/>
      <w:iCs/>
      <w:caps/>
      <w:color w:val="1A495D" w:themeColor="accent1" w:themeShade="80"/>
    </w:rPr>
  </w:style>
  <w:style w:type="paragraph" w:styleId="Heading7">
    <w:name w:val="heading 7"/>
    <w:basedOn w:val="Normal"/>
    <w:next w:val="Normal"/>
    <w:link w:val="Heading7Char"/>
    <w:uiPriority w:val="9"/>
    <w:semiHidden/>
    <w:unhideWhenUsed/>
    <w:qFormat/>
    <w:rsid w:val="00FE4603"/>
    <w:pPr>
      <w:keepNext/>
      <w:keepLines/>
      <w:spacing w:before="40" w:after="0"/>
      <w:outlineLvl w:val="6"/>
    </w:pPr>
    <w:rPr>
      <w:rFonts w:asciiTheme="majorHAnsi" w:eastAsiaTheme="majorEastAsia" w:hAnsiTheme="majorHAnsi" w:cstheme="majorBidi"/>
      <w:b/>
      <w:bCs/>
      <w:color w:val="1A495D" w:themeColor="accent1" w:themeShade="80"/>
    </w:rPr>
  </w:style>
  <w:style w:type="paragraph" w:styleId="Heading8">
    <w:name w:val="heading 8"/>
    <w:basedOn w:val="Normal"/>
    <w:next w:val="Normal"/>
    <w:link w:val="Heading8Char"/>
    <w:uiPriority w:val="9"/>
    <w:semiHidden/>
    <w:unhideWhenUsed/>
    <w:qFormat/>
    <w:rsid w:val="00FE4603"/>
    <w:pPr>
      <w:keepNext/>
      <w:keepLines/>
      <w:spacing w:before="40" w:after="0"/>
      <w:outlineLvl w:val="7"/>
    </w:pPr>
    <w:rPr>
      <w:rFonts w:asciiTheme="majorHAnsi" w:eastAsiaTheme="majorEastAsia" w:hAnsiTheme="majorHAnsi" w:cstheme="majorBidi"/>
      <w:b/>
      <w:bCs/>
      <w:i/>
      <w:iCs/>
      <w:color w:val="1A495D" w:themeColor="accent1" w:themeShade="80"/>
    </w:rPr>
  </w:style>
  <w:style w:type="paragraph" w:styleId="Heading9">
    <w:name w:val="heading 9"/>
    <w:basedOn w:val="Normal"/>
    <w:next w:val="Normal"/>
    <w:link w:val="Heading9Char"/>
    <w:uiPriority w:val="9"/>
    <w:semiHidden/>
    <w:unhideWhenUsed/>
    <w:qFormat/>
    <w:rsid w:val="00FE4603"/>
    <w:pPr>
      <w:keepNext/>
      <w:keepLines/>
      <w:spacing w:before="40" w:after="0"/>
      <w:outlineLvl w:val="8"/>
    </w:pPr>
    <w:rPr>
      <w:rFonts w:asciiTheme="majorHAnsi" w:eastAsiaTheme="majorEastAsia" w:hAnsiTheme="majorHAnsi" w:cstheme="majorBidi"/>
      <w:i/>
      <w:iCs/>
      <w:color w:val="1A495D"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603"/>
    <w:rPr>
      <w:rFonts w:asciiTheme="majorHAnsi" w:eastAsiaTheme="majorEastAsia" w:hAnsiTheme="majorHAnsi" w:cstheme="majorBidi"/>
      <w:color w:val="1A495D" w:themeColor="accent1" w:themeShade="80"/>
      <w:sz w:val="36"/>
      <w:szCs w:val="36"/>
    </w:rPr>
  </w:style>
  <w:style w:type="character" w:customStyle="1" w:styleId="Heading2Char">
    <w:name w:val="Heading 2 Char"/>
    <w:basedOn w:val="DefaultParagraphFont"/>
    <w:link w:val="Heading2"/>
    <w:uiPriority w:val="9"/>
    <w:rsid w:val="00FE4603"/>
    <w:rPr>
      <w:rFonts w:asciiTheme="majorHAnsi" w:eastAsiaTheme="majorEastAsia" w:hAnsiTheme="majorHAnsi" w:cstheme="majorBidi"/>
      <w:color w:val="276E8B" w:themeColor="accent1" w:themeShade="BF"/>
      <w:sz w:val="32"/>
      <w:szCs w:val="32"/>
    </w:rPr>
  </w:style>
  <w:style w:type="character" w:customStyle="1" w:styleId="Heading3Char">
    <w:name w:val="Heading 3 Char"/>
    <w:basedOn w:val="DefaultParagraphFont"/>
    <w:link w:val="Heading3"/>
    <w:uiPriority w:val="9"/>
    <w:semiHidden/>
    <w:rsid w:val="00FE4603"/>
    <w:rPr>
      <w:rFonts w:asciiTheme="majorHAnsi" w:eastAsiaTheme="majorEastAsia" w:hAnsiTheme="majorHAnsi" w:cstheme="majorBidi"/>
      <w:color w:val="276E8B" w:themeColor="accent1" w:themeShade="BF"/>
      <w:sz w:val="28"/>
      <w:szCs w:val="28"/>
    </w:rPr>
  </w:style>
  <w:style w:type="character" w:customStyle="1" w:styleId="Heading4Char">
    <w:name w:val="Heading 4 Char"/>
    <w:basedOn w:val="DefaultParagraphFont"/>
    <w:link w:val="Heading4"/>
    <w:uiPriority w:val="9"/>
    <w:semiHidden/>
    <w:rsid w:val="00FE4603"/>
    <w:rPr>
      <w:rFonts w:asciiTheme="majorHAnsi" w:eastAsiaTheme="majorEastAsia" w:hAnsiTheme="majorHAnsi" w:cstheme="majorBidi"/>
      <w:color w:val="276E8B" w:themeColor="accent1" w:themeShade="BF"/>
      <w:sz w:val="24"/>
      <w:szCs w:val="24"/>
    </w:rPr>
  </w:style>
  <w:style w:type="character" w:customStyle="1" w:styleId="Heading5Char">
    <w:name w:val="Heading 5 Char"/>
    <w:basedOn w:val="DefaultParagraphFont"/>
    <w:link w:val="Heading5"/>
    <w:uiPriority w:val="9"/>
    <w:semiHidden/>
    <w:rsid w:val="00FE4603"/>
    <w:rPr>
      <w:rFonts w:asciiTheme="majorHAnsi" w:eastAsiaTheme="majorEastAsia" w:hAnsiTheme="majorHAnsi" w:cstheme="majorBidi"/>
      <w:caps/>
      <w:color w:val="276E8B" w:themeColor="accent1" w:themeShade="BF"/>
    </w:rPr>
  </w:style>
  <w:style w:type="character" w:customStyle="1" w:styleId="Heading6Char">
    <w:name w:val="Heading 6 Char"/>
    <w:basedOn w:val="DefaultParagraphFont"/>
    <w:link w:val="Heading6"/>
    <w:uiPriority w:val="9"/>
    <w:semiHidden/>
    <w:rsid w:val="00FE4603"/>
    <w:rPr>
      <w:rFonts w:asciiTheme="majorHAnsi" w:eastAsiaTheme="majorEastAsia" w:hAnsiTheme="majorHAnsi" w:cstheme="majorBidi"/>
      <w:i/>
      <w:iCs/>
      <w:caps/>
      <w:color w:val="1A495D" w:themeColor="accent1" w:themeShade="80"/>
    </w:rPr>
  </w:style>
  <w:style w:type="character" w:customStyle="1" w:styleId="Heading7Char">
    <w:name w:val="Heading 7 Char"/>
    <w:basedOn w:val="DefaultParagraphFont"/>
    <w:link w:val="Heading7"/>
    <w:uiPriority w:val="9"/>
    <w:semiHidden/>
    <w:rsid w:val="00FE4603"/>
    <w:rPr>
      <w:rFonts w:asciiTheme="majorHAnsi" w:eastAsiaTheme="majorEastAsia" w:hAnsiTheme="majorHAnsi" w:cstheme="majorBidi"/>
      <w:b/>
      <w:bCs/>
      <w:color w:val="1A495D" w:themeColor="accent1" w:themeShade="80"/>
    </w:rPr>
  </w:style>
  <w:style w:type="character" w:customStyle="1" w:styleId="Heading8Char">
    <w:name w:val="Heading 8 Char"/>
    <w:basedOn w:val="DefaultParagraphFont"/>
    <w:link w:val="Heading8"/>
    <w:uiPriority w:val="9"/>
    <w:semiHidden/>
    <w:rsid w:val="00FE4603"/>
    <w:rPr>
      <w:rFonts w:asciiTheme="majorHAnsi" w:eastAsiaTheme="majorEastAsia" w:hAnsiTheme="majorHAnsi" w:cstheme="majorBidi"/>
      <w:b/>
      <w:bCs/>
      <w:i/>
      <w:iCs/>
      <w:color w:val="1A495D" w:themeColor="accent1" w:themeShade="80"/>
    </w:rPr>
  </w:style>
  <w:style w:type="character" w:customStyle="1" w:styleId="Heading9Char">
    <w:name w:val="Heading 9 Char"/>
    <w:basedOn w:val="DefaultParagraphFont"/>
    <w:link w:val="Heading9"/>
    <w:uiPriority w:val="9"/>
    <w:semiHidden/>
    <w:rsid w:val="00FE4603"/>
    <w:rPr>
      <w:rFonts w:asciiTheme="majorHAnsi" w:eastAsiaTheme="majorEastAsia" w:hAnsiTheme="majorHAnsi" w:cstheme="majorBidi"/>
      <w:i/>
      <w:iCs/>
      <w:color w:val="1A495D" w:themeColor="accent1" w:themeShade="80"/>
    </w:rPr>
  </w:style>
  <w:style w:type="paragraph" w:styleId="Title">
    <w:name w:val="Title"/>
    <w:basedOn w:val="Normal"/>
    <w:next w:val="Normal"/>
    <w:link w:val="TitleChar"/>
    <w:uiPriority w:val="10"/>
    <w:qFormat/>
    <w:rsid w:val="00FE4603"/>
    <w:pPr>
      <w:spacing w:after="0" w:line="204" w:lineRule="auto"/>
      <w:contextualSpacing/>
    </w:pPr>
    <w:rPr>
      <w:rFonts w:asciiTheme="majorHAnsi" w:eastAsiaTheme="majorEastAsia" w:hAnsiTheme="majorHAnsi" w:cstheme="majorBidi"/>
      <w:caps/>
      <w:color w:val="373545" w:themeColor="text2"/>
      <w:spacing w:val="-15"/>
      <w:sz w:val="72"/>
      <w:szCs w:val="72"/>
    </w:rPr>
  </w:style>
  <w:style w:type="character" w:customStyle="1" w:styleId="TitleChar">
    <w:name w:val="Title Char"/>
    <w:basedOn w:val="DefaultParagraphFont"/>
    <w:link w:val="Title"/>
    <w:uiPriority w:val="10"/>
    <w:rsid w:val="00FE4603"/>
    <w:rPr>
      <w:rFonts w:asciiTheme="majorHAnsi" w:eastAsiaTheme="majorEastAsia" w:hAnsiTheme="majorHAnsi" w:cstheme="majorBidi"/>
      <w:caps/>
      <w:color w:val="373545" w:themeColor="text2"/>
      <w:spacing w:val="-15"/>
      <w:sz w:val="72"/>
      <w:szCs w:val="72"/>
    </w:rPr>
  </w:style>
  <w:style w:type="paragraph" w:styleId="Subtitle">
    <w:name w:val="Subtitle"/>
    <w:basedOn w:val="Normal"/>
    <w:next w:val="Normal"/>
    <w:link w:val="SubtitleChar"/>
    <w:uiPriority w:val="11"/>
    <w:qFormat/>
    <w:rsid w:val="00FE4603"/>
    <w:pPr>
      <w:numPr>
        <w:ilvl w:val="1"/>
      </w:numPr>
      <w:spacing w:after="240" w:line="240" w:lineRule="auto"/>
    </w:pPr>
    <w:rPr>
      <w:rFonts w:asciiTheme="majorHAnsi" w:eastAsiaTheme="majorEastAsia" w:hAnsiTheme="majorHAnsi" w:cstheme="majorBidi"/>
      <w:color w:val="3494BA" w:themeColor="accent1"/>
      <w:sz w:val="28"/>
      <w:szCs w:val="28"/>
    </w:rPr>
  </w:style>
  <w:style w:type="character" w:customStyle="1" w:styleId="SubtitleChar">
    <w:name w:val="Subtitle Char"/>
    <w:basedOn w:val="DefaultParagraphFont"/>
    <w:link w:val="Subtitle"/>
    <w:uiPriority w:val="11"/>
    <w:rsid w:val="00FE4603"/>
    <w:rPr>
      <w:rFonts w:asciiTheme="majorHAnsi" w:eastAsiaTheme="majorEastAsia" w:hAnsiTheme="majorHAnsi" w:cstheme="majorBidi"/>
      <w:color w:val="3494BA" w:themeColor="accent1"/>
      <w:sz w:val="28"/>
      <w:szCs w:val="28"/>
    </w:rPr>
  </w:style>
  <w:style w:type="paragraph" w:styleId="Quote">
    <w:name w:val="Quote"/>
    <w:basedOn w:val="Normal"/>
    <w:next w:val="Normal"/>
    <w:link w:val="QuoteChar"/>
    <w:uiPriority w:val="29"/>
    <w:qFormat/>
    <w:rsid w:val="00FE4603"/>
    <w:pPr>
      <w:spacing w:before="120" w:after="120"/>
      <w:ind w:left="720"/>
    </w:pPr>
    <w:rPr>
      <w:color w:val="373545" w:themeColor="text2"/>
      <w:sz w:val="24"/>
      <w:szCs w:val="24"/>
    </w:rPr>
  </w:style>
  <w:style w:type="character" w:customStyle="1" w:styleId="QuoteChar">
    <w:name w:val="Quote Char"/>
    <w:basedOn w:val="DefaultParagraphFont"/>
    <w:link w:val="Quote"/>
    <w:uiPriority w:val="29"/>
    <w:rsid w:val="00FE4603"/>
    <w:rPr>
      <w:color w:val="373545" w:themeColor="text2"/>
      <w:sz w:val="24"/>
      <w:szCs w:val="24"/>
    </w:rPr>
  </w:style>
  <w:style w:type="paragraph" w:styleId="ListParagraph">
    <w:name w:val="List Paragraph"/>
    <w:basedOn w:val="Normal"/>
    <w:uiPriority w:val="34"/>
    <w:qFormat/>
    <w:rsid w:val="0030715D"/>
    <w:pPr>
      <w:ind w:left="720"/>
      <w:contextualSpacing/>
    </w:pPr>
  </w:style>
  <w:style w:type="character" w:styleId="IntenseEmphasis">
    <w:name w:val="Intense Emphasis"/>
    <w:basedOn w:val="DefaultParagraphFont"/>
    <w:uiPriority w:val="21"/>
    <w:qFormat/>
    <w:rsid w:val="00FE4603"/>
    <w:rPr>
      <w:b/>
      <w:bCs/>
      <w:i/>
      <w:iCs/>
    </w:rPr>
  </w:style>
  <w:style w:type="paragraph" w:styleId="IntenseQuote">
    <w:name w:val="Intense Quote"/>
    <w:basedOn w:val="Normal"/>
    <w:next w:val="Normal"/>
    <w:link w:val="IntenseQuoteChar"/>
    <w:uiPriority w:val="30"/>
    <w:qFormat/>
    <w:rsid w:val="00FE4603"/>
    <w:pPr>
      <w:spacing w:before="100" w:beforeAutospacing="1" w:after="240" w:line="240" w:lineRule="auto"/>
      <w:ind w:left="720"/>
      <w:jc w:val="center"/>
    </w:pPr>
    <w:rPr>
      <w:rFonts w:asciiTheme="majorHAnsi" w:eastAsiaTheme="majorEastAsia" w:hAnsiTheme="majorHAnsi" w:cstheme="majorBidi"/>
      <w:color w:val="373545" w:themeColor="text2"/>
      <w:spacing w:val="-6"/>
      <w:sz w:val="32"/>
      <w:szCs w:val="32"/>
    </w:rPr>
  </w:style>
  <w:style w:type="character" w:customStyle="1" w:styleId="IntenseQuoteChar">
    <w:name w:val="Intense Quote Char"/>
    <w:basedOn w:val="DefaultParagraphFont"/>
    <w:link w:val="IntenseQuote"/>
    <w:uiPriority w:val="30"/>
    <w:rsid w:val="00FE4603"/>
    <w:rPr>
      <w:rFonts w:asciiTheme="majorHAnsi" w:eastAsiaTheme="majorEastAsia" w:hAnsiTheme="majorHAnsi" w:cstheme="majorBidi"/>
      <w:color w:val="373545" w:themeColor="text2"/>
      <w:spacing w:val="-6"/>
      <w:sz w:val="32"/>
      <w:szCs w:val="32"/>
    </w:rPr>
  </w:style>
  <w:style w:type="character" w:styleId="IntenseReference">
    <w:name w:val="Intense Reference"/>
    <w:basedOn w:val="DefaultParagraphFont"/>
    <w:uiPriority w:val="32"/>
    <w:qFormat/>
    <w:rsid w:val="00FE4603"/>
    <w:rPr>
      <w:b/>
      <w:bCs/>
      <w:smallCaps/>
      <w:color w:val="373545" w:themeColor="text2"/>
      <w:u w:val="single"/>
    </w:rPr>
  </w:style>
  <w:style w:type="paragraph" w:styleId="TOCHeading">
    <w:name w:val="TOC Heading"/>
    <w:basedOn w:val="Heading1"/>
    <w:next w:val="Normal"/>
    <w:uiPriority w:val="39"/>
    <w:unhideWhenUsed/>
    <w:qFormat/>
    <w:rsid w:val="00FE4603"/>
    <w:pPr>
      <w:outlineLvl w:val="9"/>
    </w:pPr>
  </w:style>
  <w:style w:type="paragraph" w:styleId="TOC1">
    <w:name w:val="toc 1"/>
    <w:basedOn w:val="Normal"/>
    <w:next w:val="Normal"/>
    <w:autoRedefine/>
    <w:uiPriority w:val="39"/>
    <w:unhideWhenUsed/>
    <w:rsid w:val="00D67320"/>
    <w:pPr>
      <w:spacing w:after="100"/>
    </w:pPr>
  </w:style>
  <w:style w:type="paragraph" w:styleId="TOC2">
    <w:name w:val="toc 2"/>
    <w:basedOn w:val="Normal"/>
    <w:next w:val="Normal"/>
    <w:autoRedefine/>
    <w:uiPriority w:val="39"/>
    <w:unhideWhenUsed/>
    <w:rsid w:val="00D67320"/>
    <w:pPr>
      <w:spacing w:after="100"/>
      <w:ind w:left="240"/>
    </w:pPr>
  </w:style>
  <w:style w:type="character" w:styleId="Hyperlink">
    <w:name w:val="Hyperlink"/>
    <w:basedOn w:val="DefaultParagraphFont"/>
    <w:uiPriority w:val="99"/>
    <w:unhideWhenUsed/>
    <w:rsid w:val="00D67320"/>
    <w:rPr>
      <w:color w:val="6B9F25" w:themeColor="hyperlink"/>
      <w:u w:val="single"/>
    </w:rPr>
  </w:style>
  <w:style w:type="paragraph" w:styleId="NormalWeb">
    <w:name w:val="Normal (Web)"/>
    <w:basedOn w:val="Normal"/>
    <w:uiPriority w:val="99"/>
    <w:semiHidden/>
    <w:unhideWhenUsed/>
    <w:rsid w:val="00680155"/>
    <w:pPr>
      <w:spacing w:before="100" w:beforeAutospacing="1" w:after="100" w:afterAutospacing="1"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6B0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086"/>
  </w:style>
  <w:style w:type="paragraph" w:styleId="Footer">
    <w:name w:val="footer"/>
    <w:basedOn w:val="Normal"/>
    <w:link w:val="FooterChar"/>
    <w:uiPriority w:val="99"/>
    <w:unhideWhenUsed/>
    <w:rsid w:val="006B00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086"/>
  </w:style>
  <w:style w:type="paragraph" w:styleId="NoSpacing">
    <w:name w:val="No Spacing"/>
    <w:link w:val="NoSpacingChar"/>
    <w:uiPriority w:val="1"/>
    <w:qFormat/>
    <w:rsid w:val="00FE4603"/>
    <w:pPr>
      <w:spacing w:after="0" w:line="240" w:lineRule="auto"/>
    </w:pPr>
  </w:style>
  <w:style w:type="character" w:customStyle="1" w:styleId="NoSpacingChar">
    <w:name w:val="No Spacing Char"/>
    <w:basedOn w:val="DefaultParagraphFont"/>
    <w:link w:val="NoSpacing"/>
    <w:uiPriority w:val="1"/>
    <w:rsid w:val="00E1081E"/>
  </w:style>
  <w:style w:type="paragraph" w:styleId="Caption">
    <w:name w:val="caption"/>
    <w:basedOn w:val="Normal"/>
    <w:next w:val="Normal"/>
    <w:uiPriority w:val="35"/>
    <w:semiHidden/>
    <w:unhideWhenUsed/>
    <w:qFormat/>
    <w:rsid w:val="00FE4603"/>
    <w:pPr>
      <w:spacing w:line="240" w:lineRule="auto"/>
    </w:pPr>
    <w:rPr>
      <w:b/>
      <w:bCs/>
      <w:smallCaps/>
      <w:color w:val="373545" w:themeColor="text2"/>
    </w:rPr>
  </w:style>
  <w:style w:type="character" w:styleId="Strong">
    <w:name w:val="Strong"/>
    <w:basedOn w:val="DefaultParagraphFont"/>
    <w:uiPriority w:val="22"/>
    <w:qFormat/>
    <w:rsid w:val="00FE4603"/>
    <w:rPr>
      <w:b/>
      <w:bCs/>
    </w:rPr>
  </w:style>
  <w:style w:type="character" w:styleId="Emphasis">
    <w:name w:val="Emphasis"/>
    <w:basedOn w:val="DefaultParagraphFont"/>
    <w:uiPriority w:val="20"/>
    <w:qFormat/>
    <w:rsid w:val="00FE4603"/>
    <w:rPr>
      <w:i/>
      <w:iCs/>
    </w:rPr>
  </w:style>
  <w:style w:type="character" w:styleId="SubtleEmphasis">
    <w:name w:val="Subtle Emphasis"/>
    <w:basedOn w:val="DefaultParagraphFont"/>
    <w:uiPriority w:val="19"/>
    <w:qFormat/>
    <w:rsid w:val="00FE4603"/>
    <w:rPr>
      <w:i/>
      <w:iCs/>
      <w:color w:val="595959" w:themeColor="text1" w:themeTint="A6"/>
    </w:rPr>
  </w:style>
  <w:style w:type="character" w:styleId="SubtleReference">
    <w:name w:val="Subtle Reference"/>
    <w:basedOn w:val="DefaultParagraphFont"/>
    <w:uiPriority w:val="31"/>
    <w:qFormat/>
    <w:rsid w:val="00FE4603"/>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FE4603"/>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909748">
      <w:bodyDiv w:val="1"/>
      <w:marLeft w:val="0"/>
      <w:marRight w:val="0"/>
      <w:marTop w:val="0"/>
      <w:marBottom w:val="0"/>
      <w:divBdr>
        <w:top w:val="none" w:sz="0" w:space="0" w:color="auto"/>
        <w:left w:val="none" w:sz="0" w:space="0" w:color="auto"/>
        <w:bottom w:val="none" w:sz="0" w:space="0" w:color="auto"/>
        <w:right w:val="none" w:sz="0" w:space="0" w:color="auto"/>
      </w:divBdr>
    </w:div>
    <w:div w:id="108095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F59E4-8A75-45AC-A104-CFC7ECA15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2448</Words>
  <Characters>13957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Fayyaz Muhammad</dc:creator>
  <cp:keywords/>
  <dc:description/>
  <cp:lastModifiedBy>Sely Sequeira</cp:lastModifiedBy>
  <cp:revision>20</cp:revision>
  <dcterms:created xsi:type="dcterms:W3CDTF">2026-04-16T18:01:00Z</dcterms:created>
  <dcterms:modified xsi:type="dcterms:W3CDTF">2026-04-16T18:43:00Z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83d4a66c-ea28-428a-9de4-10806cfb077d</vt:lpwstr>
  </property>
</Properties>
</file>