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6A2A74F" w14:textId="77777777" w:rsidR="0048198D" w:rsidRDefault="0048198D" w:rsidP="0048198D">
      <w:pPr>
        <w:pStyle w:val="NormalWeb"/>
        <w:spacing w:before="0" w:beforeAutospacing="0" w:after="0" w:afterAutospacing="0"/>
        <w:ind w:left="-180" w:right="-334"/>
      </w:pPr>
      <w:r>
        <w:rPr>
          <w:noProof/>
          <w:lang w:eastAsia="en-GB"/>
        </w:rPr>
        <w:drawing>
          <wp:inline distT="0" distB="0" distL="0" distR="0" wp14:anchorId="63E80ACD" wp14:editId="57F35295">
            <wp:extent cx="2381250" cy="9334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81250" cy="933450"/>
                    </a:xfrm>
                    <a:prstGeom prst="rect">
                      <a:avLst/>
                    </a:prstGeom>
                    <a:noFill/>
                    <a:ln>
                      <a:noFill/>
                    </a:ln>
                  </pic:spPr>
                </pic:pic>
              </a:graphicData>
            </a:graphic>
          </wp:inline>
        </w:drawing>
      </w:r>
    </w:p>
    <w:p w14:paraId="58F97E3B" w14:textId="77777777" w:rsidR="0048198D" w:rsidRDefault="0048198D" w:rsidP="0048198D">
      <w:pPr>
        <w:pStyle w:val="NormalWeb"/>
        <w:spacing w:before="0" w:beforeAutospacing="0" w:after="0" w:afterAutospacing="0"/>
        <w:ind w:left="-180" w:right="-334"/>
      </w:pPr>
    </w:p>
    <w:p w14:paraId="766C7313" w14:textId="77777777" w:rsidR="0048198D" w:rsidRDefault="0048198D" w:rsidP="0048198D">
      <w:pPr>
        <w:pStyle w:val="NormalWeb"/>
        <w:spacing w:before="0" w:beforeAutospacing="0" w:after="0" w:afterAutospacing="0"/>
        <w:ind w:left="-180" w:right="-334"/>
        <w:jc w:val="center"/>
        <w:rPr>
          <w:rFonts w:ascii="Arial" w:hAnsi="Arial" w:cs="Arial"/>
          <w:b/>
          <w:sz w:val="28"/>
          <w:szCs w:val="28"/>
          <w:lang w:val="cy-GB"/>
        </w:rPr>
      </w:pPr>
      <w:r>
        <w:rPr>
          <w:rFonts w:ascii="Arial" w:hAnsi="Arial" w:cs="Arial"/>
          <w:b/>
          <w:sz w:val="28"/>
          <w:szCs w:val="28"/>
          <w:lang w:val="cy-GB"/>
        </w:rPr>
        <w:t xml:space="preserve">Postgraduate/Distance Learning </w:t>
      </w:r>
    </w:p>
    <w:p w14:paraId="39879158" w14:textId="77777777" w:rsidR="0048198D" w:rsidRDefault="0048198D" w:rsidP="0048198D">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Assignment Coversheet &amp; Feedback Form</w:t>
      </w:r>
    </w:p>
    <w:p w14:paraId="4180745B" w14:textId="0D067CDF" w:rsidR="0048198D" w:rsidRDefault="0048198D" w:rsidP="001563A9">
      <w:pPr>
        <w:rPr>
          <w:rFonts w:ascii="Arial" w:hAnsi="Arial" w:cs="Arial"/>
          <w:sz w:val="20"/>
          <w:szCs w:val="20"/>
          <w:lang w:val="cy-GB"/>
        </w:rPr>
      </w:pPr>
    </w:p>
    <w:p w14:paraId="77FC8FF6" w14:textId="77777777" w:rsidR="0048198D" w:rsidRDefault="0048198D" w:rsidP="0048198D">
      <w:pPr>
        <w:pStyle w:val="Heading3"/>
        <w:jc w:val="center"/>
        <w:rPr>
          <w:rFonts w:ascii="Arial" w:eastAsia="SimSun" w:hAnsi="Arial" w:cs="Arial"/>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1980"/>
        <w:gridCol w:w="286"/>
        <w:gridCol w:w="1802"/>
      </w:tblGrid>
      <w:tr w:rsidR="0048198D" w14:paraId="08034245" w14:textId="77777777" w:rsidTr="001D5D5E">
        <w:trPr>
          <w:trHeight w:val="724"/>
        </w:trPr>
        <w:tc>
          <w:tcPr>
            <w:tcW w:w="8856" w:type="dxa"/>
            <w:gridSpan w:val="4"/>
            <w:tcBorders>
              <w:top w:val="single" w:sz="4" w:space="0" w:color="000000"/>
              <w:left w:val="single" w:sz="4" w:space="0" w:color="000000"/>
              <w:bottom w:val="single" w:sz="4" w:space="0" w:color="000000"/>
              <w:right w:val="single" w:sz="4" w:space="0" w:color="000000"/>
            </w:tcBorders>
            <w:hideMark/>
          </w:tcPr>
          <w:p w14:paraId="2F2BC675" w14:textId="77777777" w:rsidR="0048198D" w:rsidRDefault="0048198D" w:rsidP="001D5D5E">
            <w:pPr>
              <w:pStyle w:val="NormalWeb"/>
              <w:spacing w:before="0" w:beforeAutospacing="0" w:after="0" w:afterAutospacing="0"/>
              <w:ind w:right="34"/>
              <w:rPr>
                <w:rFonts w:ascii="Arial" w:hAnsi="Arial" w:cs="Arial"/>
                <w:sz w:val="22"/>
                <w:szCs w:val="22"/>
              </w:rPr>
            </w:pPr>
            <w:r>
              <w:rPr>
                <w:rFonts w:ascii="Arial" w:hAnsi="Arial" w:cs="Arial"/>
                <w:b/>
                <w:sz w:val="22"/>
                <w:szCs w:val="22"/>
              </w:rPr>
              <w:t>For completion by the student</w:t>
            </w:r>
            <w:r>
              <w:rPr>
                <w:rFonts w:ascii="Arial" w:hAnsi="Arial" w:cs="Arial"/>
                <w:sz w:val="22"/>
                <w:szCs w:val="22"/>
              </w:rPr>
              <w:t>:</w:t>
            </w:r>
          </w:p>
          <w:p w14:paraId="3D69342C" w14:textId="43016DDA" w:rsidR="0048198D" w:rsidRDefault="0048198D" w:rsidP="001D5D5E">
            <w:pPr>
              <w:pStyle w:val="NormalWeb"/>
              <w:spacing w:before="0" w:beforeAutospacing="0" w:after="0" w:afterAutospacing="0"/>
              <w:ind w:right="34"/>
              <w:rPr>
                <w:rFonts w:ascii="Arial" w:hAnsi="Arial" w:cs="Arial"/>
                <w:sz w:val="22"/>
                <w:szCs w:val="22"/>
              </w:rPr>
            </w:pPr>
            <w:r>
              <w:rPr>
                <w:rFonts w:ascii="Arial" w:hAnsi="Arial" w:cs="Arial"/>
                <w:sz w:val="22"/>
                <w:szCs w:val="22"/>
              </w:rPr>
              <w:t>Student Name:</w:t>
            </w:r>
            <w:r w:rsidR="000B1BCE">
              <w:rPr>
                <w:rFonts w:ascii="Arial" w:hAnsi="Arial" w:cs="Arial"/>
                <w:sz w:val="22"/>
                <w:szCs w:val="22"/>
              </w:rPr>
              <w:t xml:space="preserve"> </w:t>
            </w:r>
            <w:r>
              <w:rPr>
                <w:rFonts w:ascii="Arial" w:hAnsi="Arial" w:cs="Arial"/>
                <w:sz w:val="22"/>
                <w:szCs w:val="22"/>
              </w:rPr>
              <w:t>Sarah Griffiths</w:t>
            </w:r>
          </w:p>
        </w:tc>
      </w:tr>
      <w:tr w:rsidR="0048198D" w14:paraId="2427A4E4" w14:textId="77777777" w:rsidTr="001D5D5E">
        <w:trPr>
          <w:trHeight w:val="693"/>
        </w:trPr>
        <w:tc>
          <w:tcPr>
            <w:tcW w:w="4788" w:type="dxa"/>
            <w:tcBorders>
              <w:top w:val="single" w:sz="4" w:space="0" w:color="000000"/>
              <w:left w:val="single" w:sz="4" w:space="0" w:color="000000"/>
              <w:bottom w:val="single" w:sz="4" w:space="0" w:color="000000"/>
              <w:right w:val="single" w:sz="4" w:space="0" w:color="000000"/>
            </w:tcBorders>
          </w:tcPr>
          <w:p w14:paraId="00121315" w14:textId="77777777" w:rsidR="0048198D" w:rsidRDefault="0048198D" w:rsidP="001D5D5E">
            <w:pPr>
              <w:pStyle w:val="NormalWeb"/>
              <w:spacing w:before="0" w:beforeAutospacing="0" w:after="0" w:afterAutospacing="0"/>
              <w:ind w:right="34"/>
              <w:rPr>
                <w:rFonts w:ascii="Arial" w:hAnsi="Arial" w:cs="Arial"/>
                <w:sz w:val="22"/>
                <w:szCs w:val="22"/>
              </w:rPr>
            </w:pPr>
          </w:p>
          <w:p w14:paraId="5072C114" w14:textId="4C7347FF" w:rsidR="0048198D" w:rsidRDefault="0048198D" w:rsidP="001D5D5E">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Module code: </w:t>
            </w:r>
            <w:r w:rsidR="00F41347">
              <w:rPr>
                <w:rFonts w:ascii="Arial" w:hAnsi="Arial" w:cs="Arial"/>
                <w:sz w:val="22"/>
                <w:szCs w:val="22"/>
              </w:rPr>
              <w:t xml:space="preserve"> HPCS70</w:t>
            </w:r>
            <w:r w:rsidR="00BB2224">
              <w:rPr>
                <w:rFonts w:ascii="Arial" w:hAnsi="Arial" w:cs="Arial"/>
                <w:sz w:val="22"/>
                <w:szCs w:val="22"/>
              </w:rPr>
              <w:t>0</w:t>
            </w:r>
            <w:r w:rsidR="00F41347">
              <w:rPr>
                <w:rFonts w:ascii="Arial" w:hAnsi="Arial" w:cs="Arial"/>
                <w:sz w:val="22"/>
                <w:szCs w:val="22"/>
              </w:rPr>
              <w:t>1</w:t>
            </w:r>
          </w:p>
          <w:p w14:paraId="5D65FBCD" w14:textId="77777777" w:rsidR="0048198D" w:rsidRDefault="0048198D" w:rsidP="001D5D5E">
            <w:pPr>
              <w:pStyle w:val="NormalWeb"/>
              <w:spacing w:before="0" w:beforeAutospacing="0" w:after="0" w:afterAutospacing="0"/>
              <w:ind w:right="34"/>
              <w:rPr>
                <w:rFonts w:ascii="Arial" w:hAnsi="Arial" w:cs="Arial"/>
                <w:sz w:val="22"/>
                <w:szCs w:val="22"/>
              </w:rPr>
            </w:pPr>
          </w:p>
        </w:tc>
        <w:tc>
          <w:tcPr>
            <w:tcW w:w="2266" w:type="dxa"/>
            <w:gridSpan w:val="2"/>
            <w:vMerge w:val="restart"/>
            <w:tcBorders>
              <w:top w:val="single" w:sz="4" w:space="0" w:color="000000"/>
              <w:left w:val="single" w:sz="4" w:space="0" w:color="000000"/>
              <w:bottom w:val="single" w:sz="4" w:space="0" w:color="000000"/>
              <w:right w:val="single" w:sz="4" w:space="0" w:color="000000"/>
            </w:tcBorders>
            <w:hideMark/>
          </w:tcPr>
          <w:p w14:paraId="2C79BF4A" w14:textId="77777777" w:rsidR="0048198D" w:rsidRPr="00BD4B6C" w:rsidRDefault="0048198D" w:rsidP="001D5D5E">
            <w:pPr>
              <w:pStyle w:val="NormalWeb"/>
              <w:spacing w:before="0" w:beforeAutospacing="0" w:after="0" w:afterAutospacing="0"/>
              <w:ind w:right="34"/>
              <w:rPr>
                <w:rFonts w:ascii="Arial" w:hAnsi="Arial" w:cs="Arial"/>
                <w:sz w:val="22"/>
                <w:szCs w:val="22"/>
              </w:rPr>
            </w:pPr>
            <w:r w:rsidRPr="00BD4B6C">
              <w:rPr>
                <w:rFonts w:ascii="Arial" w:hAnsi="Arial" w:cs="Arial"/>
                <w:sz w:val="22"/>
                <w:szCs w:val="22"/>
              </w:rPr>
              <w:t>Student University Number:</w:t>
            </w:r>
          </w:p>
          <w:p w14:paraId="55AC4F3A" w14:textId="77777777" w:rsidR="0048198D" w:rsidRPr="00BD4B6C" w:rsidRDefault="0048198D" w:rsidP="001D5D5E">
            <w:pPr>
              <w:rPr>
                <w:rFonts w:ascii="Arial" w:hAnsi="Arial" w:cs="Arial"/>
                <w:color w:val="000000"/>
                <w:sz w:val="22"/>
                <w:szCs w:val="22"/>
              </w:rPr>
            </w:pPr>
          </w:p>
          <w:p w14:paraId="4E6839A3" w14:textId="77777777" w:rsidR="0048198D" w:rsidRPr="00BD4B6C" w:rsidRDefault="0048198D" w:rsidP="001D5D5E">
            <w:pPr>
              <w:rPr>
                <w:rFonts w:ascii="Arial" w:hAnsi="Arial" w:cs="Arial"/>
                <w:sz w:val="22"/>
                <w:szCs w:val="22"/>
              </w:rPr>
            </w:pPr>
            <w:r w:rsidRPr="00BD4B6C">
              <w:rPr>
                <w:rFonts w:ascii="Arial" w:hAnsi="Arial" w:cs="Arial"/>
                <w:sz w:val="22"/>
                <w:szCs w:val="22"/>
              </w:rPr>
              <w:t xml:space="preserve">         0301851</w:t>
            </w:r>
          </w:p>
        </w:tc>
        <w:tc>
          <w:tcPr>
            <w:tcW w:w="1802" w:type="dxa"/>
            <w:vMerge w:val="restart"/>
            <w:tcBorders>
              <w:top w:val="single" w:sz="4" w:space="0" w:color="000000"/>
              <w:left w:val="single" w:sz="4" w:space="0" w:color="000000"/>
              <w:bottom w:val="single" w:sz="4" w:space="0" w:color="000000"/>
              <w:right w:val="single" w:sz="4" w:space="0" w:color="000000"/>
            </w:tcBorders>
            <w:hideMark/>
          </w:tcPr>
          <w:p w14:paraId="0F780CB1" w14:textId="77777777" w:rsidR="0048198D" w:rsidRPr="00BD4B6C" w:rsidRDefault="0048198D" w:rsidP="001D5D5E">
            <w:pPr>
              <w:pStyle w:val="NormalWeb"/>
              <w:spacing w:before="0" w:beforeAutospacing="0" w:after="0" w:afterAutospacing="0"/>
              <w:ind w:right="34"/>
              <w:rPr>
                <w:rFonts w:ascii="Arial" w:hAnsi="Arial" w:cs="Arial"/>
                <w:sz w:val="22"/>
                <w:szCs w:val="22"/>
              </w:rPr>
            </w:pPr>
            <w:r w:rsidRPr="00BD4B6C">
              <w:rPr>
                <w:rFonts w:ascii="Arial" w:hAnsi="Arial" w:cs="Arial"/>
                <w:sz w:val="22"/>
                <w:szCs w:val="22"/>
              </w:rPr>
              <w:t>Educational support needs:</w:t>
            </w:r>
          </w:p>
          <w:p w14:paraId="0B8B9A0D" w14:textId="77777777" w:rsidR="0048198D" w:rsidRPr="00BD4B6C" w:rsidRDefault="0048198D" w:rsidP="001D5D5E">
            <w:pPr>
              <w:pStyle w:val="NormalWeb"/>
              <w:spacing w:before="0" w:beforeAutospacing="0" w:after="0" w:afterAutospacing="0"/>
              <w:ind w:right="34"/>
              <w:rPr>
                <w:rFonts w:ascii="Arial" w:hAnsi="Arial" w:cs="Arial"/>
                <w:sz w:val="22"/>
                <w:szCs w:val="22"/>
              </w:rPr>
            </w:pPr>
          </w:p>
          <w:p w14:paraId="05A19D99" w14:textId="77777777" w:rsidR="0048198D" w:rsidRPr="00BD4B6C" w:rsidRDefault="0048198D" w:rsidP="001D5D5E">
            <w:pPr>
              <w:pStyle w:val="NormalWeb"/>
              <w:spacing w:before="0" w:beforeAutospacing="0" w:after="0" w:afterAutospacing="0"/>
              <w:ind w:right="34"/>
              <w:rPr>
                <w:rFonts w:ascii="Arial" w:hAnsi="Arial" w:cs="Arial"/>
                <w:sz w:val="22"/>
                <w:szCs w:val="22"/>
              </w:rPr>
            </w:pPr>
            <w:r w:rsidRPr="00BD4B6C">
              <w:rPr>
                <w:rFonts w:ascii="Arial" w:hAnsi="Arial" w:cs="Arial"/>
                <w:sz w:val="22"/>
                <w:szCs w:val="22"/>
              </w:rPr>
              <w:t>No</w:t>
            </w:r>
          </w:p>
        </w:tc>
      </w:tr>
      <w:tr w:rsidR="0048198D" w14:paraId="7D5889F0" w14:textId="77777777" w:rsidTr="001D5D5E">
        <w:trPr>
          <w:trHeight w:val="630"/>
        </w:trPr>
        <w:tc>
          <w:tcPr>
            <w:tcW w:w="4788" w:type="dxa"/>
            <w:tcBorders>
              <w:top w:val="single" w:sz="4" w:space="0" w:color="000000"/>
              <w:left w:val="single" w:sz="4" w:space="0" w:color="000000"/>
              <w:bottom w:val="single" w:sz="4" w:space="0" w:color="000000"/>
              <w:right w:val="single" w:sz="4" w:space="0" w:color="000000"/>
            </w:tcBorders>
          </w:tcPr>
          <w:p w14:paraId="1FED7C0C" w14:textId="77777777" w:rsidR="0048198D" w:rsidRDefault="0048198D" w:rsidP="001D5D5E">
            <w:pPr>
              <w:pStyle w:val="NormalWeb"/>
              <w:spacing w:before="0" w:beforeAutospacing="0" w:after="0" w:afterAutospacing="0"/>
              <w:ind w:right="34"/>
              <w:rPr>
                <w:rFonts w:ascii="Arial" w:hAnsi="Arial" w:cs="Arial"/>
                <w:sz w:val="22"/>
                <w:szCs w:val="22"/>
              </w:rPr>
            </w:pPr>
          </w:p>
          <w:p w14:paraId="74BC9B31" w14:textId="0208F005" w:rsidR="0048198D" w:rsidRDefault="0048198D" w:rsidP="001D5D5E">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Module title:   </w:t>
            </w:r>
            <w:r w:rsidR="00B24ABB">
              <w:rPr>
                <w:rFonts w:ascii="Arial" w:hAnsi="Arial" w:cs="Arial"/>
                <w:sz w:val="22"/>
                <w:szCs w:val="22"/>
              </w:rPr>
              <w:t xml:space="preserve">Celtic </w:t>
            </w:r>
            <w:r w:rsidR="00B61F9C">
              <w:rPr>
                <w:rFonts w:ascii="Arial" w:hAnsi="Arial" w:cs="Arial"/>
                <w:sz w:val="22"/>
                <w:szCs w:val="22"/>
              </w:rPr>
              <w:t>Otherworlds</w:t>
            </w:r>
          </w:p>
          <w:p w14:paraId="029AA7E8" w14:textId="77777777" w:rsidR="0048198D" w:rsidRDefault="0048198D" w:rsidP="001D5D5E">
            <w:pPr>
              <w:pStyle w:val="NormalWeb"/>
              <w:spacing w:before="0" w:beforeAutospacing="0" w:after="0" w:afterAutospacing="0"/>
              <w:ind w:right="34"/>
              <w:rPr>
                <w:rFonts w:ascii="Arial" w:hAnsi="Arial" w:cs="Arial"/>
                <w:sz w:val="22"/>
                <w:szCs w:val="22"/>
              </w:rPr>
            </w:pPr>
          </w:p>
        </w:tc>
        <w:tc>
          <w:tcPr>
            <w:tcW w:w="0" w:type="auto"/>
            <w:gridSpan w:val="2"/>
            <w:vMerge/>
            <w:tcBorders>
              <w:top w:val="single" w:sz="4" w:space="0" w:color="000000"/>
              <w:left w:val="single" w:sz="4" w:space="0" w:color="000000"/>
              <w:bottom w:val="single" w:sz="4" w:space="0" w:color="000000"/>
              <w:right w:val="single" w:sz="4" w:space="0" w:color="000000"/>
            </w:tcBorders>
            <w:vAlign w:val="center"/>
            <w:hideMark/>
          </w:tcPr>
          <w:p w14:paraId="02282190" w14:textId="77777777" w:rsidR="0048198D" w:rsidRDefault="0048198D" w:rsidP="001D5D5E">
            <w:pPr>
              <w:rPr>
                <w:rFonts w:ascii="Arial" w:hAnsi="Arial" w:cs="Arial"/>
                <w:color w:val="000000"/>
                <w:sz w:val="22"/>
                <w:szCs w:val="22"/>
              </w:rPr>
            </w:pPr>
          </w:p>
        </w:tc>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589C4038" w14:textId="77777777" w:rsidR="0048198D" w:rsidRDefault="0048198D" w:rsidP="001D5D5E">
            <w:pPr>
              <w:rPr>
                <w:rFonts w:ascii="Arial" w:hAnsi="Arial" w:cs="Arial"/>
                <w:color w:val="000000"/>
                <w:sz w:val="22"/>
                <w:szCs w:val="22"/>
              </w:rPr>
            </w:pPr>
          </w:p>
        </w:tc>
      </w:tr>
      <w:tr w:rsidR="0048198D" w14:paraId="2927815C" w14:textId="77777777" w:rsidTr="001D5D5E">
        <w:trPr>
          <w:trHeight w:val="630"/>
        </w:trPr>
        <w:tc>
          <w:tcPr>
            <w:tcW w:w="8856" w:type="dxa"/>
            <w:gridSpan w:val="4"/>
            <w:tcBorders>
              <w:top w:val="single" w:sz="4" w:space="0" w:color="000000"/>
              <w:left w:val="single" w:sz="4" w:space="0" w:color="000000"/>
              <w:bottom w:val="single" w:sz="4" w:space="0" w:color="000000"/>
              <w:right w:val="single" w:sz="4" w:space="0" w:color="000000"/>
            </w:tcBorders>
          </w:tcPr>
          <w:p w14:paraId="48B0C070" w14:textId="77777777" w:rsidR="0048198D" w:rsidRDefault="0048198D" w:rsidP="001D5D5E">
            <w:pPr>
              <w:pStyle w:val="NormalWeb"/>
              <w:spacing w:before="0" w:beforeAutospacing="0" w:after="0" w:afterAutospacing="0"/>
              <w:ind w:right="34"/>
              <w:rPr>
                <w:rFonts w:ascii="Arial" w:hAnsi="Arial" w:cs="Arial"/>
                <w:sz w:val="22"/>
                <w:szCs w:val="22"/>
              </w:rPr>
            </w:pPr>
          </w:p>
          <w:p w14:paraId="3FD35317" w14:textId="2535909D" w:rsidR="0048198D" w:rsidRDefault="0048198D" w:rsidP="001D5D5E">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Module tutor: </w:t>
            </w:r>
            <w:r w:rsidR="00B61F9C">
              <w:rPr>
                <w:rFonts w:ascii="Arial" w:hAnsi="Arial" w:cs="Arial"/>
                <w:sz w:val="22"/>
                <w:szCs w:val="22"/>
              </w:rPr>
              <w:t xml:space="preserve">Ffion </w:t>
            </w:r>
            <w:r w:rsidR="00505109">
              <w:rPr>
                <w:rFonts w:ascii="Arial" w:hAnsi="Arial" w:cs="Arial"/>
                <w:sz w:val="22"/>
                <w:szCs w:val="22"/>
              </w:rPr>
              <w:t>Jones</w:t>
            </w:r>
          </w:p>
        </w:tc>
      </w:tr>
      <w:tr w:rsidR="0048198D" w14:paraId="5D7E4B28" w14:textId="77777777" w:rsidTr="001D5D5E">
        <w:trPr>
          <w:trHeight w:val="630"/>
        </w:trPr>
        <w:tc>
          <w:tcPr>
            <w:tcW w:w="8856" w:type="dxa"/>
            <w:gridSpan w:val="4"/>
            <w:tcBorders>
              <w:top w:val="single" w:sz="4" w:space="0" w:color="000000"/>
              <w:left w:val="single" w:sz="4" w:space="0" w:color="000000"/>
              <w:bottom w:val="single" w:sz="4" w:space="0" w:color="000000"/>
              <w:right w:val="single" w:sz="4" w:space="0" w:color="000000"/>
            </w:tcBorders>
          </w:tcPr>
          <w:p w14:paraId="6B9A5E64" w14:textId="77777777" w:rsidR="0048198D" w:rsidRDefault="0048198D" w:rsidP="001D5D5E">
            <w:pPr>
              <w:pStyle w:val="NormalWeb"/>
              <w:spacing w:before="0" w:beforeAutospacing="0" w:after="0" w:afterAutospacing="0"/>
              <w:ind w:right="34"/>
              <w:rPr>
                <w:rFonts w:ascii="Arial" w:hAnsi="Arial" w:cs="Arial"/>
                <w:sz w:val="22"/>
                <w:szCs w:val="22"/>
              </w:rPr>
            </w:pPr>
          </w:p>
          <w:p w14:paraId="3992D46E" w14:textId="084A2BEE" w:rsidR="0048198D" w:rsidRDefault="0048198D" w:rsidP="00CF4359">
            <w:pPr>
              <w:pStyle w:val="NormalWeb"/>
              <w:spacing w:before="0" w:beforeAutospacing="0" w:after="0" w:afterAutospacing="0"/>
              <w:ind w:right="34"/>
              <w:rPr>
                <w:rFonts w:ascii="Segoe UI" w:hAnsi="Segoe UI"/>
                <w:color w:val="373A3C"/>
                <w:sz w:val="22"/>
                <w:szCs w:val="22"/>
              </w:rPr>
            </w:pPr>
            <w:r w:rsidRPr="00886467">
              <w:rPr>
                <w:rFonts w:ascii="Arial" w:hAnsi="Arial" w:cs="Arial"/>
                <w:sz w:val="22"/>
                <w:szCs w:val="22"/>
              </w:rPr>
              <w:t xml:space="preserve">Assignment title: </w:t>
            </w:r>
            <w:r w:rsidR="00E83E0A">
              <w:rPr>
                <w:rFonts w:ascii="Segoe UI" w:hAnsi="Segoe UI" w:cs="Segoe UI"/>
                <w:color w:val="373A3C"/>
                <w:sz w:val="23"/>
                <w:szCs w:val="23"/>
                <w:shd w:val="clear" w:color="auto" w:fill="FFFFFF"/>
              </w:rPr>
              <w:t>Consider the representation of the Otherworld or Otherworlds in the Four Branches of the Mabinogi and one or more other Middle Welsh texts, comparing them, where appropriate, with Irish texts encountered on this course.</w:t>
            </w:r>
          </w:p>
          <w:p w14:paraId="3304E2D1" w14:textId="45E33C73" w:rsidR="00CF4359" w:rsidRPr="00AB4E1C" w:rsidRDefault="00CF4359" w:rsidP="00CF4359">
            <w:pPr>
              <w:pStyle w:val="NormalWeb"/>
              <w:spacing w:before="0" w:beforeAutospacing="0" w:after="0" w:afterAutospacing="0"/>
              <w:ind w:right="34"/>
              <w:rPr>
                <w:rFonts w:ascii="&amp;quot" w:hAnsi="&amp;quot" w:hint="eastAsia"/>
                <w:color w:val="373A3C"/>
                <w:sz w:val="22"/>
                <w:szCs w:val="22"/>
              </w:rPr>
            </w:pPr>
          </w:p>
        </w:tc>
      </w:tr>
      <w:tr w:rsidR="0048198D" w14:paraId="6E284706" w14:textId="77777777" w:rsidTr="001D5D5E">
        <w:trPr>
          <w:trHeight w:val="630"/>
        </w:trPr>
        <w:tc>
          <w:tcPr>
            <w:tcW w:w="8856" w:type="dxa"/>
            <w:gridSpan w:val="4"/>
            <w:tcBorders>
              <w:top w:val="single" w:sz="4" w:space="0" w:color="000000"/>
              <w:left w:val="single" w:sz="4" w:space="0" w:color="000000"/>
              <w:bottom w:val="single" w:sz="4" w:space="0" w:color="000000"/>
              <w:right w:val="single" w:sz="4" w:space="0" w:color="000000"/>
            </w:tcBorders>
          </w:tcPr>
          <w:p w14:paraId="51163890" w14:textId="77777777" w:rsidR="0048198D" w:rsidRDefault="0048198D" w:rsidP="001D5D5E">
            <w:pPr>
              <w:pStyle w:val="NormalWeb"/>
              <w:spacing w:before="0" w:beforeAutospacing="0" w:after="0" w:afterAutospacing="0"/>
              <w:ind w:right="34"/>
              <w:rPr>
                <w:rFonts w:ascii="Arial" w:hAnsi="Arial" w:cs="Arial"/>
                <w:sz w:val="22"/>
                <w:szCs w:val="22"/>
              </w:rPr>
            </w:pPr>
          </w:p>
          <w:p w14:paraId="5C84CFE4" w14:textId="1FC997B7" w:rsidR="0048198D" w:rsidRDefault="0048198D" w:rsidP="001D5D5E">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Assignment due date:  </w:t>
            </w:r>
            <w:r w:rsidR="008E2F81">
              <w:rPr>
                <w:rFonts w:ascii="Arial" w:hAnsi="Arial" w:cs="Arial"/>
                <w:sz w:val="22"/>
                <w:szCs w:val="22"/>
              </w:rPr>
              <w:t>0</w:t>
            </w:r>
            <w:r w:rsidR="001608E4">
              <w:rPr>
                <w:rFonts w:ascii="Arial" w:hAnsi="Arial" w:cs="Arial"/>
                <w:sz w:val="22"/>
                <w:szCs w:val="22"/>
              </w:rPr>
              <w:t xml:space="preserve">1 </w:t>
            </w:r>
            <w:r w:rsidR="00C07259">
              <w:rPr>
                <w:rFonts w:ascii="Arial" w:hAnsi="Arial" w:cs="Arial"/>
                <w:sz w:val="22"/>
                <w:szCs w:val="22"/>
              </w:rPr>
              <w:t>Ma</w:t>
            </w:r>
            <w:r w:rsidR="008E2F81">
              <w:rPr>
                <w:rFonts w:ascii="Arial" w:hAnsi="Arial" w:cs="Arial"/>
                <w:sz w:val="22"/>
                <w:szCs w:val="22"/>
              </w:rPr>
              <w:t>y</w:t>
            </w:r>
            <w:r w:rsidR="001608E4">
              <w:rPr>
                <w:rFonts w:ascii="Arial" w:hAnsi="Arial" w:cs="Arial"/>
                <w:sz w:val="22"/>
                <w:szCs w:val="22"/>
              </w:rPr>
              <w:t xml:space="preserve"> 2020</w:t>
            </w:r>
          </w:p>
        </w:tc>
      </w:tr>
      <w:tr w:rsidR="0048198D" w14:paraId="6113FED9" w14:textId="77777777" w:rsidTr="001D5D5E">
        <w:trPr>
          <w:trHeight w:val="978"/>
        </w:trPr>
        <w:tc>
          <w:tcPr>
            <w:tcW w:w="8856" w:type="dxa"/>
            <w:gridSpan w:val="4"/>
            <w:tcBorders>
              <w:top w:val="single" w:sz="4" w:space="0" w:color="000000"/>
              <w:left w:val="single" w:sz="4" w:space="0" w:color="000000"/>
              <w:bottom w:val="single" w:sz="4" w:space="0" w:color="000000"/>
              <w:right w:val="single" w:sz="4" w:space="0" w:color="000000"/>
            </w:tcBorders>
            <w:shd w:val="clear" w:color="auto" w:fill="D9D9D9"/>
          </w:tcPr>
          <w:p w14:paraId="1A39B249" w14:textId="77777777" w:rsidR="0048198D" w:rsidRDefault="0048198D" w:rsidP="001D5D5E">
            <w:pPr>
              <w:pStyle w:val="NormalWeb"/>
              <w:spacing w:before="0" w:beforeAutospacing="0" w:after="0" w:afterAutospacing="0"/>
              <w:ind w:right="34"/>
              <w:rPr>
                <w:rFonts w:ascii="Arial" w:hAnsi="Arial" w:cs="Arial"/>
                <w:sz w:val="22"/>
                <w:szCs w:val="22"/>
              </w:rPr>
            </w:pPr>
          </w:p>
          <w:p w14:paraId="32794CCC" w14:textId="77777777" w:rsidR="0048198D" w:rsidRDefault="0048198D" w:rsidP="001D5D5E">
            <w:pPr>
              <w:pStyle w:val="NormalWeb"/>
              <w:spacing w:before="0" w:beforeAutospacing="0" w:after="0" w:afterAutospacing="0"/>
              <w:ind w:right="34"/>
              <w:rPr>
                <w:rFonts w:ascii="Arial" w:hAnsi="Arial" w:cs="Arial"/>
                <w:sz w:val="22"/>
                <w:szCs w:val="22"/>
              </w:rPr>
            </w:pPr>
            <w:r>
              <w:rPr>
                <w:rFonts w:ascii="Arial" w:hAnsi="Arial" w:cs="Arial"/>
                <w:sz w:val="22"/>
                <w:szCs w:val="22"/>
              </w:rPr>
              <w:t>I confirm that this is my original work and that I have adhered to the University policy on plagiarism.</w:t>
            </w:r>
          </w:p>
          <w:p w14:paraId="72840360" w14:textId="77777777" w:rsidR="0048198D" w:rsidRDefault="0048198D" w:rsidP="001D5D5E">
            <w:pPr>
              <w:pStyle w:val="NormalWeb"/>
              <w:spacing w:before="0" w:beforeAutospacing="0" w:after="0" w:afterAutospacing="0"/>
              <w:ind w:right="34"/>
              <w:rPr>
                <w:rFonts w:ascii="Arial" w:hAnsi="Arial" w:cs="Arial"/>
                <w:sz w:val="22"/>
                <w:szCs w:val="22"/>
              </w:rPr>
            </w:pPr>
          </w:p>
          <w:p w14:paraId="4D826ED6" w14:textId="77777777" w:rsidR="0048198D" w:rsidRDefault="0048198D" w:rsidP="001D5D5E">
            <w:pPr>
              <w:pStyle w:val="NormalWeb"/>
              <w:spacing w:before="0" w:beforeAutospacing="0" w:after="0" w:afterAutospacing="0"/>
              <w:ind w:right="34"/>
              <w:rPr>
                <w:rFonts w:ascii="Arial" w:hAnsi="Arial" w:cs="Arial"/>
                <w:sz w:val="22"/>
                <w:szCs w:val="22"/>
              </w:rPr>
            </w:pPr>
            <w:r>
              <w:rPr>
                <w:rFonts w:ascii="Arial" w:hAnsi="Arial" w:cs="Arial"/>
                <w:sz w:val="22"/>
                <w:szCs w:val="22"/>
              </w:rPr>
              <w:t>Name ………</w:t>
            </w:r>
            <w:r w:rsidRPr="004134E6">
              <w:rPr>
                <w:rFonts w:ascii="Lucida Calligraphy" w:hAnsi="Lucida Calligraphy" w:cs="Arial"/>
                <w:sz w:val="28"/>
                <w:szCs w:val="28"/>
              </w:rPr>
              <w:t>Sarah Griffiths</w:t>
            </w:r>
            <w:r>
              <w:rPr>
                <w:rFonts w:ascii="Arial" w:hAnsi="Arial" w:cs="Arial"/>
                <w:sz w:val="22"/>
                <w:szCs w:val="22"/>
              </w:rPr>
              <w:t>……………………………………………………</w:t>
            </w:r>
          </w:p>
          <w:p w14:paraId="1FE2F66A" w14:textId="77777777" w:rsidR="0048198D" w:rsidRDefault="0048198D" w:rsidP="001D5D5E">
            <w:pPr>
              <w:pStyle w:val="NormalWeb"/>
              <w:spacing w:before="0" w:beforeAutospacing="0" w:after="0" w:afterAutospacing="0"/>
              <w:ind w:right="34"/>
              <w:rPr>
                <w:rFonts w:ascii="Arial" w:hAnsi="Arial" w:cs="Arial"/>
                <w:sz w:val="22"/>
                <w:szCs w:val="22"/>
              </w:rPr>
            </w:pPr>
          </w:p>
        </w:tc>
      </w:tr>
      <w:tr w:rsidR="0048198D" w14:paraId="6DF82673" w14:textId="77777777" w:rsidTr="001D5D5E">
        <w:trPr>
          <w:trHeight w:val="3972"/>
        </w:trPr>
        <w:tc>
          <w:tcPr>
            <w:tcW w:w="8856" w:type="dxa"/>
            <w:gridSpan w:val="4"/>
            <w:tcBorders>
              <w:top w:val="single" w:sz="4" w:space="0" w:color="000000"/>
              <w:left w:val="single" w:sz="4" w:space="0" w:color="000000"/>
              <w:bottom w:val="single" w:sz="4" w:space="0" w:color="000000"/>
              <w:right w:val="single" w:sz="4" w:space="0" w:color="000000"/>
            </w:tcBorders>
          </w:tcPr>
          <w:p w14:paraId="5724A977" w14:textId="77777777" w:rsidR="0048198D" w:rsidRDefault="0048198D" w:rsidP="001D5D5E">
            <w:pPr>
              <w:rPr>
                <w:rFonts w:ascii="Arial" w:hAnsi="Arial" w:cs="Arial"/>
                <w:b/>
              </w:rPr>
            </w:pPr>
          </w:p>
          <w:p w14:paraId="348623E1" w14:textId="77777777" w:rsidR="0048198D" w:rsidRDefault="0048198D" w:rsidP="001D5D5E">
            <w:pPr>
              <w:rPr>
                <w:rFonts w:ascii="Arial" w:hAnsi="Arial" w:cs="Arial"/>
              </w:rPr>
            </w:pPr>
            <w:r>
              <w:rPr>
                <w:rFonts w:ascii="Arial" w:hAnsi="Arial" w:cs="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48198D" w14:paraId="25AF7241" w14:textId="77777777" w:rsidTr="001D5D5E">
              <w:tc>
                <w:tcPr>
                  <w:tcW w:w="6970" w:type="dxa"/>
                  <w:tcBorders>
                    <w:top w:val="single" w:sz="4" w:space="0" w:color="auto"/>
                    <w:left w:val="single" w:sz="4" w:space="0" w:color="auto"/>
                    <w:bottom w:val="single" w:sz="4" w:space="0" w:color="auto"/>
                    <w:right w:val="single" w:sz="4" w:space="0" w:color="auto"/>
                  </w:tcBorders>
                </w:tcPr>
                <w:p w14:paraId="191B4CED" w14:textId="77777777" w:rsidR="0048198D" w:rsidRDefault="0048198D" w:rsidP="001D5D5E">
                  <w:pPr>
                    <w:rPr>
                      <w:rFonts w:ascii="Arial" w:hAnsi="Arial" w:cs="Arial"/>
                      <w:sz w:val="22"/>
                      <w:szCs w:val="22"/>
                    </w:rPr>
                  </w:pPr>
                </w:p>
                <w:p w14:paraId="4762DFF0" w14:textId="77777777" w:rsidR="0048198D" w:rsidRDefault="0048198D" w:rsidP="001D5D5E">
                  <w:pPr>
                    <w:rPr>
                      <w:rFonts w:ascii="Arial" w:hAnsi="Arial" w:cs="Arial"/>
                      <w:sz w:val="22"/>
                      <w:szCs w:val="22"/>
                    </w:rPr>
                  </w:pPr>
                  <w:r>
                    <w:rPr>
                      <w:rFonts w:ascii="Arial" w:hAnsi="Arial" w:cs="Arial"/>
                      <w:sz w:val="22"/>
                      <w:szCs w:val="22"/>
                    </w:rPr>
                    <w:t>1</w:t>
                  </w:r>
                  <w:r>
                    <w:rPr>
                      <w:rFonts w:ascii="Arial" w:hAnsi="Arial" w:cs="Arial"/>
                      <w:sz w:val="22"/>
                      <w:szCs w:val="22"/>
                      <w:vertAlign w:val="superscript"/>
                    </w:rPr>
                    <w:t>st</w:t>
                  </w:r>
                  <w:r>
                    <w:rPr>
                      <w:rFonts w:ascii="Arial" w:hAnsi="Arial" w:cs="Arial"/>
                      <w:sz w:val="22"/>
                      <w:szCs w:val="22"/>
                    </w:rPr>
                    <w:t xml:space="preserve"> Marker’s Provisional mark</w:t>
                  </w:r>
                </w:p>
              </w:tc>
              <w:tc>
                <w:tcPr>
                  <w:tcW w:w="1660" w:type="dxa"/>
                  <w:tcBorders>
                    <w:top w:val="single" w:sz="4" w:space="0" w:color="auto"/>
                    <w:left w:val="single" w:sz="4" w:space="0" w:color="auto"/>
                    <w:bottom w:val="single" w:sz="4" w:space="0" w:color="auto"/>
                    <w:right w:val="single" w:sz="4" w:space="0" w:color="auto"/>
                  </w:tcBorders>
                </w:tcPr>
                <w:p w14:paraId="3735CABC" w14:textId="77777777" w:rsidR="0048198D" w:rsidRDefault="0048198D" w:rsidP="001D5D5E">
                  <w:pPr>
                    <w:rPr>
                      <w:rFonts w:ascii="Arial" w:hAnsi="Arial" w:cs="Arial"/>
                      <w:sz w:val="20"/>
                      <w:szCs w:val="20"/>
                    </w:rPr>
                  </w:pPr>
                </w:p>
              </w:tc>
            </w:tr>
            <w:tr w:rsidR="0048198D" w14:paraId="541FFB29" w14:textId="77777777" w:rsidTr="001D5D5E">
              <w:tc>
                <w:tcPr>
                  <w:tcW w:w="6970" w:type="dxa"/>
                  <w:tcBorders>
                    <w:top w:val="single" w:sz="4" w:space="0" w:color="auto"/>
                    <w:left w:val="single" w:sz="4" w:space="0" w:color="auto"/>
                    <w:bottom w:val="single" w:sz="4" w:space="0" w:color="auto"/>
                    <w:right w:val="single" w:sz="4" w:space="0" w:color="auto"/>
                  </w:tcBorders>
                </w:tcPr>
                <w:p w14:paraId="56BEE6ED" w14:textId="77777777" w:rsidR="0048198D" w:rsidRDefault="0048198D" w:rsidP="001D5D5E">
                  <w:pPr>
                    <w:rPr>
                      <w:rFonts w:ascii="Arial" w:hAnsi="Arial" w:cs="Arial"/>
                      <w:sz w:val="22"/>
                      <w:szCs w:val="22"/>
                    </w:rPr>
                  </w:pPr>
                </w:p>
                <w:p w14:paraId="74ADFE97" w14:textId="77777777" w:rsidR="0048198D" w:rsidRDefault="0048198D" w:rsidP="001D5D5E">
                  <w:pPr>
                    <w:rPr>
                      <w:rFonts w:ascii="Arial" w:hAnsi="Arial" w:cs="Arial"/>
                      <w:sz w:val="22"/>
                      <w:szCs w:val="22"/>
                    </w:rPr>
                  </w:pPr>
                  <w:r>
                    <w:rPr>
                      <w:rFonts w:ascii="Arial" w:hAnsi="Arial" w:cs="Arial"/>
                      <w:sz w:val="22"/>
                      <w:szCs w:val="22"/>
                    </w:rPr>
                    <w:t>2</w:t>
                  </w:r>
                  <w:r>
                    <w:rPr>
                      <w:rFonts w:ascii="Arial" w:hAnsi="Arial" w:cs="Arial"/>
                      <w:sz w:val="22"/>
                      <w:szCs w:val="22"/>
                      <w:vertAlign w:val="superscript"/>
                    </w:rPr>
                    <w:t>nd</w:t>
                  </w:r>
                  <w:r>
                    <w:rPr>
                      <w:rFonts w:ascii="Arial" w:hAnsi="Arial" w:cs="Arial"/>
                      <w:sz w:val="22"/>
                      <w:szCs w:val="22"/>
                    </w:rPr>
                    <w:t xml:space="preserve"> Marker’s/Moderator’s provisional mark</w:t>
                  </w:r>
                </w:p>
              </w:tc>
              <w:tc>
                <w:tcPr>
                  <w:tcW w:w="1660" w:type="dxa"/>
                  <w:tcBorders>
                    <w:top w:val="single" w:sz="4" w:space="0" w:color="auto"/>
                    <w:left w:val="single" w:sz="4" w:space="0" w:color="auto"/>
                    <w:bottom w:val="single" w:sz="4" w:space="0" w:color="auto"/>
                    <w:right w:val="single" w:sz="4" w:space="0" w:color="auto"/>
                  </w:tcBorders>
                </w:tcPr>
                <w:p w14:paraId="520CE7A8" w14:textId="77777777" w:rsidR="0048198D" w:rsidRDefault="0048198D" w:rsidP="001D5D5E">
                  <w:pPr>
                    <w:rPr>
                      <w:rFonts w:ascii="Arial" w:hAnsi="Arial" w:cs="Arial"/>
                      <w:sz w:val="20"/>
                      <w:szCs w:val="20"/>
                    </w:rPr>
                  </w:pPr>
                </w:p>
              </w:tc>
            </w:tr>
            <w:tr w:rsidR="0048198D" w14:paraId="7201D082" w14:textId="77777777" w:rsidTr="001D5D5E">
              <w:tc>
                <w:tcPr>
                  <w:tcW w:w="6970" w:type="dxa"/>
                  <w:tcBorders>
                    <w:top w:val="single" w:sz="4" w:space="0" w:color="auto"/>
                    <w:left w:val="single" w:sz="4" w:space="0" w:color="auto"/>
                    <w:bottom w:val="single" w:sz="4" w:space="0" w:color="auto"/>
                    <w:right w:val="single" w:sz="4" w:space="0" w:color="auto"/>
                  </w:tcBorders>
                </w:tcPr>
                <w:p w14:paraId="69F339A5" w14:textId="77777777" w:rsidR="0048198D" w:rsidRDefault="0048198D" w:rsidP="001D5D5E">
                  <w:pPr>
                    <w:rPr>
                      <w:rFonts w:ascii="Arial" w:hAnsi="Arial" w:cs="Arial"/>
                      <w:sz w:val="22"/>
                      <w:szCs w:val="22"/>
                    </w:rPr>
                  </w:pPr>
                </w:p>
                <w:p w14:paraId="32F76268" w14:textId="77777777" w:rsidR="0048198D" w:rsidRDefault="0048198D" w:rsidP="001D5D5E">
                  <w:pPr>
                    <w:rPr>
                      <w:rFonts w:ascii="Arial" w:hAnsi="Arial" w:cs="Arial"/>
                      <w:sz w:val="22"/>
                      <w:szCs w:val="22"/>
                    </w:rPr>
                  </w:pPr>
                  <w:r>
                    <w:rPr>
                      <w:rFonts w:ascii="Arial" w:hAnsi="Arial" w:cs="Arial"/>
                      <w:sz w:val="22"/>
                      <w:szCs w:val="22"/>
                    </w:rPr>
                    <w:t>Agreed Internal Mark</w:t>
                  </w:r>
                </w:p>
              </w:tc>
              <w:tc>
                <w:tcPr>
                  <w:tcW w:w="1660" w:type="dxa"/>
                  <w:tcBorders>
                    <w:top w:val="single" w:sz="4" w:space="0" w:color="auto"/>
                    <w:left w:val="single" w:sz="4" w:space="0" w:color="auto"/>
                    <w:bottom w:val="single" w:sz="4" w:space="0" w:color="auto"/>
                    <w:right w:val="single" w:sz="4" w:space="0" w:color="auto"/>
                  </w:tcBorders>
                </w:tcPr>
                <w:p w14:paraId="57870619" w14:textId="77777777" w:rsidR="0048198D" w:rsidRDefault="0048198D" w:rsidP="001D5D5E">
                  <w:pPr>
                    <w:rPr>
                      <w:rFonts w:ascii="Arial" w:hAnsi="Arial" w:cs="Arial"/>
                      <w:sz w:val="20"/>
                      <w:szCs w:val="20"/>
                    </w:rPr>
                  </w:pPr>
                </w:p>
              </w:tc>
            </w:tr>
            <w:tr w:rsidR="0048198D" w14:paraId="0B492C63" w14:textId="77777777" w:rsidTr="001D5D5E">
              <w:tc>
                <w:tcPr>
                  <w:tcW w:w="6970" w:type="dxa"/>
                  <w:tcBorders>
                    <w:top w:val="single" w:sz="4" w:space="0" w:color="auto"/>
                    <w:left w:val="single" w:sz="4" w:space="0" w:color="auto"/>
                    <w:bottom w:val="single" w:sz="4" w:space="0" w:color="auto"/>
                    <w:right w:val="single" w:sz="4" w:space="0" w:color="auto"/>
                  </w:tcBorders>
                </w:tcPr>
                <w:p w14:paraId="4AA90CDA" w14:textId="77777777" w:rsidR="0048198D" w:rsidRDefault="0048198D" w:rsidP="001D5D5E">
                  <w:pPr>
                    <w:rPr>
                      <w:rFonts w:ascii="Arial" w:hAnsi="Arial" w:cs="Arial"/>
                      <w:sz w:val="22"/>
                      <w:szCs w:val="22"/>
                    </w:rPr>
                  </w:pPr>
                </w:p>
                <w:p w14:paraId="525EEA53" w14:textId="77777777" w:rsidR="0048198D" w:rsidRDefault="0048198D" w:rsidP="001D5D5E">
                  <w:pPr>
                    <w:rPr>
                      <w:rFonts w:ascii="Arial" w:hAnsi="Arial" w:cs="Arial"/>
                      <w:sz w:val="22"/>
                      <w:szCs w:val="22"/>
                    </w:rPr>
                  </w:pPr>
                  <w:r>
                    <w:rPr>
                      <w:rFonts w:ascii="Arial" w:hAnsi="Arial" w:cs="Arial"/>
                      <w:sz w:val="22"/>
                      <w:szCs w:val="22"/>
                    </w:rPr>
                    <w:t>External Examiner mark (if relevant)</w:t>
                  </w:r>
                </w:p>
              </w:tc>
              <w:tc>
                <w:tcPr>
                  <w:tcW w:w="1660" w:type="dxa"/>
                  <w:tcBorders>
                    <w:top w:val="single" w:sz="4" w:space="0" w:color="auto"/>
                    <w:left w:val="single" w:sz="4" w:space="0" w:color="auto"/>
                    <w:bottom w:val="single" w:sz="4" w:space="0" w:color="auto"/>
                    <w:right w:val="single" w:sz="4" w:space="0" w:color="auto"/>
                  </w:tcBorders>
                </w:tcPr>
                <w:p w14:paraId="1E5057E8" w14:textId="77777777" w:rsidR="0048198D" w:rsidRDefault="0048198D" w:rsidP="001D5D5E">
                  <w:pPr>
                    <w:rPr>
                      <w:rFonts w:ascii="Arial" w:hAnsi="Arial" w:cs="Arial"/>
                      <w:sz w:val="20"/>
                      <w:szCs w:val="20"/>
                    </w:rPr>
                  </w:pPr>
                </w:p>
              </w:tc>
            </w:tr>
            <w:tr w:rsidR="0048198D" w14:paraId="34422C9C" w14:textId="77777777" w:rsidTr="001D5D5E">
              <w:tc>
                <w:tcPr>
                  <w:tcW w:w="6970" w:type="dxa"/>
                  <w:tcBorders>
                    <w:top w:val="single" w:sz="4" w:space="0" w:color="auto"/>
                    <w:left w:val="single" w:sz="4" w:space="0" w:color="auto"/>
                    <w:bottom w:val="single" w:sz="4" w:space="0" w:color="auto"/>
                    <w:right w:val="single" w:sz="4" w:space="0" w:color="auto"/>
                  </w:tcBorders>
                </w:tcPr>
                <w:p w14:paraId="113881EC" w14:textId="77777777" w:rsidR="0048198D" w:rsidRDefault="0048198D" w:rsidP="001D5D5E">
                  <w:pPr>
                    <w:rPr>
                      <w:rFonts w:ascii="Arial" w:hAnsi="Arial" w:cs="Arial"/>
                      <w:sz w:val="22"/>
                      <w:szCs w:val="22"/>
                    </w:rPr>
                  </w:pPr>
                </w:p>
                <w:p w14:paraId="3FDCF7CD" w14:textId="77777777" w:rsidR="0048198D" w:rsidRDefault="0048198D" w:rsidP="001D5D5E">
                  <w:pPr>
                    <w:rPr>
                      <w:rFonts w:ascii="Arial" w:hAnsi="Arial" w:cs="Arial"/>
                      <w:b/>
                      <w:sz w:val="22"/>
                      <w:szCs w:val="22"/>
                    </w:rPr>
                  </w:pPr>
                  <w:r>
                    <w:rPr>
                      <w:rFonts w:ascii="Arial" w:hAnsi="Arial" w:cs="Arial"/>
                      <w:b/>
                      <w:sz w:val="22"/>
                      <w:szCs w:val="22"/>
                    </w:rPr>
                    <w:t>Final Mark</w:t>
                  </w:r>
                </w:p>
                <w:p w14:paraId="1B1B4EBD" w14:textId="77777777" w:rsidR="0048198D" w:rsidRDefault="0048198D" w:rsidP="001D5D5E">
                  <w:pPr>
                    <w:rPr>
                      <w:rFonts w:ascii="Arial" w:hAnsi="Arial" w:cs="Arial"/>
                      <w:sz w:val="22"/>
                      <w:szCs w:val="22"/>
                    </w:rPr>
                  </w:pPr>
                </w:p>
              </w:tc>
              <w:tc>
                <w:tcPr>
                  <w:tcW w:w="1660" w:type="dxa"/>
                  <w:tcBorders>
                    <w:top w:val="single" w:sz="4" w:space="0" w:color="auto"/>
                    <w:left w:val="single" w:sz="4" w:space="0" w:color="auto"/>
                    <w:bottom w:val="single" w:sz="4" w:space="0" w:color="auto"/>
                    <w:right w:val="single" w:sz="4" w:space="0" w:color="auto"/>
                  </w:tcBorders>
                </w:tcPr>
                <w:p w14:paraId="01A86548" w14:textId="77777777" w:rsidR="0048198D" w:rsidRDefault="0048198D" w:rsidP="001D5D5E">
                  <w:pPr>
                    <w:rPr>
                      <w:rFonts w:ascii="Arial" w:hAnsi="Arial" w:cs="Arial"/>
                      <w:b/>
                      <w:sz w:val="20"/>
                      <w:szCs w:val="20"/>
                    </w:rPr>
                  </w:pPr>
                </w:p>
              </w:tc>
            </w:tr>
          </w:tbl>
          <w:p w14:paraId="69B63204" w14:textId="77777777" w:rsidR="0048198D" w:rsidRDefault="0048198D" w:rsidP="001D5D5E">
            <w:pPr>
              <w:pStyle w:val="NormalWeb"/>
              <w:spacing w:before="0" w:beforeAutospacing="0" w:after="0" w:afterAutospacing="0"/>
              <w:ind w:left="142" w:right="34"/>
              <w:rPr>
                <w:rFonts w:ascii="Arial" w:hAnsi="Arial" w:cs="Arial"/>
                <w:b/>
                <w:sz w:val="22"/>
                <w:szCs w:val="22"/>
              </w:rPr>
            </w:pPr>
          </w:p>
          <w:p w14:paraId="0DA9A487" w14:textId="77777777" w:rsidR="0048198D" w:rsidRDefault="0048198D" w:rsidP="001D5D5E">
            <w:pPr>
              <w:pStyle w:val="NormalWeb"/>
              <w:spacing w:before="0" w:beforeAutospacing="0" w:after="0" w:afterAutospacing="0"/>
              <w:ind w:left="142" w:right="34"/>
              <w:jc w:val="center"/>
              <w:rPr>
                <w:rFonts w:ascii="Arial" w:hAnsi="Arial" w:cs="Arial"/>
                <w:b/>
                <w:sz w:val="22"/>
                <w:szCs w:val="22"/>
              </w:rPr>
            </w:pPr>
            <w:r>
              <w:rPr>
                <w:rFonts w:ascii="Arial" w:hAnsi="Arial" w:cs="Arial"/>
                <w:b/>
                <w:sz w:val="22"/>
                <w:szCs w:val="22"/>
              </w:rPr>
              <w:t>NB.  All marks are provisional until confirmed by the Final Examination Board</w:t>
            </w:r>
          </w:p>
          <w:p w14:paraId="46C2888F" w14:textId="77777777" w:rsidR="0048198D" w:rsidRDefault="0048198D" w:rsidP="001D5D5E">
            <w:pPr>
              <w:pStyle w:val="NormalWeb"/>
              <w:spacing w:before="0" w:beforeAutospacing="0" w:after="0" w:afterAutospacing="0"/>
              <w:rPr>
                <w:rFonts w:ascii="Arial" w:hAnsi="Arial" w:cs="Arial"/>
                <w:b/>
                <w:sz w:val="22"/>
                <w:szCs w:val="22"/>
              </w:rPr>
            </w:pPr>
          </w:p>
          <w:p w14:paraId="2FFDC19F" w14:textId="77777777" w:rsidR="0048198D" w:rsidRDefault="0048198D" w:rsidP="001D5D5E">
            <w:pPr>
              <w:pStyle w:val="NormalWeb"/>
              <w:spacing w:before="0" w:beforeAutospacing="0" w:after="0" w:afterAutospacing="0"/>
              <w:rPr>
                <w:rFonts w:ascii="Arial" w:hAnsi="Arial" w:cs="Arial"/>
                <w:b/>
                <w:sz w:val="22"/>
                <w:szCs w:val="22"/>
              </w:rPr>
            </w:pPr>
            <w:r>
              <w:rPr>
                <w:rFonts w:ascii="Arial" w:hAnsi="Arial" w:cs="Arial"/>
                <w:b/>
                <w:sz w:val="22"/>
                <w:szCs w:val="22"/>
              </w:rPr>
              <w:t>For completion by Marker 1:</w:t>
            </w:r>
          </w:p>
          <w:p w14:paraId="34F9CB47" w14:textId="77777777" w:rsidR="0048198D" w:rsidRDefault="0048198D" w:rsidP="001D5D5E">
            <w:pPr>
              <w:pStyle w:val="NormalWeb"/>
              <w:rPr>
                <w:rFonts w:ascii="Arial" w:hAnsi="Arial" w:cs="Arial"/>
                <w:sz w:val="22"/>
                <w:szCs w:val="22"/>
              </w:rPr>
            </w:pPr>
            <w:r>
              <w:rPr>
                <w:rFonts w:ascii="Arial" w:hAnsi="Arial" w:cs="Arial"/>
                <w:sz w:val="22"/>
                <w:szCs w:val="22"/>
              </w:rPr>
              <w:lastRenderedPageBreak/>
              <w:t>Comments:</w:t>
            </w:r>
          </w:p>
        </w:tc>
      </w:tr>
      <w:tr w:rsidR="002A6FC1" w14:paraId="21C62628" w14:textId="77777777" w:rsidTr="001D5D5E">
        <w:trPr>
          <w:trHeight w:val="408"/>
        </w:trPr>
        <w:tc>
          <w:tcPr>
            <w:tcW w:w="6768" w:type="dxa"/>
            <w:gridSpan w:val="2"/>
            <w:tcBorders>
              <w:top w:val="single" w:sz="4" w:space="0" w:color="000000"/>
              <w:left w:val="single" w:sz="4" w:space="0" w:color="000000"/>
              <w:bottom w:val="single" w:sz="4" w:space="0" w:color="000000"/>
              <w:right w:val="single" w:sz="4" w:space="0" w:color="000000"/>
            </w:tcBorders>
            <w:hideMark/>
          </w:tcPr>
          <w:p w14:paraId="3925839C" w14:textId="77777777" w:rsidR="002A6FC1" w:rsidRDefault="002A6FC1" w:rsidP="001D5D5E">
            <w:pPr>
              <w:pStyle w:val="NormalWeb"/>
              <w:ind w:right="34"/>
              <w:rPr>
                <w:rFonts w:ascii="Arial" w:hAnsi="Arial" w:cs="Arial"/>
                <w:sz w:val="22"/>
                <w:szCs w:val="22"/>
              </w:rPr>
            </w:pPr>
            <w:r>
              <w:rPr>
                <w:rFonts w:ascii="Arial" w:hAnsi="Arial" w:cs="Arial"/>
                <w:sz w:val="22"/>
                <w:szCs w:val="22"/>
              </w:rPr>
              <w:lastRenderedPageBreak/>
              <w:t>Marker 1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14:paraId="6F36BB8E" w14:textId="77777777" w:rsidR="002A6FC1" w:rsidRDefault="002A6FC1" w:rsidP="001D5D5E">
            <w:pPr>
              <w:pStyle w:val="NormalWeb"/>
              <w:spacing w:beforeAutospacing="0" w:after="0" w:afterAutospacing="0"/>
              <w:ind w:left="142" w:right="34"/>
              <w:rPr>
                <w:rFonts w:ascii="Arial" w:hAnsi="Arial" w:cs="Arial"/>
                <w:sz w:val="22"/>
                <w:szCs w:val="22"/>
              </w:rPr>
            </w:pPr>
            <w:r>
              <w:rPr>
                <w:rFonts w:ascii="Arial" w:hAnsi="Arial" w:cs="Arial"/>
                <w:sz w:val="22"/>
                <w:szCs w:val="22"/>
              </w:rPr>
              <w:t>Date:</w:t>
            </w:r>
          </w:p>
        </w:tc>
      </w:tr>
      <w:tr w:rsidR="002A6FC1" w14:paraId="1DBA2145" w14:textId="77777777" w:rsidTr="001D5D5E">
        <w:tc>
          <w:tcPr>
            <w:tcW w:w="8856" w:type="dxa"/>
            <w:gridSpan w:val="4"/>
            <w:tcBorders>
              <w:top w:val="single" w:sz="4" w:space="0" w:color="000000"/>
              <w:left w:val="single" w:sz="4" w:space="0" w:color="000000"/>
              <w:bottom w:val="single" w:sz="4" w:space="0" w:color="000000"/>
              <w:right w:val="single" w:sz="4" w:space="0" w:color="000000"/>
            </w:tcBorders>
          </w:tcPr>
          <w:p w14:paraId="49B291D7" w14:textId="77777777" w:rsidR="002A6FC1" w:rsidRDefault="002A6FC1" w:rsidP="001D5D5E">
            <w:pPr>
              <w:pStyle w:val="NormalWeb"/>
              <w:spacing w:before="0" w:beforeAutospacing="0" w:after="0" w:afterAutospacing="0"/>
              <w:ind w:right="-334"/>
              <w:rPr>
                <w:rFonts w:ascii="Arial" w:hAnsi="Arial" w:cs="Arial"/>
                <w:bCs/>
                <w:i/>
                <w:sz w:val="22"/>
                <w:szCs w:val="22"/>
              </w:rPr>
            </w:pPr>
          </w:p>
          <w:p w14:paraId="6291BF9E" w14:textId="77777777" w:rsidR="002A6FC1" w:rsidRDefault="002A6FC1" w:rsidP="001D5D5E">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Marker 2 / Moderator:</w:t>
            </w:r>
          </w:p>
          <w:p w14:paraId="0C70FA6D" w14:textId="77777777" w:rsidR="002A6FC1" w:rsidRDefault="002A6FC1" w:rsidP="001D5D5E">
            <w:pPr>
              <w:pStyle w:val="NormalWeb"/>
              <w:spacing w:before="0" w:beforeAutospacing="0" w:after="0" w:afterAutospacing="0"/>
              <w:ind w:right="-334"/>
              <w:rPr>
                <w:rFonts w:ascii="Arial" w:hAnsi="Arial" w:cs="Arial"/>
                <w:b/>
                <w:bCs/>
                <w:sz w:val="22"/>
                <w:szCs w:val="22"/>
              </w:rPr>
            </w:pPr>
          </w:p>
          <w:p w14:paraId="6543DBE5" w14:textId="77777777" w:rsidR="002A6FC1" w:rsidRDefault="002A6FC1" w:rsidP="001D5D5E">
            <w:pPr>
              <w:pStyle w:val="NormalWeb"/>
              <w:spacing w:before="0" w:beforeAutospacing="0" w:after="0" w:afterAutospacing="0"/>
              <w:ind w:right="-334"/>
              <w:rPr>
                <w:rFonts w:ascii="Arial" w:hAnsi="Arial" w:cs="Arial"/>
                <w:bCs/>
                <w:sz w:val="22"/>
                <w:szCs w:val="22"/>
              </w:rPr>
            </w:pPr>
            <w:r>
              <w:rPr>
                <w:rFonts w:ascii="Arial" w:hAnsi="Arial" w:cs="Arial"/>
                <w:bCs/>
                <w:sz w:val="22"/>
                <w:szCs w:val="22"/>
              </w:rPr>
              <w:t>Comments:</w:t>
            </w:r>
          </w:p>
          <w:p w14:paraId="7757D826" w14:textId="77777777" w:rsidR="002A6FC1" w:rsidRDefault="002A6FC1" w:rsidP="001D5D5E">
            <w:pPr>
              <w:pStyle w:val="NormalWeb"/>
              <w:spacing w:before="0" w:beforeAutospacing="0" w:after="0" w:afterAutospacing="0"/>
              <w:ind w:right="-334"/>
              <w:rPr>
                <w:rFonts w:ascii="Arial" w:hAnsi="Arial" w:cs="Arial"/>
                <w:bCs/>
                <w:sz w:val="22"/>
                <w:szCs w:val="22"/>
              </w:rPr>
            </w:pPr>
          </w:p>
          <w:p w14:paraId="000C2298" w14:textId="77777777" w:rsidR="002A6FC1" w:rsidRDefault="002A6FC1" w:rsidP="001D5D5E">
            <w:pPr>
              <w:pStyle w:val="NormalWeb"/>
              <w:spacing w:before="0" w:beforeAutospacing="0" w:after="0" w:afterAutospacing="0"/>
              <w:ind w:right="-334"/>
              <w:rPr>
                <w:rFonts w:ascii="Arial" w:hAnsi="Arial" w:cs="Arial"/>
                <w:bCs/>
                <w:sz w:val="22"/>
                <w:szCs w:val="22"/>
              </w:rPr>
            </w:pPr>
          </w:p>
          <w:p w14:paraId="6C97CD33" w14:textId="77777777" w:rsidR="002A6FC1" w:rsidRDefault="002A6FC1" w:rsidP="001D5D5E">
            <w:pPr>
              <w:pStyle w:val="NormalWeb"/>
              <w:spacing w:before="0" w:beforeAutospacing="0" w:after="0" w:afterAutospacing="0"/>
              <w:ind w:right="-334"/>
              <w:rPr>
                <w:rFonts w:ascii="Arial" w:hAnsi="Arial" w:cs="Arial"/>
                <w:bCs/>
                <w:sz w:val="22"/>
                <w:szCs w:val="22"/>
              </w:rPr>
            </w:pPr>
          </w:p>
          <w:p w14:paraId="16A80F46" w14:textId="77777777" w:rsidR="002A6FC1" w:rsidRDefault="002A6FC1" w:rsidP="001D5D5E">
            <w:pPr>
              <w:pStyle w:val="NormalWeb"/>
              <w:spacing w:before="0" w:beforeAutospacing="0" w:after="0" w:afterAutospacing="0"/>
              <w:ind w:right="-334"/>
              <w:rPr>
                <w:rFonts w:ascii="Arial" w:hAnsi="Arial" w:cs="Arial"/>
                <w:bCs/>
                <w:sz w:val="22"/>
                <w:szCs w:val="22"/>
              </w:rPr>
            </w:pPr>
          </w:p>
          <w:p w14:paraId="485EA75A" w14:textId="77777777" w:rsidR="002A6FC1" w:rsidRDefault="002A6FC1" w:rsidP="001D5D5E">
            <w:pPr>
              <w:pStyle w:val="NormalWeb"/>
              <w:spacing w:before="0" w:beforeAutospacing="0" w:after="0" w:afterAutospacing="0"/>
              <w:ind w:right="-334"/>
              <w:rPr>
                <w:rFonts w:ascii="Arial" w:hAnsi="Arial" w:cs="Arial"/>
                <w:bCs/>
                <w:sz w:val="22"/>
                <w:szCs w:val="22"/>
              </w:rPr>
            </w:pPr>
          </w:p>
          <w:p w14:paraId="72470700" w14:textId="073CD10D" w:rsidR="002A6FC1" w:rsidRDefault="002A6FC1" w:rsidP="001D5D5E">
            <w:pPr>
              <w:pStyle w:val="NormalWeb"/>
              <w:spacing w:before="0" w:beforeAutospacing="0" w:after="0" w:afterAutospacing="0"/>
              <w:ind w:right="-334"/>
              <w:rPr>
                <w:rFonts w:ascii="Arial" w:hAnsi="Arial" w:cs="Arial"/>
                <w:bCs/>
                <w:sz w:val="22"/>
                <w:szCs w:val="22"/>
              </w:rPr>
            </w:pPr>
          </w:p>
          <w:p w14:paraId="29E48D01" w14:textId="77777777" w:rsidR="002A6FC1" w:rsidRDefault="002A6FC1" w:rsidP="001D5D5E">
            <w:pPr>
              <w:pStyle w:val="NormalWeb"/>
              <w:spacing w:before="0" w:beforeAutospacing="0" w:after="0" w:afterAutospacing="0"/>
              <w:ind w:right="-334"/>
              <w:rPr>
                <w:rFonts w:ascii="Arial" w:hAnsi="Arial" w:cs="Arial"/>
                <w:bCs/>
                <w:sz w:val="22"/>
                <w:szCs w:val="22"/>
              </w:rPr>
            </w:pPr>
          </w:p>
          <w:p w14:paraId="40021889" w14:textId="77777777" w:rsidR="002A6FC1" w:rsidRDefault="002A6FC1" w:rsidP="001D5D5E">
            <w:pPr>
              <w:pStyle w:val="NormalWeb"/>
              <w:spacing w:before="0" w:beforeAutospacing="0" w:after="0" w:afterAutospacing="0"/>
              <w:ind w:right="-334"/>
              <w:rPr>
                <w:rFonts w:ascii="Arial" w:hAnsi="Arial" w:cs="Arial"/>
                <w:bCs/>
                <w:sz w:val="22"/>
                <w:szCs w:val="22"/>
              </w:rPr>
            </w:pPr>
          </w:p>
          <w:p w14:paraId="2B7409F3" w14:textId="77777777" w:rsidR="002A6FC1" w:rsidRDefault="002A6FC1" w:rsidP="001D5D5E">
            <w:pPr>
              <w:pStyle w:val="NormalWeb"/>
              <w:spacing w:before="0" w:beforeAutospacing="0" w:after="0" w:afterAutospacing="0"/>
              <w:ind w:right="-334"/>
              <w:rPr>
                <w:rFonts w:ascii="Arial" w:hAnsi="Arial" w:cs="Arial"/>
                <w:bCs/>
                <w:sz w:val="22"/>
                <w:szCs w:val="22"/>
              </w:rPr>
            </w:pPr>
          </w:p>
          <w:p w14:paraId="1DAE8260" w14:textId="77777777" w:rsidR="002A6FC1" w:rsidRDefault="002A6FC1" w:rsidP="001D5D5E">
            <w:pPr>
              <w:pStyle w:val="NormalWeb"/>
              <w:spacing w:before="0" w:beforeAutospacing="0" w:after="0" w:afterAutospacing="0"/>
              <w:ind w:right="-334"/>
              <w:rPr>
                <w:rFonts w:ascii="Arial" w:hAnsi="Arial" w:cs="Arial"/>
                <w:bCs/>
                <w:sz w:val="22"/>
                <w:szCs w:val="22"/>
              </w:rPr>
            </w:pPr>
          </w:p>
          <w:p w14:paraId="4ACC6136" w14:textId="77777777" w:rsidR="002A6FC1" w:rsidRDefault="002A6FC1" w:rsidP="001D5D5E">
            <w:pPr>
              <w:pStyle w:val="NormalWeb"/>
              <w:spacing w:before="0" w:beforeAutospacing="0" w:after="0" w:afterAutospacing="0"/>
              <w:ind w:right="-334"/>
              <w:rPr>
                <w:rFonts w:ascii="Arial" w:hAnsi="Arial" w:cs="Arial"/>
                <w:bCs/>
                <w:sz w:val="22"/>
                <w:szCs w:val="22"/>
              </w:rPr>
            </w:pPr>
          </w:p>
        </w:tc>
      </w:tr>
      <w:tr w:rsidR="002A6FC1" w14:paraId="61136832" w14:textId="77777777" w:rsidTr="001D5D5E">
        <w:trPr>
          <w:trHeight w:val="398"/>
        </w:trPr>
        <w:tc>
          <w:tcPr>
            <w:tcW w:w="6768" w:type="dxa"/>
            <w:gridSpan w:val="2"/>
            <w:tcBorders>
              <w:top w:val="single" w:sz="4" w:space="0" w:color="000000"/>
              <w:left w:val="single" w:sz="4" w:space="0" w:color="000000"/>
              <w:bottom w:val="single" w:sz="4" w:space="0" w:color="000000"/>
              <w:right w:val="single" w:sz="4" w:space="0" w:color="000000"/>
            </w:tcBorders>
            <w:hideMark/>
          </w:tcPr>
          <w:p w14:paraId="089B26F1" w14:textId="77777777" w:rsidR="002A6FC1" w:rsidRDefault="002A6FC1" w:rsidP="001D5D5E">
            <w:pPr>
              <w:pStyle w:val="NormalWeb"/>
              <w:spacing w:before="0" w:beforeAutospacing="0" w:after="0" w:afterAutospacing="0"/>
              <w:ind w:right="-334"/>
              <w:rPr>
                <w:rFonts w:ascii="Arial" w:hAnsi="Arial" w:cs="Arial"/>
                <w:bCs/>
                <w:sz w:val="22"/>
                <w:szCs w:val="22"/>
              </w:rPr>
            </w:pPr>
            <w:r>
              <w:rPr>
                <w:rFonts w:ascii="Arial" w:hAnsi="Arial" w:cs="Arial"/>
                <w:bCs/>
                <w:sz w:val="22"/>
                <w:szCs w:val="22"/>
              </w:rPr>
              <w:t>Marker 2 / Moderator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14:paraId="43319AFB" w14:textId="77777777" w:rsidR="002A6FC1" w:rsidRDefault="002A6FC1" w:rsidP="001D5D5E">
            <w:pPr>
              <w:pStyle w:val="NormalWeb"/>
              <w:spacing w:before="0" w:beforeAutospacing="0" w:after="0" w:afterAutospacing="0"/>
              <w:ind w:right="-334"/>
              <w:rPr>
                <w:rFonts w:ascii="Arial" w:hAnsi="Arial" w:cs="Arial"/>
                <w:bCs/>
                <w:sz w:val="22"/>
                <w:szCs w:val="22"/>
              </w:rPr>
            </w:pPr>
            <w:r>
              <w:rPr>
                <w:rFonts w:ascii="Arial" w:hAnsi="Arial" w:cs="Arial"/>
                <w:bCs/>
                <w:sz w:val="22"/>
                <w:szCs w:val="22"/>
              </w:rPr>
              <w:t>Date:</w:t>
            </w:r>
          </w:p>
        </w:tc>
      </w:tr>
      <w:tr w:rsidR="002A6FC1" w14:paraId="6CF6AD44" w14:textId="77777777" w:rsidTr="001D5D5E">
        <w:trPr>
          <w:trHeight w:val="720"/>
        </w:trPr>
        <w:tc>
          <w:tcPr>
            <w:tcW w:w="8856" w:type="dxa"/>
            <w:gridSpan w:val="4"/>
            <w:tcBorders>
              <w:top w:val="single" w:sz="4" w:space="0" w:color="000000"/>
              <w:left w:val="single" w:sz="4" w:space="0" w:color="000000"/>
              <w:bottom w:val="single" w:sz="4" w:space="0" w:color="000000"/>
              <w:right w:val="single" w:sz="4" w:space="0" w:color="000000"/>
            </w:tcBorders>
          </w:tcPr>
          <w:p w14:paraId="40913E46" w14:textId="77777777" w:rsidR="002A6FC1" w:rsidRDefault="002A6FC1" w:rsidP="001D5D5E">
            <w:pPr>
              <w:rPr>
                <w:rFonts w:ascii="Arial" w:hAnsi="Arial" w:cs="Arial"/>
                <w:b/>
                <w:sz w:val="22"/>
                <w:szCs w:val="22"/>
              </w:rPr>
            </w:pPr>
          </w:p>
          <w:p w14:paraId="1F0EE3CA" w14:textId="77777777" w:rsidR="002A6FC1" w:rsidRDefault="002A6FC1" w:rsidP="001D5D5E">
            <w:pPr>
              <w:rPr>
                <w:rFonts w:ascii="Arial" w:hAnsi="Arial" w:cs="Arial"/>
                <w:b/>
                <w:sz w:val="22"/>
                <w:szCs w:val="22"/>
              </w:rPr>
            </w:pPr>
            <w:r>
              <w:rPr>
                <w:rFonts w:ascii="Arial" w:hAnsi="Arial" w:cs="Arial"/>
                <w:b/>
                <w:sz w:val="22"/>
                <w:szCs w:val="22"/>
              </w:rPr>
              <w:t>External Examiner’s comments (if relevant):</w:t>
            </w:r>
          </w:p>
          <w:p w14:paraId="1945867D" w14:textId="77777777" w:rsidR="002A6FC1" w:rsidRDefault="002A6FC1" w:rsidP="001D5D5E">
            <w:pPr>
              <w:pStyle w:val="NormalWeb"/>
              <w:spacing w:before="0" w:beforeAutospacing="0" w:after="0" w:afterAutospacing="0"/>
              <w:ind w:right="-334"/>
              <w:rPr>
                <w:rFonts w:ascii="Arial" w:hAnsi="Arial" w:cs="Arial"/>
                <w:bCs/>
                <w:sz w:val="22"/>
                <w:szCs w:val="22"/>
              </w:rPr>
            </w:pPr>
          </w:p>
          <w:p w14:paraId="1B45358A" w14:textId="77777777" w:rsidR="002A6FC1" w:rsidRDefault="002A6FC1" w:rsidP="001D5D5E">
            <w:pPr>
              <w:pStyle w:val="NormalWeb"/>
              <w:spacing w:before="0" w:beforeAutospacing="0" w:after="0" w:afterAutospacing="0"/>
              <w:ind w:right="-334"/>
              <w:rPr>
                <w:rFonts w:ascii="Arial" w:hAnsi="Arial" w:cs="Arial"/>
                <w:bCs/>
                <w:sz w:val="22"/>
                <w:szCs w:val="22"/>
              </w:rPr>
            </w:pPr>
          </w:p>
          <w:p w14:paraId="4923B797" w14:textId="77777777" w:rsidR="002A6FC1" w:rsidRDefault="002A6FC1" w:rsidP="001D5D5E">
            <w:pPr>
              <w:pStyle w:val="NormalWeb"/>
              <w:spacing w:before="0" w:beforeAutospacing="0" w:after="0" w:afterAutospacing="0"/>
              <w:ind w:right="-334"/>
              <w:rPr>
                <w:rFonts w:ascii="Arial" w:hAnsi="Arial" w:cs="Arial"/>
                <w:bCs/>
                <w:sz w:val="22"/>
                <w:szCs w:val="22"/>
              </w:rPr>
            </w:pPr>
          </w:p>
          <w:p w14:paraId="7A46E821" w14:textId="77777777" w:rsidR="002A6FC1" w:rsidRDefault="002A6FC1" w:rsidP="001D5D5E">
            <w:pPr>
              <w:pStyle w:val="NormalWeb"/>
              <w:spacing w:before="0" w:beforeAutospacing="0" w:after="0" w:afterAutospacing="0"/>
              <w:ind w:right="-334"/>
              <w:rPr>
                <w:rFonts w:ascii="Arial" w:hAnsi="Arial" w:cs="Arial"/>
                <w:bCs/>
                <w:sz w:val="22"/>
                <w:szCs w:val="22"/>
              </w:rPr>
            </w:pPr>
          </w:p>
          <w:p w14:paraId="0D4436BF" w14:textId="77777777" w:rsidR="002A6FC1" w:rsidRDefault="002A6FC1" w:rsidP="001D5D5E">
            <w:pPr>
              <w:pStyle w:val="NormalWeb"/>
              <w:spacing w:before="0" w:beforeAutospacing="0" w:after="0" w:afterAutospacing="0"/>
              <w:ind w:right="-334"/>
              <w:rPr>
                <w:rFonts w:ascii="Arial" w:hAnsi="Arial" w:cs="Arial"/>
                <w:bCs/>
                <w:sz w:val="22"/>
                <w:szCs w:val="22"/>
              </w:rPr>
            </w:pPr>
          </w:p>
          <w:p w14:paraId="0CF50180" w14:textId="77777777" w:rsidR="002A6FC1" w:rsidRDefault="002A6FC1" w:rsidP="001D5D5E">
            <w:pPr>
              <w:pStyle w:val="NormalWeb"/>
              <w:spacing w:before="0" w:beforeAutospacing="0" w:after="0" w:afterAutospacing="0"/>
              <w:ind w:right="-334"/>
              <w:rPr>
                <w:rFonts w:ascii="Arial" w:hAnsi="Arial" w:cs="Arial"/>
                <w:bCs/>
                <w:sz w:val="22"/>
                <w:szCs w:val="22"/>
              </w:rPr>
            </w:pPr>
          </w:p>
          <w:p w14:paraId="2E474340" w14:textId="77777777" w:rsidR="002A6FC1" w:rsidRDefault="002A6FC1" w:rsidP="001D5D5E">
            <w:pPr>
              <w:pStyle w:val="NormalWeb"/>
              <w:spacing w:before="0" w:beforeAutospacing="0" w:after="0" w:afterAutospacing="0"/>
              <w:ind w:right="-334"/>
              <w:rPr>
                <w:rFonts w:ascii="Arial" w:hAnsi="Arial" w:cs="Arial"/>
                <w:bCs/>
                <w:sz w:val="22"/>
                <w:szCs w:val="22"/>
              </w:rPr>
            </w:pPr>
          </w:p>
          <w:p w14:paraId="7EEBA71E" w14:textId="77777777" w:rsidR="002A6FC1" w:rsidRDefault="002A6FC1" w:rsidP="001D5D5E">
            <w:pPr>
              <w:pStyle w:val="NormalWeb"/>
              <w:spacing w:before="0" w:beforeAutospacing="0" w:after="0" w:afterAutospacing="0"/>
              <w:ind w:right="-334"/>
              <w:rPr>
                <w:rFonts w:ascii="Arial" w:hAnsi="Arial" w:cs="Arial"/>
                <w:bCs/>
                <w:sz w:val="22"/>
                <w:szCs w:val="22"/>
              </w:rPr>
            </w:pPr>
          </w:p>
          <w:p w14:paraId="317724EF" w14:textId="77777777" w:rsidR="002A6FC1" w:rsidRDefault="002A6FC1" w:rsidP="001D5D5E">
            <w:pPr>
              <w:pStyle w:val="NormalWeb"/>
              <w:spacing w:before="0" w:beforeAutospacing="0" w:after="0" w:afterAutospacing="0"/>
              <w:ind w:right="-334"/>
              <w:rPr>
                <w:rFonts w:ascii="Arial" w:hAnsi="Arial" w:cs="Arial"/>
                <w:bCs/>
                <w:sz w:val="22"/>
                <w:szCs w:val="22"/>
              </w:rPr>
            </w:pPr>
          </w:p>
          <w:p w14:paraId="42D0A231" w14:textId="77777777" w:rsidR="002A6FC1" w:rsidRDefault="002A6FC1" w:rsidP="001D5D5E">
            <w:pPr>
              <w:pStyle w:val="NormalWeb"/>
              <w:spacing w:before="0" w:beforeAutospacing="0" w:after="0" w:afterAutospacing="0"/>
              <w:ind w:right="-334"/>
              <w:rPr>
                <w:rFonts w:ascii="Arial" w:hAnsi="Arial" w:cs="Arial"/>
                <w:bCs/>
                <w:sz w:val="22"/>
                <w:szCs w:val="22"/>
              </w:rPr>
            </w:pPr>
          </w:p>
          <w:p w14:paraId="685F61B5" w14:textId="77777777" w:rsidR="001C234D" w:rsidRDefault="001C234D" w:rsidP="001D5D5E">
            <w:pPr>
              <w:pStyle w:val="NormalWeb"/>
              <w:spacing w:before="0" w:beforeAutospacing="0" w:after="0" w:afterAutospacing="0"/>
              <w:ind w:right="-334"/>
              <w:rPr>
                <w:rFonts w:ascii="Arial" w:hAnsi="Arial" w:cs="Arial"/>
                <w:bCs/>
                <w:sz w:val="22"/>
                <w:szCs w:val="22"/>
              </w:rPr>
            </w:pPr>
          </w:p>
          <w:p w14:paraId="4ACE93E6" w14:textId="77777777" w:rsidR="002A6FC1" w:rsidRDefault="002A6FC1" w:rsidP="001D5D5E">
            <w:pPr>
              <w:pStyle w:val="NormalWeb"/>
              <w:spacing w:before="0" w:beforeAutospacing="0" w:after="0" w:afterAutospacing="0"/>
              <w:ind w:right="-334"/>
              <w:rPr>
                <w:rFonts w:ascii="Arial" w:hAnsi="Arial" w:cs="Arial"/>
                <w:bCs/>
                <w:sz w:val="22"/>
                <w:szCs w:val="22"/>
              </w:rPr>
            </w:pPr>
          </w:p>
          <w:p w14:paraId="720CB7DE" w14:textId="77777777" w:rsidR="002A6FC1" w:rsidRDefault="002A6FC1" w:rsidP="001D5D5E">
            <w:pPr>
              <w:pStyle w:val="NormalWeb"/>
              <w:spacing w:before="0" w:beforeAutospacing="0" w:after="0" w:afterAutospacing="0"/>
              <w:ind w:right="-334"/>
              <w:rPr>
                <w:rFonts w:ascii="Arial" w:hAnsi="Arial" w:cs="Arial"/>
                <w:bCs/>
                <w:sz w:val="22"/>
                <w:szCs w:val="22"/>
              </w:rPr>
            </w:pPr>
          </w:p>
        </w:tc>
      </w:tr>
      <w:tr w:rsidR="002A6FC1" w14:paraId="51EAE255" w14:textId="77777777" w:rsidTr="001D5D5E">
        <w:trPr>
          <w:trHeight w:val="479"/>
        </w:trPr>
        <w:tc>
          <w:tcPr>
            <w:tcW w:w="6768" w:type="dxa"/>
            <w:gridSpan w:val="2"/>
            <w:tcBorders>
              <w:top w:val="single" w:sz="4" w:space="0" w:color="000000"/>
              <w:left w:val="single" w:sz="4" w:space="0" w:color="000000"/>
              <w:bottom w:val="single" w:sz="4" w:space="0" w:color="000000"/>
              <w:right w:val="single" w:sz="4" w:space="0" w:color="000000"/>
            </w:tcBorders>
            <w:hideMark/>
          </w:tcPr>
          <w:p w14:paraId="4E620004" w14:textId="77777777" w:rsidR="002A6FC1" w:rsidRDefault="002A6FC1" w:rsidP="001D5D5E">
            <w:pPr>
              <w:rPr>
                <w:rFonts w:ascii="Arial" w:hAnsi="Arial" w:cs="Arial"/>
                <w:sz w:val="22"/>
                <w:szCs w:val="22"/>
              </w:rPr>
            </w:pPr>
            <w:r>
              <w:rPr>
                <w:rFonts w:ascii="Arial" w:hAnsi="Arial" w:cs="Arial"/>
                <w:sz w:val="22"/>
                <w:szCs w:val="22"/>
              </w:rPr>
              <w:t>External Examiner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14:paraId="20A76C1A" w14:textId="77777777" w:rsidR="002A6FC1" w:rsidRDefault="002A6FC1" w:rsidP="001D5D5E">
            <w:pPr>
              <w:rPr>
                <w:rFonts w:ascii="Arial" w:hAnsi="Arial" w:cs="Arial"/>
                <w:sz w:val="22"/>
                <w:szCs w:val="22"/>
              </w:rPr>
            </w:pPr>
            <w:r>
              <w:rPr>
                <w:rFonts w:ascii="Arial" w:hAnsi="Arial" w:cs="Arial"/>
                <w:sz w:val="22"/>
                <w:szCs w:val="22"/>
              </w:rPr>
              <w:t>Date:</w:t>
            </w:r>
          </w:p>
        </w:tc>
      </w:tr>
    </w:tbl>
    <w:p w14:paraId="6DC7B3C3" w14:textId="77777777" w:rsidR="00B12946" w:rsidRDefault="00B12946" w:rsidP="00422FC2">
      <w:pPr>
        <w:spacing w:line="480" w:lineRule="auto"/>
        <w:jc w:val="both"/>
        <w:rPr>
          <w:rFonts w:asciiTheme="minorHAnsi" w:hAnsiTheme="minorHAnsi" w:cstheme="minorHAnsi"/>
        </w:rPr>
      </w:pPr>
    </w:p>
    <w:p w14:paraId="40BDD5D4" w14:textId="77777777" w:rsidR="00AF53EA" w:rsidRPr="00A50474" w:rsidRDefault="00B12946" w:rsidP="00AF53EA">
      <w:pPr>
        <w:spacing w:line="480" w:lineRule="auto"/>
        <w:jc w:val="both"/>
        <w:rPr>
          <w:rFonts w:cstheme="minorHAnsi"/>
          <w:shd w:val="clear" w:color="auto" w:fill="FFFFFF"/>
        </w:rPr>
      </w:pPr>
      <w:r>
        <w:rPr>
          <w:rFonts w:asciiTheme="minorHAnsi" w:hAnsiTheme="minorHAnsi" w:cstheme="minorHAnsi"/>
        </w:rPr>
        <w:br w:type="page"/>
      </w:r>
      <w:r w:rsidR="00AF53EA" w:rsidRPr="00A50474">
        <w:rPr>
          <w:rFonts w:cstheme="minorHAnsi"/>
          <w:shd w:val="clear" w:color="auto" w:fill="FFFFFF"/>
        </w:rPr>
        <w:lastRenderedPageBreak/>
        <w:t xml:space="preserve">The purpose of this assignment is to examine how the Otherworld is portrayed in a selection of Welsh and Irish </w:t>
      </w:r>
      <w:r w:rsidR="00AF53EA">
        <w:rPr>
          <w:rFonts w:cstheme="minorHAnsi"/>
          <w:shd w:val="clear" w:color="auto" w:fill="FFFFFF"/>
        </w:rPr>
        <w:t>literature</w:t>
      </w:r>
      <w:r w:rsidR="00AF53EA" w:rsidRPr="00A50474">
        <w:rPr>
          <w:rFonts w:cstheme="minorHAnsi"/>
          <w:shd w:val="clear" w:color="auto" w:fill="FFFFFF"/>
        </w:rPr>
        <w:t>, observing some of the similarities and repeated themes or ideas and also some of the differences between the representations</w:t>
      </w:r>
      <w:r w:rsidR="00AF53EA">
        <w:rPr>
          <w:rFonts w:cstheme="minorHAnsi"/>
          <w:shd w:val="clear" w:color="auto" w:fill="FFFFFF"/>
        </w:rPr>
        <w:t xml:space="preserve"> from each of the texts</w:t>
      </w:r>
      <w:r w:rsidR="00AF53EA" w:rsidRPr="00A50474">
        <w:rPr>
          <w:rFonts w:cstheme="minorHAnsi"/>
          <w:shd w:val="clear" w:color="auto" w:fill="FFFFFF"/>
        </w:rPr>
        <w:t>.</w:t>
      </w:r>
    </w:p>
    <w:p w14:paraId="4DC0EC5F" w14:textId="77777777" w:rsidR="00AF53EA" w:rsidRDefault="00AF53EA" w:rsidP="00AF53EA">
      <w:pPr>
        <w:spacing w:line="480" w:lineRule="auto"/>
        <w:jc w:val="both"/>
        <w:rPr>
          <w:rFonts w:cstheme="minorHAnsi"/>
          <w:shd w:val="clear" w:color="auto" w:fill="FFFFFF"/>
        </w:rPr>
      </w:pPr>
      <w:r w:rsidRPr="00A50474">
        <w:rPr>
          <w:rFonts w:cstheme="minorHAnsi"/>
          <w:shd w:val="clear" w:color="auto" w:fill="FFFFFF"/>
        </w:rPr>
        <w:t xml:space="preserve">So, what is an Otherworld? </w:t>
      </w:r>
      <w:r>
        <w:rPr>
          <w:rFonts w:cstheme="minorHAnsi"/>
          <w:shd w:val="clear" w:color="auto" w:fill="FFFFFF"/>
        </w:rPr>
        <w:t xml:space="preserve"> Myles Dillon describes the Irish Otherworld in terms of its characteristics,</w:t>
      </w:r>
    </w:p>
    <w:p w14:paraId="7D38E7DA" w14:textId="77777777" w:rsidR="00AF53EA" w:rsidRDefault="00AF53EA" w:rsidP="00AF53EA">
      <w:pPr>
        <w:spacing w:line="480" w:lineRule="auto"/>
        <w:ind w:left="720"/>
        <w:jc w:val="both"/>
        <w:rPr>
          <w:rFonts w:cstheme="minorHAnsi"/>
          <w:shd w:val="clear" w:color="auto" w:fill="FFFFFF"/>
        </w:rPr>
      </w:pPr>
      <w:r>
        <w:rPr>
          <w:rFonts w:cstheme="minorHAnsi"/>
          <w:shd w:val="clear" w:color="auto" w:fill="FFFFFF"/>
        </w:rPr>
        <w:t>‘a country where there is no sickness nor age nor death; where happiness lasts for ever and there is no saiety; where food and drink do not diminish when consumed; where to wish for something is to possess it; where a hundred years are as one day.’</w:t>
      </w:r>
      <w:r>
        <w:rPr>
          <w:rStyle w:val="FootnoteReference"/>
          <w:rFonts w:cstheme="minorHAnsi"/>
          <w:shd w:val="clear" w:color="auto" w:fill="FFFFFF"/>
        </w:rPr>
        <w:footnoteReference w:id="1"/>
      </w:r>
    </w:p>
    <w:p w14:paraId="0B239341" w14:textId="77777777" w:rsidR="00AF53EA" w:rsidRDefault="00AF53EA" w:rsidP="00AF53EA">
      <w:pPr>
        <w:spacing w:line="480" w:lineRule="auto"/>
        <w:jc w:val="both"/>
        <w:rPr>
          <w:rFonts w:cstheme="minorHAnsi"/>
          <w:shd w:val="clear" w:color="auto" w:fill="FFFFFF"/>
        </w:rPr>
      </w:pPr>
      <w:r>
        <w:rPr>
          <w:rFonts w:cstheme="minorHAnsi"/>
          <w:shd w:val="clear" w:color="auto" w:fill="FFFFFF"/>
        </w:rPr>
        <w:t>According to Patrick Sims-Williams,</w:t>
      </w:r>
    </w:p>
    <w:p w14:paraId="6ED4DE3B" w14:textId="77777777" w:rsidR="00AF53EA" w:rsidRPr="00A50474" w:rsidRDefault="00AF53EA" w:rsidP="00AF53EA">
      <w:pPr>
        <w:spacing w:line="480" w:lineRule="auto"/>
        <w:ind w:left="720"/>
        <w:jc w:val="both"/>
        <w:rPr>
          <w:rFonts w:cstheme="minorHAnsi"/>
          <w:shd w:val="clear" w:color="auto" w:fill="FFFFFF"/>
        </w:rPr>
      </w:pPr>
      <w:r>
        <w:rPr>
          <w:rFonts w:cstheme="minorHAnsi"/>
          <w:shd w:val="clear" w:color="auto" w:fill="FFFFFF"/>
        </w:rPr>
        <w:t>‘</w:t>
      </w:r>
      <w:r w:rsidRPr="00A50474">
        <w:rPr>
          <w:rFonts w:cstheme="minorHAnsi"/>
          <w:shd w:val="clear" w:color="auto" w:fill="FFFFFF"/>
        </w:rPr>
        <w:t xml:space="preserve">The </w:t>
      </w:r>
      <w:r>
        <w:rPr>
          <w:rFonts w:cstheme="minorHAnsi"/>
          <w:shd w:val="clear" w:color="auto" w:fill="FFFFFF"/>
        </w:rPr>
        <w:t>so-called ‘</w:t>
      </w:r>
      <w:r w:rsidRPr="00A50474">
        <w:rPr>
          <w:rFonts w:cstheme="minorHAnsi"/>
          <w:shd w:val="clear" w:color="auto" w:fill="FFFFFF"/>
        </w:rPr>
        <w:t>Otherworld</w:t>
      </w:r>
      <w:r>
        <w:rPr>
          <w:rFonts w:cstheme="minorHAnsi"/>
          <w:shd w:val="clear" w:color="auto" w:fill="FFFFFF"/>
        </w:rPr>
        <w:t>’ appears in both medieval Irish and Welsh literature, where it has two main locations: under the ground, including beneath lakes and springs, and on</w:t>
      </w:r>
      <w:r w:rsidRPr="00A50474">
        <w:rPr>
          <w:rFonts w:cstheme="minorHAnsi"/>
          <w:shd w:val="clear" w:color="auto" w:fill="FFFFFF"/>
        </w:rPr>
        <w:t xml:space="preserve"> </w:t>
      </w:r>
      <w:r>
        <w:rPr>
          <w:rFonts w:cstheme="minorHAnsi"/>
          <w:shd w:val="clear" w:color="auto" w:fill="FFFFFF"/>
        </w:rPr>
        <w:t>islands across (or under) the sea.’</w:t>
      </w:r>
      <w:r>
        <w:rPr>
          <w:rStyle w:val="FootnoteReference"/>
          <w:rFonts w:cstheme="minorHAnsi"/>
          <w:shd w:val="clear" w:color="auto" w:fill="FFFFFF"/>
        </w:rPr>
        <w:footnoteReference w:id="2"/>
      </w:r>
    </w:p>
    <w:p w14:paraId="775E716B" w14:textId="77777777" w:rsidR="00AF53EA" w:rsidRDefault="00AF53EA" w:rsidP="00AF53EA">
      <w:pPr>
        <w:spacing w:line="480" w:lineRule="auto"/>
        <w:jc w:val="both"/>
        <w:rPr>
          <w:rFonts w:cstheme="minorHAnsi"/>
          <w:shd w:val="clear" w:color="auto" w:fill="FFFFFF"/>
        </w:rPr>
      </w:pPr>
      <w:r>
        <w:rPr>
          <w:rFonts w:cstheme="minorHAnsi"/>
          <w:shd w:val="clear" w:color="auto" w:fill="FFFFFF"/>
        </w:rPr>
        <w:t>He goes on to stress that there does not appear to be a single term either in Irish or Welsh, equivalent to the term ‘Otherworld’, to describe these different types of location, and suggests that it could even refer simply to ‘another region’ rather than places that are ‘supernatural and divorced from ‘this world’’</w:t>
      </w:r>
      <w:r>
        <w:rPr>
          <w:rStyle w:val="FootnoteReference"/>
          <w:rFonts w:cstheme="minorHAnsi"/>
          <w:shd w:val="clear" w:color="auto" w:fill="FFFFFF"/>
        </w:rPr>
        <w:footnoteReference w:id="3"/>
      </w:r>
      <w:r>
        <w:rPr>
          <w:rFonts w:cstheme="minorHAnsi"/>
          <w:shd w:val="clear" w:color="auto" w:fill="FFFFFF"/>
        </w:rPr>
        <w:t xml:space="preserve"> </w:t>
      </w:r>
    </w:p>
    <w:p w14:paraId="7D321CF7" w14:textId="77777777" w:rsidR="00AF53EA" w:rsidRDefault="00AF53EA" w:rsidP="00AF53EA">
      <w:pPr>
        <w:spacing w:line="480" w:lineRule="auto"/>
        <w:jc w:val="both"/>
        <w:rPr>
          <w:rFonts w:cstheme="minorHAnsi"/>
          <w:shd w:val="clear" w:color="auto" w:fill="FFFFFF"/>
        </w:rPr>
      </w:pPr>
      <w:r>
        <w:rPr>
          <w:rFonts w:cstheme="minorHAnsi"/>
          <w:shd w:val="clear" w:color="auto" w:fill="FFFFFF"/>
        </w:rPr>
        <w:t>In both Irish and Welsh literature, the Otherworld (or Otherworlds) are seen to be places that are somehow separate from the mortal world where strange and supernatural events take place.  While in some ways Dillon portrays the Otherworld as some form of wonderful paradise, Hillers reminds us that, particularly in the Irish immrama tales this is not always the case.</w:t>
      </w:r>
    </w:p>
    <w:p w14:paraId="068E1CC1" w14:textId="77777777" w:rsidR="00AF53EA" w:rsidRPr="0029675D" w:rsidRDefault="00AF53EA" w:rsidP="00AF53EA">
      <w:pPr>
        <w:spacing w:line="480" w:lineRule="auto"/>
        <w:ind w:left="720"/>
        <w:jc w:val="both"/>
        <w:rPr>
          <w:rFonts w:cstheme="minorHAnsi"/>
          <w:shd w:val="clear" w:color="auto" w:fill="FFFFFF"/>
        </w:rPr>
      </w:pPr>
      <w:r>
        <w:rPr>
          <w:rFonts w:cstheme="minorHAnsi"/>
          <w:shd w:val="clear" w:color="auto" w:fill="FFFFFF"/>
        </w:rPr>
        <w:lastRenderedPageBreak/>
        <w:t>‘Like a folktale heroine who might encounter either a prince of a wolf in the wood, the heroes of the early Irish voyage tales encounter benevolent and malevolent creatures and visit idyllic as well as perilous islands.’</w:t>
      </w:r>
      <w:r>
        <w:rPr>
          <w:rStyle w:val="FootnoteReference"/>
          <w:rFonts w:cstheme="minorHAnsi"/>
          <w:shd w:val="clear" w:color="auto" w:fill="FFFFFF"/>
        </w:rPr>
        <w:footnoteReference w:id="4"/>
      </w:r>
    </w:p>
    <w:p w14:paraId="14F1D6AE" w14:textId="77777777" w:rsidR="00AF53EA" w:rsidRDefault="00AF53EA" w:rsidP="00AF53EA">
      <w:pPr>
        <w:spacing w:line="480" w:lineRule="auto"/>
        <w:jc w:val="both"/>
        <w:rPr>
          <w:rFonts w:cstheme="minorHAnsi"/>
        </w:rPr>
      </w:pPr>
      <w:r>
        <w:rPr>
          <w:rFonts w:cstheme="minorHAnsi"/>
          <w:shd w:val="clear" w:color="auto" w:fill="FFFFFF"/>
        </w:rPr>
        <w:t xml:space="preserve">Although these descriptions are referring to Irish Otherworlds, some of these characteristics can also be found in the Welsh Otherworlds.  </w:t>
      </w:r>
      <w:r w:rsidRPr="00A50474">
        <w:rPr>
          <w:rFonts w:cstheme="minorHAnsi"/>
        </w:rPr>
        <w:t>Marged Haycock tells us that we have in Preiddeu Annwn,</w:t>
      </w:r>
    </w:p>
    <w:p w14:paraId="1CC59E64" w14:textId="77777777" w:rsidR="00AF53EA" w:rsidRPr="00A50474" w:rsidRDefault="00AF53EA" w:rsidP="00AF53EA">
      <w:pPr>
        <w:spacing w:line="480" w:lineRule="auto"/>
        <w:ind w:left="720"/>
        <w:jc w:val="both"/>
        <w:rPr>
          <w:rFonts w:cstheme="minorHAnsi"/>
        </w:rPr>
      </w:pPr>
      <w:r w:rsidRPr="00A50474">
        <w:rPr>
          <w:rFonts w:cstheme="minorHAnsi"/>
        </w:rPr>
        <w:t xml:space="preserve">‘the fullest description of the Otherworld that we have in the early Welsh material, and it should be taken together with the portion of </w:t>
      </w:r>
      <w:r w:rsidRPr="00A50474">
        <w:rPr>
          <w:rFonts w:cstheme="minorHAnsi"/>
          <w:i/>
          <w:iCs/>
        </w:rPr>
        <w:t>Golychaf-i gulwyd</w:t>
      </w:r>
      <w:r w:rsidRPr="00A50474">
        <w:rPr>
          <w:rFonts w:cstheme="minorHAnsi"/>
        </w:rPr>
        <w:t xml:space="preserve"> where the Taliesin persona dwells for a few lines on </w:t>
      </w:r>
      <w:r w:rsidRPr="00A50474">
        <w:rPr>
          <w:rFonts w:cstheme="minorHAnsi"/>
          <w:i/>
          <w:iCs/>
        </w:rPr>
        <w:t>kaer sidi</w:t>
      </w:r>
      <w:r w:rsidRPr="00A50474">
        <w:rPr>
          <w:rFonts w:cstheme="minorHAnsi"/>
        </w:rPr>
        <w:t>:’</w:t>
      </w:r>
      <w:r w:rsidRPr="00A50474">
        <w:rPr>
          <w:rStyle w:val="FootnoteReference"/>
          <w:rFonts w:cstheme="minorHAnsi"/>
        </w:rPr>
        <w:footnoteReference w:id="5"/>
      </w:r>
    </w:p>
    <w:p w14:paraId="645A1940" w14:textId="77777777" w:rsidR="00AF53EA" w:rsidRDefault="00AF53EA" w:rsidP="00AF53EA">
      <w:pPr>
        <w:spacing w:line="480" w:lineRule="auto"/>
        <w:jc w:val="both"/>
        <w:rPr>
          <w:rFonts w:cstheme="minorHAnsi"/>
        </w:rPr>
      </w:pPr>
      <w:r>
        <w:rPr>
          <w:rFonts w:cstheme="minorHAnsi"/>
        </w:rPr>
        <w:t>She states that a number of observations can be made from these two Welsh works.  I have paraphrased some of her suggestions below as points for consideration.  We can already see echoes of Dillon’s Irish Otherworld characteristics in this list.</w:t>
      </w:r>
    </w:p>
    <w:p w14:paraId="6F878B8E" w14:textId="77777777" w:rsidR="00AF53EA" w:rsidRPr="00C74CF4" w:rsidRDefault="00AF53EA" w:rsidP="00AF53EA">
      <w:pPr>
        <w:pStyle w:val="ListParagraph"/>
        <w:numPr>
          <w:ilvl w:val="0"/>
          <w:numId w:val="1"/>
        </w:numPr>
        <w:spacing w:after="0" w:line="480" w:lineRule="auto"/>
        <w:jc w:val="both"/>
        <w:rPr>
          <w:rFonts w:cstheme="minorHAnsi"/>
          <w:sz w:val="24"/>
          <w:szCs w:val="24"/>
        </w:rPr>
      </w:pPr>
      <w:r w:rsidRPr="00C74CF4">
        <w:rPr>
          <w:rFonts w:cstheme="minorHAnsi"/>
          <w:sz w:val="24"/>
          <w:szCs w:val="24"/>
        </w:rPr>
        <w:t xml:space="preserve">The Otherworld was known by a multiplicity of names and had </w:t>
      </w:r>
      <w:r>
        <w:rPr>
          <w:rFonts w:cstheme="minorHAnsi"/>
          <w:sz w:val="24"/>
          <w:szCs w:val="24"/>
        </w:rPr>
        <w:t xml:space="preserve">‘otherworldly’ </w:t>
      </w:r>
      <w:r w:rsidRPr="00C74CF4">
        <w:rPr>
          <w:rFonts w:cstheme="minorHAnsi"/>
          <w:sz w:val="24"/>
          <w:szCs w:val="24"/>
        </w:rPr>
        <w:t>features</w:t>
      </w:r>
      <w:r>
        <w:rPr>
          <w:rFonts w:cstheme="minorHAnsi"/>
          <w:sz w:val="24"/>
          <w:szCs w:val="24"/>
        </w:rPr>
        <w:t>.</w:t>
      </w:r>
    </w:p>
    <w:p w14:paraId="3E01C896" w14:textId="77777777" w:rsidR="00AF53EA" w:rsidRDefault="00AF53EA" w:rsidP="00AF53EA">
      <w:pPr>
        <w:pStyle w:val="ListParagraph"/>
        <w:numPr>
          <w:ilvl w:val="0"/>
          <w:numId w:val="1"/>
        </w:numPr>
        <w:spacing w:after="0" w:line="480" w:lineRule="auto"/>
        <w:jc w:val="both"/>
        <w:rPr>
          <w:rFonts w:cstheme="minorHAnsi"/>
          <w:sz w:val="24"/>
          <w:szCs w:val="24"/>
        </w:rPr>
      </w:pPr>
      <w:r w:rsidRPr="00C74CF4">
        <w:rPr>
          <w:rFonts w:cstheme="minorHAnsi"/>
          <w:sz w:val="24"/>
          <w:szCs w:val="24"/>
        </w:rPr>
        <w:t xml:space="preserve">It is </w:t>
      </w:r>
      <w:r>
        <w:rPr>
          <w:rFonts w:cstheme="minorHAnsi"/>
          <w:sz w:val="24"/>
          <w:szCs w:val="24"/>
        </w:rPr>
        <w:t>located</w:t>
      </w:r>
      <w:r w:rsidRPr="00C74CF4">
        <w:rPr>
          <w:rFonts w:cstheme="minorHAnsi"/>
          <w:sz w:val="24"/>
          <w:szCs w:val="24"/>
        </w:rPr>
        <w:t xml:space="preserve"> in or under the sea: </w:t>
      </w:r>
      <w:r>
        <w:rPr>
          <w:rFonts w:cstheme="minorHAnsi"/>
          <w:sz w:val="24"/>
          <w:szCs w:val="24"/>
        </w:rPr>
        <w:t xml:space="preserve">although </w:t>
      </w:r>
      <w:r w:rsidRPr="00C74CF4">
        <w:rPr>
          <w:rFonts w:cstheme="minorHAnsi"/>
          <w:sz w:val="24"/>
          <w:szCs w:val="24"/>
        </w:rPr>
        <w:t xml:space="preserve">some other liminal area could </w:t>
      </w:r>
      <w:r>
        <w:rPr>
          <w:rFonts w:cstheme="minorHAnsi"/>
          <w:sz w:val="24"/>
          <w:szCs w:val="24"/>
        </w:rPr>
        <w:t xml:space="preserve">divide </w:t>
      </w:r>
      <w:r w:rsidRPr="00C74CF4">
        <w:rPr>
          <w:rFonts w:cstheme="minorHAnsi"/>
          <w:sz w:val="24"/>
          <w:szCs w:val="24"/>
        </w:rPr>
        <w:t>the mortal world and the Otherworld.</w:t>
      </w:r>
    </w:p>
    <w:p w14:paraId="65790206" w14:textId="77777777" w:rsidR="00AF53EA" w:rsidRDefault="00AF53EA" w:rsidP="00AF53EA">
      <w:pPr>
        <w:pStyle w:val="ListParagraph"/>
        <w:numPr>
          <w:ilvl w:val="0"/>
          <w:numId w:val="1"/>
        </w:numPr>
        <w:spacing w:after="0" w:line="480" w:lineRule="auto"/>
        <w:jc w:val="both"/>
        <w:rPr>
          <w:rFonts w:cstheme="minorHAnsi"/>
          <w:sz w:val="24"/>
          <w:szCs w:val="24"/>
        </w:rPr>
      </w:pPr>
      <w:r w:rsidRPr="00C74CF4">
        <w:rPr>
          <w:rFonts w:cstheme="minorHAnsi"/>
          <w:sz w:val="24"/>
          <w:szCs w:val="24"/>
        </w:rPr>
        <w:t>One of its characteristics is music</w:t>
      </w:r>
      <w:r>
        <w:rPr>
          <w:rFonts w:cstheme="minorHAnsi"/>
          <w:sz w:val="24"/>
          <w:szCs w:val="24"/>
        </w:rPr>
        <w:t xml:space="preserve"> or </w:t>
      </w:r>
      <w:r w:rsidRPr="00C74CF4">
        <w:rPr>
          <w:rFonts w:cstheme="minorHAnsi"/>
          <w:sz w:val="24"/>
          <w:szCs w:val="24"/>
        </w:rPr>
        <w:t>poetry</w:t>
      </w:r>
      <w:r>
        <w:rPr>
          <w:rFonts w:cstheme="minorHAnsi"/>
          <w:sz w:val="24"/>
          <w:szCs w:val="24"/>
        </w:rPr>
        <w:t>.</w:t>
      </w:r>
    </w:p>
    <w:p w14:paraId="6E4F90B8" w14:textId="77777777" w:rsidR="00AF53EA" w:rsidRDefault="00AF53EA" w:rsidP="00AF53EA">
      <w:pPr>
        <w:pStyle w:val="ListParagraph"/>
        <w:numPr>
          <w:ilvl w:val="0"/>
          <w:numId w:val="1"/>
        </w:numPr>
        <w:spacing w:after="0" w:line="480" w:lineRule="auto"/>
        <w:jc w:val="both"/>
        <w:rPr>
          <w:rFonts w:cstheme="minorHAnsi"/>
          <w:sz w:val="24"/>
          <w:szCs w:val="24"/>
        </w:rPr>
      </w:pPr>
      <w:r>
        <w:rPr>
          <w:rFonts w:cstheme="minorHAnsi"/>
          <w:sz w:val="24"/>
          <w:szCs w:val="24"/>
        </w:rPr>
        <w:t xml:space="preserve">There is often an </w:t>
      </w:r>
      <w:r w:rsidRPr="00C74CF4">
        <w:rPr>
          <w:rFonts w:cstheme="minorHAnsi"/>
          <w:sz w:val="24"/>
          <w:szCs w:val="24"/>
        </w:rPr>
        <w:t xml:space="preserve">abundance of intoxicating liquor, wine in particular. </w:t>
      </w:r>
    </w:p>
    <w:p w14:paraId="7D6FDC4D" w14:textId="77777777" w:rsidR="00AF53EA" w:rsidRDefault="00AF53EA" w:rsidP="00AF53EA">
      <w:pPr>
        <w:pStyle w:val="ListParagraph"/>
        <w:numPr>
          <w:ilvl w:val="0"/>
          <w:numId w:val="1"/>
        </w:numPr>
        <w:spacing w:after="0" w:line="480" w:lineRule="auto"/>
        <w:jc w:val="both"/>
        <w:rPr>
          <w:rFonts w:cstheme="minorHAnsi"/>
          <w:sz w:val="24"/>
          <w:szCs w:val="24"/>
        </w:rPr>
      </w:pPr>
      <w:r>
        <w:rPr>
          <w:rFonts w:cstheme="minorHAnsi"/>
          <w:sz w:val="24"/>
          <w:szCs w:val="24"/>
        </w:rPr>
        <w:t>I</w:t>
      </w:r>
      <w:r w:rsidRPr="00C74CF4">
        <w:rPr>
          <w:rFonts w:cstheme="minorHAnsi"/>
          <w:sz w:val="24"/>
          <w:szCs w:val="24"/>
        </w:rPr>
        <w:t xml:space="preserve">ts inhabitants are </w:t>
      </w:r>
      <w:r>
        <w:rPr>
          <w:rFonts w:cstheme="minorHAnsi"/>
          <w:sz w:val="24"/>
          <w:szCs w:val="24"/>
        </w:rPr>
        <w:t xml:space="preserve">shown </w:t>
      </w:r>
      <w:r w:rsidRPr="00C74CF4">
        <w:rPr>
          <w:rFonts w:cstheme="minorHAnsi"/>
          <w:sz w:val="24"/>
          <w:szCs w:val="24"/>
        </w:rPr>
        <w:t>as being ‘other’ by the fact that sickness and old age do not afflict them</w:t>
      </w:r>
      <w:r>
        <w:rPr>
          <w:rFonts w:cstheme="minorHAnsi"/>
          <w:sz w:val="24"/>
          <w:szCs w:val="24"/>
        </w:rPr>
        <w:t>.</w:t>
      </w:r>
    </w:p>
    <w:p w14:paraId="476360BF" w14:textId="77777777" w:rsidR="00AF53EA" w:rsidRPr="00D2655E" w:rsidRDefault="00AF53EA" w:rsidP="00AF53EA">
      <w:pPr>
        <w:pStyle w:val="ListParagraph"/>
        <w:numPr>
          <w:ilvl w:val="0"/>
          <w:numId w:val="1"/>
        </w:numPr>
        <w:spacing w:after="0" w:line="480" w:lineRule="auto"/>
        <w:jc w:val="both"/>
        <w:rPr>
          <w:rFonts w:cstheme="minorHAnsi"/>
          <w:sz w:val="24"/>
          <w:szCs w:val="24"/>
        </w:rPr>
      </w:pPr>
      <w:r w:rsidRPr="00C74CF4">
        <w:rPr>
          <w:rFonts w:cstheme="minorHAnsi"/>
          <w:sz w:val="24"/>
          <w:szCs w:val="24"/>
        </w:rPr>
        <w:t>The equipment there is either exotic or magic</w:t>
      </w:r>
      <w:r>
        <w:rPr>
          <w:rFonts w:cstheme="minorHAnsi"/>
          <w:sz w:val="24"/>
          <w:szCs w:val="24"/>
        </w:rPr>
        <w:t>al</w:t>
      </w:r>
      <w:r w:rsidRPr="00C74CF4">
        <w:rPr>
          <w:rFonts w:cstheme="minorHAnsi"/>
          <w:sz w:val="24"/>
          <w:szCs w:val="24"/>
        </w:rPr>
        <w:t>.</w:t>
      </w:r>
      <w:r w:rsidRPr="00D2655E">
        <w:rPr>
          <w:rFonts w:cstheme="minorHAnsi"/>
          <w:sz w:val="24"/>
          <w:szCs w:val="24"/>
        </w:rPr>
        <w:t xml:space="preserve"> </w:t>
      </w:r>
      <w:r>
        <w:rPr>
          <w:rStyle w:val="FootnoteReference"/>
          <w:rFonts w:cstheme="minorHAnsi"/>
          <w:sz w:val="24"/>
          <w:szCs w:val="24"/>
        </w:rPr>
        <w:footnoteReference w:id="6"/>
      </w:r>
    </w:p>
    <w:p w14:paraId="4A835315" w14:textId="77777777" w:rsidR="00AF53EA" w:rsidRDefault="00AF53EA" w:rsidP="00AF53EA">
      <w:pPr>
        <w:spacing w:line="480" w:lineRule="auto"/>
        <w:jc w:val="both"/>
        <w:rPr>
          <w:rFonts w:cstheme="minorHAnsi"/>
          <w:shd w:val="clear" w:color="auto" w:fill="FFFFFF"/>
        </w:rPr>
      </w:pPr>
      <w:r>
        <w:rPr>
          <w:rFonts w:cstheme="minorHAnsi"/>
          <w:shd w:val="clear" w:color="auto" w:fill="FFFFFF"/>
        </w:rPr>
        <w:lastRenderedPageBreak/>
        <w:t>Since there is no single term for ‘The Otherworld’ as we perceive it today, it is not surprising that we see a range of names for the Otherworlds in the different texts.</w:t>
      </w:r>
    </w:p>
    <w:p w14:paraId="2B172259" w14:textId="77777777" w:rsidR="00AF53EA" w:rsidRDefault="00AF53EA" w:rsidP="00AF53EA">
      <w:pPr>
        <w:spacing w:line="480" w:lineRule="auto"/>
        <w:jc w:val="both"/>
        <w:rPr>
          <w:rFonts w:cstheme="minorHAnsi"/>
          <w:shd w:val="clear" w:color="auto" w:fill="FFFFFF"/>
        </w:rPr>
      </w:pPr>
      <w:r w:rsidRPr="00A50474">
        <w:rPr>
          <w:rFonts w:cstheme="minorHAnsi"/>
          <w:shd w:val="clear" w:color="auto" w:fill="FFFFFF"/>
        </w:rPr>
        <w:t>The Four Branches of the Mabinogi have a</w:t>
      </w:r>
      <w:r>
        <w:rPr>
          <w:rFonts w:cstheme="minorHAnsi"/>
          <w:shd w:val="clear" w:color="auto" w:fill="FFFFFF"/>
        </w:rPr>
        <w:t xml:space="preserve"> number</w:t>
      </w:r>
      <w:r w:rsidRPr="00A50474">
        <w:rPr>
          <w:rFonts w:cstheme="minorHAnsi"/>
          <w:shd w:val="clear" w:color="auto" w:fill="FFFFFF"/>
        </w:rPr>
        <w:t xml:space="preserve"> of references to The Otherworld and stories of encounters with Otherworld characters. </w:t>
      </w:r>
      <w:r>
        <w:rPr>
          <w:rFonts w:cstheme="minorHAnsi"/>
          <w:shd w:val="clear" w:color="auto" w:fill="FFFFFF"/>
        </w:rPr>
        <w:t xml:space="preserve"> </w:t>
      </w:r>
      <w:r w:rsidRPr="00A50474">
        <w:rPr>
          <w:rFonts w:cstheme="minorHAnsi"/>
          <w:shd w:val="clear" w:color="auto" w:fill="FFFFFF"/>
        </w:rPr>
        <w:t xml:space="preserve">The first part of the First Branch provides us with our first introduction to the Otherworld </w:t>
      </w:r>
      <w:r>
        <w:rPr>
          <w:rFonts w:cstheme="minorHAnsi"/>
          <w:shd w:val="clear" w:color="auto" w:fill="FFFFFF"/>
        </w:rPr>
        <w:t xml:space="preserve">of </w:t>
      </w:r>
      <w:r w:rsidRPr="00A50474">
        <w:rPr>
          <w:rFonts w:cstheme="minorHAnsi"/>
          <w:shd w:val="clear" w:color="auto" w:fill="FFFFFF"/>
        </w:rPr>
        <w:t>the Mabinogi tales.</w:t>
      </w:r>
      <w:r>
        <w:rPr>
          <w:rFonts w:cstheme="minorHAnsi"/>
          <w:shd w:val="clear" w:color="auto" w:fill="FFFFFF"/>
        </w:rPr>
        <w:t xml:space="preserve"> </w:t>
      </w:r>
      <w:r w:rsidRPr="00A50474">
        <w:rPr>
          <w:rFonts w:cstheme="minorHAnsi"/>
          <w:shd w:val="clear" w:color="auto" w:fill="FFFFFF"/>
        </w:rPr>
        <w:t xml:space="preserve"> In this story Pwyll, Prince of Dyfed gets separated from his men whilst out hunting and as he follows </w:t>
      </w:r>
      <w:r>
        <w:rPr>
          <w:rFonts w:cstheme="minorHAnsi"/>
          <w:shd w:val="clear" w:color="auto" w:fill="FFFFFF"/>
        </w:rPr>
        <w:t>a</w:t>
      </w:r>
      <w:r w:rsidRPr="00A50474">
        <w:rPr>
          <w:rFonts w:cstheme="minorHAnsi"/>
          <w:shd w:val="clear" w:color="auto" w:fill="FFFFFF"/>
        </w:rPr>
        <w:t xml:space="preserve"> stag with his own hounds, he finds it has been caught by another hunting pack.  This pack of hounds is quite special, described as ‘… a gleaming shining white, and their ears were red.’ </w:t>
      </w:r>
      <w:r w:rsidRPr="00A50474">
        <w:rPr>
          <w:rStyle w:val="FootnoteReference"/>
          <w:rFonts w:cstheme="minorHAnsi"/>
          <w:shd w:val="clear" w:color="auto" w:fill="FFFFFF"/>
        </w:rPr>
        <w:footnoteReference w:id="7"/>
      </w:r>
      <w:r w:rsidRPr="00A50474">
        <w:rPr>
          <w:rFonts w:cstheme="minorHAnsi"/>
          <w:shd w:val="clear" w:color="auto" w:fill="FFFFFF"/>
        </w:rPr>
        <w:t xml:space="preserve"> </w:t>
      </w:r>
      <w:r>
        <w:rPr>
          <w:rFonts w:cstheme="minorHAnsi"/>
          <w:shd w:val="clear" w:color="auto" w:fill="FFFFFF"/>
        </w:rPr>
        <w:t xml:space="preserve"> </w:t>
      </w:r>
      <w:r w:rsidRPr="00A50474">
        <w:rPr>
          <w:rFonts w:cstheme="minorHAnsi"/>
          <w:shd w:val="clear" w:color="auto" w:fill="FFFFFF"/>
        </w:rPr>
        <w:t>As in many</w:t>
      </w:r>
      <w:r>
        <w:rPr>
          <w:rFonts w:cstheme="minorHAnsi"/>
          <w:shd w:val="clear" w:color="auto" w:fill="FFFFFF"/>
        </w:rPr>
        <w:t xml:space="preserve"> of these</w:t>
      </w:r>
      <w:r w:rsidRPr="00A50474">
        <w:rPr>
          <w:rFonts w:cstheme="minorHAnsi"/>
          <w:shd w:val="clear" w:color="auto" w:fill="FFFFFF"/>
        </w:rPr>
        <w:t xml:space="preserve"> tales, the colours of these dogs </w:t>
      </w:r>
      <w:r>
        <w:rPr>
          <w:rFonts w:cstheme="minorHAnsi"/>
          <w:shd w:val="clear" w:color="auto" w:fill="FFFFFF"/>
        </w:rPr>
        <w:t xml:space="preserve">signifies </w:t>
      </w:r>
      <w:r w:rsidRPr="00A50474">
        <w:rPr>
          <w:rFonts w:cstheme="minorHAnsi"/>
          <w:shd w:val="clear" w:color="auto" w:fill="FFFFFF"/>
        </w:rPr>
        <w:t>an imminent encounter with an Otherworld character.  In this case, Pwyll meets Arawn, the King of Annwfn.  Even in the first couple of pages of this text we are provided with details and hints about the Otherworld</w:t>
      </w:r>
      <w:r>
        <w:rPr>
          <w:rFonts w:cstheme="minorHAnsi"/>
          <w:shd w:val="clear" w:color="auto" w:fill="FFFFFF"/>
        </w:rPr>
        <w:t>, including the name</w:t>
      </w:r>
      <w:r w:rsidRPr="00A50474">
        <w:rPr>
          <w:rFonts w:cstheme="minorHAnsi"/>
          <w:shd w:val="clear" w:color="auto" w:fill="FFFFFF"/>
        </w:rPr>
        <w:t>.  In Welsh tales, Annwfn is a name for the Celtic Otherworld</w:t>
      </w:r>
      <w:r w:rsidRPr="00A50474">
        <w:rPr>
          <w:rStyle w:val="FootnoteReference"/>
          <w:rFonts w:cstheme="minorHAnsi"/>
          <w:shd w:val="clear" w:color="auto" w:fill="FFFFFF"/>
        </w:rPr>
        <w:footnoteReference w:id="8"/>
      </w:r>
      <w:r w:rsidRPr="00A50474">
        <w:rPr>
          <w:rFonts w:cstheme="minorHAnsi"/>
          <w:shd w:val="clear" w:color="auto" w:fill="FFFFFF"/>
        </w:rPr>
        <w:t xml:space="preserve"> and since Arawn is </w:t>
      </w:r>
      <w:r>
        <w:rPr>
          <w:rFonts w:cstheme="minorHAnsi"/>
          <w:shd w:val="clear" w:color="auto" w:fill="FFFFFF"/>
        </w:rPr>
        <w:t xml:space="preserve">introduced as </w:t>
      </w:r>
      <w:r w:rsidRPr="00A50474">
        <w:rPr>
          <w:rFonts w:cstheme="minorHAnsi"/>
          <w:shd w:val="clear" w:color="auto" w:fill="FFFFFF"/>
        </w:rPr>
        <w:t xml:space="preserve">the King of Annwfn, we </w:t>
      </w:r>
      <w:r>
        <w:rPr>
          <w:rFonts w:cstheme="minorHAnsi"/>
          <w:shd w:val="clear" w:color="auto" w:fill="FFFFFF"/>
        </w:rPr>
        <w:t xml:space="preserve">tend to </w:t>
      </w:r>
      <w:r w:rsidRPr="00A50474">
        <w:rPr>
          <w:rFonts w:cstheme="minorHAnsi"/>
          <w:shd w:val="clear" w:color="auto" w:fill="FFFFFF"/>
        </w:rPr>
        <w:t xml:space="preserve">assume that </w:t>
      </w:r>
      <w:r>
        <w:rPr>
          <w:rFonts w:cstheme="minorHAnsi"/>
          <w:shd w:val="clear" w:color="auto" w:fill="FFFFFF"/>
        </w:rPr>
        <w:t xml:space="preserve">at least in Welsh texts, </w:t>
      </w:r>
      <w:r w:rsidRPr="00A50474">
        <w:rPr>
          <w:rFonts w:cstheme="minorHAnsi"/>
          <w:shd w:val="clear" w:color="auto" w:fill="FFFFFF"/>
        </w:rPr>
        <w:t xml:space="preserve">the Otherworld is one </w:t>
      </w:r>
      <w:r>
        <w:rPr>
          <w:rFonts w:cstheme="minorHAnsi"/>
          <w:shd w:val="clear" w:color="auto" w:fill="FFFFFF"/>
        </w:rPr>
        <w:t>realm, a kingdom over which there is but one ruler.  It is interesting to note however, that at the end of this episode,</w:t>
      </w:r>
    </w:p>
    <w:p w14:paraId="318D8261" w14:textId="77777777" w:rsidR="00AF53EA" w:rsidRDefault="00AF53EA" w:rsidP="00AF53EA">
      <w:pPr>
        <w:spacing w:line="480" w:lineRule="auto"/>
        <w:ind w:left="720"/>
        <w:jc w:val="both"/>
        <w:rPr>
          <w:rFonts w:cstheme="minorHAnsi"/>
          <w:shd w:val="clear" w:color="auto" w:fill="FFFFFF"/>
        </w:rPr>
      </w:pPr>
      <w:r>
        <w:rPr>
          <w:rFonts w:cstheme="minorHAnsi"/>
          <w:shd w:val="clear" w:color="auto" w:fill="FFFFFF"/>
        </w:rPr>
        <w:t>‘because he had stayed that year in Annwfn, and had ruled there so successfully, and united the two realms through his courage and prowess, the name Pwyll prince of Dyfed, fell into disuse, and he was called Pwyll Pen Annwfn from then on.</w:t>
      </w:r>
      <w:r>
        <w:rPr>
          <w:rStyle w:val="FootnoteReference"/>
          <w:rFonts w:cstheme="minorHAnsi"/>
          <w:shd w:val="clear" w:color="auto" w:fill="FFFFFF"/>
        </w:rPr>
        <w:footnoteReference w:id="9"/>
      </w:r>
    </w:p>
    <w:p w14:paraId="1CCF991C" w14:textId="77777777" w:rsidR="00AF53EA" w:rsidRDefault="00AF53EA" w:rsidP="00AF53EA">
      <w:pPr>
        <w:spacing w:line="480" w:lineRule="auto"/>
        <w:jc w:val="both"/>
        <w:rPr>
          <w:rFonts w:cstheme="minorHAnsi"/>
          <w:shd w:val="clear" w:color="auto" w:fill="FFFFFF"/>
        </w:rPr>
      </w:pPr>
      <w:r>
        <w:rPr>
          <w:rFonts w:cstheme="minorHAnsi"/>
          <w:shd w:val="clear" w:color="auto" w:fill="FFFFFF"/>
        </w:rPr>
        <w:t xml:space="preserve">Annwfn is the usual name for the Welsh Otherworld but aliases exist too.  Sims-Williams uses Preiddeu Annwn as an excellent example of this. ‘Annwfn is in one stanza called </w:t>
      </w:r>
      <w:r w:rsidRPr="009C5DA7">
        <w:rPr>
          <w:rFonts w:cstheme="minorHAnsi"/>
          <w:i/>
          <w:iCs/>
          <w:shd w:val="clear" w:color="auto" w:fill="FFFFFF"/>
        </w:rPr>
        <w:t>kaer sidi</w:t>
      </w:r>
      <w:r>
        <w:rPr>
          <w:rFonts w:cstheme="minorHAnsi"/>
          <w:shd w:val="clear" w:color="auto" w:fill="FFFFFF"/>
        </w:rPr>
        <w:t>.’</w:t>
      </w:r>
      <w:r>
        <w:rPr>
          <w:rStyle w:val="FootnoteReference"/>
          <w:rFonts w:cstheme="minorHAnsi"/>
          <w:shd w:val="clear" w:color="auto" w:fill="FFFFFF"/>
        </w:rPr>
        <w:footnoteReference w:id="10"/>
      </w:r>
      <w:r>
        <w:rPr>
          <w:rFonts w:cstheme="minorHAnsi"/>
          <w:shd w:val="clear" w:color="auto" w:fill="FFFFFF"/>
        </w:rPr>
        <w:t xml:space="preserve">  This is quite significant as the name </w:t>
      </w:r>
      <w:r w:rsidRPr="002F28C3">
        <w:rPr>
          <w:rFonts w:cstheme="minorHAnsi"/>
          <w:i/>
          <w:iCs/>
          <w:shd w:val="clear" w:color="auto" w:fill="FFFFFF"/>
        </w:rPr>
        <w:t>kaer sidi</w:t>
      </w:r>
      <w:r>
        <w:rPr>
          <w:rFonts w:cstheme="minorHAnsi"/>
          <w:shd w:val="clear" w:color="auto" w:fill="FFFFFF"/>
        </w:rPr>
        <w:t xml:space="preserve"> is generally accepted as a term that has been borrowed from Middle Irish ‘sídi’, meaning ‘fairy mound’, and suggests a mutual </w:t>
      </w:r>
      <w:r>
        <w:rPr>
          <w:rFonts w:cstheme="minorHAnsi"/>
          <w:shd w:val="clear" w:color="auto" w:fill="FFFFFF"/>
        </w:rPr>
        <w:lastRenderedPageBreak/>
        <w:t>understanding or knowledge between the Welsh and the Irish.  The descriptive names for Annwfn continue in this poem, some of them are shown below,</w:t>
      </w:r>
    </w:p>
    <w:p w14:paraId="633180CA" w14:textId="77777777" w:rsidR="00AF53EA" w:rsidRDefault="00AF53EA" w:rsidP="00AF53EA">
      <w:pPr>
        <w:spacing w:line="480" w:lineRule="auto"/>
        <w:ind w:left="720"/>
        <w:jc w:val="both"/>
        <w:rPr>
          <w:rFonts w:cstheme="minorHAnsi"/>
          <w:shd w:val="clear" w:color="auto" w:fill="FFFFFF"/>
        </w:rPr>
      </w:pPr>
      <w:r>
        <w:rPr>
          <w:rFonts w:cstheme="minorHAnsi"/>
          <w:shd w:val="clear" w:color="auto" w:fill="FFFFFF"/>
        </w:rPr>
        <w:t xml:space="preserve">‘Taliesin alludes cryptically to Arthur’s raid on Annwfn, here portrayed as an island fortess, and refers to Annwfn by a series of names which are partly obscure (such as </w:t>
      </w:r>
      <w:r w:rsidRPr="000E5650">
        <w:rPr>
          <w:rFonts w:cstheme="minorHAnsi"/>
          <w:i/>
          <w:iCs/>
          <w:shd w:val="clear" w:color="auto" w:fill="FFFFFF"/>
        </w:rPr>
        <w:t>kaer rigor, kaer golud</w:t>
      </w:r>
      <w:r>
        <w:rPr>
          <w:rFonts w:cstheme="minorHAnsi"/>
          <w:shd w:val="clear" w:color="auto" w:fill="FFFFFF"/>
        </w:rPr>
        <w:t xml:space="preserve">, and </w:t>
      </w:r>
      <w:r w:rsidRPr="000E5650">
        <w:rPr>
          <w:rFonts w:cstheme="minorHAnsi"/>
          <w:i/>
          <w:iCs/>
          <w:shd w:val="clear" w:color="auto" w:fill="FFFFFF"/>
        </w:rPr>
        <w:t>kaer vandwy</w:t>
      </w:r>
      <w:r>
        <w:rPr>
          <w:rFonts w:cstheme="minorHAnsi"/>
          <w:shd w:val="clear" w:color="auto" w:fill="FFFFFF"/>
        </w:rPr>
        <w:t xml:space="preserve">) and partly intelligible (such as </w:t>
      </w:r>
      <w:r w:rsidRPr="000E5650">
        <w:rPr>
          <w:rFonts w:cstheme="minorHAnsi"/>
          <w:i/>
          <w:iCs/>
          <w:shd w:val="clear" w:color="auto" w:fill="FFFFFF"/>
        </w:rPr>
        <w:t>kaer wydyr</w:t>
      </w:r>
      <w:r>
        <w:rPr>
          <w:rFonts w:cstheme="minorHAnsi"/>
          <w:i/>
          <w:iCs/>
          <w:shd w:val="clear" w:color="auto" w:fill="FFFFFF"/>
        </w:rPr>
        <w:t>)</w:t>
      </w:r>
      <w:r>
        <w:rPr>
          <w:rFonts w:cstheme="minorHAnsi"/>
          <w:shd w:val="clear" w:color="auto" w:fill="FFFFFF"/>
        </w:rPr>
        <w:t xml:space="preserve"> ‘Fortress of Glass’.’</w:t>
      </w:r>
      <w:r>
        <w:rPr>
          <w:rStyle w:val="FootnoteReference"/>
          <w:rFonts w:cstheme="minorHAnsi"/>
          <w:shd w:val="clear" w:color="auto" w:fill="FFFFFF"/>
        </w:rPr>
        <w:footnoteReference w:id="11"/>
      </w:r>
    </w:p>
    <w:p w14:paraId="7D26B95E" w14:textId="77777777" w:rsidR="00AF53EA" w:rsidRDefault="00AF53EA" w:rsidP="00AF53EA">
      <w:pPr>
        <w:spacing w:line="480" w:lineRule="auto"/>
        <w:jc w:val="both"/>
        <w:rPr>
          <w:rFonts w:cstheme="minorHAnsi"/>
          <w:shd w:val="clear" w:color="auto" w:fill="FFFFFF"/>
        </w:rPr>
      </w:pPr>
      <w:r>
        <w:rPr>
          <w:rFonts w:cstheme="minorHAnsi"/>
          <w:shd w:val="clear" w:color="auto" w:fill="FFFFFF"/>
        </w:rPr>
        <w:t>There is even more of a variety of appellations in the Irish texts.  In the ‘Adventures and Voyages’ of Irish literature, the ‘Otherworld’ is often referred to as the ‘‘Land of the Living’, ‘Delightful Plain’, ‘Land of the Young’ or ‘Promised Land’.’</w:t>
      </w:r>
      <w:r>
        <w:rPr>
          <w:rStyle w:val="FootnoteReference"/>
          <w:rFonts w:cstheme="minorHAnsi"/>
          <w:shd w:val="clear" w:color="auto" w:fill="FFFFFF"/>
        </w:rPr>
        <w:footnoteReference w:id="12"/>
      </w:r>
      <w:r>
        <w:rPr>
          <w:rFonts w:cstheme="minorHAnsi"/>
          <w:shd w:val="clear" w:color="auto" w:fill="FFFFFF"/>
        </w:rPr>
        <w:t xml:space="preserve">  We notice some degree of similarity between the concepts and features of some Otherworlds between the texts but almost each location has a slightly different name appropriate to the peculiarities of each Otherworldly place.  Take the islands in Immram Brain, the Voyage of Bran, for example, the ‘Island of Joy’ and the ‘Land of the Women’ are the two Otherworld locations that Bran and his group visit</w:t>
      </w:r>
      <w:r>
        <w:rPr>
          <w:rStyle w:val="FootnoteReference"/>
          <w:rFonts w:cstheme="minorHAnsi"/>
          <w:shd w:val="clear" w:color="auto" w:fill="FFFFFF"/>
        </w:rPr>
        <w:footnoteReference w:id="13"/>
      </w:r>
      <w:r>
        <w:rPr>
          <w:rFonts w:cstheme="minorHAnsi"/>
          <w:shd w:val="clear" w:color="auto" w:fill="FFFFFF"/>
        </w:rPr>
        <w:t xml:space="preserve">  and their features remind us of ‘The Island of Laughers’ and ‘The Island Queen and her Seventeen Daughters’ in The Voyage of Mael Duín.  This tale also introduces the reader to a plethora of other lands with diverse names such as  ‘The Island of the Enormous Ants’, ‘The Island of the Chanting Birds’ or ‘The Island on the Pedestal’ and each provides a different experience for the voyagers.</w:t>
      </w:r>
      <w:r>
        <w:rPr>
          <w:rStyle w:val="FootnoteReference"/>
          <w:rFonts w:cstheme="minorHAnsi"/>
          <w:shd w:val="clear" w:color="auto" w:fill="FFFFFF"/>
        </w:rPr>
        <w:footnoteReference w:id="14"/>
      </w:r>
    </w:p>
    <w:p w14:paraId="51A2523E" w14:textId="77777777" w:rsidR="00AF53EA" w:rsidRDefault="00AF53EA" w:rsidP="00AF53EA">
      <w:pPr>
        <w:spacing w:line="480" w:lineRule="auto"/>
        <w:jc w:val="both"/>
        <w:rPr>
          <w:rFonts w:cstheme="minorHAnsi"/>
          <w:shd w:val="clear" w:color="auto" w:fill="FFFFFF"/>
        </w:rPr>
      </w:pPr>
      <w:r>
        <w:rPr>
          <w:rFonts w:cstheme="minorHAnsi"/>
          <w:shd w:val="clear" w:color="auto" w:fill="FFFFFF"/>
        </w:rPr>
        <w:t>The location of the Otherworld or Otherworlds appears to vary from tale to tale, according to the imagination of the different authors.  Shack tells us that in both Welsh and Irish traditions, ‘the Otherworld is reached after long and difficult voyages.’</w:t>
      </w:r>
      <w:r>
        <w:rPr>
          <w:rStyle w:val="FootnoteReference"/>
          <w:rFonts w:cstheme="minorHAnsi"/>
          <w:shd w:val="clear" w:color="auto" w:fill="FFFFFF"/>
        </w:rPr>
        <w:footnoteReference w:id="15"/>
      </w:r>
      <w:r>
        <w:rPr>
          <w:rFonts w:cstheme="minorHAnsi"/>
          <w:shd w:val="clear" w:color="auto" w:fill="FFFFFF"/>
        </w:rPr>
        <w:t xml:space="preserve"> </w:t>
      </w:r>
    </w:p>
    <w:p w14:paraId="5B3A018B" w14:textId="77777777" w:rsidR="00AF53EA" w:rsidRDefault="00AF53EA" w:rsidP="00AF53EA">
      <w:pPr>
        <w:spacing w:line="480" w:lineRule="auto"/>
        <w:jc w:val="both"/>
        <w:rPr>
          <w:rFonts w:cstheme="minorHAnsi"/>
          <w:shd w:val="clear" w:color="auto" w:fill="FFFFFF"/>
        </w:rPr>
      </w:pPr>
      <w:r>
        <w:rPr>
          <w:rFonts w:cstheme="minorHAnsi"/>
        </w:rPr>
        <w:lastRenderedPageBreak/>
        <w:t xml:space="preserve">The Second Branch of the Mabinogi has a kind of voyage story that does not result in a visit to Annwfn but does involve otherworldly feasting, the passage of inordinate amounts of time and conversations with a severed head which would not usually occur in the mortal world.  </w:t>
      </w:r>
      <w:r w:rsidRPr="00A50474">
        <w:rPr>
          <w:rFonts w:cstheme="minorHAnsi"/>
        </w:rPr>
        <w:t xml:space="preserve">In this story </w:t>
      </w:r>
      <w:r>
        <w:rPr>
          <w:rFonts w:cstheme="minorHAnsi"/>
        </w:rPr>
        <w:t>a</w:t>
      </w:r>
      <w:r w:rsidRPr="00A50474">
        <w:rPr>
          <w:rFonts w:cstheme="minorHAnsi"/>
        </w:rPr>
        <w:t xml:space="preserve"> group of seven men return to Wales, the Land of the Mighty, after a fierce battle in Ireland</w:t>
      </w:r>
      <w:r>
        <w:rPr>
          <w:rFonts w:cstheme="minorHAnsi"/>
        </w:rPr>
        <w:t>.  Ma</w:t>
      </w:r>
      <w:r w:rsidRPr="00A50474">
        <w:rPr>
          <w:rFonts w:cstheme="minorHAnsi"/>
        </w:rPr>
        <w:t>ny of their number were killed and their leader, the giant Bendigeidfran, was fatally wounded.  Bendigeidfran orders his own head to be cut off and the</w:t>
      </w:r>
      <w:r>
        <w:rPr>
          <w:rFonts w:cstheme="minorHAnsi"/>
        </w:rPr>
        <w:t>n his men</w:t>
      </w:r>
      <w:r w:rsidRPr="00A50474">
        <w:rPr>
          <w:rFonts w:cstheme="minorHAnsi"/>
        </w:rPr>
        <w:t xml:space="preserve"> promise to take his sister Branwen safely home and to take his head to </w:t>
      </w:r>
      <w:r>
        <w:rPr>
          <w:rFonts w:cstheme="minorHAnsi"/>
        </w:rPr>
        <w:t xml:space="preserve">London to </w:t>
      </w:r>
      <w:r w:rsidRPr="00A50474">
        <w:rPr>
          <w:rFonts w:cstheme="minorHAnsi"/>
        </w:rPr>
        <w:t>be buried at Gwynfryn</w:t>
      </w:r>
      <w:r>
        <w:rPr>
          <w:rFonts w:cstheme="minorHAnsi"/>
        </w:rPr>
        <w:t>.</w:t>
      </w:r>
      <w:r w:rsidRPr="00A50474">
        <w:rPr>
          <w:rFonts w:cstheme="minorHAnsi"/>
        </w:rPr>
        <w:t xml:space="preserve">  As soon as they arrive on Welsh soil Branwen dies of a broken heart and the seven men continue their quest towards Gwynfryn.  First, they feast in Harlech for seven years</w:t>
      </w:r>
      <w:r w:rsidRPr="002A3630">
        <w:rPr>
          <w:rFonts w:cstheme="minorHAnsi"/>
        </w:rPr>
        <w:t xml:space="preserve">.  </w:t>
      </w:r>
      <w:r w:rsidRPr="002A3630">
        <w:rPr>
          <w:rFonts w:cstheme="minorHAnsi"/>
          <w:shd w:val="clear" w:color="auto" w:fill="FFFFFF"/>
        </w:rPr>
        <w:t>The</w:t>
      </w:r>
      <w:r>
        <w:rPr>
          <w:rFonts w:cstheme="minorHAnsi"/>
          <w:shd w:val="clear" w:color="auto" w:fill="FFFFFF"/>
        </w:rPr>
        <w:t>n they travel on a voyage</w:t>
      </w:r>
      <w:r w:rsidRPr="002A3630">
        <w:rPr>
          <w:rFonts w:cstheme="minorHAnsi"/>
          <w:shd w:val="clear" w:color="auto" w:fill="FFFFFF"/>
        </w:rPr>
        <w:t xml:space="preserve"> to the island of Gwales</w:t>
      </w:r>
      <w:r>
        <w:rPr>
          <w:rFonts w:cstheme="minorHAnsi"/>
          <w:shd w:val="clear" w:color="auto" w:fill="FFFFFF"/>
        </w:rPr>
        <w:t xml:space="preserve">, </w:t>
      </w:r>
      <w:r w:rsidRPr="002A3630">
        <w:rPr>
          <w:rFonts w:cstheme="minorHAnsi"/>
          <w:shd w:val="clear" w:color="auto" w:fill="FFFFFF"/>
        </w:rPr>
        <w:t>identified as the island of Grassholm off the Pembrokeshire Coast,</w:t>
      </w:r>
      <w:r w:rsidRPr="002A3630">
        <w:rPr>
          <w:rStyle w:val="FootnoteReference"/>
          <w:rFonts w:cstheme="minorHAnsi"/>
          <w:shd w:val="clear" w:color="auto" w:fill="FFFFFF"/>
        </w:rPr>
        <w:footnoteReference w:id="16"/>
      </w:r>
      <w:r w:rsidRPr="002A3630">
        <w:rPr>
          <w:rFonts w:cstheme="minorHAnsi"/>
          <w:shd w:val="clear" w:color="auto" w:fill="FFFFFF"/>
        </w:rPr>
        <w:t xml:space="preserve"> but not</w:t>
      </w:r>
      <w:r>
        <w:rPr>
          <w:rFonts w:cstheme="minorHAnsi"/>
          <w:shd w:val="clear" w:color="auto" w:fill="FFFFFF"/>
        </w:rPr>
        <w:t xml:space="preserve"> one word</w:t>
      </w:r>
      <w:r w:rsidRPr="002A3630">
        <w:rPr>
          <w:rFonts w:cstheme="minorHAnsi"/>
          <w:shd w:val="clear" w:color="auto" w:fill="FFFFFF"/>
        </w:rPr>
        <w:t xml:space="preserve"> in the text </w:t>
      </w:r>
      <w:r>
        <w:rPr>
          <w:rFonts w:cstheme="minorHAnsi"/>
          <w:shd w:val="clear" w:color="auto" w:fill="FFFFFF"/>
        </w:rPr>
        <w:t>acknowledges</w:t>
      </w:r>
      <w:r w:rsidRPr="002A3630">
        <w:rPr>
          <w:rFonts w:cstheme="minorHAnsi"/>
          <w:shd w:val="clear" w:color="auto" w:fill="FFFFFF"/>
        </w:rPr>
        <w:t xml:space="preserve"> the distance or difficulty to travel there.</w:t>
      </w:r>
      <w:r>
        <w:rPr>
          <w:rFonts w:cstheme="minorHAnsi"/>
          <w:shd w:val="clear" w:color="auto" w:fill="FFFFFF"/>
        </w:rPr>
        <w:t xml:space="preserve">  It is described in one line,</w:t>
      </w:r>
      <w:r w:rsidRPr="002A3630">
        <w:rPr>
          <w:rFonts w:cstheme="minorHAnsi"/>
          <w:shd w:val="clear" w:color="auto" w:fill="FFFFFF"/>
        </w:rPr>
        <w:t xml:space="preserve"> ‘</w:t>
      </w:r>
      <w:r>
        <w:rPr>
          <w:rFonts w:cstheme="minorHAnsi"/>
          <w:shd w:val="clear" w:color="auto" w:fill="FFFFFF"/>
        </w:rPr>
        <w:t>a</w:t>
      </w:r>
      <w:r w:rsidRPr="002A3630">
        <w:rPr>
          <w:rFonts w:cstheme="minorHAnsi"/>
          <w:shd w:val="clear" w:color="auto" w:fill="FFFFFF"/>
        </w:rPr>
        <w:t>t the end of the seventh year they set out for Gwa</w:t>
      </w:r>
      <w:r>
        <w:rPr>
          <w:rFonts w:cstheme="minorHAnsi"/>
          <w:shd w:val="clear" w:color="auto" w:fill="FFFFFF"/>
        </w:rPr>
        <w:t>l</w:t>
      </w:r>
      <w:r w:rsidRPr="002A3630">
        <w:rPr>
          <w:rFonts w:cstheme="minorHAnsi"/>
          <w:shd w:val="clear" w:color="auto" w:fill="FFFFFF"/>
        </w:rPr>
        <w:t>es in Penfro.’</w:t>
      </w:r>
      <w:r w:rsidRPr="002A3630">
        <w:rPr>
          <w:rStyle w:val="FootnoteReference"/>
          <w:rFonts w:cstheme="minorHAnsi"/>
          <w:shd w:val="clear" w:color="auto" w:fill="FFFFFF"/>
        </w:rPr>
        <w:footnoteReference w:id="17"/>
      </w:r>
      <w:r w:rsidRPr="002A3630">
        <w:rPr>
          <w:rFonts w:cstheme="minorHAnsi"/>
          <w:shd w:val="clear" w:color="auto" w:fill="FFFFFF"/>
        </w:rPr>
        <w:t xml:space="preserve">  </w:t>
      </w:r>
    </w:p>
    <w:p w14:paraId="5B5A1659" w14:textId="77777777" w:rsidR="00AF53EA" w:rsidRPr="002A6F16" w:rsidRDefault="00AF53EA" w:rsidP="00AF53EA">
      <w:pPr>
        <w:spacing w:line="480" w:lineRule="auto"/>
        <w:jc w:val="both"/>
        <w:rPr>
          <w:rFonts w:cstheme="minorHAnsi"/>
          <w:shd w:val="clear" w:color="auto" w:fill="FFFFFF"/>
        </w:rPr>
      </w:pPr>
      <w:r w:rsidRPr="0040585D">
        <w:rPr>
          <w:rFonts w:cstheme="minorHAnsi"/>
          <w:shd w:val="clear" w:color="auto" w:fill="FFFFFF"/>
        </w:rPr>
        <w:t>In contrast the Voyage of Bran shows an example of a</w:t>
      </w:r>
      <w:r>
        <w:rPr>
          <w:rFonts w:cstheme="minorHAnsi"/>
          <w:shd w:val="clear" w:color="auto" w:fill="FFFFFF"/>
        </w:rPr>
        <w:t xml:space="preserve"> very</w:t>
      </w:r>
      <w:r w:rsidRPr="0040585D">
        <w:rPr>
          <w:rFonts w:cstheme="minorHAnsi"/>
          <w:shd w:val="clear" w:color="auto" w:fill="FFFFFF"/>
        </w:rPr>
        <w:t xml:space="preserve"> eventful </w:t>
      </w:r>
      <w:r>
        <w:rPr>
          <w:rFonts w:cstheme="minorHAnsi"/>
          <w:shd w:val="clear" w:color="auto" w:fill="FFFFFF"/>
        </w:rPr>
        <w:t>v</w:t>
      </w:r>
      <w:r w:rsidRPr="0040585D">
        <w:rPr>
          <w:rFonts w:cstheme="minorHAnsi"/>
          <w:shd w:val="clear" w:color="auto" w:fill="FFFFFF"/>
        </w:rPr>
        <w:t>oyage.  One interesting aspect of th</w:t>
      </w:r>
      <w:r>
        <w:rPr>
          <w:rFonts w:cstheme="minorHAnsi"/>
          <w:shd w:val="clear" w:color="auto" w:fill="FFFFFF"/>
        </w:rPr>
        <w:t xml:space="preserve">is </w:t>
      </w:r>
      <w:r w:rsidRPr="0040585D">
        <w:rPr>
          <w:rFonts w:cstheme="minorHAnsi"/>
          <w:shd w:val="clear" w:color="auto" w:fill="FFFFFF"/>
        </w:rPr>
        <w:t xml:space="preserve">tale is the balance of the elements of the story.  The first section </w:t>
      </w:r>
      <w:r>
        <w:rPr>
          <w:rFonts w:cstheme="minorHAnsi"/>
          <w:shd w:val="clear" w:color="auto" w:fill="FFFFFF"/>
        </w:rPr>
        <w:t xml:space="preserve">is a prophecy, </w:t>
      </w:r>
      <w:r w:rsidRPr="0040585D">
        <w:rPr>
          <w:rFonts w:cstheme="minorHAnsi"/>
          <w:shd w:val="clear" w:color="auto" w:fill="FFFFFF"/>
        </w:rPr>
        <w:t>describ</w:t>
      </w:r>
      <w:r>
        <w:rPr>
          <w:rFonts w:cstheme="minorHAnsi"/>
          <w:shd w:val="clear" w:color="auto" w:fill="FFFFFF"/>
        </w:rPr>
        <w:t>ing</w:t>
      </w:r>
      <w:r w:rsidRPr="0040585D">
        <w:rPr>
          <w:rFonts w:cstheme="minorHAnsi"/>
          <w:shd w:val="clear" w:color="auto" w:fill="FFFFFF"/>
        </w:rPr>
        <w:t xml:space="preserve"> </w:t>
      </w:r>
      <w:r>
        <w:rPr>
          <w:rFonts w:cstheme="minorHAnsi"/>
          <w:shd w:val="clear" w:color="auto" w:fill="FFFFFF"/>
        </w:rPr>
        <w:t>how</w:t>
      </w:r>
      <w:r w:rsidRPr="0040585D">
        <w:rPr>
          <w:rFonts w:cstheme="minorHAnsi"/>
          <w:shd w:val="clear" w:color="auto" w:fill="FFFFFF"/>
        </w:rPr>
        <w:t xml:space="preserve"> the journey will be, then there is a</w:t>
      </w:r>
      <w:r>
        <w:rPr>
          <w:rFonts w:cstheme="minorHAnsi"/>
          <w:shd w:val="clear" w:color="auto" w:fill="FFFFFF"/>
        </w:rPr>
        <w:t xml:space="preserve"> large</w:t>
      </w:r>
      <w:r w:rsidRPr="0040585D">
        <w:rPr>
          <w:rFonts w:cstheme="minorHAnsi"/>
          <w:shd w:val="clear" w:color="auto" w:fill="FFFFFF"/>
        </w:rPr>
        <w:t xml:space="preserve"> section detailing the encounter with Manannan </w:t>
      </w:r>
      <w:r>
        <w:rPr>
          <w:rFonts w:cstheme="minorHAnsi"/>
          <w:shd w:val="clear" w:color="auto" w:fill="FFFFFF"/>
        </w:rPr>
        <w:t>the Son of Ler during the voyage</w:t>
      </w:r>
      <w:r w:rsidRPr="0040585D">
        <w:rPr>
          <w:rFonts w:cstheme="minorHAnsi"/>
          <w:shd w:val="clear" w:color="auto" w:fill="FFFFFF"/>
        </w:rPr>
        <w:t xml:space="preserve">.  The actual experiences of the destinations </w:t>
      </w:r>
      <w:r>
        <w:rPr>
          <w:rFonts w:cstheme="minorHAnsi"/>
          <w:shd w:val="clear" w:color="auto" w:fill="FFFFFF"/>
        </w:rPr>
        <w:t>seem</w:t>
      </w:r>
      <w:r w:rsidRPr="0040585D">
        <w:rPr>
          <w:rFonts w:cstheme="minorHAnsi"/>
          <w:shd w:val="clear" w:color="auto" w:fill="FFFFFF"/>
        </w:rPr>
        <w:t xml:space="preserve"> less important.</w:t>
      </w:r>
      <w:r>
        <w:rPr>
          <w:rFonts w:cstheme="minorHAnsi"/>
          <w:shd w:val="clear" w:color="auto" w:fill="FFFFFF"/>
        </w:rPr>
        <w:t xml:space="preserve">  </w:t>
      </w:r>
      <w:r w:rsidRPr="002A6F16">
        <w:rPr>
          <w:rFonts w:cstheme="minorHAnsi"/>
          <w:shd w:val="clear" w:color="auto" w:fill="FFFFFF"/>
        </w:rPr>
        <w:t>The Voyage of Mael Duin</w:t>
      </w:r>
      <w:r>
        <w:rPr>
          <w:rFonts w:cstheme="minorHAnsi"/>
          <w:shd w:val="clear" w:color="auto" w:fill="FFFFFF"/>
        </w:rPr>
        <w:t xml:space="preserve"> </w:t>
      </w:r>
      <w:r w:rsidRPr="002A6F16">
        <w:rPr>
          <w:rFonts w:cstheme="minorHAnsi"/>
          <w:shd w:val="clear" w:color="auto" w:fill="FFFFFF"/>
        </w:rPr>
        <w:t xml:space="preserve">is </w:t>
      </w:r>
      <w:r>
        <w:rPr>
          <w:rFonts w:cstheme="minorHAnsi"/>
          <w:shd w:val="clear" w:color="auto" w:fill="FFFFFF"/>
        </w:rPr>
        <w:t xml:space="preserve">a detailed example of another </w:t>
      </w:r>
      <w:r w:rsidRPr="002A6F16">
        <w:rPr>
          <w:rFonts w:cstheme="minorHAnsi"/>
          <w:shd w:val="clear" w:color="auto" w:fill="FFFFFF"/>
        </w:rPr>
        <w:t>challenging trip</w:t>
      </w:r>
      <w:r>
        <w:rPr>
          <w:rFonts w:cstheme="minorHAnsi"/>
          <w:shd w:val="clear" w:color="auto" w:fill="FFFFFF"/>
        </w:rPr>
        <w:t xml:space="preserve"> involving the discovery of over thirty Otherworldly islands with vivid descriptions and colourful imagery.  Stokes comments that the story seems ‘full of fancy and even imaginative power.’</w:t>
      </w:r>
      <w:r>
        <w:rPr>
          <w:rStyle w:val="FootnoteReference"/>
          <w:rFonts w:cstheme="minorHAnsi"/>
          <w:shd w:val="clear" w:color="auto" w:fill="FFFFFF"/>
        </w:rPr>
        <w:footnoteReference w:id="18"/>
      </w:r>
      <w:r>
        <w:rPr>
          <w:rFonts w:cstheme="minorHAnsi"/>
          <w:shd w:val="clear" w:color="auto" w:fill="FFFFFF"/>
        </w:rPr>
        <w:t xml:space="preserve">  This story is very much concerned with the differences between these Otherworlds, some happy and some terrifying.</w:t>
      </w:r>
    </w:p>
    <w:p w14:paraId="2A1840E8" w14:textId="77777777" w:rsidR="00AF53EA" w:rsidRDefault="00AF53EA" w:rsidP="00AF53EA">
      <w:pPr>
        <w:spacing w:line="480" w:lineRule="auto"/>
        <w:jc w:val="both"/>
        <w:rPr>
          <w:rFonts w:cstheme="minorHAnsi"/>
          <w:shd w:val="clear" w:color="auto" w:fill="FFFFFF"/>
        </w:rPr>
      </w:pPr>
      <w:r>
        <w:rPr>
          <w:rFonts w:cstheme="minorHAnsi"/>
          <w:shd w:val="clear" w:color="auto" w:fill="FFFFFF"/>
        </w:rPr>
        <w:lastRenderedPageBreak/>
        <w:t xml:space="preserve">An exception to this observation about voyages leading to the Otherworld is found in the First Branch of the Mabinogi.  </w:t>
      </w:r>
      <w:r w:rsidRPr="00A50474">
        <w:rPr>
          <w:rFonts w:cstheme="minorHAnsi"/>
          <w:shd w:val="clear" w:color="auto" w:fill="FFFFFF"/>
        </w:rPr>
        <w:t>Arawn</w:t>
      </w:r>
      <w:r>
        <w:rPr>
          <w:rFonts w:cstheme="minorHAnsi"/>
          <w:shd w:val="clear" w:color="auto" w:fill="FFFFFF"/>
        </w:rPr>
        <w:t>, King of Annwfn</w:t>
      </w:r>
      <w:r w:rsidRPr="00A50474">
        <w:rPr>
          <w:rFonts w:cstheme="minorHAnsi"/>
          <w:shd w:val="clear" w:color="auto" w:fill="FFFFFF"/>
        </w:rPr>
        <w:t xml:space="preserve"> </w:t>
      </w:r>
      <w:r>
        <w:rPr>
          <w:rFonts w:cstheme="minorHAnsi"/>
          <w:shd w:val="clear" w:color="auto" w:fill="FFFFFF"/>
        </w:rPr>
        <w:t>tells Pwyll</w:t>
      </w:r>
      <w:r w:rsidRPr="00A50474">
        <w:rPr>
          <w:rFonts w:cstheme="minorHAnsi"/>
          <w:shd w:val="clear" w:color="auto" w:fill="FFFFFF"/>
        </w:rPr>
        <w:t>, ‘Your path will be smooth, and nothing will hinder you until you get to my land, and I will escort you’</w:t>
      </w:r>
      <w:r w:rsidRPr="00A50474">
        <w:rPr>
          <w:rStyle w:val="FootnoteReference"/>
          <w:rFonts w:cstheme="minorHAnsi"/>
          <w:shd w:val="clear" w:color="auto" w:fill="FFFFFF"/>
        </w:rPr>
        <w:footnoteReference w:id="19"/>
      </w:r>
      <w:r w:rsidRPr="00A50474">
        <w:rPr>
          <w:rFonts w:cstheme="minorHAnsi"/>
          <w:shd w:val="clear" w:color="auto" w:fill="FFFFFF"/>
        </w:rPr>
        <w:t xml:space="preserve"> and a</w:t>
      </w:r>
      <w:r>
        <w:rPr>
          <w:rFonts w:cstheme="minorHAnsi"/>
          <w:shd w:val="clear" w:color="auto" w:fill="FFFFFF"/>
        </w:rPr>
        <w:t xml:space="preserve"> very</w:t>
      </w:r>
      <w:r w:rsidRPr="00A50474">
        <w:rPr>
          <w:rFonts w:cstheme="minorHAnsi"/>
          <w:shd w:val="clear" w:color="auto" w:fill="FFFFFF"/>
        </w:rPr>
        <w:t xml:space="preserve"> short time later, they arrive at the gates of his kingdom.  In this story </w:t>
      </w:r>
      <w:r>
        <w:rPr>
          <w:rFonts w:cstheme="minorHAnsi"/>
          <w:shd w:val="clear" w:color="auto" w:fill="FFFFFF"/>
        </w:rPr>
        <w:t xml:space="preserve">Annwfn, </w:t>
      </w:r>
      <w:r w:rsidRPr="00A50474">
        <w:rPr>
          <w:rFonts w:cstheme="minorHAnsi"/>
          <w:shd w:val="clear" w:color="auto" w:fill="FFFFFF"/>
        </w:rPr>
        <w:t>is a relatively short distance and an easy journey from the</w:t>
      </w:r>
      <w:r>
        <w:rPr>
          <w:rFonts w:cstheme="minorHAnsi"/>
          <w:shd w:val="clear" w:color="auto" w:fill="FFFFFF"/>
        </w:rPr>
        <w:t xml:space="preserve"> mortal</w:t>
      </w:r>
      <w:r w:rsidRPr="00A50474">
        <w:rPr>
          <w:rFonts w:cstheme="minorHAnsi"/>
          <w:shd w:val="clear" w:color="auto" w:fill="FFFFFF"/>
        </w:rPr>
        <w:t xml:space="preserve"> land inhabited by Pwyll.  </w:t>
      </w:r>
      <w:r>
        <w:rPr>
          <w:rFonts w:cstheme="minorHAnsi"/>
          <w:shd w:val="clear" w:color="auto" w:fill="FFFFFF"/>
        </w:rPr>
        <w:t xml:space="preserve">No long, challenging voyage is involved here, there seems to be a very thin veil between the two worlds in this tale and indeed others in the Welsh tradition.  The Third Branch of the Mabinogi, for example, is full of otherworldly enchantment but with no reference to Annwfn.  The party went to Gorsedd Arberth and </w:t>
      </w:r>
    </w:p>
    <w:p w14:paraId="7F7EBF52" w14:textId="77777777" w:rsidR="00AF53EA" w:rsidRDefault="00AF53EA" w:rsidP="00AF53EA">
      <w:pPr>
        <w:spacing w:line="480" w:lineRule="auto"/>
        <w:ind w:left="720"/>
        <w:jc w:val="both"/>
        <w:rPr>
          <w:rFonts w:cstheme="minorHAnsi"/>
          <w:shd w:val="clear" w:color="auto" w:fill="FFFFFF"/>
        </w:rPr>
      </w:pPr>
      <w:r>
        <w:rPr>
          <w:rFonts w:cstheme="minorHAnsi"/>
          <w:shd w:val="clear" w:color="auto" w:fill="FFFFFF"/>
        </w:rPr>
        <w:t>‘they heard a tumultuous noise, and with the intensity of the noise there fell a blanket of mist so that they could not see each other.  And after the mist, everywhere became bright.  When they looked to where they had once seen the flocks and herds and dwelling-places, they could see nothing at all.’</w:t>
      </w:r>
      <w:r>
        <w:rPr>
          <w:rStyle w:val="FootnoteReference"/>
          <w:rFonts w:cstheme="minorHAnsi"/>
          <w:shd w:val="clear" w:color="auto" w:fill="FFFFFF"/>
        </w:rPr>
        <w:footnoteReference w:id="20"/>
      </w:r>
    </w:p>
    <w:p w14:paraId="3C7EB216" w14:textId="77777777" w:rsidR="00AF53EA" w:rsidRDefault="00AF53EA" w:rsidP="00AF53EA">
      <w:pPr>
        <w:spacing w:line="480" w:lineRule="auto"/>
        <w:jc w:val="both"/>
        <w:rPr>
          <w:rFonts w:cstheme="minorHAnsi"/>
          <w:shd w:val="clear" w:color="auto" w:fill="FFFFFF"/>
        </w:rPr>
      </w:pPr>
      <w:r>
        <w:rPr>
          <w:rFonts w:cstheme="minorHAnsi"/>
          <w:shd w:val="clear" w:color="auto" w:fill="FFFFFF"/>
        </w:rPr>
        <w:t>It is only later in the story that we discover that Llwyd son of Cil Coed ‘placed an enchantment on the seven cantrefs of Dyfed.’</w:t>
      </w:r>
      <w:r>
        <w:rPr>
          <w:rStyle w:val="FootnoteReference"/>
          <w:rFonts w:cstheme="minorHAnsi"/>
          <w:shd w:val="clear" w:color="auto" w:fill="FFFFFF"/>
        </w:rPr>
        <w:footnoteReference w:id="21"/>
      </w:r>
      <w:r>
        <w:rPr>
          <w:rFonts w:cstheme="minorHAnsi"/>
          <w:shd w:val="clear" w:color="auto" w:fill="FFFFFF"/>
        </w:rPr>
        <w:t xml:space="preserve">  So the mortal world becomes Otherworldly in this case.</w:t>
      </w:r>
    </w:p>
    <w:p w14:paraId="6382D539" w14:textId="77777777" w:rsidR="00AF53EA" w:rsidRDefault="00AF53EA" w:rsidP="00AF53EA">
      <w:pPr>
        <w:spacing w:line="480" w:lineRule="auto"/>
        <w:jc w:val="both"/>
        <w:rPr>
          <w:rFonts w:cstheme="minorHAnsi"/>
          <w:shd w:val="clear" w:color="auto" w:fill="FFFFFF"/>
        </w:rPr>
      </w:pPr>
      <w:r>
        <w:rPr>
          <w:rFonts w:cstheme="minorHAnsi"/>
          <w:shd w:val="clear" w:color="auto" w:fill="FFFFFF"/>
        </w:rPr>
        <w:t xml:space="preserve">Music, song and poetry play a significant role in depictions of Otherworlds in both Welsh and Irish texts.  </w:t>
      </w:r>
      <w:r>
        <w:rPr>
          <w:rFonts w:cstheme="minorHAnsi"/>
        </w:rPr>
        <w:t>The following examples show some of the variety of uses of music and poetry within the different tales.</w:t>
      </w:r>
    </w:p>
    <w:p w14:paraId="2D3AE6BE" w14:textId="77777777" w:rsidR="00AF53EA" w:rsidRDefault="00AF53EA" w:rsidP="00AF53EA">
      <w:pPr>
        <w:spacing w:line="480" w:lineRule="auto"/>
        <w:jc w:val="both"/>
        <w:rPr>
          <w:rFonts w:cstheme="minorHAnsi"/>
          <w:shd w:val="clear" w:color="auto" w:fill="FFFFFF"/>
        </w:rPr>
      </w:pPr>
      <w:r>
        <w:rPr>
          <w:rFonts w:cstheme="minorHAnsi"/>
          <w:shd w:val="clear" w:color="auto" w:fill="FFFFFF"/>
        </w:rPr>
        <w:t>Once Pwyll has arrived in Annwfn disguised as Arawn, he takes part in the activities of the court which involve ‘eating and drinking, singing and carousing.’</w:t>
      </w:r>
      <w:r>
        <w:rPr>
          <w:rStyle w:val="FootnoteReference"/>
          <w:rFonts w:cstheme="minorHAnsi"/>
          <w:shd w:val="clear" w:color="auto" w:fill="FFFFFF"/>
        </w:rPr>
        <w:footnoteReference w:id="22"/>
      </w:r>
      <w:r>
        <w:rPr>
          <w:rFonts w:cstheme="minorHAnsi"/>
          <w:shd w:val="clear" w:color="auto" w:fill="FFFFFF"/>
        </w:rPr>
        <w:t xml:space="preserve">  In fact, ‘he spends the whole year ‘hunting, and singing and carousing’.</w:t>
      </w:r>
      <w:r>
        <w:rPr>
          <w:rStyle w:val="FootnoteReference"/>
          <w:rFonts w:cstheme="minorHAnsi"/>
          <w:shd w:val="clear" w:color="auto" w:fill="FFFFFF"/>
        </w:rPr>
        <w:footnoteReference w:id="23"/>
      </w:r>
      <w:r>
        <w:rPr>
          <w:rFonts w:cstheme="minorHAnsi"/>
          <w:shd w:val="clear" w:color="auto" w:fill="FFFFFF"/>
        </w:rPr>
        <w:t xml:space="preserve">  This appears to illustrate the usual activities of an Otherworld Royal Court.</w:t>
      </w:r>
    </w:p>
    <w:p w14:paraId="47B2C43D" w14:textId="77777777" w:rsidR="00AF53EA" w:rsidRDefault="00AF53EA" w:rsidP="00AF53EA">
      <w:pPr>
        <w:spacing w:line="480" w:lineRule="auto"/>
        <w:jc w:val="both"/>
        <w:rPr>
          <w:rFonts w:cstheme="minorHAnsi"/>
          <w:shd w:val="clear" w:color="auto" w:fill="FFFFFF"/>
        </w:rPr>
      </w:pPr>
      <w:r>
        <w:rPr>
          <w:rFonts w:cstheme="minorHAnsi"/>
          <w:shd w:val="clear" w:color="auto" w:fill="FFFFFF"/>
        </w:rPr>
        <w:lastRenderedPageBreak/>
        <w:t>The Voyage of Bran uses music and poetry in an unusual way.  This story begins in the court of Bran, with the sudden appearance of a strange woman from unknown lands.  She has been able to enter the court by magical means.   Earlier, Bran had been out in the local area and kept hearing music behind him but was unable to discover the source.  So sweet was the melody that he fell asleep.  On waking, he finds a branch of silver with white blossoms and takes it back to court.  This appears to be the connection between Bran and the woman from the Otherworld.  Now mysteriously inside the court, she sings fifty quatrains to Bran and the others, a prophecy, a lyrical rendition of a trip that Bran will make.  In enticing Bran to take the voyage, the woman describes several musical aspects of the ‘Land of Women’.  She says that it is a place where ‘joy is known, ranked around music’, ‘there is nothing rough or harsh, But sweet music striking on the ear’ and tells him they will be ‘listening to sweet music, drinking the best of wine’.</w:t>
      </w:r>
      <w:r>
        <w:rPr>
          <w:rStyle w:val="FootnoteReference"/>
          <w:rFonts w:cstheme="minorHAnsi"/>
          <w:shd w:val="clear" w:color="auto" w:fill="FFFFFF"/>
        </w:rPr>
        <w:footnoteReference w:id="24"/>
      </w:r>
      <w:r>
        <w:rPr>
          <w:rFonts w:cstheme="minorHAnsi"/>
          <w:shd w:val="clear" w:color="auto" w:fill="FFFFFF"/>
        </w:rPr>
        <w:t xml:space="preserve">  The description is so engaging that Bran is compelled to experience this voyage.  During the voyage Bran meets a character called Manannan the son of Ler, and his words are also written in thirty quatrains of verse.  </w:t>
      </w:r>
    </w:p>
    <w:p w14:paraId="301F415C" w14:textId="77777777" w:rsidR="00AF53EA" w:rsidRPr="009753B1" w:rsidRDefault="00AF53EA" w:rsidP="00AF53EA">
      <w:pPr>
        <w:spacing w:line="480" w:lineRule="auto"/>
        <w:jc w:val="both"/>
        <w:rPr>
          <w:rFonts w:cstheme="minorHAnsi"/>
          <w:shd w:val="clear" w:color="auto" w:fill="FFFFFF"/>
        </w:rPr>
      </w:pPr>
      <w:r>
        <w:rPr>
          <w:rFonts w:cstheme="minorHAnsi"/>
          <w:shd w:val="clear" w:color="auto" w:fill="FFFFFF"/>
        </w:rPr>
        <w:t>Music sending mortals into deep sleep is also seen in the Voyage of Mael Duin on ‘The Island of the Magical Bridge and the Beautiful Hostess’.  It describes the striking of the brazen fastening and brazen net, ‘the sound which they made was a sweet and soothing music, which sent them to sleep till the morrow.’</w:t>
      </w:r>
      <w:r>
        <w:rPr>
          <w:rStyle w:val="FootnoteReference"/>
          <w:rFonts w:cstheme="minorHAnsi"/>
          <w:shd w:val="clear" w:color="auto" w:fill="FFFFFF"/>
        </w:rPr>
        <w:footnoteReference w:id="25"/>
      </w:r>
    </w:p>
    <w:p w14:paraId="3A1B4129" w14:textId="77777777" w:rsidR="00AF53EA" w:rsidRPr="005F3541" w:rsidRDefault="00AF53EA" w:rsidP="00AF53EA">
      <w:pPr>
        <w:spacing w:line="480" w:lineRule="auto"/>
        <w:jc w:val="both"/>
        <w:rPr>
          <w:rFonts w:cstheme="minorHAnsi"/>
          <w:b/>
          <w:bCs/>
          <w:shd w:val="clear" w:color="auto" w:fill="FFFFFF"/>
        </w:rPr>
      </w:pPr>
      <w:r w:rsidRPr="00A50474">
        <w:rPr>
          <w:rFonts w:cstheme="minorHAnsi"/>
        </w:rPr>
        <w:t xml:space="preserve">The Second Branch </w:t>
      </w:r>
      <w:r>
        <w:rPr>
          <w:rFonts w:cstheme="minorHAnsi"/>
        </w:rPr>
        <w:t xml:space="preserve">of the Mabinogi </w:t>
      </w:r>
      <w:r w:rsidRPr="00A50474">
        <w:rPr>
          <w:rFonts w:cstheme="minorHAnsi"/>
        </w:rPr>
        <w:t>provides us with</w:t>
      </w:r>
      <w:r>
        <w:rPr>
          <w:rFonts w:cstheme="minorHAnsi"/>
        </w:rPr>
        <w:t xml:space="preserve"> an example of </w:t>
      </w:r>
      <w:r w:rsidRPr="00A50474">
        <w:rPr>
          <w:rFonts w:cstheme="minorHAnsi"/>
        </w:rPr>
        <w:t xml:space="preserve">Otherworldly </w:t>
      </w:r>
      <w:r>
        <w:rPr>
          <w:rFonts w:cstheme="minorHAnsi"/>
        </w:rPr>
        <w:t>music, in this case birdsong, combined with feasting</w:t>
      </w:r>
      <w:r w:rsidRPr="00A50474">
        <w:rPr>
          <w:rFonts w:cstheme="minorHAnsi"/>
        </w:rPr>
        <w:t xml:space="preserve">.  </w:t>
      </w:r>
    </w:p>
    <w:p w14:paraId="429F9A76" w14:textId="77777777" w:rsidR="00AF53EA" w:rsidRPr="00A50474" w:rsidRDefault="00AF53EA" w:rsidP="00AF53EA">
      <w:pPr>
        <w:spacing w:line="480" w:lineRule="auto"/>
        <w:ind w:left="720"/>
        <w:jc w:val="both"/>
        <w:rPr>
          <w:rFonts w:cstheme="minorHAnsi"/>
        </w:rPr>
      </w:pPr>
      <w:r w:rsidRPr="00A50474">
        <w:rPr>
          <w:rFonts w:cstheme="minorHAnsi"/>
        </w:rPr>
        <w:t>‘As soon as they began to eat and drink, three birds came and began to sing them a song, and all the songs they had heard before were harsh compared to that one.’</w:t>
      </w:r>
      <w:r w:rsidRPr="00A50474">
        <w:rPr>
          <w:rStyle w:val="FootnoteReference"/>
          <w:rFonts w:cstheme="minorHAnsi"/>
        </w:rPr>
        <w:footnoteReference w:id="26"/>
      </w:r>
    </w:p>
    <w:p w14:paraId="7FF56F2A" w14:textId="77777777" w:rsidR="00AF53EA" w:rsidRDefault="00AF53EA" w:rsidP="00AF53EA">
      <w:pPr>
        <w:spacing w:line="480" w:lineRule="auto"/>
        <w:jc w:val="both"/>
        <w:rPr>
          <w:rFonts w:cstheme="minorHAnsi"/>
          <w:shd w:val="clear" w:color="auto" w:fill="FFFFFF"/>
        </w:rPr>
      </w:pPr>
      <w:r>
        <w:rPr>
          <w:rFonts w:cstheme="minorHAnsi"/>
          <w:shd w:val="clear" w:color="auto" w:fill="FFFFFF"/>
        </w:rPr>
        <w:lastRenderedPageBreak/>
        <w:t xml:space="preserve">Haycock suggested the prominence of the abundance of intoxicating liquor as a feature of the Welsh Otherworld, but to this I would add the abundance of food, and in particular, food that does not diminish, is a characteristic seen in Welsh and Irish tales.  </w:t>
      </w:r>
      <w:r w:rsidRPr="00E46A53">
        <w:rPr>
          <w:rFonts w:cstheme="minorHAnsi"/>
          <w:shd w:val="clear" w:color="auto" w:fill="FFFFFF"/>
        </w:rPr>
        <w:t>The</w:t>
      </w:r>
      <w:r>
        <w:rPr>
          <w:rFonts w:cstheme="minorHAnsi"/>
          <w:shd w:val="clear" w:color="auto" w:fill="FFFFFF"/>
        </w:rPr>
        <w:t xml:space="preserve"> men were welcomed to the</w:t>
      </w:r>
      <w:r w:rsidRPr="00E46A53">
        <w:rPr>
          <w:rFonts w:cstheme="minorHAnsi"/>
          <w:shd w:val="clear" w:color="auto" w:fill="FFFFFF"/>
        </w:rPr>
        <w:t xml:space="preserve"> </w:t>
      </w:r>
      <w:r>
        <w:rPr>
          <w:rFonts w:cstheme="minorHAnsi"/>
          <w:shd w:val="clear" w:color="auto" w:fill="FFFFFF"/>
        </w:rPr>
        <w:t>‘Land of the Women’ in the Voyage of Bran,</w:t>
      </w:r>
    </w:p>
    <w:p w14:paraId="05B69759" w14:textId="77777777" w:rsidR="00AF53EA" w:rsidRPr="00E46A53" w:rsidRDefault="00AF53EA" w:rsidP="00AF53EA">
      <w:pPr>
        <w:spacing w:line="480" w:lineRule="auto"/>
        <w:ind w:left="720"/>
        <w:jc w:val="both"/>
        <w:rPr>
          <w:rFonts w:cstheme="minorHAnsi"/>
          <w:shd w:val="clear" w:color="auto" w:fill="FFFFFF"/>
        </w:rPr>
      </w:pPr>
      <w:r>
        <w:rPr>
          <w:rFonts w:cstheme="minorHAnsi"/>
          <w:shd w:val="clear" w:color="auto" w:fill="FFFFFF"/>
        </w:rPr>
        <w:t xml:space="preserve">‘The food that was put on every dish vanished not from them.  It seemed a year to them that they were there, - it chanced to be many years.  No savour was wanting to them. </w:t>
      </w:r>
      <w:r>
        <w:rPr>
          <w:rStyle w:val="FootnoteReference"/>
          <w:rFonts w:cstheme="minorHAnsi"/>
          <w:shd w:val="clear" w:color="auto" w:fill="FFFFFF"/>
        </w:rPr>
        <w:footnoteReference w:id="27"/>
      </w:r>
    </w:p>
    <w:p w14:paraId="48D8D2D3" w14:textId="77777777" w:rsidR="00AF53EA" w:rsidRDefault="00AF53EA" w:rsidP="00AF53EA">
      <w:pPr>
        <w:spacing w:line="480" w:lineRule="auto"/>
        <w:jc w:val="both"/>
        <w:rPr>
          <w:rFonts w:cstheme="minorHAnsi"/>
          <w:shd w:val="clear" w:color="auto" w:fill="FFFFFF"/>
        </w:rPr>
      </w:pPr>
      <w:r>
        <w:rPr>
          <w:rFonts w:cstheme="minorHAnsi"/>
          <w:shd w:val="clear" w:color="auto" w:fill="FFFFFF"/>
        </w:rPr>
        <w:t>Peredur son of Efrog discovers a pavilion in a great desolate forest after travelling for two days and two nights.  A maiden greets him and</w:t>
      </w:r>
    </w:p>
    <w:p w14:paraId="411CC9E9" w14:textId="77777777" w:rsidR="00AF53EA" w:rsidRDefault="00AF53EA" w:rsidP="00AF53EA">
      <w:pPr>
        <w:spacing w:line="480" w:lineRule="auto"/>
        <w:ind w:left="720"/>
        <w:jc w:val="both"/>
        <w:rPr>
          <w:rFonts w:cstheme="minorHAnsi"/>
          <w:shd w:val="clear" w:color="auto" w:fill="FFFFFF"/>
        </w:rPr>
      </w:pPr>
      <w:r>
        <w:rPr>
          <w:rFonts w:cstheme="minorHAnsi"/>
          <w:shd w:val="clear" w:color="auto" w:fill="FFFFFF"/>
        </w:rPr>
        <w:t>‘at the far end of the pavilion he could see a table and two flagons full of wine, and two loaves of white bread, and chops of the flesh of suckling pigs.’</w:t>
      </w:r>
      <w:r>
        <w:rPr>
          <w:rStyle w:val="FootnoteReference"/>
          <w:rFonts w:cstheme="minorHAnsi"/>
          <w:shd w:val="clear" w:color="auto" w:fill="FFFFFF"/>
        </w:rPr>
        <w:footnoteReference w:id="28"/>
      </w:r>
    </w:p>
    <w:p w14:paraId="087AC0A5" w14:textId="77777777" w:rsidR="00AF53EA" w:rsidRDefault="00AF53EA" w:rsidP="00AF53EA">
      <w:pPr>
        <w:spacing w:line="480" w:lineRule="auto"/>
        <w:jc w:val="both"/>
        <w:rPr>
          <w:rFonts w:cstheme="minorHAnsi"/>
          <w:shd w:val="clear" w:color="auto" w:fill="FFFFFF"/>
        </w:rPr>
      </w:pPr>
      <w:r>
        <w:rPr>
          <w:rFonts w:cstheme="minorHAnsi"/>
          <w:shd w:val="clear" w:color="auto" w:fill="FFFFFF"/>
        </w:rPr>
        <w:t xml:space="preserve">While not strictly a visit to the Otherworld the experience certainly has Otherworldly characteristics.  The Otherworld feast scenes in the Mabinogi tales do not usually elaborate on the details on the food and drink in the same manner as in some of the Irish tales.  For example, </w:t>
      </w:r>
      <w:r w:rsidRPr="00E83561">
        <w:rPr>
          <w:rFonts w:cstheme="minorHAnsi"/>
          <w:shd w:val="clear" w:color="auto" w:fill="FFFFFF"/>
        </w:rPr>
        <w:t>The Voy</w:t>
      </w:r>
      <w:r>
        <w:rPr>
          <w:rFonts w:cstheme="minorHAnsi"/>
          <w:shd w:val="clear" w:color="auto" w:fill="FFFFFF"/>
        </w:rPr>
        <w:t>age of Mael Duín is littered with references to liquor and food.  This is in part due to the theme and style of the tale, the group are travelling by boat and do not take many supplies with them, they naturally have to rely on the hospitality of their Otherworld hosts or go hungry.  One element of the feasts is that they often appear to be prepared in advance as if the hosts were expecting the guests, as shown in the scene above with Peredur.  Since these are generally Otherworld experiences, it is perfectly possible for the hosts to have some knowledge of the actions of the mortals.</w:t>
      </w:r>
    </w:p>
    <w:p w14:paraId="683D3AFA" w14:textId="77777777" w:rsidR="00AF53EA" w:rsidRDefault="00AF53EA" w:rsidP="00AF53EA">
      <w:pPr>
        <w:spacing w:line="480" w:lineRule="auto"/>
        <w:jc w:val="both"/>
        <w:rPr>
          <w:rFonts w:cstheme="minorHAnsi"/>
          <w:shd w:val="clear" w:color="auto" w:fill="FFFFFF"/>
        </w:rPr>
      </w:pPr>
      <w:r>
        <w:rPr>
          <w:rFonts w:cstheme="minorHAnsi"/>
          <w:shd w:val="clear" w:color="auto" w:fill="FFFFFF"/>
        </w:rPr>
        <w:t>The group arrive at ‘The House of Salmon’ hungry and thirsty but find</w:t>
      </w:r>
    </w:p>
    <w:p w14:paraId="100C7C23" w14:textId="77777777" w:rsidR="00AF53EA" w:rsidRDefault="00AF53EA" w:rsidP="00AF53EA">
      <w:pPr>
        <w:spacing w:line="480" w:lineRule="auto"/>
        <w:ind w:left="720"/>
        <w:jc w:val="both"/>
        <w:rPr>
          <w:rFonts w:cstheme="minorHAnsi"/>
          <w:shd w:val="clear" w:color="auto" w:fill="FFFFFF"/>
        </w:rPr>
      </w:pPr>
      <w:r>
        <w:rPr>
          <w:rFonts w:cstheme="minorHAnsi"/>
          <w:shd w:val="clear" w:color="auto" w:fill="FFFFFF"/>
        </w:rPr>
        <w:t>‘a bed for every three of his household, and food for three before every bed, and a vessel of glass with good liquor before every bed,’</w:t>
      </w:r>
      <w:r>
        <w:rPr>
          <w:rStyle w:val="FootnoteReference"/>
          <w:rFonts w:cstheme="minorHAnsi"/>
          <w:shd w:val="clear" w:color="auto" w:fill="FFFFFF"/>
        </w:rPr>
        <w:footnoteReference w:id="29"/>
      </w:r>
      <w:r>
        <w:rPr>
          <w:rFonts w:cstheme="minorHAnsi"/>
          <w:shd w:val="clear" w:color="auto" w:fill="FFFFFF"/>
        </w:rPr>
        <w:t xml:space="preserve"> </w:t>
      </w:r>
    </w:p>
    <w:p w14:paraId="4A031318" w14:textId="77777777" w:rsidR="00AF53EA" w:rsidRDefault="00AF53EA" w:rsidP="00AF53EA">
      <w:pPr>
        <w:spacing w:line="480" w:lineRule="auto"/>
        <w:jc w:val="both"/>
        <w:rPr>
          <w:rFonts w:cstheme="minorHAnsi"/>
          <w:shd w:val="clear" w:color="auto" w:fill="FFFFFF"/>
        </w:rPr>
      </w:pPr>
      <w:r>
        <w:rPr>
          <w:rFonts w:cstheme="minorHAnsi"/>
          <w:shd w:val="clear" w:color="auto" w:fill="FFFFFF"/>
        </w:rPr>
        <w:lastRenderedPageBreak/>
        <w:t>During the next part of the voyage Mael Duín took a rod of wood in his hand and</w:t>
      </w:r>
    </w:p>
    <w:p w14:paraId="73006B63" w14:textId="77777777" w:rsidR="00AF53EA" w:rsidRDefault="00AF53EA" w:rsidP="00AF53EA">
      <w:pPr>
        <w:spacing w:line="480" w:lineRule="auto"/>
        <w:ind w:left="720"/>
        <w:jc w:val="both"/>
        <w:rPr>
          <w:rFonts w:cstheme="minorHAnsi"/>
          <w:shd w:val="clear" w:color="auto" w:fill="FFFFFF"/>
        </w:rPr>
      </w:pPr>
      <w:r>
        <w:rPr>
          <w:rFonts w:cstheme="minorHAnsi"/>
          <w:shd w:val="clear" w:color="auto" w:fill="FFFFFF"/>
        </w:rPr>
        <w:t>‘on the third day he found a cluster of three apples at the end of the rod.  For forty nights each of these apples sufficed them.’</w:t>
      </w:r>
      <w:r>
        <w:rPr>
          <w:rStyle w:val="FootnoteReference"/>
          <w:rFonts w:cstheme="minorHAnsi"/>
          <w:shd w:val="clear" w:color="auto" w:fill="FFFFFF"/>
        </w:rPr>
        <w:footnoteReference w:id="30"/>
      </w:r>
    </w:p>
    <w:p w14:paraId="7224B5D7" w14:textId="77777777" w:rsidR="00AF53EA" w:rsidRDefault="00AF53EA" w:rsidP="00AF53EA">
      <w:pPr>
        <w:spacing w:line="480" w:lineRule="auto"/>
        <w:jc w:val="both"/>
        <w:rPr>
          <w:rFonts w:cstheme="minorHAnsi"/>
          <w:shd w:val="clear" w:color="auto" w:fill="FFFFFF"/>
        </w:rPr>
      </w:pPr>
      <w:r>
        <w:rPr>
          <w:rFonts w:cstheme="minorHAnsi"/>
          <w:shd w:val="clear" w:color="auto" w:fill="FFFFFF"/>
        </w:rPr>
        <w:t>They arrived on the island with ‘The Guardian Cat’ and found the beautiful white fort deserted apart from the cat.  Inside they find ‘a roasted ox, moreover, and a flitch in the midst of the house, and great vessels with good intoxicating liquor’.</w:t>
      </w:r>
      <w:r>
        <w:rPr>
          <w:rStyle w:val="FootnoteReference"/>
          <w:rFonts w:cstheme="minorHAnsi"/>
          <w:shd w:val="clear" w:color="auto" w:fill="FFFFFF"/>
        </w:rPr>
        <w:footnoteReference w:id="31"/>
      </w:r>
      <w:r>
        <w:rPr>
          <w:rFonts w:cstheme="minorHAnsi"/>
          <w:shd w:val="clear" w:color="auto" w:fill="FFFFFF"/>
        </w:rPr>
        <w:t xml:space="preserve">  On the ‘Island of the Four Fences’, a maiden ‘dealt (liquor) to them out of a little vessel, so that they slept an intoxication of three days and three nights.’</w:t>
      </w:r>
      <w:r>
        <w:rPr>
          <w:rStyle w:val="FootnoteReference"/>
          <w:rFonts w:cstheme="minorHAnsi"/>
          <w:shd w:val="clear" w:color="auto" w:fill="FFFFFF"/>
        </w:rPr>
        <w:footnoteReference w:id="32"/>
      </w:r>
      <w:r>
        <w:rPr>
          <w:rFonts w:cstheme="minorHAnsi"/>
          <w:shd w:val="clear" w:color="auto" w:fill="FFFFFF"/>
        </w:rPr>
        <w:t xml:space="preserve"> </w:t>
      </w:r>
    </w:p>
    <w:p w14:paraId="0560E322" w14:textId="77777777" w:rsidR="00AF53EA" w:rsidRPr="00A50474" w:rsidRDefault="00AF53EA" w:rsidP="00AF53EA">
      <w:pPr>
        <w:spacing w:line="480" w:lineRule="auto"/>
        <w:jc w:val="both"/>
        <w:rPr>
          <w:rFonts w:cstheme="minorHAnsi"/>
        </w:rPr>
      </w:pPr>
      <w:r>
        <w:rPr>
          <w:rFonts w:cstheme="minorHAnsi"/>
          <w:shd w:val="clear" w:color="auto" w:fill="FFFFFF"/>
        </w:rPr>
        <w:t xml:space="preserve">Supernatural characteristics are common in the Otherworld locations.  </w:t>
      </w:r>
      <w:r>
        <w:rPr>
          <w:rFonts w:cstheme="minorHAnsi"/>
        </w:rPr>
        <w:t>In the Second Branch, a</w:t>
      </w:r>
      <w:r w:rsidRPr="00A50474">
        <w:rPr>
          <w:rFonts w:cstheme="minorHAnsi"/>
        </w:rPr>
        <w:t>t the end of th</w:t>
      </w:r>
      <w:r>
        <w:rPr>
          <w:rFonts w:cstheme="minorHAnsi"/>
        </w:rPr>
        <w:t>e seven-year feast in Harlech</w:t>
      </w:r>
      <w:r w:rsidRPr="00A50474">
        <w:rPr>
          <w:rFonts w:cstheme="minorHAnsi"/>
        </w:rPr>
        <w:t>, the</w:t>
      </w:r>
      <w:r>
        <w:rPr>
          <w:rFonts w:cstheme="minorHAnsi"/>
        </w:rPr>
        <w:t xml:space="preserve"> group </w:t>
      </w:r>
      <w:r w:rsidRPr="00A50474">
        <w:rPr>
          <w:rFonts w:cstheme="minorHAnsi"/>
        </w:rPr>
        <w:t>travel to the island of Gwales where they find a Royal dwelling above the sea with a great hall</w:t>
      </w:r>
      <w:r>
        <w:rPr>
          <w:rFonts w:cstheme="minorHAnsi"/>
        </w:rPr>
        <w:t xml:space="preserve"> waiting for them</w:t>
      </w:r>
      <w:r w:rsidRPr="00A50474">
        <w:rPr>
          <w:rFonts w:cstheme="minorHAnsi"/>
        </w:rPr>
        <w:t>.</w:t>
      </w:r>
    </w:p>
    <w:p w14:paraId="70F643B9" w14:textId="77777777" w:rsidR="00AF53EA" w:rsidRPr="00A50474" w:rsidRDefault="00AF53EA" w:rsidP="00AF53EA">
      <w:pPr>
        <w:spacing w:line="480" w:lineRule="auto"/>
        <w:ind w:left="720"/>
        <w:jc w:val="both"/>
        <w:rPr>
          <w:rFonts w:cstheme="minorHAnsi"/>
        </w:rPr>
      </w:pPr>
      <w:r w:rsidRPr="00A50474">
        <w:rPr>
          <w:rFonts w:cstheme="minorHAnsi"/>
        </w:rPr>
        <w:t xml:space="preserve">‘That night they stayed there contented and lacking nothing.  And of all the sorrow they had themselves seen and suffered, they remembered none of it nor of any grief in the world. </w:t>
      </w:r>
      <w:r>
        <w:rPr>
          <w:rFonts w:cstheme="minorHAnsi"/>
        </w:rPr>
        <w:t xml:space="preserve"> </w:t>
      </w:r>
      <w:r w:rsidRPr="00A50474">
        <w:rPr>
          <w:rFonts w:cstheme="minorHAnsi"/>
        </w:rPr>
        <w:t>And there they spent eighty years so that they were not aware of ever having spent a more pleasurable or more delightful time.’</w:t>
      </w:r>
      <w:r w:rsidRPr="00A50474">
        <w:rPr>
          <w:rStyle w:val="FootnoteReference"/>
          <w:rFonts w:cstheme="minorHAnsi"/>
        </w:rPr>
        <w:footnoteReference w:id="33"/>
      </w:r>
    </w:p>
    <w:p w14:paraId="32910F23" w14:textId="77777777" w:rsidR="00AF53EA" w:rsidRPr="009512FB" w:rsidRDefault="00AF53EA" w:rsidP="00AF53EA">
      <w:pPr>
        <w:spacing w:line="480" w:lineRule="auto"/>
        <w:jc w:val="both"/>
        <w:rPr>
          <w:rFonts w:cstheme="minorHAnsi"/>
        </w:rPr>
      </w:pPr>
      <w:r w:rsidRPr="00A50474">
        <w:rPr>
          <w:rFonts w:cstheme="minorHAnsi"/>
        </w:rPr>
        <w:t>Th</w:t>
      </w:r>
      <w:r>
        <w:rPr>
          <w:rFonts w:cstheme="minorHAnsi"/>
        </w:rPr>
        <w:t>i</w:t>
      </w:r>
      <w:r w:rsidRPr="00A50474">
        <w:rPr>
          <w:rFonts w:cstheme="minorHAnsi"/>
        </w:rPr>
        <w:t>s</w:t>
      </w:r>
      <w:r>
        <w:rPr>
          <w:rFonts w:cstheme="minorHAnsi"/>
        </w:rPr>
        <w:t xml:space="preserve"> particular</w:t>
      </w:r>
      <w:r w:rsidRPr="00A50474">
        <w:rPr>
          <w:rFonts w:cstheme="minorHAnsi"/>
        </w:rPr>
        <w:t xml:space="preserve"> feast</w:t>
      </w:r>
      <w:r>
        <w:rPr>
          <w:rFonts w:cstheme="minorHAnsi"/>
        </w:rPr>
        <w:t xml:space="preserve"> lasted for eighty years and</w:t>
      </w:r>
      <w:r w:rsidRPr="00A50474">
        <w:rPr>
          <w:rFonts w:cstheme="minorHAnsi"/>
        </w:rPr>
        <w:t xml:space="preserve"> descriptions</w:t>
      </w:r>
      <w:r>
        <w:rPr>
          <w:rFonts w:cstheme="minorHAnsi"/>
        </w:rPr>
        <w:t xml:space="preserve"> like this</w:t>
      </w:r>
      <w:r w:rsidRPr="00A50474">
        <w:rPr>
          <w:rFonts w:cstheme="minorHAnsi"/>
        </w:rPr>
        <w:t xml:space="preserve"> give us more of an insight into the</w:t>
      </w:r>
      <w:r>
        <w:rPr>
          <w:rFonts w:cstheme="minorHAnsi"/>
        </w:rPr>
        <w:t xml:space="preserve"> features of the</w:t>
      </w:r>
      <w:r w:rsidRPr="00A50474">
        <w:rPr>
          <w:rFonts w:cstheme="minorHAnsi"/>
        </w:rPr>
        <w:t xml:space="preserve"> Welsh Otherworld, a place where time passes quickly, people do not age, food does not diminish and there is no grief or sorrow.</w:t>
      </w:r>
      <w:r>
        <w:rPr>
          <w:rFonts w:cstheme="minorHAnsi"/>
        </w:rPr>
        <w:t xml:space="preserve">  The poem </w:t>
      </w:r>
      <w:r>
        <w:rPr>
          <w:rFonts w:cstheme="minorHAnsi"/>
          <w:shd w:val="clear" w:color="auto" w:fill="FFFFFF"/>
        </w:rPr>
        <w:t xml:space="preserve">Golychaf-i Gulwyd describes ‘Kaer Sidi’ (Caer </w:t>
      </w:r>
      <w:proofErr w:type="spellStart"/>
      <w:r>
        <w:rPr>
          <w:rFonts w:cstheme="minorHAnsi"/>
          <w:shd w:val="clear" w:color="auto" w:fill="FFFFFF"/>
        </w:rPr>
        <w:t>Siddi</w:t>
      </w:r>
      <w:proofErr w:type="spellEnd"/>
      <w:r>
        <w:rPr>
          <w:rFonts w:cstheme="minorHAnsi"/>
          <w:shd w:val="clear" w:color="auto" w:fill="FFFFFF"/>
        </w:rPr>
        <w:t>) in a similar way, here there is both ‘harmonious song’ and ‘sickness and old age do not afflict those who are there.’</w:t>
      </w:r>
      <w:r>
        <w:rPr>
          <w:rStyle w:val="FootnoteReference"/>
          <w:rFonts w:cstheme="minorHAnsi"/>
          <w:shd w:val="clear" w:color="auto" w:fill="FFFFFF"/>
        </w:rPr>
        <w:footnoteReference w:id="34"/>
      </w:r>
    </w:p>
    <w:p w14:paraId="01FE802B" w14:textId="77777777" w:rsidR="00AF53EA" w:rsidRPr="00A50474" w:rsidRDefault="00AF53EA" w:rsidP="00AF53EA">
      <w:pPr>
        <w:spacing w:line="480" w:lineRule="auto"/>
        <w:jc w:val="both"/>
        <w:rPr>
          <w:rFonts w:cstheme="minorHAnsi"/>
          <w:shd w:val="clear" w:color="auto" w:fill="FFFFFF"/>
        </w:rPr>
      </w:pPr>
      <w:r>
        <w:rPr>
          <w:rFonts w:cstheme="minorHAnsi"/>
          <w:shd w:val="clear" w:color="auto" w:fill="FFFFFF"/>
        </w:rPr>
        <w:lastRenderedPageBreak/>
        <w:t xml:space="preserve">There are a few detailed descriptions of the physical aspects of Welsh Otherworlds.  </w:t>
      </w:r>
      <w:r w:rsidRPr="00A50474">
        <w:rPr>
          <w:rFonts w:cstheme="minorHAnsi"/>
          <w:shd w:val="clear" w:color="auto" w:fill="FFFFFF"/>
        </w:rPr>
        <w:t xml:space="preserve">The description of the court at Annwfn </w:t>
      </w:r>
      <w:r>
        <w:rPr>
          <w:rFonts w:cstheme="minorHAnsi"/>
          <w:shd w:val="clear" w:color="auto" w:fill="FFFFFF"/>
        </w:rPr>
        <w:t>in the First Branch</w:t>
      </w:r>
      <w:r w:rsidRPr="00A50474">
        <w:rPr>
          <w:rFonts w:cstheme="minorHAnsi"/>
          <w:shd w:val="clear" w:color="auto" w:fill="FFFFFF"/>
        </w:rPr>
        <w:t>, is</w:t>
      </w:r>
      <w:r>
        <w:rPr>
          <w:rFonts w:cstheme="minorHAnsi"/>
          <w:shd w:val="clear" w:color="auto" w:fill="FFFFFF"/>
        </w:rPr>
        <w:t xml:space="preserve"> </w:t>
      </w:r>
      <w:r w:rsidRPr="00A50474">
        <w:rPr>
          <w:rFonts w:cstheme="minorHAnsi"/>
          <w:shd w:val="clear" w:color="auto" w:fill="FFFFFF"/>
        </w:rPr>
        <w:t>rather unremarkable for an Otherworld</w:t>
      </w:r>
      <w:r>
        <w:rPr>
          <w:rFonts w:cstheme="minorHAnsi"/>
          <w:shd w:val="clear" w:color="auto" w:fill="FFFFFF"/>
        </w:rPr>
        <w:t xml:space="preserve"> court</w:t>
      </w:r>
      <w:r w:rsidRPr="00A50474">
        <w:rPr>
          <w:rFonts w:cstheme="minorHAnsi"/>
          <w:shd w:val="clear" w:color="auto" w:fill="FFFFFF"/>
        </w:rPr>
        <w:t>,</w:t>
      </w:r>
    </w:p>
    <w:p w14:paraId="1B87ABEB" w14:textId="77777777" w:rsidR="00AF53EA" w:rsidRPr="00A50474" w:rsidRDefault="00AF53EA" w:rsidP="00AF53EA">
      <w:pPr>
        <w:spacing w:line="480" w:lineRule="auto"/>
        <w:ind w:left="720"/>
        <w:jc w:val="both"/>
        <w:rPr>
          <w:rFonts w:cstheme="minorHAnsi"/>
          <w:shd w:val="clear" w:color="auto" w:fill="FFFFFF"/>
        </w:rPr>
      </w:pPr>
      <w:r w:rsidRPr="00A50474">
        <w:rPr>
          <w:rFonts w:cstheme="minorHAnsi"/>
          <w:shd w:val="clear" w:color="auto" w:fill="FFFFFF"/>
        </w:rPr>
        <w:t>‘He saw sleeping quarters there and halls and rooms and the most beautifully adorned buildings that anyone had seen.’ And,</w:t>
      </w:r>
    </w:p>
    <w:p w14:paraId="3EDB15FD" w14:textId="77777777" w:rsidR="00AF53EA" w:rsidRPr="00A50474" w:rsidRDefault="00AF53EA" w:rsidP="00AF53EA">
      <w:pPr>
        <w:spacing w:line="480" w:lineRule="auto"/>
        <w:ind w:left="720"/>
        <w:jc w:val="both"/>
        <w:rPr>
          <w:rFonts w:cstheme="minorHAnsi"/>
          <w:shd w:val="clear" w:color="auto" w:fill="FFFFFF"/>
        </w:rPr>
      </w:pPr>
      <w:r w:rsidRPr="00A50474">
        <w:rPr>
          <w:rFonts w:cstheme="minorHAnsi"/>
          <w:shd w:val="clear" w:color="auto" w:fill="FFFFFF"/>
        </w:rPr>
        <w:t>‘Of all the courts he had seen on earth, that was the court with the most food and drink and golden vessels and royal jewels.’</w:t>
      </w:r>
      <w:r w:rsidRPr="00A50474">
        <w:rPr>
          <w:rStyle w:val="FootnoteReference"/>
          <w:rFonts w:cstheme="minorHAnsi"/>
          <w:shd w:val="clear" w:color="auto" w:fill="FFFFFF"/>
        </w:rPr>
        <w:footnoteReference w:id="35"/>
      </w:r>
    </w:p>
    <w:p w14:paraId="75E75D8E" w14:textId="77777777" w:rsidR="00AF53EA" w:rsidRDefault="00AF53EA" w:rsidP="00AF53EA">
      <w:pPr>
        <w:spacing w:line="480" w:lineRule="auto"/>
        <w:jc w:val="both"/>
        <w:rPr>
          <w:rFonts w:cstheme="minorHAnsi"/>
        </w:rPr>
      </w:pPr>
      <w:r w:rsidRPr="00A50474">
        <w:rPr>
          <w:rFonts w:cstheme="minorHAnsi"/>
          <w:shd w:val="clear" w:color="auto" w:fill="FFFFFF"/>
        </w:rPr>
        <w:t xml:space="preserve">This description does not make the Otherworld court sound </w:t>
      </w:r>
      <w:r>
        <w:rPr>
          <w:rFonts w:cstheme="minorHAnsi"/>
          <w:shd w:val="clear" w:color="auto" w:fill="FFFFFF"/>
        </w:rPr>
        <w:t xml:space="preserve">any </w:t>
      </w:r>
      <w:r w:rsidRPr="00A50474">
        <w:rPr>
          <w:rFonts w:cstheme="minorHAnsi"/>
          <w:shd w:val="clear" w:color="auto" w:fill="FFFFFF"/>
        </w:rPr>
        <w:t>grander</w:t>
      </w:r>
      <w:r>
        <w:rPr>
          <w:rFonts w:cstheme="minorHAnsi"/>
          <w:shd w:val="clear" w:color="auto" w:fill="FFFFFF"/>
        </w:rPr>
        <w:t xml:space="preserve"> or more impressive</w:t>
      </w:r>
      <w:r w:rsidRPr="00A50474">
        <w:rPr>
          <w:rFonts w:cstheme="minorHAnsi"/>
          <w:shd w:val="clear" w:color="auto" w:fill="FFFFFF"/>
        </w:rPr>
        <w:t xml:space="preserve"> than any Royal court in any </w:t>
      </w:r>
      <w:r>
        <w:rPr>
          <w:rFonts w:cstheme="minorHAnsi"/>
          <w:shd w:val="clear" w:color="auto" w:fill="FFFFFF"/>
        </w:rPr>
        <w:t xml:space="preserve">mortal </w:t>
      </w:r>
      <w:r w:rsidRPr="00A50474">
        <w:rPr>
          <w:rFonts w:cstheme="minorHAnsi"/>
          <w:shd w:val="clear" w:color="auto" w:fill="FFFFFF"/>
        </w:rPr>
        <w:t>kingdom.</w:t>
      </w:r>
      <w:r>
        <w:rPr>
          <w:rFonts w:cstheme="minorHAnsi"/>
          <w:shd w:val="clear" w:color="auto" w:fill="FFFFFF"/>
        </w:rPr>
        <w:t xml:space="preserve">   </w:t>
      </w:r>
      <w:r>
        <w:rPr>
          <w:rFonts w:cstheme="minorHAnsi"/>
        </w:rPr>
        <w:t>However, the description of the castle from the Dream of the Emperor Maxen, conjours a real sense of opulence and ‘otherworldliness’.</w:t>
      </w:r>
    </w:p>
    <w:p w14:paraId="47FCF7D6" w14:textId="77777777" w:rsidR="00AF53EA" w:rsidRDefault="00AF53EA" w:rsidP="00AF53EA">
      <w:pPr>
        <w:spacing w:line="480" w:lineRule="auto"/>
        <w:ind w:left="720"/>
        <w:jc w:val="both"/>
        <w:rPr>
          <w:rFonts w:cstheme="minorHAnsi"/>
        </w:rPr>
      </w:pPr>
      <w:r>
        <w:rPr>
          <w:rFonts w:cstheme="minorHAnsi"/>
        </w:rPr>
        <w:t>‘He thought that the roof-tiles of the hall were all of gold.  The side of the hall he thought to be of valuable, sparkling stones.  The floors of the hall he imagined to be of pure gold, with golden couches and silver tables.’</w:t>
      </w:r>
      <w:r>
        <w:rPr>
          <w:rStyle w:val="FootnoteReference"/>
          <w:rFonts w:cstheme="minorHAnsi"/>
        </w:rPr>
        <w:footnoteReference w:id="36"/>
      </w:r>
    </w:p>
    <w:p w14:paraId="4EBCB245" w14:textId="77777777" w:rsidR="00AF53EA" w:rsidRPr="00A50474" w:rsidRDefault="00AF53EA" w:rsidP="00AF53EA">
      <w:pPr>
        <w:spacing w:line="480" w:lineRule="auto"/>
        <w:jc w:val="both"/>
        <w:rPr>
          <w:rFonts w:cstheme="minorHAnsi"/>
        </w:rPr>
      </w:pPr>
      <w:r w:rsidRPr="00A50474">
        <w:rPr>
          <w:rFonts w:cstheme="minorHAnsi"/>
        </w:rPr>
        <w:t>In the Third Branch a hunt and a chance encounter with ‘a gleaming-white wild boar’, leads Pryderi and Manawydan to ‘a huge, towering fort, newly built, in a place where they had never before seen either stone or building.’</w:t>
      </w:r>
      <w:r w:rsidRPr="00A50474">
        <w:rPr>
          <w:rStyle w:val="FootnoteReference"/>
          <w:rFonts w:cstheme="minorHAnsi"/>
        </w:rPr>
        <w:footnoteReference w:id="37"/>
      </w:r>
      <w:r w:rsidRPr="00A50474">
        <w:rPr>
          <w:rFonts w:cstheme="minorHAnsi"/>
        </w:rPr>
        <w:t xml:space="preserve">  Manawydan suspects some kind of spell has been cast but Pryderi insists on entering the fort to search for his hounds. </w:t>
      </w:r>
      <w:r>
        <w:rPr>
          <w:rFonts w:cstheme="minorHAnsi"/>
        </w:rPr>
        <w:t xml:space="preserve"> </w:t>
      </w:r>
      <w:r w:rsidRPr="00A50474">
        <w:rPr>
          <w:rFonts w:cstheme="minorHAnsi"/>
        </w:rPr>
        <w:t>Pryderi finds the fort empty apart from a well, surrounded by marblework and a golden bowl suspended above a marble slab by four chains.  Entranced by the beauty of the bowl, he grabs it and as he does so, his hands stick to the bow</w:t>
      </w:r>
      <w:r>
        <w:rPr>
          <w:rFonts w:cstheme="minorHAnsi"/>
        </w:rPr>
        <w:t>l</w:t>
      </w:r>
      <w:r w:rsidRPr="00A50474">
        <w:rPr>
          <w:rFonts w:cstheme="minorHAnsi"/>
        </w:rPr>
        <w:t>, his feet stick to the marble and he loses the ability to speak.  Manawydan waited for Pryderi to come out of the fort and eventually returned to court alone.  He tells</w:t>
      </w:r>
      <w:r>
        <w:rPr>
          <w:rFonts w:cstheme="minorHAnsi"/>
        </w:rPr>
        <w:t xml:space="preserve"> Rhiannon</w:t>
      </w:r>
      <w:r w:rsidRPr="00A50474">
        <w:rPr>
          <w:rFonts w:cstheme="minorHAnsi"/>
        </w:rPr>
        <w:t xml:space="preserve"> the story </w:t>
      </w:r>
      <w:r>
        <w:rPr>
          <w:rFonts w:cstheme="minorHAnsi"/>
        </w:rPr>
        <w:t xml:space="preserve">of the appearance of the strange fortress </w:t>
      </w:r>
      <w:r w:rsidRPr="00A50474">
        <w:rPr>
          <w:rFonts w:cstheme="minorHAnsi"/>
        </w:rPr>
        <w:t>and</w:t>
      </w:r>
      <w:r>
        <w:rPr>
          <w:rFonts w:cstheme="minorHAnsi"/>
        </w:rPr>
        <w:t xml:space="preserve"> </w:t>
      </w:r>
      <w:r w:rsidRPr="00A50474">
        <w:rPr>
          <w:rFonts w:cstheme="minorHAnsi"/>
        </w:rPr>
        <w:t xml:space="preserve">she heads out to search for Pryderi. </w:t>
      </w:r>
      <w:r>
        <w:rPr>
          <w:rFonts w:cstheme="minorHAnsi"/>
        </w:rPr>
        <w:t xml:space="preserve"> </w:t>
      </w:r>
      <w:r w:rsidRPr="00A50474">
        <w:rPr>
          <w:rFonts w:cstheme="minorHAnsi"/>
        </w:rPr>
        <w:t xml:space="preserve">She finds the fort as Manawydan described and enters to find Pryderi holding the </w:t>
      </w:r>
      <w:r w:rsidRPr="00A50474">
        <w:rPr>
          <w:rFonts w:cstheme="minorHAnsi"/>
        </w:rPr>
        <w:lastRenderedPageBreak/>
        <w:t>bowl.  She reaches out and take hold of the bowl, promptly getting stuck in the same way and</w:t>
      </w:r>
      <w:r>
        <w:rPr>
          <w:rFonts w:cstheme="minorHAnsi"/>
        </w:rPr>
        <w:t xml:space="preserve"> also</w:t>
      </w:r>
      <w:r w:rsidRPr="00A50474">
        <w:rPr>
          <w:rFonts w:cstheme="minorHAnsi"/>
        </w:rPr>
        <w:t xml:space="preserve"> finding herself unable to speak.  When night fell, there was a huge noise, a blanket of mist and they and the fort disappeared.</w:t>
      </w:r>
      <w:r w:rsidRPr="00A50474">
        <w:rPr>
          <w:rStyle w:val="FootnoteReference"/>
          <w:rFonts w:cstheme="minorHAnsi"/>
        </w:rPr>
        <w:footnoteReference w:id="38"/>
      </w:r>
      <w:r w:rsidRPr="00A50474">
        <w:rPr>
          <w:rFonts w:cstheme="minorHAnsi"/>
        </w:rPr>
        <w:t xml:space="preserve"> </w:t>
      </w:r>
    </w:p>
    <w:p w14:paraId="380FDFA0" w14:textId="77777777" w:rsidR="00AF53EA" w:rsidRDefault="00AF53EA" w:rsidP="00AF53EA">
      <w:pPr>
        <w:spacing w:line="480" w:lineRule="auto"/>
        <w:jc w:val="both"/>
        <w:rPr>
          <w:rFonts w:cstheme="minorHAnsi"/>
          <w:shd w:val="clear" w:color="auto" w:fill="FFFFFF"/>
        </w:rPr>
      </w:pPr>
      <w:r>
        <w:rPr>
          <w:rFonts w:cstheme="minorHAnsi"/>
          <w:shd w:val="clear" w:color="auto" w:fill="FFFFFF"/>
        </w:rPr>
        <w:t>This peculiar property of certain objects is another element of the Otherworlds.  The ‘sticky’ object used to trap mortals is one that comes to mind from two Irish tales.  The story of the ‘Island Queen and her Seventeen Daughters’ in the Voyage of Mael Duín is reminiscent of the ‘Land of the Women’ in the Voyage of Bran.  When Bran and his crew arrive at the ‘Land of the Women’, they are hesitant to go ashore.</w:t>
      </w:r>
    </w:p>
    <w:p w14:paraId="5402DFCE" w14:textId="77777777" w:rsidR="00AF53EA" w:rsidRDefault="00AF53EA" w:rsidP="00AF53EA">
      <w:pPr>
        <w:spacing w:line="480" w:lineRule="auto"/>
        <w:ind w:left="720"/>
        <w:jc w:val="both"/>
        <w:rPr>
          <w:rFonts w:cstheme="minorHAnsi"/>
          <w:shd w:val="clear" w:color="auto" w:fill="FFFFFF"/>
        </w:rPr>
      </w:pPr>
      <w:r>
        <w:rPr>
          <w:rFonts w:cstheme="minorHAnsi"/>
          <w:shd w:val="clear" w:color="auto" w:fill="FFFFFF"/>
        </w:rPr>
        <w:t>‘The woman throws a ball of thread to Bran straight over his face.  Bran put his hand on the ball, which clave to his palm. The thread of the ball was in the woman’s hand, and she pulled the coracle towards the port.’</w:t>
      </w:r>
      <w:r>
        <w:rPr>
          <w:rStyle w:val="FootnoteReference"/>
          <w:rFonts w:cstheme="minorHAnsi"/>
          <w:shd w:val="clear" w:color="auto" w:fill="FFFFFF"/>
        </w:rPr>
        <w:footnoteReference w:id="39"/>
      </w:r>
    </w:p>
    <w:p w14:paraId="0D50C425" w14:textId="77777777" w:rsidR="00AF53EA" w:rsidRDefault="00AF53EA" w:rsidP="00AF53EA">
      <w:pPr>
        <w:spacing w:line="480" w:lineRule="auto"/>
        <w:jc w:val="both"/>
        <w:rPr>
          <w:rFonts w:cstheme="minorHAnsi"/>
          <w:shd w:val="clear" w:color="auto" w:fill="FFFFFF"/>
        </w:rPr>
      </w:pPr>
      <w:r>
        <w:rPr>
          <w:rFonts w:cstheme="minorHAnsi"/>
          <w:shd w:val="clear" w:color="auto" w:fill="FFFFFF"/>
        </w:rPr>
        <w:t xml:space="preserve">Compare this with the point when Mael Duin decides to leave the ‘Island of the Queen and her Seventeen Daughters’, they board the boat. </w:t>
      </w:r>
    </w:p>
    <w:p w14:paraId="6E817EE7" w14:textId="77777777" w:rsidR="00AF53EA" w:rsidRDefault="00AF53EA" w:rsidP="00AF53EA">
      <w:pPr>
        <w:spacing w:line="480" w:lineRule="auto"/>
        <w:ind w:left="720"/>
        <w:jc w:val="both"/>
        <w:rPr>
          <w:rFonts w:cstheme="minorHAnsi"/>
          <w:shd w:val="clear" w:color="auto" w:fill="FFFFFF"/>
        </w:rPr>
      </w:pPr>
      <w:r>
        <w:rPr>
          <w:rFonts w:cstheme="minorHAnsi"/>
          <w:shd w:val="clear" w:color="auto" w:fill="FFFFFF"/>
        </w:rPr>
        <w:t xml:space="preserve">‘Then she comes on a horse and flings a </w:t>
      </w:r>
      <w:proofErr w:type="spellStart"/>
      <w:r>
        <w:rPr>
          <w:rFonts w:cstheme="minorHAnsi"/>
          <w:shd w:val="clear" w:color="auto" w:fill="FFFFFF"/>
        </w:rPr>
        <w:t>clew</w:t>
      </w:r>
      <w:proofErr w:type="spellEnd"/>
      <w:r>
        <w:rPr>
          <w:rFonts w:cstheme="minorHAnsi"/>
          <w:shd w:val="clear" w:color="auto" w:fill="FFFFFF"/>
        </w:rPr>
        <w:t xml:space="preserve"> after them, and Mael duin catches it, and it clung to his hand.  A thread of the clew was in her hand, and she draws the boat unto her, by means of the thread, back to the harbour.’</w:t>
      </w:r>
      <w:r>
        <w:rPr>
          <w:rStyle w:val="FootnoteReference"/>
          <w:rFonts w:cstheme="minorHAnsi"/>
          <w:shd w:val="clear" w:color="auto" w:fill="FFFFFF"/>
        </w:rPr>
        <w:footnoteReference w:id="40"/>
      </w:r>
    </w:p>
    <w:p w14:paraId="78EE5E59" w14:textId="77777777" w:rsidR="00AF53EA" w:rsidRDefault="00AF53EA" w:rsidP="00AF53EA">
      <w:pPr>
        <w:spacing w:line="480" w:lineRule="auto"/>
        <w:jc w:val="both"/>
        <w:rPr>
          <w:rFonts w:cstheme="minorHAnsi"/>
          <w:shd w:val="clear" w:color="auto" w:fill="FFFFFF"/>
        </w:rPr>
      </w:pPr>
      <w:r>
        <w:rPr>
          <w:rFonts w:cstheme="minorHAnsi"/>
          <w:shd w:val="clear" w:color="auto" w:fill="FFFFFF"/>
        </w:rPr>
        <w:t xml:space="preserve">In </w:t>
      </w:r>
      <w:r w:rsidRPr="004418E2">
        <w:rPr>
          <w:rFonts w:cstheme="minorHAnsi"/>
          <w:shd w:val="clear" w:color="auto" w:fill="FFFFFF"/>
        </w:rPr>
        <w:t>the Dream</w:t>
      </w:r>
      <w:r>
        <w:rPr>
          <w:rFonts w:cstheme="minorHAnsi"/>
          <w:shd w:val="clear" w:color="auto" w:fill="FFFFFF"/>
        </w:rPr>
        <w:t xml:space="preserve"> of Emperor Maxen, we have an example of a magic chair.  Once inside the castle, Maxen sees the beautiful maiden on a golden chair.  She gets up, he embraces her, and they sit together on the chair.  Maxen remarks that ‘the chair was no narrower for them both than for the maiden alone.’</w:t>
      </w:r>
      <w:r>
        <w:rPr>
          <w:rStyle w:val="FootnoteReference"/>
          <w:rFonts w:cstheme="minorHAnsi"/>
          <w:shd w:val="clear" w:color="auto" w:fill="FFFFFF"/>
        </w:rPr>
        <w:footnoteReference w:id="41"/>
      </w:r>
    </w:p>
    <w:p w14:paraId="6BA6750A" w14:textId="77777777" w:rsidR="00AF53EA" w:rsidRDefault="00AF53EA" w:rsidP="00AF53EA">
      <w:pPr>
        <w:spacing w:line="480" w:lineRule="auto"/>
        <w:jc w:val="both"/>
        <w:rPr>
          <w:rFonts w:cstheme="minorHAnsi"/>
          <w:shd w:val="clear" w:color="auto" w:fill="FFFFFF"/>
        </w:rPr>
      </w:pPr>
      <w:r>
        <w:rPr>
          <w:rFonts w:cstheme="minorHAnsi"/>
          <w:shd w:val="clear" w:color="auto" w:fill="FFFFFF"/>
        </w:rPr>
        <w:t xml:space="preserve">We have considered here a wide selection of descriptions of the Otherworld or Otherworlds from both Welsh and Irish texts.  It seems that the Welsh Otherworld is usually known by the name Annwfn and occasionally given aliases for dramatic or poetic reasons.  The Irish </w:t>
      </w:r>
      <w:r>
        <w:rPr>
          <w:rFonts w:cstheme="minorHAnsi"/>
          <w:shd w:val="clear" w:color="auto" w:fill="FFFFFF"/>
        </w:rPr>
        <w:lastRenderedPageBreak/>
        <w:t xml:space="preserve">Otherworld, however, appears to be a collection of individual places that may or may not be connected to each other.  These Otherworlds are variously located; in Irish texts we see many examples of Island Otherworlds whereas in the Welsh texts apart from Preiddeu Annwn and Gwales in the Second Branch of the Mabinogi, there are fewer island-based locations.  Travel is often involved to access some Irish Otherworlds, as shown in the examples here and they are a mixture of both safe and scary places.  Some Otherworld lands and experiences, particularly in the Four Branches of the Mabinogi are more easily accessed, almost accidentally, from the mortal world, through forest clearings, enchanted mists or other form of portal to the Otherworld, yet not to Annwfn as we know it.  </w:t>
      </w:r>
    </w:p>
    <w:p w14:paraId="6BE4F272" w14:textId="77777777" w:rsidR="00AF53EA" w:rsidRDefault="00AF53EA" w:rsidP="00AF53EA">
      <w:pPr>
        <w:spacing w:line="480" w:lineRule="auto"/>
        <w:jc w:val="both"/>
        <w:rPr>
          <w:rFonts w:cstheme="minorHAnsi"/>
          <w:shd w:val="clear" w:color="auto" w:fill="FFFFFF"/>
        </w:rPr>
      </w:pPr>
      <w:r>
        <w:rPr>
          <w:rFonts w:cstheme="minorHAnsi"/>
          <w:shd w:val="clear" w:color="auto" w:fill="FFFFFF"/>
        </w:rPr>
        <w:t>Music and poetry are mentioned in many forms, music, singing and birdsong and some tales, Preiddeu Annwn and Golychaf-i Gulwyd are poems and The Voyage of Bran uses poetry quite extensively, particularly for the voices of Otherworldly characters.  The tale of the Voyage of Bran seems unusual in its proportion of poetry to prose in comparison to other texts I have encountered so far.  The power of music is interesting though, as it is not simply used as entertainment but also to draw mortals to the Otherworld, to cause or illustrate enchantment and to create atmosphere within the tale.</w:t>
      </w:r>
    </w:p>
    <w:p w14:paraId="4935FC52" w14:textId="77777777" w:rsidR="00AF53EA" w:rsidRDefault="00AF53EA" w:rsidP="00AF53EA">
      <w:pPr>
        <w:spacing w:line="480" w:lineRule="auto"/>
        <w:jc w:val="both"/>
        <w:rPr>
          <w:rFonts w:cstheme="minorHAnsi"/>
          <w:shd w:val="clear" w:color="auto" w:fill="FFFFFF"/>
        </w:rPr>
      </w:pPr>
      <w:r>
        <w:rPr>
          <w:rFonts w:cstheme="minorHAnsi"/>
          <w:shd w:val="clear" w:color="auto" w:fill="FFFFFF"/>
        </w:rPr>
        <w:t xml:space="preserve">The inhabitants of the Otherworlds often seem joyful and young, without cares, or sickness or death.  Otherworld characters appear to have magical powers of enchantment and so do objects in their land from golden chairs to balls of thread.  The Otherworldly food and drinks are often enchanted since plates do not empty for some years and glasses do not run dry, and a single fruit can sustain for many days without diminishing.  Feasting, food and drink are a large part of the activity in both mortal and otherworldly courts and the Irish texts seem to provide more specific detail of the food and drink than in the Welsh texts.  </w:t>
      </w:r>
    </w:p>
    <w:p w14:paraId="371DA7D6" w14:textId="5577EECC" w:rsidR="00AF53EA" w:rsidRDefault="00AF53EA" w:rsidP="00AF53EA">
      <w:pPr>
        <w:spacing w:line="480" w:lineRule="auto"/>
        <w:jc w:val="both"/>
        <w:rPr>
          <w:rFonts w:cstheme="minorHAnsi"/>
          <w:shd w:val="clear" w:color="auto" w:fill="FFFFFF"/>
        </w:rPr>
      </w:pPr>
      <w:r>
        <w:rPr>
          <w:rFonts w:cstheme="minorHAnsi"/>
          <w:shd w:val="clear" w:color="auto" w:fill="FFFFFF"/>
        </w:rPr>
        <w:t>We have seen that there is no clear consensus on the location or the features of the Otherworld between the Irish and Welsh texts, or even within the Welsh texts themselves</w:t>
      </w:r>
      <w:r w:rsidR="00D34FA1">
        <w:rPr>
          <w:rFonts w:cstheme="minorHAnsi"/>
          <w:shd w:val="clear" w:color="auto" w:fill="FFFFFF"/>
        </w:rPr>
        <w:t>, a</w:t>
      </w:r>
      <w:r w:rsidR="0019658E">
        <w:rPr>
          <w:rFonts w:cstheme="minorHAnsi"/>
          <w:shd w:val="clear" w:color="auto" w:fill="FFFFFF"/>
        </w:rPr>
        <w:t>nd there is</w:t>
      </w:r>
      <w:r w:rsidR="005F3162">
        <w:rPr>
          <w:rFonts w:cstheme="minorHAnsi"/>
          <w:shd w:val="clear" w:color="auto" w:fill="FFFFFF"/>
        </w:rPr>
        <w:t xml:space="preserve"> some </w:t>
      </w:r>
      <w:r w:rsidR="005F3162">
        <w:rPr>
          <w:rFonts w:cstheme="minorHAnsi"/>
          <w:shd w:val="clear" w:color="auto" w:fill="FFFFFF"/>
        </w:rPr>
        <w:lastRenderedPageBreak/>
        <w:t xml:space="preserve">evidence to support the characteristics suggested by Marged Haycock.  </w:t>
      </w:r>
      <w:r>
        <w:rPr>
          <w:rFonts w:cstheme="minorHAnsi"/>
          <w:shd w:val="clear" w:color="auto" w:fill="FFFFFF"/>
        </w:rPr>
        <w:t>There are different styles of writing and the elements of each tale change according to the imagination of the writers, but they do share a similar fantastical Otherworld inspiration.  Since the First Branch of the Mabinogi begins with a mortal spending time in the Otherworld, and that Pwyll is known as Pwyll Pen Annwfn after this, it is surprising that there are so few visits to Annwfn in the later tales, unless of course the ‘uniting’ of the two realms somehow infuses the seven cantrefs of Dyfed with Otherworldly characteristics?</w:t>
      </w:r>
      <w:r>
        <w:rPr>
          <w:rFonts w:cstheme="minorHAnsi"/>
          <w:shd w:val="clear" w:color="auto" w:fill="FFFFFF"/>
        </w:rPr>
        <w:br w:type="page"/>
      </w:r>
    </w:p>
    <w:p w14:paraId="07BC929D" w14:textId="77777777" w:rsidR="00AF53EA" w:rsidRPr="002D74E0" w:rsidRDefault="00AF53EA" w:rsidP="002D74E0">
      <w:pPr>
        <w:spacing w:after="240"/>
      </w:pPr>
      <w:r w:rsidRPr="002D74E0">
        <w:rPr>
          <w:shd w:val="clear" w:color="auto" w:fill="FFFFFF"/>
        </w:rPr>
        <w:lastRenderedPageBreak/>
        <w:t>R</w:t>
      </w:r>
      <w:r w:rsidRPr="002D74E0">
        <w:t>eferences</w:t>
      </w:r>
    </w:p>
    <w:p w14:paraId="68514AA7" w14:textId="77777777" w:rsidR="00AF53EA" w:rsidRPr="00957A1D" w:rsidRDefault="00AF53EA" w:rsidP="002D74E0">
      <w:pPr>
        <w:spacing w:line="360" w:lineRule="auto"/>
      </w:pPr>
      <w:r w:rsidRPr="00957A1D">
        <w:t xml:space="preserve">Davies, S. (trans) </w:t>
      </w:r>
      <w:r w:rsidRPr="00957A1D">
        <w:rPr>
          <w:i/>
          <w:iCs/>
        </w:rPr>
        <w:t>The Mabinogion,</w:t>
      </w:r>
      <w:r w:rsidRPr="00957A1D">
        <w:t xml:space="preserve"> (Oxford: Oxford University Press, 2007).</w:t>
      </w:r>
    </w:p>
    <w:p w14:paraId="11A9DCA9" w14:textId="77777777" w:rsidR="00AF53EA" w:rsidRPr="00957A1D" w:rsidRDefault="00AF53EA" w:rsidP="002D74E0">
      <w:pPr>
        <w:spacing w:line="360" w:lineRule="auto"/>
      </w:pPr>
      <w:r w:rsidRPr="00957A1D">
        <w:t xml:space="preserve">Dillon, M. </w:t>
      </w:r>
      <w:r w:rsidRPr="00957A1D">
        <w:rPr>
          <w:i/>
          <w:iCs/>
        </w:rPr>
        <w:t>Early Irish Literature,</w:t>
      </w:r>
      <w:r w:rsidRPr="00957A1D">
        <w:t xml:space="preserve"> (Dublin: Four Courts Press, 1994).</w:t>
      </w:r>
    </w:p>
    <w:p w14:paraId="3C82F9C4" w14:textId="77777777" w:rsidR="00AF53EA" w:rsidRPr="00957A1D" w:rsidRDefault="00AF53EA" w:rsidP="002D74E0">
      <w:pPr>
        <w:spacing w:line="360" w:lineRule="auto"/>
      </w:pPr>
      <w:r w:rsidRPr="00957A1D">
        <w:t xml:space="preserve">Dillon, M. and Chadwick, N. </w:t>
      </w:r>
      <w:r w:rsidRPr="00957A1D">
        <w:rPr>
          <w:i/>
          <w:iCs/>
        </w:rPr>
        <w:t>The Celtic Realms,</w:t>
      </w:r>
      <w:r w:rsidRPr="00957A1D">
        <w:t xml:space="preserve"> (London: Phoenix Press, 2000).</w:t>
      </w:r>
    </w:p>
    <w:p w14:paraId="07B49ACA" w14:textId="77777777" w:rsidR="00AF53EA" w:rsidRPr="00957A1D" w:rsidRDefault="00AF53EA" w:rsidP="002D74E0">
      <w:pPr>
        <w:spacing w:line="360" w:lineRule="auto"/>
      </w:pPr>
      <w:r w:rsidRPr="00957A1D">
        <w:t xml:space="preserve">Haycock, M. </w:t>
      </w:r>
      <w:r w:rsidRPr="00957A1D">
        <w:rPr>
          <w:i/>
          <w:iCs/>
        </w:rPr>
        <w:t>Legendary Poems From The Book Of Taliesin</w:t>
      </w:r>
      <w:r w:rsidRPr="00957A1D">
        <w:t>, (Aberystwyth: CMCS, 2007).</w:t>
      </w:r>
    </w:p>
    <w:p w14:paraId="36A2EEE8" w14:textId="77777777" w:rsidR="00AF53EA" w:rsidRPr="00957A1D" w:rsidRDefault="00AF53EA" w:rsidP="002D74E0">
      <w:pPr>
        <w:spacing w:line="360" w:lineRule="auto"/>
        <w:ind w:left="284" w:hanging="284"/>
      </w:pPr>
      <w:r w:rsidRPr="00957A1D">
        <w:t xml:space="preserve">Haycock, M. “Preiddeu Annwn’ and the Figure of Taliesin’, </w:t>
      </w:r>
      <w:r w:rsidRPr="00957A1D">
        <w:rPr>
          <w:i/>
        </w:rPr>
        <w:t>Studia Celtica</w:t>
      </w:r>
      <w:r w:rsidRPr="00957A1D">
        <w:t xml:space="preserve"> Vol XVII/XIX (1983), pp. 52-78. </w:t>
      </w:r>
    </w:p>
    <w:p w14:paraId="23B4049D" w14:textId="77777777" w:rsidR="00AF53EA" w:rsidRPr="00957A1D" w:rsidRDefault="00AF53EA" w:rsidP="002D74E0">
      <w:pPr>
        <w:spacing w:line="360" w:lineRule="auto"/>
        <w:ind w:left="284" w:hanging="284"/>
      </w:pPr>
      <w:r w:rsidRPr="00957A1D">
        <w:t xml:space="preserve">Hillers, B. ‘Voyages between Heaven and Hell: Navigating the Early Irish Immram Tales’, </w:t>
      </w:r>
      <w:r w:rsidRPr="00957A1D">
        <w:rPr>
          <w:i/>
          <w:iCs/>
        </w:rPr>
        <w:t>Proceedings of the Harvard Celtic Colloquium</w:t>
      </w:r>
      <w:r w:rsidRPr="00957A1D">
        <w:t>, 13 (1993), pp. 66–81.</w:t>
      </w:r>
    </w:p>
    <w:p w14:paraId="4C21B5B4" w14:textId="77777777" w:rsidR="00AF53EA" w:rsidRPr="00957A1D" w:rsidRDefault="00AF53EA" w:rsidP="002D74E0">
      <w:pPr>
        <w:spacing w:line="360" w:lineRule="auto"/>
        <w:ind w:left="284" w:hanging="284"/>
        <w:jc w:val="both"/>
      </w:pPr>
      <w:r w:rsidRPr="00957A1D">
        <w:t xml:space="preserve">Meyer, K. </w:t>
      </w:r>
      <w:r w:rsidRPr="00957A1D">
        <w:rPr>
          <w:i/>
          <w:iCs/>
        </w:rPr>
        <w:t>The Voyage of Bran Son of Febal to the Land of the Living,</w:t>
      </w:r>
      <w:r w:rsidRPr="00957A1D">
        <w:t xml:space="preserve"> (Felinfach: Llanerch Publishers, 1994).</w:t>
      </w:r>
    </w:p>
    <w:p w14:paraId="44449CD9" w14:textId="77777777" w:rsidR="00AF53EA" w:rsidRPr="00957A1D" w:rsidRDefault="00AF53EA" w:rsidP="002D74E0">
      <w:pPr>
        <w:spacing w:line="360" w:lineRule="auto"/>
        <w:ind w:left="284" w:hanging="284"/>
      </w:pPr>
      <w:r w:rsidRPr="00957A1D">
        <w:t xml:space="preserve">Sims-Williams, P. </w:t>
      </w:r>
      <w:r w:rsidRPr="00957A1D">
        <w:rPr>
          <w:i/>
          <w:iCs/>
        </w:rPr>
        <w:t>Irish Influence on Medieval Welsh Literature</w:t>
      </w:r>
      <w:r w:rsidRPr="00957A1D">
        <w:t xml:space="preserve"> (Oxford: Oxford University Press, 2011).</w:t>
      </w:r>
    </w:p>
    <w:p w14:paraId="1741FE3C" w14:textId="77777777" w:rsidR="00AF53EA" w:rsidRPr="00957A1D" w:rsidRDefault="00AF53EA" w:rsidP="002D74E0">
      <w:pPr>
        <w:spacing w:line="360" w:lineRule="auto"/>
        <w:ind w:left="284" w:hanging="284"/>
      </w:pPr>
      <w:r w:rsidRPr="00957A1D">
        <w:t xml:space="preserve">Stokes, W. (ed. and trans.), ‘The Voyage of Mael Duin’, </w:t>
      </w:r>
      <w:r w:rsidRPr="00957A1D">
        <w:rPr>
          <w:i/>
          <w:iCs/>
        </w:rPr>
        <w:t>Revue Celtique</w:t>
      </w:r>
      <w:r w:rsidRPr="00957A1D">
        <w:t>, 9 (1888), pp. 447–495.</w:t>
      </w:r>
    </w:p>
    <w:p w14:paraId="59C30FA0" w14:textId="77777777" w:rsidR="00AF53EA" w:rsidRPr="00957A1D" w:rsidRDefault="00AF53EA" w:rsidP="002D74E0">
      <w:pPr>
        <w:spacing w:line="360" w:lineRule="auto"/>
        <w:ind w:left="284" w:hanging="284"/>
      </w:pPr>
      <w:r w:rsidRPr="00957A1D">
        <w:t xml:space="preserve">Stokes, W. (ed. and trans.) ‘The Voyage of Mael Duin’, </w:t>
      </w:r>
      <w:r w:rsidRPr="00957A1D">
        <w:rPr>
          <w:i/>
          <w:iCs/>
        </w:rPr>
        <w:t>Revue Celtique</w:t>
      </w:r>
      <w:r w:rsidRPr="00957A1D">
        <w:t xml:space="preserve">, 10 (1889), pp. 50–95. </w:t>
      </w:r>
    </w:p>
    <w:p w14:paraId="2B3B4012" w14:textId="77777777" w:rsidR="00AF53EA" w:rsidRPr="00957A1D" w:rsidRDefault="00AF53EA" w:rsidP="002D74E0">
      <w:pPr>
        <w:spacing w:line="360" w:lineRule="auto"/>
        <w:ind w:left="284" w:hanging="284"/>
      </w:pPr>
      <w:r w:rsidRPr="00957A1D">
        <w:t xml:space="preserve">Shack, J. ‘Otherworld and Norman ‘Other’: Annwfn and its colonial implications in the First Branch Of The Mabinogi’, </w:t>
      </w:r>
      <w:r w:rsidRPr="00957A1D">
        <w:rPr>
          <w:i/>
          <w:iCs/>
        </w:rPr>
        <w:t>Proceedings of the Harvard Celtic Colloquium</w:t>
      </w:r>
      <w:r w:rsidRPr="00957A1D">
        <w:t>, Vol. 35 (2015), pp. 172-186.</w:t>
      </w:r>
    </w:p>
    <w:p w14:paraId="355F06B9" w14:textId="1B15CF4E" w:rsidR="007D205A" w:rsidRPr="00957A1D" w:rsidRDefault="007D205A" w:rsidP="002D74E0">
      <w:pPr>
        <w:spacing w:after="160" w:line="360" w:lineRule="auto"/>
      </w:pPr>
    </w:p>
    <w:sectPr w:rsidR="007D205A" w:rsidRPr="00957A1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FC95FA4" w14:textId="77777777" w:rsidR="00F26489" w:rsidRDefault="00F26489" w:rsidP="00CC1F57">
      <w:r>
        <w:separator/>
      </w:r>
    </w:p>
  </w:endnote>
  <w:endnote w:type="continuationSeparator" w:id="0">
    <w:p w14:paraId="46E88D21" w14:textId="77777777" w:rsidR="00F26489" w:rsidRDefault="00F26489" w:rsidP="00CC1F5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 w:name="Lucida Calligraphy">
    <w:panose1 w:val="03010101010101010101"/>
    <w:charset w:val="00"/>
    <w:family w:val="script"/>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A078355" w14:textId="77777777" w:rsidR="00F26489" w:rsidRDefault="00F26489" w:rsidP="00CC1F57">
      <w:r>
        <w:separator/>
      </w:r>
    </w:p>
  </w:footnote>
  <w:footnote w:type="continuationSeparator" w:id="0">
    <w:p w14:paraId="076BE7FF" w14:textId="77777777" w:rsidR="00F26489" w:rsidRDefault="00F26489" w:rsidP="00CC1F57">
      <w:r>
        <w:continuationSeparator/>
      </w:r>
    </w:p>
  </w:footnote>
  <w:footnote w:id="1">
    <w:p w14:paraId="2EBE91DE" w14:textId="77777777" w:rsidR="00AF53EA" w:rsidRDefault="00AF53EA" w:rsidP="00AF53EA">
      <w:pPr>
        <w:pStyle w:val="FootnoteText"/>
      </w:pPr>
      <w:r>
        <w:rPr>
          <w:rStyle w:val="FootnoteReference"/>
        </w:rPr>
        <w:footnoteRef/>
      </w:r>
      <w:r>
        <w:t xml:space="preserve"> M. Dillon, </w:t>
      </w:r>
      <w:r w:rsidRPr="00B257AB">
        <w:rPr>
          <w:i/>
          <w:iCs/>
        </w:rPr>
        <w:t>Early Irish Literature</w:t>
      </w:r>
      <w:r>
        <w:t xml:space="preserve"> (Dublin: Four Courts Press, 1994) p. 101.</w:t>
      </w:r>
    </w:p>
  </w:footnote>
  <w:footnote w:id="2">
    <w:p w14:paraId="5FEEC3C5" w14:textId="77777777" w:rsidR="00AF53EA" w:rsidRDefault="00AF53EA" w:rsidP="00AF53EA">
      <w:pPr>
        <w:pStyle w:val="FootnoteText"/>
      </w:pPr>
      <w:r>
        <w:rPr>
          <w:rStyle w:val="FootnoteReference"/>
        </w:rPr>
        <w:footnoteRef/>
      </w:r>
      <w:r>
        <w:t xml:space="preserve"> P. Sims-Williams, </w:t>
      </w:r>
      <w:r w:rsidRPr="00135FCB">
        <w:rPr>
          <w:i/>
          <w:iCs/>
        </w:rPr>
        <w:t>Irish Influence on Medieval Welsh Literature</w:t>
      </w:r>
      <w:r>
        <w:t>, Oxford: Oxford University Press, 2011, p. 53</w:t>
      </w:r>
    </w:p>
  </w:footnote>
  <w:footnote w:id="3">
    <w:p w14:paraId="65D93967" w14:textId="77777777" w:rsidR="00AF53EA" w:rsidRDefault="00AF53EA" w:rsidP="00AF53EA">
      <w:pPr>
        <w:pStyle w:val="FootnoteText"/>
      </w:pPr>
      <w:r>
        <w:rPr>
          <w:rStyle w:val="FootnoteReference"/>
        </w:rPr>
        <w:footnoteRef/>
      </w:r>
      <w:r>
        <w:t xml:space="preserve"> Sims-Williams, </w:t>
      </w:r>
      <w:r w:rsidRPr="00135FCB">
        <w:rPr>
          <w:i/>
          <w:iCs/>
        </w:rPr>
        <w:t>Irish Influence</w:t>
      </w:r>
      <w:r>
        <w:rPr>
          <w:i/>
          <w:iCs/>
        </w:rPr>
        <w:t>,</w:t>
      </w:r>
      <w:r>
        <w:t xml:space="preserve"> p. 53</w:t>
      </w:r>
    </w:p>
  </w:footnote>
  <w:footnote w:id="4">
    <w:p w14:paraId="597C0047" w14:textId="77777777" w:rsidR="00AF53EA" w:rsidRDefault="00AF53EA" w:rsidP="00AF53EA">
      <w:pPr>
        <w:pStyle w:val="FootnoteText"/>
      </w:pPr>
      <w:r>
        <w:rPr>
          <w:rStyle w:val="FootnoteReference"/>
        </w:rPr>
        <w:footnoteRef/>
      </w:r>
      <w:r>
        <w:t xml:space="preserve"> B. Hillers, ‘Voyages Between Heaven And Hell: Navigating The Early Irish Immram Tales’, </w:t>
      </w:r>
      <w:r w:rsidRPr="008B1AF6">
        <w:rPr>
          <w:i/>
          <w:iCs/>
        </w:rPr>
        <w:t>Proceedings of the Harvard Colloquium</w:t>
      </w:r>
      <w:r>
        <w:t>, Vol. 13 (1993), 66-81 (p. 66).</w:t>
      </w:r>
    </w:p>
  </w:footnote>
  <w:footnote w:id="5">
    <w:p w14:paraId="05239829" w14:textId="77777777" w:rsidR="00AF53EA" w:rsidRDefault="00AF53EA" w:rsidP="00AF53EA">
      <w:pPr>
        <w:ind w:left="284" w:hanging="284"/>
      </w:pPr>
      <w:r w:rsidRPr="002E6552">
        <w:rPr>
          <w:rStyle w:val="FootnoteReference"/>
          <w:sz w:val="20"/>
          <w:szCs w:val="20"/>
        </w:rPr>
        <w:footnoteRef/>
      </w:r>
      <w:r w:rsidRPr="002E6552">
        <w:rPr>
          <w:sz w:val="20"/>
          <w:szCs w:val="20"/>
        </w:rPr>
        <w:t xml:space="preserve"> </w:t>
      </w:r>
      <w:r>
        <w:rPr>
          <w:sz w:val="20"/>
          <w:szCs w:val="20"/>
        </w:rPr>
        <w:t xml:space="preserve">M. </w:t>
      </w:r>
      <w:r w:rsidRPr="002E6552">
        <w:rPr>
          <w:sz w:val="20"/>
          <w:szCs w:val="20"/>
        </w:rPr>
        <w:t>Haycock, ‘Preiddeu Annwn and the Figure of Taliesin’</w:t>
      </w:r>
      <w:r>
        <w:rPr>
          <w:sz w:val="20"/>
          <w:szCs w:val="20"/>
        </w:rPr>
        <w:t>,</w:t>
      </w:r>
      <w:r w:rsidRPr="002E6552">
        <w:rPr>
          <w:sz w:val="20"/>
          <w:szCs w:val="20"/>
        </w:rPr>
        <w:t xml:space="preserve"> </w:t>
      </w:r>
      <w:r w:rsidRPr="002E6552">
        <w:rPr>
          <w:rFonts w:asciiTheme="minorHAnsi" w:hAnsiTheme="minorHAnsi" w:cstheme="minorHAnsi"/>
          <w:i/>
          <w:sz w:val="20"/>
          <w:szCs w:val="20"/>
        </w:rPr>
        <w:t>Studia Celtica</w:t>
      </w:r>
      <w:r w:rsidRPr="002E6552">
        <w:rPr>
          <w:rFonts w:asciiTheme="minorHAnsi" w:hAnsiTheme="minorHAnsi" w:cstheme="minorHAnsi"/>
          <w:sz w:val="20"/>
          <w:szCs w:val="20"/>
        </w:rPr>
        <w:t xml:space="preserve"> Vol XVII/XIX (1983), 52-78</w:t>
      </w:r>
      <w:r>
        <w:rPr>
          <w:rFonts w:cstheme="minorHAnsi"/>
          <w:sz w:val="20"/>
          <w:szCs w:val="20"/>
        </w:rPr>
        <w:t xml:space="preserve"> (p. 55)</w:t>
      </w:r>
      <w:r w:rsidRPr="002E6552">
        <w:rPr>
          <w:rFonts w:cstheme="minorHAnsi"/>
          <w:sz w:val="20"/>
          <w:szCs w:val="20"/>
        </w:rPr>
        <w:t>.</w:t>
      </w:r>
    </w:p>
  </w:footnote>
  <w:footnote w:id="6">
    <w:p w14:paraId="419113BE" w14:textId="77777777" w:rsidR="00AF53EA" w:rsidRDefault="00AF53EA" w:rsidP="00AF53EA">
      <w:pPr>
        <w:pStyle w:val="FootnoteText"/>
      </w:pPr>
      <w:r>
        <w:rPr>
          <w:rStyle w:val="FootnoteReference"/>
        </w:rPr>
        <w:footnoteRef/>
      </w:r>
      <w:r>
        <w:t xml:space="preserve"> Haycock, ‘Preiddeu Annwn’, p. 55.</w:t>
      </w:r>
    </w:p>
  </w:footnote>
  <w:footnote w:id="7">
    <w:p w14:paraId="75AF385C" w14:textId="77777777" w:rsidR="00AF53EA" w:rsidRDefault="00AF53EA" w:rsidP="00AF53EA">
      <w:pPr>
        <w:pStyle w:val="FootnoteText"/>
      </w:pPr>
      <w:r>
        <w:rPr>
          <w:rStyle w:val="FootnoteReference"/>
        </w:rPr>
        <w:footnoteRef/>
      </w:r>
      <w:r>
        <w:t xml:space="preserve"> S. Davies, </w:t>
      </w:r>
      <w:r w:rsidRPr="009D7A1C">
        <w:rPr>
          <w:i/>
        </w:rPr>
        <w:t xml:space="preserve">The </w:t>
      </w:r>
      <w:r>
        <w:rPr>
          <w:i/>
        </w:rPr>
        <w:t xml:space="preserve">Mabinogion, </w:t>
      </w:r>
      <w:r>
        <w:t>(Oxford: Oxford University Press, 2007) p. 3.</w:t>
      </w:r>
    </w:p>
  </w:footnote>
  <w:footnote w:id="8">
    <w:p w14:paraId="5E12278B" w14:textId="77777777" w:rsidR="00AF53EA" w:rsidRDefault="00AF53EA" w:rsidP="00AF53EA">
      <w:pPr>
        <w:pStyle w:val="FootnoteText"/>
      </w:pPr>
      <w:r>
        <w:rPr>
          <w:rStyle w:val="FootnoteReference"/>
        </w:rPr>
        <w:footnoteRef/>
      </w:r>
      <w:r>
        <w:t xml:space="preserve"> Davies, </w:t>
      </w:r>
      <w:r w:rsidRPr="001C5284">
        <w:rPr>
          <w:i/>
          <w:iCs/>
        </w:rPr>
        <w:t>The Mabinogion</w:t>
      </w:r>
      <w:r>
        <w:t>, p. 228.</w:t>
      </w:r>
    </w:p>
  </w:footnote>
  <w:footnote w:id="9">
    <w:p w14:paraId="7983DEBA" w14:textId="77777777" w:rsidR="00AF53EA" w:rsidRDefault="00AF53EA" w:rsidP="00AF53EA">
      <w:pPr>
        <w:pStyle w:val="FootnoteText"/>
      </w:pPr>
      <w:r>
        <w:rPr>
          <w:rStyle w:val="FootnoteReference"/>
        </w:rPr>
        <w:footnoteRef/>
      </w:r>
      <w:r>
        <w:t xml:space="preserve"> Davies, </w:t>
      </w:r>
      <w:r w:rsidRPr="00CB668F">
        <w:rPr>
          <w:i/>
          <w:iCs/>
        </w:rPr>
        <w:t>The Mabinogion</w:t>
      </w:r>
      <w:r>
        <w:t>, p. 8.</w:t>
      </w:r>
    </w:p>
  </w:footnote>
  <w:footnote w:id="10">
    <w:p w14:paraId="5304809A" w14:textId="77777777" w:rsidR="00AF53EA" w:rsidRDefault="00AF53EA" w:rsidP="00AF53EA">
      <w:pPr>
        <w:pStyle w:val="FootnoteText"/>
      </w:pPr>
      <w:r>
        <w:rPr>
          <w:rStyle w:val="FootnoteReference"/>
        </w:rPr>
        <w:footnoteRef/>
      </w:r>
      <w:r>
        <w:t xml:space="preserve"> Sims-Williams, </w:t>
      </w:r>
      <w:r w:rsidRPr="00135FCB">
        <w:rPr>
          <w:i/>
          <w:iCs/>
        </w:rPr>
        <w:t>Irish Influence</w:t>
      </w:r>
      <w:r>
        <w:t>, pp. 66-67</w:t>
      </w:r>
    </w:p>
  </w:footnote>
  <w:footnote w:id="11">
    <w:p w14:paraId="6EC677AC" w14:textId="77777777" w:rsidR="00AF53EA" w:rsidRPr="002E6552" w:rsidRDefault="00AF53EA" w:rsidP="00AF53EA">
      <w:pPr>
        <w:pStyle w:val="FootnoteText"/>
      </w:pPr>
      <w:r w:rsidRPr="002E6552">
        <w:rPr>
          <w:rStyle w:val="FootnoteReference"/>
        </w:rPr>
        <w:footnoteRef/>
      </w:r>
      <w:r w:rsidRPr="002E6552">
        <w:t xml:space="preserve"> </w:t>
      </w:r>
      <w:r>
        <w:t xml:space="preserve">Sims-Williams, </w:t>
      </w:r>
      <w:r w:rsidRPr="00135FCB">
        <w:rPr>
          <w:i/>
          <w:iCs/>
        </w:rPr>
        <w:t>Irish Influence</w:t>
      </w:r>
      <w:r>
        <w:t xml:space="preserve">, </w:t>
      </w:r>
      <w:r w:rsidRPr="002E6552">
        <w:t>p. 67</w:t>
      </w:r>
    </w:p>
  </w:footnote>
  <w:footnote w:id="12">
    <w:p w14:paraId="4EE9F89F" w14:textId="77777777" w:rsidR="00AF53EA" w:rsidRDefault="00AF53EA" w:rsidP="00AF53EA">
      <w:pPr>
        <w:pStyle w:val="FootnoteText"/>
      </w:pPr>
      <w:r>
        <w:rPr>
          <w:rStyle w:val="FootnoteReference"/>
        </w:rPr>
        <w:footnoteRef/>
      </w:r>
      <w:r>
        <w:t xml:space="preserve"> M. Dillon and N. Chadwick, </w:t>
      </w:r>
      <w:r w:rsidRPr="00C56BC4">
        <w:rPr>
          <w:i/>
          <w:iCs/>
        </w:rPr>
        <w:t>The Celtic Realms</w:t>
      </w:r>
      <w:r>
        <w:t xml:space="preserve"> (London: Phoenix Press, 2000) p. 241</w:t>
      </w:r>
    </w:p>
  </w:footnote>
  <w:footnote w:id="13">
    <w:p w14:paraId="00F3BE69" w14:textId="77777777" w:rsidR="00AF53EA" w:rsidRDefault="00AF53EA" w:rsidP="00AF53EA">
      <w:pPr>
        <w:pStyle w:val="FootnoteText"/>
      </w:pPr>
      <w:r>
        <w:rPr>
          <w:rStyle w:val="FootnoteReference"/>
        </w:rPr>
        <w:footnoteRef/>
      </w:r>
      <w:r>
        <w:t xml:space="preserve"> </w:t>
      </w:r>
      <w:r w:rsidRPr="00CC34DE">
        <w:t xml:space="preserve">K. Meyer, </w:t>
      </w:r>
      <w:r w:rsidRPr="00CC34DE">
        <w:rPr>
          <w:rFonts w:cstheme="minorHAnsi"/>
          <w:i/>
          <w:iCs/>
        </w:rPr>
        <w:t>The Voyage of Bran Son of Febal to the Land of the Living,</w:t>
      </w:r>
      <w:r w:rsidRPr="00CC34DE">
        <w:rPr>
          <w:rFonts w:cstheme="minorHAnsi"/>
        </w:rPr>
        <w:t xml:space="preserve"> (Felinfach: Llanerch Publishers, 1994)</w:t>
      </w:r>
      <w:r>
        <w:rPr>
          <w:rFonts w:cstheme="minorHAnsi"/>
        </w:rPr>
        <w:t xml:space="preserve"> p. 30</w:t>
      </w:r>
    </w:p>
  </w:footnote>
  <w:footnote w:id="14">
    <w:p w14:paraId="21DC8309" w14:textId="77777777" w:rsidR="00AF53EA" w:rsidRPr="004966C1" w:rsidRDefault="00AF53EA" w:rsidP="00AF53EA">
      <w:pPr>
        <w:ind w:left="284" w:hanging="284"/>
        <w:rPr>
          <w:rFonts w:asciiTheme="minorHAnsi" w:hAnsiTheme="minorHAnsi" w:cstheme="minorHAnsi"/>
          <w:sz w:val="20"/>
          <w:szCs w:val="20"/>
        </w:rPr>
      </w:pPr>
      <w:r w:rsidRPr="004966C1">
        <w:rPr>
          <w:rStyle w:val="FootnoteReference"/>
          <w:sz w:val="20"/>
          <w:szCs w:val="20"/>
        </w:rPr>
        <w:footnoteRef/>
      </w:r>
      <w:r w:rsidRPr="004966C1">
        <w:rPr>
          <w:sz w:val="20"/>
          <w:szCs w:val="20"/>
        </w:rPr>
        <w:t xml:space="preserve"> W. </w:t>
      </w:r>
      <w:r w:rsidRPr="004966C1">
        <w:rPr>
          <w:rFonts w:asciiTheme="minorHAnsi" w:hAnsiTheme="minorHAnsi" w:cstheme="minorHAnsi"/>
          <w:sz w:val="20"/>
          <w:szCs w:val="20"/>
        </w:rPr>
        <w:t xml:space="preserve">Stokes, ‘The Voyage of Mael Duin’, </w:t>
      </w:r>
      <w:r w:rsidRPr="004966C1">
        <w:rPr>
          <w:rFonts w:asciiTheme="minorHAnsi" w:hAnsiTheme="minorHAnsi" w:cstheme="minorHAnsi"/>
          <w:i/>
          <w:iCs/>
          <w:sz w:val="20"/>
          <w:szCs w:val="20"/>
        </w:rPr>
        <w:t>Revue Celtique</w:t>
      </w:r>
      <w:r w:rsidRPr="004966C1">
        <w:rPr>
          <w:rFonts w:asciiTheme="minorHAnsi" w:hAnsiTheme="minorHAnsi" w:cstheme="minorHAnsi"/>
          <w:sz w:val="20"/>
          <w:szCs w:val="20"/>
        </w:rPr>
        <w:t>, 9 (1888), 447–</w:t>
      </w:r>
      <w:r w:rsidRPr="004966C1">
        <w:rPr>
          <w:rFonts w:cstheme="minorHAnsi"/>
          <w:sz w:val="20"/>
          <w:szCs w:val="20"/>
        </w:rPr>
        <w:t>4</w:t>
      </w:r>
      <w:r w:rsidRPr="004966C1">
        <w:rPr>
          <w:rFonts w:asciiTheme="minorHAnsi" w:hAnsiTheme="minorHAnsi" w:cstheme="minorHAnsi"/>
          <w:sz w:val="20"/>
          <w:szCs w:val="20"/>
        </w:rPr>
        <w:t>95</w:t>
      </w:r>
      <w:r w:rsidRPr="004966C1">
        <w:rPr>
          <w:rFonts w:cstheme="minorHAnsi"/>
          <w:sz w:val="20"/>
          <w:szCs w:val="20"/>
        </w:rPr>
        <w:t xml:space="preserve"> p. 451</w:t>
      </w:r>
    </w:p>
    <w:p w14:paraId="239BAF4A" w14:textId="77777777" w:rsidR="00AF53EA" w:rsidRDefault="00AF53EA" w:rsidP="00AF53EA">
      <w:pPr>
        <w:pStyle w:val="FootnoteText"/>
      </w:pPr>
    </w:p>
  </w:footnote>
  <w:footnote w:id="15">
    <w:p w14:paraId="26A05FA5" w14:textId="77777777" w:rsidR="00AF53EA" w:rsidRDefault="00AF53EA" w:rsidP="00AF53EA">
      <w:pPr>
        <w:pStyle w:val="FootnoteText"/>
      </w:pPr>
      <w:r>
        <w:rPr>
          <w:rStyle w:val="FootnoteReference"/>
        </w:rPr>
        <w:footnoteRef/>
      </w:r>
      <w:r>
        <w:t xml:space="preserve"> J. Shack, </w:t>
      </w:r>
      <w:r w:rsidRPr="00FF53A1">
        <w:rPr>
          <w:rFonts w:cstheme="minorHAnsi"/>
        </w:rPr>
        <w:t xml:space="preserve">‘Otherworld and Norman ‘Other’: Annwfn and its colonial implications in the First Branch Of The Mabinogi’, </w:t>
      </w:r>
      <w:r w:rsidRPr="00FF53A1">
        <w:rPr>
          <w:rFonts w:cstheme="minorHAnsi"/>
          <w:i/>
          <w:iCs/>
        </w:rPr>
        <w:t>Proceedings of the Harvard Celtic Colloquium</w:t>
      </w:r>
      <w:r w:rsidRPr="00FF53A1">
        <w:rPr>
          <w:rFonts w:cstheme="minorHAnsi"/>
        </w:rPr>
        <w:t>, Vol. 35 (2015), 172-186</w:t>
      </w:r>
      <w:r>
        <w:rPr>
          <w:rFonts w:cstheme="minorHAnsi"/>
        </w:rPr>
        <w:t>, p. 175</w:t>
      </w:r>
      <w:r w:rsidRPr="00FF53A1">
        <w:rPr>
          <w:rFonts w:cstheme="minorHAnsi"/>
        </w:rPr>
        <w:t>.</w:t>
      </w:r>
    </w:p>
  </w:footnote>
  <w:footnote w:id="16">
    <w:p w14:paraId="71821026" w14:textId="77777777" w:rsidR="00AF53EA" w:rsidRDefault="00AF53EA" w:rsidP="00AF53EA">
      <w:pPr>
        <w:pStyle w:val="FootnoteText"/>
      </w:pPr>
      <w:r>
        <w:rPr>
          <w:rStyle w:val="FootnoteReference"/>
        </w:rPr>
        <w:footnoteRef/>
      </w:r>
      <w:r>
        <w:t xml:space="preserve"> Davies, </w:t>
      </w:r>
      <w:r w:rsidRPr="008C3598">
        <w:rPr>
          <w:i/>
          <w:iCs/>
        </w:rPr>
        <w:t>The Mabinogion</w:t>
      </w:r>
      <w:r>
        <w:t>, p. 292.</w:t>
      </w:r>
    </w:p>
  </w:footnote>
  <w:footnote w:id="17">
    <w:p w14:paraId="25B263C6" w14:textId="77777777" w:rsidR="00AF53EA" w:rsidRDefault="00AF53EA" w:rsidP="00AF53EA">
      <w:pPr>
        <w:pStyle w:val="FootnoteText"/>
      </w:pPr>
      <w:r>
        <w:rPr>
          <w:rStyle w:val="FootnoteReference"/>
        </w:rPr>
        <w:footnoteRef/>
      </w:r>
      <w:r>
        <w:t xml:space="preserve"> Davies, </w:t>
      </w:r>
      <w:r w:rsidRPr="0054538D">
        <w:rPr>
          <w:i/>
          <w:iCs/>
        </w:rPr>
        <w:t>The Mabinogion</w:t>
      </w:r>
      <w:r>
        <w:t>, p. 33.</w:t>
      </w:r>
    </w:p>
  </w:footnote>
  <w:footnote w:id="18">
    <w:p w14:paraId="47AA7C9E" w14:textId="77777777" w:rsidR="00AF53EA" w:rsidRDefault="00AF53EA" w:rsidP="00AF53EA">
      <w:pPr>
        <w:pStyle w:val="FootnoteText"/>
      </w:pPr>
      <w:r>
        <w:rPr>
          <w:rStyle w:val="FootnoteReference"/>
        </w:rPr>
        <w:footnoteRef/>
      </w:r>
      <w:r>
        <w:t xml:space="preserve"> Stokes, The Voyage of Mael Duin, p. 448</w:t>
      </w:r>
    </w:p>
  </w:footnote>
  <w:footnote w:id="19">
    <w:p w14:paraId="727BA37F" w14:textId="77777777" w:rsidR="00AF53EA" w:rsidRDefault="00AF53EA" w:rsidP="00AF53EA">
      <w:pPr>
        <w:pStyle w:val="FootnoteText"/>
      </w:pPr>
      <w:r>
        <w:rPr>
          <w:rStyle w:val="FootnoteReference"/>
        </w:rPr>
        <w:footnoteRef/>
      </w:r>
      <w:r>
        <w:t xml:space="preserve"> Davies, </w:t>
      </w:r>
      <w:r w:rsidRPr="0054538D">
        <w:rPr>
          <w:i/>
          <w:iCs/>
        </w:rPr>
        <w:t>The Mabinogion</w:t>
      </w:r>
      <w:r>
        <w:t>, p. 5.</w:t>
      </w:r>
    </w:p>
  </w:footnote>
  <w:footnote w:id="20">
    <w:p w14:paraId="0C3C20C6" w14:textId="77777777" w:rsidR="00AF53EA" w:rsidRDefault="00AF53EA" w:rsidP="00AF53EA">
      <w:pPr>
        <w:pStyle w:val="FootnoteText"/>
      </w:pPr>
      <w:r>
        <w:rPr>
          <w:rStyle w:val="FootnoteReference"/>
        </w:rPr>
        <w:footnoteRef/>
      </w:r>
      <w:r>
        <w:t xml:space="preserve"> Davies, </w:t>
      </w:r>
      <w:r w:rsidRPr="001F7021">
        <w:rPr>
          <w:i/>
          <w:iCs/>
        </w:rPr>
        <w:t>The Mabinogion</w:t>
      </w:r>
      <w:r>
        <w:t>, pp. 36-37.</w:t>
      </w:r>
    </w:p>
  </w:footnote>
  <w:footnote w:id="21">
    <w:p w14:paraId="79C1F31D" w14:textId="77777777" w:rsidR="00AF53EA" w:rsidRDefault="00AF53EA" w:rsidP="00AF53EA">
      <w:pPr>
        <w:pStyle w:val="FootnoteText"/>
      </w:pPr>
      <w:r>
        <w:rPr>
          <w:rStyle w:val="FootnoteReference"/>
        </w:rPr>
        <w:footnoteRef/>
      </w:r>
      <w:r>
        <w:t xml:space="preserve"> Davies, </w:t>
      </w:r>
      <w:r w:rsidRPr="001F7021">
        <w:rPr>
          <w:i/>
          <w:iCs/>
        </w:rPr>
        <w:t>The Mabinogion</w:t>
      </w:r>
      <w:r>
        <w:t>, p. 45.</w:t>
      </w:r>
    </w:p>
  </w:footnote>
  <w:footnote w:id="22">
    <w:p w14:paraId="20989FAA" w14:textId="77777777" w:rsidR="00AF53EA" w:rsidRDefault="00AF53EA" w:rsidP="00AF53EA">
      <w:pPr>
        <w:pStyle w:val="FootnoteText"/>
      </w:pPr>
      <w:r>
        <w:rPr>
          <w:rStyle w:val="FootnoteReference"/>
        </w:rPr>
        <w:footnoteRef/>
      </w:r>
      <w:r>
        <w:t xml:space="preserve"> Davies, </w:t>
      </w:r>
      <w:r w:rsidRPr="0054538D">
        <w:rPr>
          <w:i/>
          <w:iCs/>
        </w:rPr>
        <w:t>The Mabinogion</w:t>
      </w:r>
      <w:r>
        <w:t>, p. 5.</w:t>
      </w:r>
    </w:p>
  </w:footnote>
  <w:footnote w:id="23">
    <w:p w14:paraId="1A32079D" w14:textId="77777777" w:rsidR="00AF53EA" w:rsidRDefault="00AF53EA" w:rsidP="00AF53EA">
      <w:pPr>
        <w:pStyle w:val="FootnoteText"/>
      </w:pPr>
      <w:r>
        <w:rPr>
          <w:rStyle w:val="FootnoteReference"/>
        </w:rPr>
        <w:footnoteRef/>
      </w:r>
      <w:r>
        <w:t xml:space="preserve"> Davies, </w:t>
      </w:r>
      <w:r w:rsidRPr="0054538D">
        <w:rPr>
          <w:i/>
          <w:iCs/>
        </w:rPr>
        <w:t>The Mabinogion</w:t>
      </w:r>
      <w:r>
        <w:t>, p. 5.</w:t>
      </w:r>
    </w:p>
  </w:footnote>
  <w:footnote w:id="24">
    <w:p w14:paraId="0C5AD71F" w14:textId="77777777" w:rsidR="00AF53EA" w:rsidRDefault="00AF53EA" w:rsidP="00AF53EA">
      <w:pPr>
        <w:pStyle w:val="FootnoteText"/>
      </w:pPr>
      <w:r>
        <w:rPr>
          <w:rStyle w:val="FootnoteReference"/>
        </w:rPr>
        <w:footnoteRef/>
      </w:r>
      <w:r>
        <w:t xml:space="preserve"> </w:t>
      </w:r>
      <w:r w:rsidRPr="00CC34DE">
        <w:t xml:space="preserve">Meyer, </w:t>
      </w:r>
      <w:r w:rsidRPr="00CC34DE">
        <w:rPr>
          <w:rFonts w:cstheme="minorHAnsi"/>
          <w:i/>
          <w:iCs/>
        </w:rPr>
        <w:t>The Voyage of Bran</w:t>
      </w:r>
      <w:r>
        <w:t>, pp. 6-8</w:t>
      </w:r>
    </w:p>
  </w:footnote>
  <w:footnote w:id="25">
    <w:p w14:paraId="13FB85E0" w14:textId="77777777" w:rsidR="00AF53EA" w:rsidRDefault="00AF53EA" w:rsidP="00AF53EA">
      <w:pPr>
        <w:pStyle w:val="FootnoteText"/>
      </w:pPr>
      <w:r>
        <w:rPr>
          <w:rStyle w:val="FootnoteReference"/>
        </w:rPr>
        <w:footnoteRef/>
      </w:r>
      <w:r>
        <w:t xml:space="preserve"> Stokes, The Voyage of Mael Duin, p. 489 </w:t>
      </w:r>
    </w:p>
  </w:footnote>
  <w:footnote w:id="26">
    <w:p w14:paraId="334B8C09" w14:textId="77777777" w:rsidR="00AF53EA" w:rsidRDefault="00AF53EA" w:rsidP="00AF53EA">
      <w:pPr>
        <w:pStyle w:val="FootnoteText"/>
      </w:pPr>
      <w:r>
        <w:rPr>
          <w:rStyle w:val="FootnoteReference"/>
        </w:rPr>
        <w:footnoteRef/>
      </w:r>
      <w:r>
        <w:t xml:space="preserve"> Davies, </w:t>
      </w:r>
      <w:r w:rsidRPr="0054538D">
        <w:rPr>
          <w:i/>
          <w:iCs/>
        </w:rPr>
        <w:t>The Mabinogion</w:t>
      </w:r>
      <w:r>
        <w:t>, p. 33.</w:t>
      </w:r>
    </w:p>
  </w:footnote>
  <w:footnote w:id="27">
    <w:p w14:paraId="74480ECE" w14:textId="77777777" w:rsidR="00AF53EA" w:rsidRDefault="00AF53EA" w:rsidP="00AF53EA">
      <w:pPr>
        <w:pStyle w:val="FootnoteText"/>
      </w:pPr>
      <w:r>
        <w:rPr>
          <w:rStyle w:val="FootnoteReference"/>
        </w:rPr>
        <w:footnoteRef/>
      </w:r>
      <w:r>
        <w:t xml:space="preserve"> </w:t>
      </w:r>
      <w:r w:rsidRPr="00CC34DE">
        <w:t xml:space="preserve">Meyer, </w:t>
      </w:r>
      <w:r w:rsidRPr="00CC34DE">
        <w:rPr>
          <w:rFonts w:cstheme="minorHAnsi"/>
          <w:i/>
          <w:iCs/>
        </w:rPr>
        <w:t>The Voyage of Bran</w:t>
      </w:r>
      <w:r>
        <w:t>, p. 30</w:t>
      </w:r>
    </w:p>
  </w:footnote>
  <w:footnote w:id="28">
    <w:p w14:paraId="0B6CF75D" w14:textId="77777777" w:rsidR="00AF53EA" w:rsidRDefault="00AF53EA" w:rsidP="00AF53EA">
      <w:pPr>
        <w:pStyle w:val="FootnoteText"/>
      </w:pPr>
      <w:r>
        <w:rPr>
          <w:rStyle w:val="FootnoteReference"/>
        </w:rPr>
        <w:footnoteRef/>
      </w:r>
      <w:r>
        <w:t xml:space="preserve"> Davies, </w:t>
      </w:r>
      <w:r w:rsidRPr="0054538D">
        <w:rPr>
          <w:i/>
          <w:iCs/>
        </w:rPr>
        <w:t>The Mabinogion</w:t>
      </w:r>
      <w:r>
        <w:t>, p. 67.</w:t>
      </w:r>
    </w:p>
  </w:footnote>
  <w:footnote w:id="29">
    <w:p w14:paraId="6E5A6E71" w14:textId="77777777" w:rsidR="00AF53EA" w:rsidRDefault="00AF53EA" w:rsidP="00AF53EA">
      <w:pPr>
        <w:pStyle w:val="FootnoteText"/>
      </w:pPr>
      <w:r>
        <w:rPr>
          <w:rStyle w:val="FootnoteReference"/>
        </w:rPr>
        <w:footnoteRef/>
      </w:r>
      <w:r>
        <w:t xml:space="preserve"> Stokes, The Voyage of Mael Duin, p. 469.</w:t>
      </w:r>
    </w:p>
  </w:footnote>
  <w:footnote w:id="30">
    <w:p w14:paraId="1E4BE614" w14:textId="77777777" w:rsidR="00AF53EA" w:rsidRDefault="00AF53EA" w:rsidP="00AF53EA">
      <w:pPr>
        <w:pStyle w:val="FootnoteText"/>
      </w:pPr>
      <w:r>
        <w:rPr>
          <w:rStyle w:val="FootnoteReference"/>
        </w:rPr>
        <w:footnoteRef/>
      </w:r>
      <w:r>
        <w:t xml:space="preserve"> Stokes, The Voyage of Mael Duin, p. 469-471.</w:t>
      </w:r>
    </w:p>
  </w:footnote>
  <w:footnote w:id="31">
    <w:p w14:paraId="60C65F03" w14:textId="77777777" w:rsidR="00AF53EA" w:rsidRDefault="00AF53EA" w:rsidP="00AF53EA">
      <w:pPr>
        <w:pStyle w:val="FootnoteText"/>
      </w:pPr>
      <w:r>
        <w:rPr>
          <w:rStyle w:val="FootnoteReference"/>
        </w:rPr>
        <w:footnoteRef/>
      </w:r>
      <w:r>
        <w:t xml:space="preserve"> Stokes, The Voyage of Mael Duin, p. 479.</w:t>
      </w:r>
    </w:p>
  </w:footnote>
  <w:footnote w:id="32">
    <w:p w14:paraId="3537D673" w14:textId="77777777" w:rsidR="00AF53EA" w:rsidRDefault="00AF53EA" w:rsidP="00AF53EA">
      <w:pPr>
        <w:pStyle w:val="FootnoteText"/>
      </w:pPr>
      <w:r>
        <w:rPr>
          <w:rStyle w:val="FootnoteReference"/>
        </w:rPr>
        <w:footnoteRef/>
      </w:r>
      <w:r>
        <w:t xml:space="preserve"> Stokes, The Voyage of Mael Duin, p. 487.</w:t>
      </w:r>
    </w:p>
  </w:footnote>
  <w:footnote w:id="33">
    <w:p w14:paraId="3A2AC3E2" w14:textId="77777777" w:rsidR="00AF53EA" w:rsidRDefault="00AF53EA" w:rsidP="00AF53EA">
      <w:pPr>
        <w:pStyle w:val="FootnoteText"/>
      </w:pPr>
      <w:r>
        <w:rPr>
          <w:rStyle w:val="FootnoteReference"/>
        </w:rPr>
        <w:footnoteRef/>
      </w:r>
      <w:r>
        <w:t xml:space="preserve"> Davies, </w:t>
      </w:r>
      <w:r w:rsidRPr="0054538D">
        <w:rPr>
          <w:i/>
          <w:iCs/>
        </w:rPr>
        <w:t>The Mabinogion</w:t>
      </w:r>
      <w:r>
        <w:t>, pp. 33-34.</w:t>
      </w:r>
    </w:p>
  </w:footnote>
  <w:footnote w:id="34">
    <w:p w14:paraId="15A9813B" w14:textId="77777777" w:rsidR="00AF53EA" w:rsidRDefault="00AF53EA" w:rsidP="00AF53EA">
      <w:pPr>
        <w:pStyle w:val="FootnoteText"/>
      </w:pPr>
      <w:r>
        <w:rPr>
          <w:rStyle w:val="FootnoteReference"/>
        </w:rPr>
        <w:footnoteRef/>
      </w:r>
      <w:r>
        <w:t xml:space="preserve"> M. Haycock</w:t>
      </w:r>
      <w:r w:rsidRPr="00781D3E">
        <w:rPr>
          <w:i/>
          <w:iCs/>
        </w:rPr>
        <w:t>, Legendary Poems from the Book of Taliesin</w:t>
      </w:r>
      <w:r>
        <w:t xml:space="preserve">, Aberystwyth: CMCS, 2007 p. 277 </w:t>
      </w:r>
      <w:r>
        <w:rPr>
          <w:rFonts w:cstheme="minorHAnsi"/>
        </w:rPr>
        <w:t>§</w:t>
      </w:r>
      <w:r>
        <w:t>45-46.</w:t>
      </w:r>
    </w:p>
  </w:footnote>
  <w:footnote w:id="35">
    <w:p w14:paraId="22CF7CE4" w14:textId="77777777" w:rsidR="00AF53EA" w:rsidRDefault="00AF53EA" w:rsidP="00AF53EA">
      <w:pPr>
        <w:pStyle w:val="FootnoteText"/>
      </w:pPr>
      <w:r>
        <w:rPr>
          <w:rStyle w:val="FootnoteReference"/>
        </w:rPr>
        <w:footnoteRef/>
      </w:r>
      <w:r>
        <w:t xml:space="preserve"> Davies, </w:t>
      </w:r>
      <w:r w:rsidRPr="0054538D">
        <w:rPr>
          <w:i/>
          <w:iCs/>
        </w:rPr>
        <w:t>The Mabinogion</w:t>
      </w:r>
      <w:r>
        <w:t>, p. 5.</w:t>
      </w:r>
    </w:p>
  </w:footnote>
  <w:footnote w:id="36">
    <w:p w14:paraId="0CF7031C" w14:textId="77777777" w:rsidR="00AF53EA" w:rsidRDefault="00AF53EA" w:rsidP="00AF53EA">
      <w:pPr>
        <w:pStyle w:val="FootnoteText"/>
      </w:pPr>
      <w:r>
        <w:rPr>
          <w:rStyle w:val="FootnoteReference"/>
        </w:rPr>
        <w:footnoteRef/>
      </w:r>
      <w:r>
        <w:t xml:space="preserve"> Davies, </w:t>
      </w:r>
      <w:r w:rsidRPr="0054538D">
        <w:rPr>
          <w:i/>
          <w:iCs/>
        </w:rPr>
        <w:t>The Mabinogion</w:t>
      </w:r>
      <w:r>
        <w:t xml:space="preserve">, p. 104. </w:t>
      </w:r>
    </w:p>
  </w:footnote>
  <w:footnote w:id="37">
    <w:p w14:paraId="7B3EF933" w14:textId="77777777" w:rsidR="00AF53EA" w:rsidRDefault="00AF53EA" w:rsidP="00AF53EA">
      <w:pPr>
        <w:pStyle w:val="FootnoteText"/>
      </w:pPr>
      <w:r>
        <w:rPr>
          <w:rStyle w:val="FootnoteReference"/>
        </w:rPr>
        <w:footnoteRef/>
      </w:r>
      <w:r>
        <w:t xml:space="preserve"> Davies, </w:t>
      </w:r>
      <w:r w:rsidRPr="0054538D">
        <w:rPr>
          <w:i/>
          <w:iCs/>
        </w:rPr>
        <w:t>The Mabinogion</w:t>
      </w:r>
      <w:r>
        <w:t>, p. 39.</w:t>
      </w:r>
    </w:p>
  </w:footnote>
  <w:footnote w:id="38">
    <w:p w14:paraId="39EB03ED" w14:textId="77777777" w:rsidR="00AF53EA" w:rsidRDefault="00AF53EA" w:rsidP="00AF53EA">
      <w:pPr>
        <w:pStyle w:val="FootnoteText"/>
      </w:pPr>
      <w:r>
        <w:rPr>
          <w:rStyle w:val="FootnoteReference"/>
        </w:rPr>
        <w:footnoteRef/>
      </w:r>
      <w:r>
        <w:t xml:space="preserve"> Davies, </w:t>
      </w:r>
      <w:r w:rsidRPr="0054538D">
        <w:rPr>
          <w:i/>
          <w:iCs/>
        </w:rPr>
        <w:t>The Mabinogion</w:t>
      </w:r>
      <w:r>
        <w:t>, p. 40.</w:t>
      </w:r>
    </w:p>
  </w:footnote>
  <w:footnote w:id="39">
    <w:p w14:paraId="0802723E" w14:textId="77777777" w:rsidR="00AF53EA" w:rsidRDefault="00AF53EA" w:rsidP="00AF53EA">
      <w:pPr>
        <w:pStyle w:val="FootnoteText"/>
      </w:pPr>
      <w:r>
        <w:rPr>
          <w:rStyle w:val="FootnoteReference"/>
        </w:rPr>
        <w:footnoteRef/>
      </w:r>
      <w:r>
        <w:t xml:space="preserve"> </w:t>
      </w:r>
      <w:r w:rsidRPr="00CC34DE">
        <w:t xml:space="preserve">Meyer, </w:t>
      </w:r>
      <w:r w:rsidRPr="00CC34DE">
        <w:rPr>
          <w:rFonts w:cstheme="minorHAnsi"/>
          <w:i/>
          <w:iCs/>
        </w:rPr>
        <w:t>The Voyage of Bran</w:t>
      </w:r>
      <w:r>
        <w:t>, p. 30.</w:t>
      </w:r>
    </w:p>
  </w:footnote>
  <w:footnote w:id="40">
    <w:p w14:paraId="60E57183" w14:textId="77777777" w:rsidR="00AF53EA" w:rsidRDefault="00AF53EA" w:rsidP="00AF53EA">
      <w:pPr>
        <w:pStyle w:val="FootnoteText"/>
      </w:pPr>
      <w:r>
        <w:rPr>
          <w:rStyle w:val="FootnoteReference"/>
        </w:rPr>
        <w:footnoteRef/>
      </w:r>
      <w:r>
        <w:t xml:space="preserve"> Stokes, The Voyage of Mael Duin, p. 69</w:t>
      </w:r>
    </w:p>
  </w:footnote>
  <w:footnote w:id="41">
    <w:p w14:paraId="5D40A93F" w14:textId="77777777" w:rsidR="00AF53EA" w:rsidRPr="004B5AB1" w:rsidRDefault="00AF53EA" w:rsidP="00AF53EA">
      <w:pPr>
        <w:pStyle w:val="FootnoteText"/>
      </w:pPr>
      <w:r>
        <w:rPr>
          <w:rStyle w:val="FootnoteReference"/>
        </w:rPr>
        <w:footnoteRef/>
      </w:r>
      <w:r>
        <w:t xml:space="preserve"> Davies, </w:t>
      </w:r>
      <w:r w:rsidRPr="0054538D">
        <w:rPr>
          <w:i/>
          <w:iCs/>
        </w:rPr>
        <w:t>The Mabinogion</w:t>
      </w:r>
      <w:r>
        <w:rPr>
          <w:i/>
          <w:iCs/>
        </w:rPr>
        <w:t>,</w:t>
      </w:r>
      <w:r>
        <w:t xml:space="preserve"> p. 105.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8037A47"/>
    <w:multiLevelType w:val="hybridMultilevel"/>
    <w:tmpl w:val="7354F118"/>
    <w:lvl w:ilvl="0" w:tplc="0809001B">
      <w:start w:val="1"/>
      <w:numFmt w:val="lowerRoman"/>
      <w:lvlText w:val="%1."/>
      <w:lvlJc w:val="righ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3408"/>
    <w:rsid w:val="00024A4D"/>
    <w:rsid w:val="00070FBA"/>
    <w:rsid w:val="00096A50"/>
    <w:rsid w:val="000A3FC4"/>
    <w:rsid w:val="000B1BCE"/>
    <w:rsid w:val="001563A9"/>
    <w:rsid w:val="001608E4"/>
    <w:rsid w:val="0019658E"/>
    <w:rsid w:val="001C234D"/>
    <w:rsid w:val="00205CA3"/>
    <w:rsid w:val="002A6FC1"/>
    <w:rsid w:val="002D74E0"/>
    <w:rsid w:val="00422FC2"/>
    <w:rsid w:val="0048198D"/>
    <w:rsid w:val="00505109"/>
    <w:rsid w:val="005D7380"/>
    <w:rsid w:val="005F3162"/>
    <w:rsid w:val="006306AD"/>
    <w:rsid w:val="00673464"/>
    <w:rsid w:val="006E083B"/>
    <w:rsid w:val="007936BA"/>
    <w:rsid w:val="007D205A"/>
    <w:rsid w:val="00800E1A"/>
    <w:rsid w:val="0084062A"/>
    <w:rsid w:val="00886467"/>
    <w:rsid w:val="008E2F81"/>
    <w:rsid w:val="00957A1D"/>
    <w:rsid w:val="009E6CC0"/>
    <w:rsid w:val="009F3190"/>
    <w:rsid w:val="00A33B7B"/>
    <w:rsid w:val="00A53408"/>
    <w:rsid w:val="00A64FC9"/>
    <w:rsid w:val="00AF53EA"/>
    <w:rsid w:val="00B12946"/>
    <w:rsid w:val="00B24ABB"/>
    <w:rsid w:val="00B54510"/>
    <w:rsid w:val="00B61F9C"/>
    <w:rsid w:val="00BB2224"/>
    <w:rsid w:val="00C07259"/>
    <w:rsid w:val="00CC1F57"/>
    <w:rsid w:val="00CF21DE"/>
    <w:rsid w:val="00CF4359"/>
    <w:rsid w:val="00D34FA1"/>
    <w:rsid w:val="00D56837"/>
    <w:rsid w:val="00DB1FF9"/>
    <w:rsid w:val="00DF52AE"/>
    <w:rsid w:val="00E2564A"/>
    <w:rsid w:val="00E83E0A"/>
    <w:rsid w:val="00F26489"/>
    <w:rsid w:val="00F41347"/>
    <w:rsid w:val="00F45EF5"/>
    <w:rsid w:val="00F813E9"/>
    <w:rsid w:val="00FB52AD"/>
    <w:rsid w:val="00FC5D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8669D1"/>
  <w15:chartTrackingRefBased/>
  <w15:docId w15:val="{00F9971E-F467-445C-AD74-3A849403DA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198D"/>
    <w:pPr>
      <w:spacing w:after="0" w:line="240" w:lineRule="auto"/>
    </w:pPr>
    <w:rPr>
      <w:rFonts w:ascii="Times New Roman" w:eastAsia="SimSun" w:hAnsi="Times New Roman" w:cs="Times New Roman"/>
      <w:sz w:val="24"/>
      <w:szCs w:val="24"/>
      <w:lang w:eastAsia="zh-CN"/>
    </w:rPr>
  </w:style>
  <w:style w:type="paragraph" w:styleId="Heading3">
    <w:name w:val="heading 3"/>
    <w:basedOn w:val="Normal"/>
    <w:link w:val="Heading3Char"/>
    <w:semiHidden/>
    <w:unhideWhenUsed/>
    <w:qFormat/>
    <w:rsid w:val="0048198D"/>
    <w:pPr>
      <w:keepNext/>
      <w:ind w:left="720"/>
      <w:jc w:val="both"/>
      <w:outlineLvl w:val="2"/>
    </w:pPr>
    <w:rPr>
      <w:rFonts w:ascii="Tahoma" w:eastAsia="Times New Roman"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semiHidden/>
    <w:rsid w:val="0048198D"/>
    <w:rPr>
      <w:rFonts w:ascii="Tahoma" w:eastAsia="Times New Roman" w:hAnsi="Tahoma" w:cs="Tahoma"/>
      <w:b/>
      <w:bCs/>
      <w:sz w:val="20"/>
      <w:szCs w:val="20"/>
      <w:lang w:eastAsia="zh-CN"/>
    </w:rPr>
  </w:style>
  <w:style w:type="paragraph" w:styleId="NormalWeb">
    <w:name w:val="Normal (Web)"/>
    <w:basedOn w:val="Normal"/>
    <w:uiPriority w:val="99"/>
    <w:unhideWhenUsed/>
    <w:rsid w:val="0048198D"/>
    <w:pPr>
      <w:spacing w:before="100" w:beforeAutospacing="1" w:after="100" w:afterAutospacing="1"/>
    </w:pPr>
    <w:rPr>
      <w:rFonts w:ascii="Georgia" w:hAnsi="Georgia"/>
      <w:color w:val="000000"/>
      <w:sz w:val="21"/>
      <w:szCs w:val="21"/>
    </w:rPr>
  </w:style>
  <w:style w:type="paragraph" w:styleId="FootnoteText">
    <w:name w:val="footnote text"/>
    <w:basedOn w:val="Normal"/>
    <w:link w:val="FootnoteTextChar"/>
    <w:uiPriority w:val="99"/>
    <w:semiHidden/>
    <w:unhideWhenUsed/>
    <w:rsid w:val="00CC1F57"/>
    <w:rPr>
      <w:rFonts w:asciiTheme="minorHAnsi" w:eastAsiaTheme="minorHAnsi" w:hAnsiTheme="minorHAnsi" w:cstheme="minorBidi"/>
      <w:sz w:val="20"/>
      <w:szCs w:val="20"/>
      <w:lang w:eastAsia="en-US"/>
    </w:rPr>
  </w:style>
  <w:style w:type="character" w:customStyle="1" w:styleId="FootnoteTextChar">
    <w:name w:val="Footnote Text Char"/>
    <w:basedOn w:val="DefaultParagraphFont"/>
    <w:link w:val="FootnoteText"/>
    <w:uiPriority w:val="99"/>
    <w:semiHidden/>
    <w:rsid w:val="00CC1F57"/>
    <w:rPr>
      <w:sz w:val="20"/>
      <w:szCs w:val="20"/>
    </w:rPr>
  </w:style>
  <w:style w:type="character" w:styleId="FootnoteReference">
    <w:name w:val="footnote reference"/>
    <w:basedOn w:val="DefaultParagraphFont"/>
    <w:uiPriority w:val="99"/>
    <w:semiHidden/>
    <w:unhideWhenUsed/>
    <w:rsid w:val="00CC1F57"/>
    <w:rPr>
      <w:vertAlign w:val="superscript"/>
    </w:rPr>
  </w:style>
  <w:style w:type="character" w:styleId="Strong">
    <w:name w:val="Strong"/>
    <w:basedOn w:val="DefaultParagraphFont"/>
    <w:uiPriority w:val="22"/>
    <w:qFormat/>
    <w:rsid w:val="00A33B7B"/>
    <w:rPr>
      <w:b/>
      <w:bCs/>
    </w:rPr>
  </w:style>
  <w:style w:type="paragraph" w:styleId="BalloonText">
    <w:name w:val="Balloon Text"/>
    <w:basedOn w:val="Normal"/>
    <w:link w:val="BalloonTextChar"/>
    <w:uiPriority w:val="99"/>
    <w:semiHidden/>
    <w:unhideWhenUsed/>
    <w:rsid w:val="00096A5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96A50"/>
    <w:rPr>
      <w:rFonts w:ascii="Segoe UI" w:eastAsia="SimSun" w:hAnsi="Segoe UI" w:cs="Segoe UI"/>
      <w:sz w:val="18"/>
      <w:szCs w:val="18"/>
      <w:lang w:eastAsia="zh-CN"/>
    </w:rPr>
  </w:style>
  <w:style w:type="character" w:styleId="Hyperlink">
    <w:name w:val="Hyperlink"/>
    <w:basedOn w:val="DefaultParagraphFont"/>
    <w:uiPriority w:val="99"/>
    <w:semiHidden/>
    <w:unhideWhenUsed/>
    <w:rsid w:val="0084062A"/>
    <w:rPr>
      <w:color w:val="0000FF"/>
      <w:u w:val="single"/>
    </w:rPr>
  </w:style>
  <w:style w:type="paragraph" w:styleId="ListParagraph">
    <w:name w:val="List Paragraph"/>
    <w:basedOn w:val="Normal"/>
    <w:uiPriority w:val="34"/>
    <w:qFormat/>
    <w:rsid w:val="00AF53EA"/>
    <w:pPr>
      <w:spacing w:after="160" w:line="259" w:lineRule="auto"/>
      <w:ind w:left="720"/>
      <w:contextualSpacing/>
    </w:pPr>
    <w:rPr>
      <w:rFonts w:asciiTheme="minorHAnsi" w:eastAsiaTheme="minorHAnsi" w:hAnsiTheme="minorHAnsi" w:cstheme="minorBid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46816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16</Pages>
  <Words>3667</Words>
  <Characters>20903</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Griffiths</dc:creator>
  <cp:keywords/>
  <dc:description/>
  <cp:lastModifiedBy>Sarah Griffiths</cp:lastModifiedBy>
  <cp:revision>10</cp:revision>
  <dcterms:created xsi:type="dcterms:W3CDTF">2020-04-22T17:44:00Z</dcterms:created>
  <dcterms:modified xsi:type="dcterms:W3CDTF">2020-05-01T11:29:00Z</dcterms:modified>
</cp:coreProperties>
</file>