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10E0" w:rsidRDefault="00A210E0" w:rsidP="00A210E0">
      <w:pPr>
        <w:jc w:val="right"/>
        <w:rPr>
          <w:lang w:val="en-GB"/>
        </w:rPr>
      </w:pPr>
      <w:r>
        <w:rPr>
          <w:lang w:val="en-GB"/>
        </w:rPr>
        <w:t>By Penny Dran</w:t>
      </w:r>
      <w:r w:rsidR="00390C4C">
        <w:rPr>
          <w:lang w:val="en-GB"/>
        </w:rPr>
        <w:t>s</w:t>
      </w:r>
      <w:r>
        <w:rPr>
          <w:lang w:val="en-GB"/>
        </w:rPr>
        <w:t>art, October 2013</w:t>
      </w:r>
    </w:p>
    <w:p w:rsidR="00775E3F" w:rsidRDefault="00775E3F" w:rsidP="008F1912">
      <w:pPr>
        <w:pStyle w:val="Heading1"/>
        <w:rPr>
          <w:lang w:val="en-GB"/>
        </w:rPr>
      </w:pPr>
      <w:r>
        <w:rPr>
          <w:lang w:val="en-GB"/>
        </w:rPr>
        <w:t>Anthropological Research Methods in Practice:  Lecture 3</w:t>
      </w:r>
    </w:p>
    <w:p w:rsidR="00EF149D" w:rsidRDefault="009D6240" w:rsidP="008F1912">
      <w:pPr>
        <w:pStyle w:val="Heading1"/>
        <w:rPr>
          <w:lang w:val="en-GB"/>
        </w:rPr>
      </w:pPr>
      <w:r>
        <w:rPr>
          <w:lang w:val="en-GB"/>
        </w:rPr>
        <w:t>The ethnographic present</w:t>
      </w:r>
      <w:r w:rsidR="00D33179">
        <w:rPr>
          <w:lang w:val="en-GB"/>
        </w:rPr>
        <w:t xml:space="preserve"> (Topic B</w:t>
      </w:r>
      <w:bookmarkStart w:id="0" w:name="_GoBack"/>
      <w:bookmarkEnd w:id="0"/>
      <w:r w:rsidR="00A210E0">
        <w:rPr>
          <w:lang w:val="en-GB"/>
        </w:rPr>
        <w:t xml:space="preserve"> of Assignment 1)</w:t>
      </w:r>
    </w:p>
    <w:p w:rsidR="009D6240" w:rsidRDefault="00A12D25">
      <w:pPr>
        <w:rPr>
          <w:lang w:val="en-GB"/>
        </w:rPr>
      </w:pPr>
      <w:r>
        <w:rPr>
          <w:lang w:val="en-GB"/>
        </w:rPr>
        <w:t>Outwardly t</w:t>
      </w:r>
      <w:r w:rsidR="009D6240">
        <w:rPr>
          <w:lang w:val="en-GB"/>
        </w:rPr>
        <w:t xml:space="preserve">he ‘ethnographic present’ </w:t>
      </w:r>
      <w:r>
        <w:rPr>
          <w:lang w:val="en-GB"/>
        </w:rPr>
        <w:t>appears to be</w:t>
      </w:r>
      <w:r w:rsidR="009D6240">
        <w:rPr>
          <w:lang w:val="en-GB"/>
        </w:rPr>
        <w:t xml:space="preserve"> similar to the continuous present tense in that it expresses a situation or actions which are in progress at the time of writing. </w:t>
      </w:r>
      <w:r>
        <w:rPr>
          <w:lang w:val="en-GB"/>
        </w:rPr>
        <w:t xml:space="preserve">On digging deeper, we find the situation is not quite that straightforward. </w:t>
      </w:r>
      <w:r w:rsidR="00D80510">
        <w:rPr>
          <w:lang w:val="en-GB"/>
        </w:rPr>
        <w:t xml:space="preserve">This lecture will explore some of the reasons why </w:t>
      </w:r>
      <w:r w:rsidR="009D6240">
        <w:rPr>
          <w:lang w:val="en-GB"/>
        </w:rPr>
        <w:t xml:space="preserve">social and cultural anthropologists </w:t>
      </w:r>
      <w:r w:rsidR="00D80510">
        <w:rPr>
          <w:lang w:val="en-GB"/>
        </w:rPr>
        <w:t>became</w:t>
      </w:r>
      <w:r w:rsidR="009D6240">
        <w:rPr>
          <w:lang w:val="en-GB"/>
        </w:rPr>
        <w:t xml:space="preserve"> rather self-conscious about using it. </w:t>
      </w:r>
      <w:r w:rsidR="00F21D4B">
        <w:rPr>
          <w:lang w:val="en-GB"/>
        </w:rPr>
        <w:t>Take this</w:t>
      </w:r>
      <w:r w:rsidR="009D6240">
        <w:rPr>
          <w:lang w:val="en-GB"/>
        </w:rPr>
        <w:t xml:space="preserve"> example</w:t>
      </w:r>
      <w:r w:rsidR="00CF7F67">
        <w:rPr>
          <w:lang w:val="en-GB"/>
        </w:rPr>
        <w:t xml:space="preserve">, </w:t>
      </w:r>
      <w:r w:rsidR="00F21D4B">
        <w:rPr>
          <w:lang w:val="en-GB"/>
        </w:rPr>
        <w:t>which is in</w:t>
      </w:r>
      <w:r w:rsidR="00CF7F67">
        <w:rPr>
          <w:lang w:val="en-GB"/>
        </w:rPr>
        <w:t xml:space="preserve"> </w:t>
      </w:r>
      <w:r w:rsidR="00EF4598">
        <w:rPr>
          <w:lang w:val="en-GB"/>
        </w:rPr>
        <w:t>Greene</w:t>
      </w:r>
      <w:r w:rsidR="00CF7F67">
        <w:rPr>
          <w:lang w:val="en-GB"/>
        </w:rPr>
        <w:t xml:space="preserve"> (1998</w:t>
      </w:r>
      <w:r w:rsidR="009D6240">
        <w:rPr>
          <w:lang w:val="en-GB"/>
        </w:rPr>
        <w:t>:</w:t>
      </w:r>
      <w:r w:rsidR="00CF7F67">
        <w:rPr>
          <w:lang w:val="en-GB"/>
        </w:rPr>
        <w:t xml:space="preserve"> </w:t>
      </w:r>
      <w:r w:rsidR="006F4518">
        <w:rPr>
          <w:lang w:val="en-GB"/>
        </w:rPr>
        <w:t>645</w:t>
      </w:r>
      <w:r w:rsidR="00CF7F67">
        <w:rPr>
          <w:lang w:val="en-GB"/>
        </w:rPr>
        <w:t>):</w:t>
      </w:r>
      <w:r w:rsidR="009D6240">
        <w:rPr>
          <w:lang w:val="en-GB"/>
        </w:rPr>
        <w:t xml:space="preserve"> ‘I </w:t>
      </w:r>
      <w:r w:rsidR="00EF4598">
        <w:rPr>
          <w:lang w:val="en-GB"/>
        </w:rPr>
        <w:t>use</w:t>
      </w:r>
      <w:r w:rsidR="009D6240">
        <w:rPr>
          <w:lang w:val="en-GB"/>
        </w:rPr>
        <w:t xml:space="preserve"> the ethnographic present as does Brown’. </w:t>
      </w:r>
      <w:r w:rsidR="00F21D4B">
        <w:rPr>
          <w:lang w:val="en-GB"/>
        </w:rPr>
        <w:t xml:space="preserve">In </w:t>
      </w:r>
      <w:r w:rsidR="00854880">
        <w:rPr>
          <w:lang w:val="en-GB"/>
        </w:rPr>
        <w:t>the article</w:t>
      </w:r>
      <w:r w:rsidR="00F21D4B">
        <w:rPr>
          <w:lang w:val="en-GB"/>
        </w:rPr>
        <w:t>, Greene reviewed a series of publications written by Michael Brown, based on the analysis of a shamanic session, which took place in 1978. Greene was writing a decade after Brown published a series of articles based on his fieldwork</w:t>
      </w:r>
      <w:r w:rsidR="00247204">
        <w:rPr>
          <w:lang w:val="en-GB"/>
        </w:rPr>
        <w:t xml:space="preserve"> among Aguaruna</w:t>
      </w:r>
      <w:r w:rsidR="00F21D4B">
        <w:rPr>
          <w:lang w:val="en-GB"/>
        </w:rPr>
        <w:t xml:space="preserve"> in</w:t>
      </w:r>
      <w:r w:rsidR="00247204">
        <w:rPr>
          <w:lang w:val="en-GB"/>
        </w:rPr>
        <w:t xml:space="preserve"> the</w:t>
      </w:r>
      <w:r w:rsidR="00F21D4B">
        <w:rPr>
          <w:lang w:val="en-GB"/>
        </w:rPr>
        <w:t xml:space="preserve"> </w:t>
      </w:r>
      <w:r w:rsidR="00247204">
        <w:t xml:space="preserve">Alto Río Mayo, Peru </w:t>
      </w:r>
      <w:r w:rsidR="00F21D4B">
        <w:rPr>
          <w:lang w:val="en-GB"/>
        </w:rPr>
        <w:t>(see, in particular</w:t>
      </w:r>
      <w:r w:rsidR="005F2F71">
        <w:rPr>
          <w:lang w:val="en-GB"/>
        </w:rPr>
        <w:t>,</w:t>
      </w:r>
      <w:r w:rsidR="00F21D4B">
        <w:rPr>
          <w:lang w:val="en-GB"/>
        </w:rPr>
        <w:t xml:space="preserve"> Brown 1988). </w:t>
      </w:r>
      <w:r w:rsidR="006F4518">
        <w:rPr>
          <w:lang w:val="en-GB"/>
        </w:rPr>
        <w:t>Like Brown, Greene used the ethnographic present tense but, unlike Brown, he drew the reader’s attention to the textual strategy. He did not, however, go further to explore the benefits and drawbacks associated with its use. By pointing out that his account was, like Brown’s, couched</w:t>
      </w:r>
      <w:r w:rsidR="0040341B">
        <w:rPr>
          <w:lang w:val="en-GB"/>
        </w:rPr>
        <w:t xml:space="preserve"> in the present tense, </w:t>
      </w:r>
      <w:r w:rsidR="00CE4CEF">
        <w:rPr>
          <w:lang w:val="en-GB"/>
        </w:rPr>
        <w:t>does it contain</w:t>
      </w:r>
      <w:r w:rsidR="0040341B">
        <w:rPr>
          <w:lang w:val="en-GB"/>
        </w:rPr>
        <w:t xml:space="preserve"> </w:t>
      </w:r>
      <w:r w:rsidR="006F4518">
        <w:rPr>
          <w:lang w:val="en-GB"/>
        </w:rPr>
        <w:t>an implicit warning</w:t>
      </w:r>
      <w:r w:rsidR="00E72E47">
        <w:rPr>
          <w:lang w:val="en-GB"/>
        </w:rPr>
        <w:t>?</w:t>
      </w:r>
      <w:r w:rsidR="006F4518">
        <w:rPr>
          <w:lang w:val="en-GB"/>
        </w:rPr>
        <w:t xml:space="preserve"> </w:t>
      </w:r>
      <w:r w:rsidR="00D80510">
        <w:rPr>
          <w:lang w:val="en-GB"/>
        </w:rPr>
        <w:t>It seems to indicate that the</w:t>
      </w:r>
      <w:r w:rsidR="006F4518">
        <w:rPr>
          <w:lang w:val="en-GB"/>
        </w:rPr>
        <w:t xml:space="preserve"> reader must understand </w:t>
      </w:r>
      <w:r w:rsidR="00D80510">
        <w:rPr>
          <w:lang w:val="en-GB"/>
        </w:rPr>
        <w:t xml:space="preserve">that </w:t>
      </w:r>
      <w:r w:rsidR="005F2F71">
        <w:rPr>
          <w:lang w:val="en-GB"/>
        </w:rPr>
        <w:t>the text wa</w:t>
      </w:r>
      <w:r w:rsidR="00DA6BB2">
        <w:rPr>
          <w:lang w:val="en-GB"/>
        </w:rPr>
        <w:t xml:space="preserve">s written </w:t>
      </w:r>
      <w:r w:rsidR="00D80510">
        <w:rPr>
          <w:lang w:val="en-GB"/>
        </w:rPr>
        <w:t>assuming</w:t>
      </w:r>
      <w:r w:rsidR="00DA6BB2">
        <w:rPr>
          <w:lang w:val="en-GB"/>
        </w:rPr>
        <w:t xml:space="preserve"> that the social situation and conditions of </w:t>
      </w:r>
      <w:r w:rsidR="006F4518">
        <w:rPr>
          <w:lang w:val="en-GB"/>
        </w:rPr>
        <w:t xml:space="preserve">the late 1970s </w:t>
      </w:r>
      <w:r w:rsidR="00DA6BB2">
        <w:rPr>
          <w:lang w:val="en-GB"/>
        </w:rPr>
        <w:t>would continue to be in progress as before</w:t>
      </w:r>
      <w:r w:rsidR="002D4F77">
        <w:rPr>
          <w:lang w:val="en-GB"/>
        </w:rPr>
        <w:t>,</w:t>
      </w:r>
      <w:r w:rsidR="00DA6BB2">
        <w:rPr>
          <w:lang w:val="en-GB"/>
        </w:rPr>
        <w:t xml:space="preserve"> but there is no </w:t>
      </w:r>
      <w:r w:rsidR="002D4F77">
        <w:rPr>
          <w:lang w:val="en-GB"/>
        </w:rPr>
        <w:t>indication</w:t>
      </w:r>
      <w:r w:rsidR="00DA6BB2">
        <w:rPr>
          <w:lang w:val="en-GB"/>
        </w:rPr>
        <w:t xml:space="preserve"> </w:t>
      </w:r>
      <w:r w:rsidR="005A6261">
        <w:rPr>
          <w:lang w:val="en-GB"/>
        </w:rPr>
        <w:t>whether or not</w:t>
      </w:r>
      <w:r w:rsidR="00DA6BB2">
        <w:rPr>
          <w:lang w:val="en-GB"/>
        </w:rPr>
        <w:t xml:space="preserve"> they </w:t>
      </w:r>
      <w:r w:rsidR="002D4F77">
        <w:rPr>
          <w:lang w:val="en-GB"/>
        </w:rPr>
        <w:t xml:space="preserve">really </w:t>
      </w:r>
      <w:r w:rsidR="00DA6BB2">
        <w:rPr>
          <w:lang w:val="en-GB"/>
        </w:rPr>
        <w:t xml:space="preserve">did </w:t>
      </w:r>
      <w:r w:rsidR="00D80510">
        <w:rPr>
          <w:lang w:val="en-GB"/>
        </w:rPr>
        <w:t>remain constant</w:t>
      </w:r>
      <w:r w:rsidR="00DA6BB2">
        <w:rPr>
          <w:lang w:val="en-GB"/>
        </w:rPr>
        <w:t>.</w:t>
      </w:r>
    </w:p>
    <w:p w:rsidR="00E41DA5" w:rsidRDefault="00E41DA5">
      <w:pPr>
        <w:rPr>
          <w:lang w:val="en-GB"/>
        </w:rPr>
      </w:pPr>
      <w:r>
        <w:rPr>
          <w:lang w:val="en-GB"/>
        </w:rPr>
        <w:t xml:space="preserve">Johannes Fabian (1983: 86) commented that </w:t>
      </w:r>
      <w:r w:rsidR="000A335D">
        <w:rPr>
          <w:lang w:val="en-GB"/>
        </w:rPr>
        <w:t>the matter concerns more than just</w:t>
      </w:r>
      <w:r>
        <w:rPr>
          <w:lang w:val="en-GB"/>
        </w:rPr>
        <w:t xml:space="preserve"> linguistic rules </w:t>
      </w:r>
      <w:r w:rsidR="000A335D">
        <w:rPr>
          <w:lang w:val="en-GB"/>
        </w:rPr>
        <w:t xml:space="preserve">in his argument that an </w:t>
      </w:r>
      <w:r w:rsidR="00854880">
        <w:rPr>
          <w:lang w:val="en-GB"/>
        </w:rPr>
        <w:t>anthropologist</w:t>
      </w:r>
      <w:r w:rsidR="000A335D">
        <w:rPr>
          <w:lang w:val="en-GB"/>
        </w:rPr>
        <w:t xml:space="preserve"> who chooses to use the ethnographic present also displays his or her epistemological stance. </w:t>
      </w:r>
      <w:r w:rsidR="00854880">
        <w:rPr>
          <w:lang w:val="en-GB"/>
        </w:rPr>
        <w:t>If an author</w:t>
      </w:r>
      <w:r w:rsidR="000A335D">
        <w:rPr>
          <w:lang w:val="en-GB"/>
        </w:rPr>
        <w:t xml:space="preserve"> uses the present tense</w:t>
      </w:r>
      <w:r w:rsidR="00854880">
        <w:rPr>
          <w:lang w:val="en-GB"/>
        </w:rPr>
        <w:t>, it</w:t>
      </w:r>
      <w:r w:rsidR="000A335D">
        <w:rPr>
          <w:lang w:val="en-GB"/>
        </w:rPr>
        <w:t xml:space="preserve"> demonstrates her command of a literary genre (i.e. ethnography), but she also demonstrates her cognitive approach, which is that of an observer. </w:t>
      </w:r>
    </w:p>
    <w:p w:rsidR="00854880" w:rsidRDefault="00E41DA5">
      <w:pPr>
        <w:rPr>
          <w:lang w:val="en-GB"/>
        </w:rPr>
      </w:pPr>
      <w:r>
        <w:rPr>
          <w:lang w:val="en-GB"/>
        </w:rPr>
        <w:t>Marcus and Fischer (1986: 95-6) commented that ethnographers use the ethnographic present not because they are blind to the events of history but because they gain advantages from collapsing the flow of time to enable them to analyse social structure and systems of symbols in greater depth than would otherwise be possible. They acknowledge that if ethnographers really are able to report social conditions in the present, then their work would, in the future, become primary historical sources.  The way they see the problem is that ethnographers need to be exhorted to exploit the historical aspects of fieldwork, rather than discarding the synchronic ethnographic frame</w:t>
      </w:r>
      <w:r w:rsidR="00854880">
        <w:rPr>
          <w:lang w:val="en-GB"/>
        </w:rPr>
        <w:t xml:space="preserve"> adopted by many anthropological authors</w:t>
      </w:r>
      <w:r>
        <w:rPr>
          <w:lang w:val="en-GB"/>
        </w:rPr>
        <w:t xml:space="preserve">. </w:t>
      </w:r>
    </w:p>
    <w:p w:rsidR="00E41DA5" w:rsidRDefault="00854880">
      <w:pPr>
        <w:rPr>
          <w:lang w:val="en-GB"/>
        </w:rPr>
      </w:pPr>
      <w:r>
        <w:rPr>
          <w:lang w:val="en-GB"/>
        </w:rPr>
        <w:t>A</w:t>
      </w:r>
      <w:r w:rsidR="00E41DA5">
        <w:rPr>
          <w:lang w:val="en-GB"/>
        </w:rPr>
        <w:t>nthropologists</w:t>
      </w:r>
      <w:r>
        <w:rPr>
          <w:lang w:val="en-GB"/>
        </w:rPr>
        <w:t>, however,</w:t>
      </w:r>
      <w:r w:rsidR="00E41DA5">
        <w:rPr>
          <w:lang w:val="en-GB"/>
        </w:rPr>
        <w:t xml:space="preserve"> have learned to reflect on how their fieldwork experience conditions their understanding of social realities. </w:t>
      </w:r>
      <w:r w:rsidR="0040341B">
        <w:rPr>
          <w:lang w:val="en-GB"/>
        </w:rPr>
        <w:t>This lecture</w:t>
      </w:r>
      <w:r w:rsidR="00E72E47">
        <w:rPr>
          <w:lang w:val="en-GB"/>
        </w:rPr>
        <w:t xml:space="preserve"> treats writing as an important anthropological practice. It</w:t>
      </w:r>
      <w:r w:rsidR="0040341B">
        <w:rPr>
          <w:lang w:val="en-GB"/>
        </w:rPr>
        <w:t xml:space="preserve"> looks, first, at a couple of examples </w:t>
      </w:r>
      <w:r w:rsidR="00E72E47">
        <w:rPr>
          <w:lang w:val="en-GB"/>
        </w:rPr>
        <w:t xml:space="preserve">of anthropologists who </w:t>
      </w:r>
      <w:r w:rsidR="00CE4CEF">
        <w:rPr>
          <w:lang w:val="en-GB"/>
        </w:rPr>
        <w:t>became wary of</w:t>
      </w:r>
      <w:r w:rsidR="00E72E47">
        <w:rPr>
          <w:lang w:val="en-GB"/>
        </w:rPr>
        <w:t xml:space="preserve"> using the ethnographic present in their</w:t>
      </w:r>
      <w:r w:rsidR="008F1912">
        <w:rPr>
          <w:lang w:val="en-GB"/>
        </w:rPr>
        <w:t xml:space="preserve"> writing. Then it considers </w:t>
      </w:r>
      <w:r w:rsidR="000A335D">
        <w:rPr>
          <w:lang w:val="en-GB"/>
        </w:rPr>
        <w:t xml:space="preserve">Rojer Sanjek’s and </w:t>
      </w:r>
      <w:r w:rsidR="008F1912">
        <w:rPr>
          <w:lang w:val="en-GB"/>
        </w:rPr>
        <w:t xml:space="preserve">Kirstin Hastrup’s </w:t>
      </w:r>
      <w:r w:rsidR="00E72E47">
        <w:rPr>
          <w:lang w:val="en-GB"/>
        </w:rPr>
        <w:t>vindication</w:t>
      </w:r>
      <w:r>
        <w:rPr>
          <w:lang w:val="en-GB"/>
        </w:rPr>
        <w:t>s</w:t>
      </w:r>
      <w:r w:rsidR="00E72E47">
        <w:rPr>
          <w:lang w:val="en-GB"/>
        </w:rPr>
        <w:t xml:space="preserve"> </w:t>
      </w:r>
      <w:r w:rsidR="008F1912">
        <w:rPr>
          <w:lang w:val="en-GB"/>
        </w:rPr>
        <w:t>of its use</w:t>
      </w:r>
      <w:r>
        <w:rPr>
          <w:lang w:val="en-GB"/>
        </w:rPr>
        <w:t xml:space="preserve"> in two independently written articles</w:t>
      </w:r>
      <w:r w:rsidR="008F1912">
        <w:rPr>
          <w:lang w:val="en-GB"/>
        </w:rPr>
        <w:t>.</w:t>
      </w:r>
    </w:p>
    <w:p w:rsidR="008F1912" w:rsidRDefault="008F1912" w:rsidP="008F1912">
      <w:pPr>
        <w:pStyle w:val="Heading2"/>
        <w:rPr>
          <w:lang w:val="en-GB"/>
        </w:rPr>
      </w:pPr>
      <w:r>
        <w:rPr>
          <w:lang w:val="en-GB"/>
        </w:rPr>
        <w:lastRenderedPageBreak/>
        <w:t>Writing about colonial and post-colonial social situations</w:t>
      </w:r>
    </w:p>
    <w:p w:rsidR="00EF4598" w:rsidRDefault="002D458E">
      <w:pPr>
        <w:rPr>
          <w:lang w:val="en-GB"/>
        </w:rPr>
      </w:pPr>
      <w:r>
        <w:rPr>
          <w:lang w:val="en-GB"/>
        </w:rPr>
        <w:t>Sometimes events are dramatic and cause an anthropologist to question easy assumption</w:t>
      </w:r>
      <w:r w:rsidR="00E72E47">
        <w:rPr>
          <w:lang w:val="en-GB"/>
        </w:rPr>
        <w:t>s</w:t>
      </w:r>
      <w:r>
        <w:rPr>
          <w:lang w:val="en-GB"/>
        </w:rPr>
        <w:t xml:space="preserve"> concerning the stability of </w:t>
      </w:r>
      <w:r w:rsidR="00CE4CEF">
        <w:rPr>
          <w:lang w:val="en-GB"/>
        </w:rPr>
        <w:t xml:space="preserve">social conditions. Mary Douglas published work </w:t>
      </w:r>
      <w:r w:rsidR="00A12D25">
        <w:rPr>
          <w:lang w:val="en-GB"/>
        </w:rPr>
        <w:t xml:space="preserve">on peoples of the Congo </w:t>
      </w:r>
      <w:r w:rsidR="00CE4CEF">
        <w:rPr>
          <w:lang w:val="en-GB"/>
        </w:rPr>
        <w:t>first under her</w:t>
      </w:r>
      <w:r>
        <w:rPr>
          <w:lang w:val="en-GB"/>
        </w:rPr>
        <w:t xml:space="preserve"> </w:t>
      </w:r>
      <w:r w:rsidR="00CE4CEF">
        <w:rPr>
          <w:lang w:val="en-GB"/>
        </w:rPr>
        <w:t xml:space="preserve">maiden name (e.g. </w:t>
      </w:r>
      <w:r w:rsidRPr="002D458E">
        <w:rPr>
          <w:i/>
          <w:lang w:val="en-GB"/>
        </w:rPr>
        <w:t>Peoples of the Lake Nyasa Region</w:t>
      </w:r>
      <w:r w:rsidR="00CE4CEF">
        <w:rPr>
          <w:lang w:val="en-GB"/>
        </w:rPr>
        <w:t xml:space="preserve">; </w:t>
      </w:r>
      <w:r>
        <w:rPr>
          <w:lang w:val="en-GB"/>
        </w:rPr>
        <w:t>Tew 1950). Her biographer, Richard Fardon</w:t>
      </w:r>
      <w:r w:rsidR="00CE4CEF">
        <w:rPr>
          <w:lang w:val="en-GB"/>
        </w:rPr>
        <w:t xml:space="preserve"> (</w:t>
      </w:r>
      <w:r w:rsidR="0089678F">
        <w:rPr>
          <w:lang w:val="en-GB"/>
        </w:rPr>
        <w:t>1999</w:t>
      </w:r>
      <w:r w:rsidR="00CE4CEF">
        <w:rPr>
          <w:lang w:val="en-GB"/>
        </w:rPr>
        <w:t>: 54, 66-7)</w:t>
      </w:r>
      <w:r>
        <w:rPr>
          <w:lang w:val="en-GB"/>
        </w:rPr>
        <w:t xml:space="preserve">, noted that the coming to an end of Belgian colonial rule contributed to her decision not to </w:t>
      </w:r>
      <w:r w:rsidR="00CE4CEF">
        <w:rPr>
          <w:lang w:val="en-GB"/>
        </w:rPr>
        <w:t>write</w:t>
      </w:r>
      <w:r>
        <w:rPr>
          <w:lang w:val="en-GB"/>
        </w:rPr>
        <w:t xml:space="preserve"> up fieldwork in the present tense.</w:t>
      </w:r>
      <w:r w:rsidR="0040341B">
        <w:rPr>
          <w:lang w:val="en-GB"/>
        </w:rPr>
        <w:t xml:space="preserve"> </w:t>
      </w:r>
      <w:r w:rsidR="00CE4CEF">
        <w:rPr>
          <w:lang w:val="en-GB"/>
        </w:rPr>
        <w:t>By that time she was reporting on the fieldwork she had done a decade earlier</w:t>
      </w:r>
      <w:r w:rsidR="0089678F">
        <w:rPr>
          <w:lang w:val="en-GB"/>
        </w:rPr>
        <w:t xml:space="preserve"> (Douglas 1963)</w:t>
      </w:r>
      <w:r w:rsidR="00CE4CEF">
        <w:rPr>
          <w:lang w:val="en-GB"/>
        </w:rPr>
        <w:t>. Fardon noted</w:t>
      </w:r>
      <w:r w:rsidR="00854880">
        <w:rPr>
          <w:lang w:val="en-GB"/>
        </w:rPr>
        <w:t xml:space="preserve"> that</w:t>
      </w:r>
      <w:r w:rsidR="00CE4CEF">
        <w:rPr>
          <w:lang w:val="en-GB"/>
        </w:rPr>
        <w:t>, in any case, the apparent timelessness the use of the ethnographic present conveys</w:t>
      </w:r>
      <w:r w:rsidR="0089678F">
        <w:rPr>
          <w:lang w:val="en-GB"/>
        </w:rPr>
        <w:t xml:space="preserve"> in ethnographies</w:t>
      </w:r>
      <w:r w:rsidR="00CE4CEF">
        <w:rPr>
          <w:lang w:val="en-GB"/>
        </w:rPr>
        <w:t xml:space="preserve"> was usually mitigated by discussions of change</w:t>
      </w:r>
      <w:r w:rsidR="00854880">
        <w:rPr>
          <w:lang w:val="en-GB"/>
        </w:rPr>
        <w:t>s in social conditions</w:t>
      </w:r>
      <w:r w:rsidR="00CE4CEF">
        <w:rPr>
          <w:lang w:val="en-GB"/>
        </w:rPr>
        <w:t>.</w:t>
      </w:r>
      <w:r w:rsidR="0089678F">
        <w:rPr>
          <w:lang w:val="en-GB"/>
        </w:rPr>
        <w:t xml:space="preserve"> Given that ethnographers </w:t>
      </w:r>
      <w:r w:rsidR="00A12D25">
        <w:rPr>
          <w:lang w:val="en-GB"/>
        </w:rPr>
        <w:t>writing during</w:t>
      </w:r>
      <w:r w:rsidR="0089678F">
        <w:rPr>
          <w:lang w:val="en-GB"/>
        </w:rPr>
        <w:t xml:space="preserve"> colonial rule report</w:t>
      </w:r>
      <w:r w:rsidR="00A12D25">
        <w:rPr>
          <w:lang w:val="en-GB"/>
        </w:rPr>
        <w:t>ed</w:t>
      </w:r>
      <w:r w:rsidR="0089678F">
        <w:rPr>
          <w:lang w:val="en-GB"/>
        </w:rPr>
        <w:t xml:space="preserve"> </w:t>
      </w:r>
      <w:r w:rsidR="00A12D25">
        <w:rPr>
          <w:lang w:val="en-GB"/>
        </w:rPr>
        <w:t>at</w:t>
      </w:r>
      <w:r w:rsidR="0089678F">
        <w:rPr>
          <w:lang w:val="en-GB"/>
        </w:rPr>
        <w:t xml:space="preserve"> least some aspects of social change</w:t>
      </w:r>
      <w:r w:rsidR="00A12D25">
        <w:rPr>
          <w:lang w:val="en-GB"/>
        </w:rPr>
        <w:t xml:space="preserve"> in the societies they were studying, Fardon </w:t>
      </w:r>
      <w:r w:rsidR="008F1912">
        <w:rPr>
          <w:lang w:val="en-GB"/>
        </w:rPr>
        <w:t xml:space="preserve">(1999: 67) </w:t>
      </w:r>
      <w:r w:rsidR="00A12D25">
        <w:rPr>
          <w:lang w:val="en-GB"/>
        </w:rPr>
        <w:t xml:space="preserve">observed that </w:t>
      </w:r>
      <w:r w:rsidR="00D80510">
        <w:rPr>
          <w:lang w:val="en-GB"/>
        </w:rPr>
        <w:t>those aspects</w:t>
      </w:r>
      <w:r w:rsidR="008F1912">
        <w:rPr>
          <w:lang w:val="en-GB"/>
        </w:rPr>
        <w:t xml:space="preserve"> of social </w:t>
      </w:r>
      <w:r w:rsidR="00854880">
        <w:rPr>
          <w:lang w:val="en-GB"/>
        </w:rPr>
        <w:t>change</w:t>
      </w:r>
      <w:r w:rsidR="00A12D25">
        <w:rPr>
          <w:lang w:val="en-GB"/>
        </w:rPr>
        <w:t xml:space="preserve"> on which they commented ‘depended upon the manner in which they reconstructed a society without those changes</w:t>
      </w:r>
      <w:r w:rsidR="008F1912">
        <w:rPr>
          <w:lang w:val="en-GB"/>
        </w:rPr>
        <w:t xml:space="preserve"> … in order to discern an enduring structure of relations within the society</w:t>
      </w:r>
      <w:r w:rsidR="00A12D25">
        <w:rPr>
          <w:lang w:val="en-GB"/>
        </w:rPr>
        <w:t xml:space="preserve">’. </w:t>
      </w:r>
      <w:r w:rsidR="008F1912">
        <w:rPr>
          <w:lang w:val="en-GB"/>
        </w:rPr>
        <w:t xml:space="preserve">In other words, the use of the ethnographic present has a temporal complexity in the hands of different writers. Fardon urged readers </w:t>
      </w:r>
      <w:r w:rsidR="00AE02F4">
        <w:rPr>
          <w:lang w:val="en-GB"/>
        </w:rPr>
        <w:t xml:space="preserve">to look for subtle differences on a case-by-case basis, examining carefully internal criteria </w:t>
      </w:r>
      <w:r w:rsidR="00686068">
        <w:rPr>
          <w:lang w:val="en-GB"/>
        </w:rPr>
        <w:t>employed in</w:t>
      </w:r>
      <w:r w:rsidR="00AE02F4">
        <w:rPr>
          <w:lang w:val="en-GB"/>
        </w:rPr>
        <w:t xml:space="preserve"> the text.</w:t>
      </w:r>
    </w:p>
    <w:p w:rsidR="003E1B87" w:rsidRDefault="003E1B87">
      <w:pPr>
        <w:rPr>
          <w:lang w:val="en-GB"/>
        </w:rPr>
      </w:pPr>
      <w:r>
        <w:rPr>
          <w:lang w:val="en-GB"/>
        </w:rPr>
        <w:t xml:space="preserve">The writing up of Australian Aboriginal ethnography has given rise to particular difficulties. Fred Myers </w:t>
      </w:r>
      <w:r w:rsidR="000E568F">
        <w:rPr>
          <w:lang w:val="en-GB"/>
        </w:rPr>
        <w:t xml:space="preserve">(1986) </w:t>
      </w:r>
      <w:r>
        <w:rPr>
          <w:lang w:val="en-GB"/>
        </w:rPr>
        <w:t>enunciated them clearly</w:t>
      </w:r>
      <w:r w:rsidR="003E7F3F">
        <w:rPr>
          <w:lang w:val="en-GB"/>
        </w:rPr>
        <w:t xml:space="preserve"> in his </w:t>
      </w:r>
      <w:r w:rsidR="00156099">
        <w:rPr>
          <w:lang w:val="en-GB"/>
        </w:rPr>
        <w:t>examination</w:t>
      </w:r>
      <w:r w:rsidR="003E7F3F">
        <w:rPr>
          <w:lang w:val="en-GB"/>
        </w:rPr>
        <w:t xml:space="preserve"> of Pintupi </w:t>
      </w:r>
      <w:r w:rsidR="00156099">
        <w:rPr>
          <w:lang w:val="en-GB"/>
        </w:rPr>
        <w:t>personhood</w:t>
      </w:r>
      <w:r>
        <w:rPr>
          <w:lang w:val="en-GB"/>
        </w:rPr>
        <w:t xml:space="preserve">. </w:t>
      </w:r>
      <w:r w:rsidR="00156099">
        <w:rPr>
          <w:lang w:val="en-GB"/>
        </w:rPr>
        <w:t xml:space="preserve">He started doing fieldwork in Pintupi country in the 1970s, at a time when people were being relocated in settlements. </w:t>
      </w:r>
      <w:r>
        <w:rPr>
          <w:lang w:val="en-GB"/>
        </w:rPr>
        <w:t xml:space="preserve">What follows </w:t>
      </w:r>
      <w:r w:rsidR="00156099">
        <w:rPr>
          <w:lang w:val="en-GB"/>
        </w:rPr>
        <w:t xml:space="preserve">comes from a subsection in the introduction, which Myers entitled ‘The problem of ethnography’. It </w:t>
      </w:r>
      <w:r>
        <w:rPr>
          <w:lang w:val="en-GB"/>
        </w:rPr>
        <w:t>is rather long as a direct quote, but it conveys some of the problems</w:t>
      </w:r>
      <w:r w:rsidR="00156099">
        <w:rPr>
          <w:lang w:val="en-GB"/>
        </w:rPr>
        <w:t xml:space="preserve"> involved</w:t>
      </w:r>
      <w:r>
        <w:rPr>
          <w:lang w:val="en-GB"/>
        </w:rPr>
        <w:t>:</w:t>
      </w:r>
    </w:p>
    <w:p w:rsidR="003E1B87" w:rsidRDefault="003E1B87" w:rsidP="003E1B87">
      <w:pPr>
        <w:ind w:left="720"/>
        <w:rPr>
          <w:lang w:val="en-GB"/>
        </w:rPr>
      </w:pPr>
      <w:r>
        <w:rPr>
          <w:lang w:val="en-GB"/>
        </w:rPr>
        <w:t>At the heart of anthropological enterprise lies the idea that what is learned in fieldwork at a particular time and place has meaning that transcends the immediate moment. This notion, after all, is what underlay the Boasian concept of culture. The difficulty ethnographers face is in deciding how to apply this intuition. Although the narrative convention of the continuous ethnographic present simplifies the difficulty, it does so by obscuring the process through which one constructs a ‘society’ from data. For better or worse, the current situation in Aboriginal Australia makes this impossible. The moment of observation cannot be simply generalized into a description of a set of social arrangements enduring through time.</w:t>
      </w:r>
    </w:p>
    <w:p w:rsidR="003E1B87" w:rsidRDefault="003E1B87" w:rsidP="003E1B87">
      <w:pPr>
        <w:ind w:left="720"/>
        <w:rPr>
          <w:lang w:val="en-GB"/>
        </w:rPr>
      </w:pPr>
      <w:r>
        <w:rPr>
          <w:lang w:val="en-GB"/>
        </w:rPr>
        <w:t>Instead, the current politics surrounding the movement for land rights and the Aboriginal control of local institutions make us aware of people struggling to maintain an order of being and action that they value…. Recognizing the past in the present forces upon us the realization that these small-scale societies exist in time and reproduce themselves through it (Myers 1986: 12-13)</w:t>
      </w:r>
    </w:p>
    <w:p w:rsidR="00156099" w:rsidRDefault="00156099" w:rsidP="00156099">
      <w:pPr>
        <w:rPr>
          <w:lang w:val="en-GB"/>
        </w:rPr>
      </w:pPr>
      <w:r>
        <w:rPr>
          <w:lang w:val="en-GB"/>
        </w:rPr>
        <w:t>Later in the book he described the strategy he devise</w:t>
      </w:r>
      <w:r w:rsidR="006D5342">
        <w:rPr>
          <w:lang w:val="en-GB"/>
        </w:rPr>
        <w:t>d</w:t>
      </w:r>
      <w:r>
        <w:rPr>
          <w:lang w:val="en-GB"/>
        </w:rPr>
        <w:t xml:space="preserve"> to overcome the problem:</w:t>
      </w:r>
    </w:p>
    <w:p w:rsidR="00156099" w:rsidRDefault="00156099" w:rsidP="006D5342">
      <w:pPr>
        <w:ind w:left="720"/>
        <w:rPr>
          <w:lang w:val="en-GB"/>
        </w:rPr>
      </w:pPr>
      <w:r>
        <w:rPr>
          <w:lang w:val="en-GB"/>
        </w:rPr>
        <w:t xml:space="preserve">The details about the organization of Pintupi individuals and groups presented in this chapter are derived from life history material; they are, therefore, largely reconstructions of past movements and subsistence. For this reason, I use the past tense to describe events and practices as they occurred prior to contact with whites. Where these activities continue in the </w:t>
      </w:r>
      <w:r>
        <w:rPr>
          <w:lang w:val="en-GB"/>
        </w:rPr>
        <w:lastRenderedPageBreak/>
        <w:t>present, I use the present tense. While admittedly a</w:t>
      </w:r>
      <w:r w:rsidR="006D5342">
        <w:rPr>
          <w:lang w:val="en-GB"/>
        </w:rPr>
        <w:t>w</w:t>
      </w:r>
      <w:r>
        <w:rPr>
          <w:lang w:val="en-GB"/>
        </w:rPr>
        <w:t>kward</w:t>
      </w:r>
      <w:r w:rsidR="006D5342">
        <w:rPr>
          <w:lang w:val="en-GB"/>
        </w:rPr>
        <w:t xml:space="preserve"> in places, this choice makes clear the necessary distinction between a theoretical ‘ethnographic present’ and the true present. (Myers 1986: 73).</w:t>
      </w:r>
    </w:p>
    <w:p w:rsidR="00686068" w:rsidRDefault="000A335D" w:rsidP="00686068">
      <w:pPr>
        <w:rPr>
          <w:lang w:val="en-GB"/>
        </w:rPr>
      </w:pPr>
      <w:r>
        <w:rPr>
          <w:lang w:val="en-GB"/>
        </w:rPr>
        <w:t xml:space="preserve">Having looked at two examples of authors whose approach to the use of the ethnographic present is perhaps pragmatic rather than </w:t>
      </w:r>
      <w:r w:rsidR="00F80A4C">
        <w:rPr>
          <w:lang w:val="en-GB"/>
        </w:rPr>
        <w:t>being based on principle</w:t>
      </w:r>
      <w:r>
        <w:rPr>
          <w:lang w:val="en-GB"/>
        </w:rPr>
        <w:t xml:space="preserve">, </w:t>
      </w:r>
      <w:r w:rsidR="00896D71">
        <w:rPr>
          <w:lang w:val="en-GB"/>
        </w:rPr>
        <w:t xml:space="preserve">I now turn to two authors who have a different (more accepting) response to </w:t>
      </w:r>
      <w:r>
        <w:rPr>
          <w:lang w:val="en-GB"/>
        </w:rPr>
        <w:t>its</w:t>
      </w:r>
      <w:r w:rsidR="00896D71">
        <w:rPr>
          <w:lang w:val="en-GB"/>
        </w:rPr>
        <w:t xml:space="preserve"> use.</w:t>
      </w:r>
    </w:p>
    <w:p w:rsidR="00896D71" w:rsidRDefault="00896D71" w:rsidP="00896D71">
      <w:pPr>
        <w:pStyle w:val="Heading2"/>
        <w:rPr>
          <w:lang w:val="en-GB"/>
        </w:rPr>
      </w:pPr>
      <w:r>
        <w:rPr>
          <w:lang w:val="en-GB"/>
        </w:rPr>
        <w:t>A vindication of the ethnographic present</w:t>
      </w:r>
    </w:p>
    <w:p w:rsidR="00F80A4C" w:rsidRDefault="00F80A4C" w:rsidP="00F80A4C">
      <w:pPr>
        <w:rPr>
          <w:lang w:val="en-GB"/>
        </w:rPr>
      </w:pPr>
      <w:r>
        <w:rPr>
          <w:lang w:val="en-GB"/>
        </w:rPr>
        <w:t xml:space="preserve">Roger Sanjek stated that the aim of an ethnographer is to enhance validity rather than reliability (Sanjek 1991: 621). </w:t>
      </w:r>
      <w:r w:rsidR="00F16CAB">
        <w:rPr>
          <w:lang w:val="en-GB"/>
        </w:rPr>
        <w:t>In other words</w:t>
      </w:r>
      <w:r>
        <w:rPr>
          <w:lang w:val="en-GB"/>
        </w:rPr>
        <w:t>, that is his epistemological position</w:t>
      </w:r>
      <w:r w:rsidR="00854880">
        <w:rPr>
          <w:lang w:val="en-GB"/>
        </w:rPr>
        <w:t xml:space="preserve"> (or should </w:t>
      </w:r>
      <w:r w:rsidR="00EF10C1">
        <w:rPr>
          <w:lang w:val="en-GB"/>
        </w:rPr>
        <w:t xml:space="preserve">I </w:t>
      </w:r>
      <w:r w:rsidR="00854880">
        <w:rPr>
          <w:lang w:val="en-GB"/>
        </w:rPr>
        <w:t>have said ‘that was his epistemological position at the time of writing?)</w:t>
      </w:r>
      <w:r>
        <w:rPr>
          <w:lang w:val="en-GB"/>
        </w:rPr>
        <w:t>. He explained that the term ‘ethnographic present’ can be read in different ways:</w:t>
      </w:r>
    </w:p>
    <w:p w:rsidR="00F80A4C" w:rsidRPr="00F80A4C" w:rsidRDefault="00F80A4C" w:rsidP="00F16CAB">
      <w:pPr>
        <w:ind w:left="720"/>
        <w:rPr>
          <w:lang w:val="en-GB"/>
        </w:rPr>
      </w:pPr>
      <w:r>
        <w:t>I wish to approach this topic from four connecting angles, considering, in the following four sections: (i) 'the ethnographic present' as the present state of ethnography; (ii) 'the ethnographic present' as a mode of</w:t>
      </w:r>
      <w:r w:rsidR="00F16CAB">
        <w:t xml:space="preserve"> </w:t>
      </w:r>
      <w:r>
        <w:t>presenting ethnography; (iii) 'the ethnographic present' as the ethnographer's presence during fieldwork; and (iv) the ethnographic method as a</w:t>
      </w:r>
      <w:r w:rsidR="00F16CAB">
        <w:t xml:space="preserve"> gift – ‘the</w:t>
      </w:r>
      <w:r>
        <w:t xml:space="preserve"> ethnographic present'.</w:t>
      </w:r>
      <w:r w:rsidR="00F16CAB">
        <w:t xml:space="preserve"> (Sanjek 1991: 609)</w:t>
      </w:r>
    </w:p>
    <w:p w:rsidR="00156099" w:rsidRDefault="00F16CAB" w:rsidP="00F21D4B">
      <w:r>
        <w:t xml:space="preserve">His </w:t>
      </w:r>
      <w:r w:rsidRPr="00F16CAB">
        <w:t xml:space="preserve">article made a strong claim that the central attention of ethnographers should be on the present and that the use of the ethnographic present is, in each of the four senses he used it, ‘ours to use, or to lose’ (Sanjek 1991: 623). </w:t>
      </w:r>
      <w:r>
        <w:t>Kirsten Hastrup (1990: 57) also treated the ethnographic present as something to be cherished because the ethnographer’s embodied experience of fieldwork can ‘transcend the historical moment and must, therefore, be constructed in the ethnographic present’. Sanjek and Ha</w:t>
      </w:r>
      <w:r w:rsidR="002452EC">
        <w:t>s</w:t>
      </w:r>
      <w:r>
        <w:t xml:space="preserve">trup </w:t>
      </w:r>
      <w:r w:rsidR="002452EC">
        <w:t>did</w:t>
      </w:r>
      <w:r>
        <w:t xml:space="preserve"> not refer to each other’s </w:t>
      </w:r>
      <w:r w:rsidR="002452EC">
        <w:t>articles</w:t>
      </w:r>
      <w:r>
        <w:t xml:space="preserve"> in their respective articles. It would be unfair to criticize them for not acknowledging each other’s work because of the time lag in publication – both manuscripts </w:t>
      </w:r>
      <w:r w:rsidR="00854880">
        <w:t>would</w:t>
      </w:r>
      <w:r>
        <w:t xml:space="preserve"> have been in press at the same time. </w:t>
      </w:r>
      <w:r w:rsidR="002452EC">
        <w:t>There are differences in their positions – while Sanjek appealed to concepts of ‘validity’ and ‘reliability’, Hastrup (1990: 46) relied on a concept of ‘truth as an intersubjective creation’.  She explored that notion by providing vivid examples taken from her own fieldwork experiences in Iceland. In response</w:t>
      </w:r>
      <w:r w:rsidR="003224F2">
        <w:t xml:space="preserve"> to authors such as Fabian (1983) and Marcus and Fischer (1986), </w:t>
      </w:r>
      <w:r w:rsidR="00854880">
        <w:t>she tackled</w:t>
      </w:r>
      <w:r w:rsidR="003224F2">
        <w:t xml:space="preserve"> the problem concerning the physical presence of the ethnographer as an observer attempting to defend an illusory objective stance</w:t>
      </w:r>
      <w:r w:rsidR="00854880">
        <w:t>.</w:t>
      </w:r>
      <w:r w:rsidR="003224F2">
        <w:t xml:space="preserve">  Hastrup (1990: 51) </w:t>
      </w:r>
      <w:r w:rsidR="00854880">
        <w:t xml:space="preserve">stated </w:t>
      </w:r>
      <w:r w:rsidR="003224F2">
        <w:t>that the encounter between an ethnographer and her subjects possesses ‘its own history. As discourse it much be realized temporally and in the present’.</w:t>
      </w:r>
    </w:p>
    <w:p w:rsidR="003224F2" w:rsidRPr="00F16CAB" w:rsidRDefault="003224F2" w:rsidP="00F21D4B">
      <w:r>
        <w:t>Please read Sanjek’s and Hastrup’s articles carefully in the light of your reading of other ethnographies</w:t>
      </w:r>
      <w:r w:rsidR="005A77BD">
        <w:t xml:space="preserve"> you have encountered</w:t>
      </w:r>
      <w:r>
        <w:t>. See if you can become more sensitive to authors’ decisions whether or not to use the ethnographic present. You might also like to note that I, too, had to make a decision about which tense to use in writing</w:t>
      </w:r>
      <w:r w:rsidR="00C72160">
        <w:t xml:space="preserve"> </w:t>
      </w:r>
      <w:r>
        <w:t>this lecture, particularly in the paragraph that precedes this one. Should I have reported the two sets of arguments in the past tense because the anthropological debate concerning the use of the ethnographic present is a historically situated one? (In particular, Hastrup and Sanjek were responding to some influential publications</w:t>
      </w:r>
      <w:r w:rsidR="00FE732B">
        <w:t xml:space="preserve"> of the 1980s</w:t>
      </w:r>
      <w:r>
        <w:t xml:space="preserve"> that </w:t>
      </w:r>
      <w:r w:rsidR="00FE732B">
        <w:t>warned</w:t>
      </w:r>
      <w:r>
        <w:t xml:space="preserve"> anthropologists </w:t>
      </w:r>
      <w:r w:rsidR="005A77BD">
        <w:lastRenderedPageBreak/>
        <w:t>against claiming</w:t>
      </w:r>
      <w:r>
        <w:t xml:space="preserve"> to ‘represent’ other people without thinking long and hard on </w:t>
      </w:r>
      <w:r w:rsidR="00FE732B">
        <w:t>their</w:t>
      </w:r>
      <w:r>
        <w:t xml:space="preserve"> position.) </w:t>
      </w:r>
      <w:r w:rsidR="00C72160">
        <w:t xml:space="preserve"> Or should I have used the present tense to emphasize the strengths of their convictions regarding their repositioning of the use of the ethnographic present?</w:t>
      </w:r>
    </w:p>
    <w:p w:rsidR="00156099" w:rsidRDefault="00156099" w:rsidP="00E41DA5">
      <w:pPr>
        <w:pStyle w:val="Heading2"/>
      </w:pPr>
      <w:r>
        <w:t>References cited</w:t>
      </w:r>
    </w:p>
    <w:p w:rsidR="00EF4598" w:rsidRDefault="00F21D4B" w:rsidP="00E41DA5">
      <w:pPr>
        <w:ind w:left="540" w:hanging="540"/>
      </w:pPr>
      <w:r>
        <w:t xml:space="preserve">Brown, Michael F. 1988 Shamanism and its discontents, </w:t>
      </w:r>
      <w:r w:rsidRPr="00F21D4B">
        <w:rPr>
          <w:i/>
        </w:rPr>
        <w:t>Medical Anthropology Quarterly</w:t>
      </w:r>
      <w:r>
        <w:t xml:space="preserve"> 2: 102-120.</w:t>
      </w:r>
    </w:p>
    <w:p w:rsidR="0089678F" w:rsidRDefault="0089678F" w:rsidP="00E41DA5">
      <w:pPr>
        <w:ind w:left="540" w:hanging="540"/>
        <w:rPr>
          <w:rStyle w:val="itempublisher"/>
        </w:rPr>
      </w:pPr>
      <w:r>
        <w:t xml:space="preserve">Douglas, Mary 1963 </w:t>
      </w:r>
      <w:r w:rsidRPr="003224F2">
        <w:rPr>
          <w:i/>
        </w:rPr>
        <w:t>The Lele of the Kasai</w:t>
      </w:r>
      <w:r>
        <w:t xml:space="preserve">. London: Oxford University Press for </w:t>
      </w:r>
      <w:r>
        <w:rPr>
          <w:rStyle w:val="itempublisher"/>
        </w:rPr>
        <w:t>the International African Institute.</w:t>
      </w:r>
    </w:p>
    <w:p w:rsidR="003224F2" w:rsidRDefault="003224F2" w:rsidP="00E41DA5">
      <w:pPr>
        <w:ind w:left="540" w:hanging="540"/>
      </w:pPr>
      <w:r>
        <w:rPr>
          <w:rStyle w:val="itempublisher"/>
        </w:rPr>
        <w:t xml:space="preserve">Fabian, Johannes 1983 </w:t>
      </w:r>
      <w:r w:rsidRPr="003224F2">
        <w:rPr>
          <w:rStyle w:val="itempublisher"/>
          <w:i/>
        </w:rPr>
        <w:t>Time and the Other: how anthropology makes its object</w:t>
      </w:r>
      <w:r>
        <w:rPr>
          <w:rStyle w:val="itempublisher"/>
        </w:rPr>
        <w:t>. New York: Columbia University Press.</w:t>
      </w:r>
    </w:p>
    <w:p w:rsidR="002D458E" w:rsidRDefault="002D458E" w:rsidP="00E41DA5">
      <w:pPr>
        <w:ind w:left="540" w:hanging="540"/>
      </w:pPr>
      <w:r>
        <w:t xml:space="preserve">Fardon, Richard </w:t>
      </w:r>
      <w:r w:rsidR="0089678F">
        <w:t xml:space="preserve">1999 </w:t>
      </w:r>
      <w:r w:rsidRPr="0089678F">
        <w:rPr>
          <w:i/>
        </w:rPr>
        <w:t>Mary Douglas: an intellectual biography</w:t>
      </w:r>
      <w:r w:rsidR="0089678F">
        <w:t>. London and New York: Routledge.</w:t>
      </w:r>
    </w:p>
    <w:p w:rsidR="00BF2A9F" w:rsidRDefault="00EF4598" w:rsidP="00E41DA5">
      <w:pPr>
        <w:ind w:left="540" w:hanging="540"/>
      </w:pPr>
      <w:r>
        <w:t xml:space="preserve">Greene, Shane 1998 The shaman's needle: development, shamanic agency, and intermedicality in Aguaruna lands,Peru, </w:t>
      </w:r>
      <w:r w:rsidRPr="00EF4598">
        <w:rPr>
          <w:i/>
        </w:rPr>
        <w:t>American Ethnologist</w:t>
      </w:r>
      <w:r>
        <w:t xml:space="preserve"> 25(4): 634-658.</w:t>
      </w:r>
    </w:p>
    <w:p w:rsidR="00F80A4C" w:rsidRDefault="00F80A4C" w:rsidP="00E41DA5">
      <w:pPr>
        <w:ind w:left="540" w:hanging="540"/>
      </w:pPr>
      <w:r>
        <w:t xml:space="preserve">Hastrup, Kirsten 1990 The ethnographic present: a reinvention, </w:t>
      </w:r>
      <w:r w:rsidRPr="00F80A4C">
        <w:rPr>
          <w:i/>
        </w:rPr>
        <w:t>Cultural Anthropology</w:t>
      </w:r>
      <w:r>
        <w:t xml:space="preserve"> 5(1): 45-61.</w:t>
      </w:r>
    </w:p>
    <w:p w:rsidR="00686068" w:rsidRDefault="00686068" w:rsidP="00E41DA5">
      <w:pPr>
        <w:ind w:left="540" w:hanging="540"/>
      </w:pPr>
      <w:r>
        <w:t xml:space="preserve">Marcus, George E. and Fischer, Michael M.J. 1986 </w:t>
      </w:r>
      <w:r w:rsidRPr="00CF1705">
        <w:rPr>
          <w:i/>
        </w:rPr>
        <w:t>Anthropology as cultural critique: an experimental moment in the human sciences</w:t>
      </w:r>
      <w:r>
        <w:t>. Chicago and London: The University of Chicago Press.</w:t>
      </w:r>
    </w:p>
    <w:p w:rsidR="00BF2A9F" w:rsidRDefault="00BF2A9F" w:rsidP="00E41DA5">
      <w:pPr>
        <w:ind w:left="540" w:hanging="540"/>
      </w:pPr>
      <w:r>
        <w:t xml:space="preserve">Myers, Fred R. 1986 </w:t>
      </w:r>
      <w:r w:rsidRPr="00BF2A9F">
        <w:rPr>
          <w:i/>
        </w:rPr>
        <w:t>Pintupi country, Pintupi self: sentiment, place, and politics among Western Desert Aborigines</w:t>
      </w:r>
      <w:r>
        <w:t>. Washington: Smithsonian Institution Press.</w:t>
      </w:r>
    </w:p>
    <w:p w:rsidR="00F80A4C" w:rsidRDefault="00F80A4C" w:rsidP="00F80A4C">
      <w:r>
        <w:t xml:space="preserve">Sanjek, Roger 1991 The ethnographic present, </w:t>
      </w:r>
      <w:r w:rsidRPr="00F80A4C">
        <w:rPr>
          <w:i/>
        </w:rPr>
        <w:t>Man</w:t>
      </w:r>
      <w:r>
        <w:t>, New Series 26(4): 609-628.</w:t>
      </w:r>
    </w:p>
    <w:p w:rsidR="00E41DA5" w:rsidRPr="009D6240" w:rsidRDefault="00E41DA5" w:rsidP="00E41DA5">
      <w:pPr>
        <w:ind w:left="540" w:hanging="540"/>
        <w:rPr>
          <w:lang w:val="en-GB"/>
        </w:rPr>
      </w:pPr>
      <w:r>
        <w:t xml:space="preserve">Tew, Mary [Mary Douglas] 1950 </w:t>
      </w:r>
      <w:r w:rsidRPr="00E41DA5">
        <w:rPr>
          <w:i/>
        </w:rPr>
        <w:t>Peoples of the Lake Nyasa region</w:t>
      </w:r>
      <w:r>
        <w:t>. London: International African Institute.</w:t>
      </w:r>
    </w:p>
    <w:sectPr w:rsidR="00E41DA5" w:rsidRPr="009D6240">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5E3F" w:rsidRDefault="00775E3F" w:rsidP="00775E3F">
      <w:pPr>
        <w:spacing w:after="0" w:line="240" w:lineRule="auto"/>
      </w:pPr>
      <w:r>
        <w:separator/>
      </w:r>
    </w:p>
  </w:endnote>
  <w:endnote w:type="continuationSeparator" w:id="0">
    <w:p w:rsidR="00775E3F" w:rsidRDefault="00775E3F" w:rsidP="00775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 w:name="Code">
    <w:altName w:val="Code"/>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39892537"/>
      <w:docPartObj>
        <w:docPartGallery w:val="Page Numbers (Bottom of Page)"/>
        <w:docPartUnique/>
      </w:docPartObj>
    </w:sdtPr>
    <w:sdtEndPr>
      <w:rPr>
        <w:noProof/>
      </w:rPr>
    </w:sdtEndPr>
    <w:sdtContent>
      <w:p w:rsidR="00775E3F" w:rsidRDefault="00775E3F">
        <w:pPr>
          <w:pStyle w:val="Footer"/>
          <w:jc w:val="center"/>
        </w:pPr>
        <w:r>
          <w:fldChar w:fldCharType="begin"/>
        </w:r>
        <w:r>
          <w:instrText xml:space="preserve"> PAGE   \* MERGEFORMAT </w:instrText>
        </w:r>
        <w:r>
          <w:fldChar w:fldCharType="separate"/>
        </w:r>
        <w:r w:rsidR="00D33179">
          <w:rPr>
            <w:noProof/>
          </w:rPr>
          <w:t>1</w:t>
        </w:r>
        <w:r>
          <w:rPr>
            <w:noProof/>
          </w:rPr>
          <w:fldChar w:fldCharType="end"/>
        </w:r>
      </w:p>
    </w:sdtContent>
  </w:sdt>
  <w:p w:rsidR="00775E3F" w:rsidRDefault="00775E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5E3F" w:rsidRDefault="00775E3F" w:rsidP="00775E3F">
      <w:pPr>
        <w:spacing w:after="0" w:line="240" w:lineRule="auto"/>
      </w:pPr>
      <w:r>
        <w:separator/>
      </w:r>
    </w:p>
  </w:footnote>
  <w:footnote w:type="continuationSeparator" w:id="0">
    <w:p w:rsidR="00775E3F" w:rsidRDefault="00775E3F" w:rsidP="00775E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21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6240"/>
    <w:rsid w:val="000A335D"/>
    <w:rsid w:val="000E568F"/>
    <w:rsid w:val="00156099"/>
    <w:rsid w:val="002452EC"/>
    <w:rsid w:val="00247204"/>
    <w:rsid w:val="002D458E"/>
    <w:rsid w:val="002D4F77"/>
    <w:rsid w:val="003224F2"/>
    <w:rsid w:val="00390C4C"/>
    <w:rsid w:val="003E1B87"/>
    <w:rsid w:val="003E7F3F"/>
    <w:rsid w:val="0040341B"/>
    <w:rsid w:val="005A6261"/>
    <w:rsid w:val="005A77BD"/>
    <w:rsid w:val="005F2F71"/>
    <w:rsid w:val="00686068"/>
    <w:rsid w:val="006D5342"/>
    <w:rsid w:val="006F4518"/>
    <w:rsid w:val="00775E3F"/>
    <w:rsid w:val="00854880"/>
    <w:rsid w:val="0089678F"/>
    <w:rsid w:val="00896D71"/>
    <w:rsid w:val="008F1912"/>
    <w:rsid w:val="009D6240"/>
    <w:rsid w:val="00A12D25"/>
    <w:rsid w:val="00A16D85"/>
    <w:rsid w:val="00A210E0"/>
    <w:rsid w:val="00AE02F4"/>
    <w:rsid w:val="00BF2A9F"/>
    <w:rsid w:val="00C72160"/>
    <w:rsid w:val="00CE4CEF"/>
    <w:rsid w:val="00CF7F67"/>
    <w:rsid w:val="00D33179"/>
    <w:rsid w:val="00D80510"/>
    <w:rsid w:val="00DA6BB2"/>
    <w:rsid w:val="00DF1FE3"/>
    <w:rsid w:val="00E41DA5"/>
    <w:rsid w:val="00E72E47"/>
    <w:rsid w:val="00EF10C1"/>
    <w:rsid w:val="00EF149D"/>
    <w:rsid w:val="00EF4598"/>
    <w:rsid w:val="00F16CAB"/>
    <w:rsid w:val="00F21D4B"/>
    <w:rsid w:val="00F80A4C"/>
    <w:rsid w:val="00FE73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32B34F0-6F93-4EFF-88A6-DDEB8CB39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191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F191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F4598"/>
    <w:pPr>
      <w:autoSpaceDE w:val="0"/>
      <w:autoSpaceDN w:val="0"/>
      <w:adjustRightInd w:val="0"/>
      <w:spacing w:after="0" w:line="240" w:lineRule="auto"/>
    </w:pPr>
    <w:rPr>
      <w:rFonts w:ascii="Code" w:hAnsi="Code" w:cs="Code"/>
      <w:color w:val="000000"/>
      <w:sz w:val="24"/>
      <w:szCs w:val="24"/>
    </w:rPr>
  </w:style>
  <w:style w:type="character" w:customStyle="1" w:styleId="itempublisher">
    <w:name w:val="itempublisher"/>
    <w:basedOn w:val="DefaultParagraphFont"/>
    <w:rsid w:val="0089678F"/>
  </w:style>
  <w:style w:type="character" w:customStyle="1" w:styleId="Heading2Char">
    <w:name w:val="Heading 2 Char"/>
    <w:basedOn w:val="DefaultParagraphFont"/>
    <w:link w:val="Heading2"/>
    <w:uiPriority w:val="9"/>
    <w:rsid w:val="008F191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F1912"/>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775E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5E3F"/>
  </w:style>
  <w:style w:type="paragraph" w:styleId="Footer">
    <w:name w:val="footer"/>
    <w:basedOn w:val="Normal"/>
    <w:link w:val="FooterChar"/>
    <w:uiPriority w:val="99"/>
    <w:unhideWhenUsed/>
    <w:rsid w:val="00775E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5E3F"/>
  </w:style>
  <w:style w:type="paragraph" w:styleId="BalloonText">
    <w:name w:val="Balloon Text"/>
    <w:basedOn w:val="Normal"/>
    <w:link w:val="BalloonTextChar"/>
    <w:uiPriority w:val="99"/>
    <w:semiHidden/>
    <w:unhideWhenUsed/>
    <w:rsid w:val="00775E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5E3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657</TotalTime>
  <Pages>4</Pages>
  <Words>1715</Words>
  <Characters>9782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Penny Dransart</cp:lastModifiedBy>
  <cp:revision>24</cp:revision>
  <cp:lastPrinted>2013-10-24T12:42:00Z</cp:lastPrinted>
  <dcterms:created xsi:type="dcterms:W3CDTF">2013-10-16T11:25:00Z</dcterms:created>
  <dcterms:modified xsi:type="dcterms:W3CDTF">2015-10-31T18:28:00Z</dcterms:modified>
</cp:coreProperties>
</file>