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charts/chart1.xml" ContentType="application/vnd.openxmlformats-officedocument.drawingml.chart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 A"/>
      </w:pPr>
    </w:p>
    <w:p>
      <w:pPr>
        <w:pStyle w:val="Default"/>
        <w:bidi w:val="0"/>
        <w:ind w:left="0" w:right="0" w:firstLine="0"/>
        <w:jc w:val="left"/>
        <w:rPr>
          <w:rFonts w:ascii="Arial" w:cs="Arial" w:hAnsi="Arial" w:eastAsia="Arial"/>
          <w:sz w:val="28"/>
          <w:szCs w:val="28"/>
          <w:rtl w:val="0"/>
        </w:rPr>
      </w:pPr>
      <w:r>
        <w:rPr>
          <w:rFonts w:ascii="Arial" w:hAnsi="Arial"/>
          <w:sz w:val="28"/>
          <w:szCs w:val="28"/>
          <w:rtl w:val="0"/>
          <w:lang w:val="en-US"/>
        </w:rPr>
        <w:t xml:space="preserve">Question: </w:t>
      </w:r>
      <w:r>
        <w:rPr>
          <w:rFonts w:ascii="Arial" w:hAnsi="Arial"/>
          <w:sz w:val="28"/>
          <w:szCs w:val="28"/>
          <w:rtl w:val="0"/>
          <w:lang w:val="en-US"/>
        </w:rPr>
        <w:t>Find 7-10 people and conduct a modal split analysis of their transportation activities.</w:t>
      </w:r>
      <w:r>
        <w:rPr>
          <w:rFonts w:ascii="Arial" w:hAnsi="Arial" w:hint="default"/>
          <w:sz w:val="28"/>
          <w:szCs w:val="28"/>
          <w:rtl w:val="0"/>
        </w:rPr>
        <w:t xml:space="preserve">   </w:t>
      </w:r>
      <w:r>
        <w:rPr>
          <w:rFonts w:ascii="Arial" w:hAnsi="Arial"/>
          <w:sz w:val="28"/>
          <w:szCs w:val="28"/>
          <w:rtl w:val="0"/>
          <w:lang w:val="en-US"/>
        </w:rPr>
        <w:t>Di</w:t>
      </w:r>
      <w:r>
        <mc:AlternateContent>
          <mc:Choice Requires="wps">
            <w:drawing>
              <wp:anchor distT="152400" distB="152400" distL="152400" distR="152400" simplePos="0" relativeHeight="251659264" behindDoc="0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2451608</wp:posOffset>
                </wp:positionV>
                <wp:extent cx="5193772" cy="5731257"/>
                <wp:effectExtent l="0" t="0" r="0" b="0"/>
                <wp:wrapTopAndBottom distT="152400" distB="152400"/>
                <wp:docPr id="107374182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93772" cy="5731257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11760" w:type="dxa"/>
                              <w:tblInd w:w="10" w:type="dxa"/>
                              <w:tblBorders>
                                <w:top w:val="nil"/>
                                <w:left w:val="nil"/>
                                <w:bottom w:val="nil"/>
                                <w:right w:val="nil"/>
                                <w:insideH w:val="single" w:color="aaaaaa" w:sz="8" w:space="0" w:shadow="0" w:frame="0"/>
                                <w:insideV w:val="single" w:color="aaaaaa" w:sz="8" w:space="0" w:shadow="0" w:frame="0"/>
                              </w:tblBorders>
                              <w:shd w:val="clear" w:color="auto" w:fill="auto"/>
                              <w:tblLayout w:type="fixed"/>
                            </w:tblPr>
                            <w:tblGrid>
                              <w:gridCol w:w="1960"/>
                              <w:gridCol w:w="1960"/>
                              <w:gridCol w:w="1960"/>
                              <w:gridCol w:w="1960"/>
                              <w:gridCol w:w="1960"/>
                              <w:gridCol w:w="1960"/>
                            </w:tblGrid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580" w:hRule="atLeast"/>
                              </w:trPr>
                              <w:tc>
                                <w:tcPr>
                                  <w:tcW w:type="dxa" w:w="11760"/>
                                  <w:gridSpan w:val="6"/>
                                  <w:tcBorders>
                                    <w:top w:val="single" w:color="aaaaaa" w:sz="8" w:space="0" w:shadow="0" w:frame="0"/>
                                    <w:left w:val="single" w:color="efd2ad" w:sz="8" w:space="0" w:shadow="0" w:frame="0"/>
                                    <w:bottom w:val="single" w:color="efd2ad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center"/>
                                </w:tcPr>
                                <w:p>
                                  <w:pPr>
                                    <w:pStyle w:val="Table Style 2"/>
                                    <w:jc w:val="center"/>
                                  </w:pPr>
                                  <w:r>
                                    <w:rPr>
                                      <w:rFonts w:ascii="Helvetica" w:hAnsi="Helvetica"/>
                                      <w:sz w:val="28"/>
                                      <w:szCs w:val="28"/>
                                      <w:rtl w:val="0"/>
                                    </w:rPr>
                                    <w:t>Modal Split Survey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11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efd2ad" w:sz="8" w:space="0" w:shadow="0" w:frame="0"/>
                                    <w:bottom w:val="single" w:color="3f3f3f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a5a5a5" w:sz="8" w:space="0" w:shadow="0" w:frame="0"/>
                                    <w:bottom w:val="single" w:color="3f3f3f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a5a5a5" w:sz="8" w:space="0" w:shadow="0" w:frame="0"/>
                                    <w:bottom w:val="single" w:color="3f3f3f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a5a5a5" w:sz="8" w:space="0" w:shadow="0" w:frame="0"/>
                                    <w:bottom w:val="single" w:color="3f3f3f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a5a5a5" w:sz="8" w:space="0" w:shadow="0" w:frame="0"/>
                                    <w:bottom w:val="single" w:color="3f3f3f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efd2ad" w:sz="8" w:space="0" w:shadow="0" w:frame="0"/>
                                    <w:left w:val="single" w:color="a5a5a5" w:sz="8" w:space="0" w:shadow="0" w:frame="0"/>
                                    <w:bottom w:val="single" w:color="3f3f3f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bdc0b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b w:val="1"/>
                                      <w:bCs w:val="1"/>
                                      <w:sz w:val="24"/>
                                      <w:szCs w:val="24"/>
                                      <w:rtl w:val="0"/>
                                    </w:rPr>
                                    <w:t>Total Trips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11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Walk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Cycle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Train/Bus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Drive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3f3f3f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6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7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8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9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b w:val="1"/>
                                      <w:bCs w:val="1"/>
                                      <w:sz w:val="24"/>
                                      <w:szCs w:val="24"/>
                                      <w:rtl w:val="0"/>
                                    </w:rPr>
                                    <w:t>All Scenarios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7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17</w:t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Walk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Cycle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Train/bus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sz w:val="24"/>
                                      <w:szCs w:val="24"/>
                                      <w:rtl w:val="0"/>
                                    </w:rPr>
                                    <w:t>Drive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67%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33%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6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7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8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67%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33%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9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67%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33%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40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1"/>
                                      <w:bCs w:val="1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10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50%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50%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  <w:tr>
                              <w:tblPrEx>
                                <w:shd w:val="clear" w:color="auto" w:fill="auto"/>
                              </w:tblPrEx>
                              <w:trPr>
                                <w:trHeight w:val="687" w:hRule="atLeast"/>
                              </w:trPr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efd2ad" w:sz="8" w:space="0" w:shadow="0" w:frame="0"/>
                                    <w:bottom w:val="single" w:color="a5a5a5" w:sz="8" w:space="0" w:shadow="0" w:frame="0"/>
                                    <w:right w:val="single" w:color="3f3f3f" w:sz="8" w:space="0" w:shadow="0" w:frame="0"/>
                                  </w:tcBorders>
                                  <w:shd w:val="clear" w:color="auto" w:fill="dbdbdb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Table Style 2"/>
                                  </w:pPr>
                                  <w:r>
                                    <w:rPr>
                                      <w:rFonts w:ascii="Helvetica" w:hAnsi="Helvetica"/>
                                      <w:b w:val="1"/>
                                      <w:bCs w:val="1"/>
                                      <w:sz w:val="24"/>
                                      <w:szCs w:val="24"/>
                                      <w:rtl w:val="0"/>
                                    </w:rPr>
                                    <w:t>Total percentage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3f3f3f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29%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14%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21%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a5a5a5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righ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Helvetica" w:cs="Arial Unicode MS" w:hAnsi="Helvetica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ff2c21"/>
                                      <w:spacing w:val="0"/>
                                      <w:kern w:val="0"/>
                                      <w:position w:val="0"/>
                                      <w:sz w:val="24"/>
                                      <w:szCs w:val="24"/>
                                      <w:u w:val="none"/>
                                      <w:vertAlign w:val="baseline"/>
                                      <w:rtl w:val="0"/>
                                    </w:rPr>
                                    <w:t>36%</w:t>
                                  </w:r>
                                </w:p>
                              </w:tc>
                              <w:tc>
                                <w:tcPr>
                                  <w:tcW w:type="dxa" w:w="1960"/>
                                  <w:tcBorders>
                                    <w:top w:val="single" w:color="a5a5a5" w:sz="8" w:space="0" w:shadow="0" w:frame="0"/>
                                    <w:left w:val="single" w:color="a5a5a5" w:sz="8" w:space="0" w:shadow="0" w:frame="0"/>
                                    <w:bottom w:val="single" w:color="a5a5a5" w:sz="8" w:space="0" w:shadow="0" w:frame="0"/>
                                    <w:right w:val="single" w:color="efd2ad" w:sz="8" w:space="0" w:shadow="0" w:frame="0"/>
                                  </w:tcBorders>
                                  <w:shd w:val="clear" w:color="auto" w:fill="ffffff"/>
                                  <w:tcMar>
                                    <w:top w:type="dxa" w:w="0"/>
                                    <w:left w:type="dxa" w:w="40"/>
                                    <w:bottom w:type="dxa" w:w="40"/>
                                    <w:right w:type="dxa" w:w="40"/>
                                  </w:tcMar>
                                  <w:vAlign w:val="top"/>
                                </w:tcPr>
                                <w:p/>
                              </w:tc>
                            </w:tr>
                          </w:tbl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type="#_x0000_t202" style="visibility:visible;position:absolute;margin-left:-0.0pt;margin-top:193.0pt;width:409.0pt;height:451.3pt;z-index:251659264;mso-position-horizontal:absolute;mso-position-horizontal-relative:page;mso-position-vertical:absolute;mso-position-vertical-relative:page;mso-wrap-distance-left:12.0pt;mso-wrap-distance-top:12.0pt;mso-wrap-distance-right:12.0pt;mso-wrap-distance-bottom:12.0pt;">
                <v:fill on="f"/>
                <v:stroke on="f" weight="0.8pt" dashstyle="solid" endcap="flat" joinstyle="round" linestyle="single" startarrow="none" startarrowwidth="medium" startarrowlength="medium" endarrow="none" endarrowwidth="medium" endarrowlength="medium"/>
                <v:textbox>
                  <w:txbxContent>
                    <w:tbl>
                      <w:tblPr>
                        <w:tblW w:w="11760" w:type="dxa"/>
                        <w:tblInd w:w="10" w:type="dxa"/>
                        <w:tblBorders>
                          <w:top w:val="nil"/>
                          <w:left w:val="nil"/>
                          <w:bottom w:val="nil"/>
                          <w:right w:val="nil"/>
                          <w:insideH w:val="single" w:color="aaaaaa" w:sz="8" w:space="0" w:shadow="0" w:frame="0"/>
                          <w:insideV w:val="single" w:color="aaaaaa" w:sz="8" w:space="0" w:shadow="0" w:frame="0"/>
                        </w:tblBorders>
                        <w:shd w:val="clear" w:color="auto" w:fill="auto"/>
                        <w:tblLayout w:type="fixed"/>
                      </w:tblPr>
                      <w:tblGrid>
                        <w:gridCol w:w="1960"/>
                        <w:gridCol w:w="1960"/>
                        <w:gridCol w:w="1960"/>
                        <w:gridCol w:w="1960"/>
                        <w:gridCol w:w="1960"/>
                        <w:gridCol w:w="1960"/>
                      </w:tblGrid>
                      <w:tr>
                        <w:tblPrEx>
                          <w:shd w:val="clear" w:color="auto" w:fill="auto"/>
                        </w:tblPrEx>
                        <w:trPr>
                          <w:trHeight w:val="580" w:hRule="atLeast"/>
                        </w:trPr>
                        <w:tc>
                          <w:tcPr>
                            <w:tcW w:type="dxa" w:w="11760"/>
                            <w:gridSpan w:val="6"/>
                            <w:tcBorders>
                              <w:top w:val="single" w:color="aaaaaa" w:sz="8" w:space="0" w:shadow="0" w:frame="0"/>
                              <w:left w:val="single" w:color="efd2ad" w:sz="8" w:space="0" w:shadow="0" w:frame="0"/>
                              <w:bottom w:val="single" w:color="efd2ad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center"/>
                          </w:tcPr>
                          <w:p>
                            <w:pPr>
                              <w:pStyle w:val="Table Style 2"/>
                              <w:jc w:val="center"/>
                            </w:pPr>
                            <w:r>
                              <w:rPr>
                                <w:rFonts w:ascii="Helvetica" w:hAnsi="Helvetica"/>
                                <w:sz w:val="28"/>
                                <w:szCs w:val="28"/>
                                <w:rtl w:val="0"/>
                              </w:rPr>
                              <w:t>Modal Split Survey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11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efd2ad" w:sz="8" w:space="0" w:shadow="0" w:frame="0"/>
                              <w:bottom w:val="single" w:color="3f3f3f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a5a5a5" w:sz="8" w:space="0" w:shadow="0" w:frame="0"/>
                              <w:bottom w:val="single" w:color="3f3f3f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a5a5a5" w:sz="8" w:space="0" w:shadow="0" w:frame="0"/>
                              <w:bottom w:val="single" w:color="3f3f3f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a5a5a5" w:sz="8" w:space="0" w:shadow="0" w:frame="0"/>
                              <w:bottom w:val="single" w:color="3f3f3f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a5a5a5" w:sz="8" w:space="0" w:shadow="0" w:frame="0"/>
                              <w:bottom w:val="single" w:color="3f3f3f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efd2ad" w:sz="8" w:space="0" w:shadow="0" w:frame="0"/>
                              <w:left w:val="single" w:color="a5a5a5" w:sz="8" w:space="0" w:shadow="0" w:frame="0"/>
                              <w:bottom w:val="single" w:color="3f3f3f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bdc0b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b w:val="1"/>
                                <w:bCs w:val="1"/>
                                <w:sz w:val="24"/>
                                <w:szCs w:val="24"/>
                                <w:rtl w:val="0"/>
                              </w:rPr>
                              <w:t>Total Trips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11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Walk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Cycle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Train/Bus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Drive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3f3f3f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6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7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8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9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b w:val="1"/>
                                <w:bCs w:val="1"/>
                                <w:sz w:val="24"/>
                                <w:szCs w:val="24"/>
                                <w:rtl w:val="0"/>
                              </w:rPr>
                              <w:t>All Scenarios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7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17</w:t>
                            </w:r>
                          </w:p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Walk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Cycle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Train/bus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sz w:val="24"/>
                                <w:szCs w:val="24"/>
                                <w:rtl w:val="0"/>
                              </w:rPr>
                              <w:t>Drive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67%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33%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6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7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8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67%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33%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9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67%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33%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40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1"/>
                                <w:bCs w:val="1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10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50%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50%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  <w:tr>
                        <w:tblPrEx>
                          <w:shd w:val="clear" w:color="auto" w:fill="auto"/>
                        </w:tblPrEx>
                        <w:trPr>
                          <w:trHeight w:val="687" w:hRule="atLeast"/>
                        </w:trPr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efd2ad" w:sz="8" w:space="0" w:shadow="0" w:frame="0"/>
                              <w:bottom w:val="single" w:color="a5a5a5" w:sz="8" w:space="0" w:shadow="0" w:frame="0"/>
                              <w:right w:val="single" w:color="3f3f3f" w:sz="8" w:space="0" w:shadow="0" w:frame="0"/>
                            </w:tcBorders>
                            <w:shd w:val="clear" w:color="auto" w:fill="dbdbdb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pStyle w:val="Table Style 2"/>
                            </w:pPr>
                            <w:r>
                              <w:rPr>
                                <w:rFonts w:ascii="Helvetica" w:hAnsi="Helvetica"/>
                                <w:b w:val="1"/>
                                <w:bCs w:val="1"/>
                                <w:sz w:val="24"/>
                                <w:szCs w:val="24"/>
                                <w:rtl w:val="0"/>
                              </w:rPr>
                              <w:t>Total percentage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3f3f3f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29%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14%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21%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a5a5a5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righ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Helvetica" w:cs="Arial Unicode MS" w:hAnsi="Helvetica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ff2c21"/>
                                <w:spacing w:val="0"/>
                                <w:kern w:val="0"/>
                                <w:position w:val="0"/>
                                <w:sz w:val="24"/>
                                <w:szCs w:val="24"/>
                                <w:u w:val="none"/>
                                <w:vertAlign w:val="baseline"/>
                                <w:rtl w:val="0"/>
                              </w:rPr>
                              <w:t>36%</w:t>
                            </w:r>
                          </w:p>
                        </w:tc>
                        <w:tc>
                          <w:tcPr>
                            <w:tcW w:type="dxa" w:w="1960"/>
                            <w:tcBorders>
                              <w:top w:val="single" w:color="a5a5a5" w:sz="8" w:space="0" w:shadow="0" w:frame="0"/>
                              <w:left w:val="single" w:color="a5a5a5" w:sz="8" w:space="0" w:shadow="0" w:frame="0"/>
                              <w:bottom w:val="single" w:color="a5a5a5" w:sz="8" w:space="0" w:shadow="0" w:frame="0"/>
                              <w:right w:val="single" w:color="efd2ad" w:sz="8" w:space="0" w:shadow="0" w:frame="0"/>
                            </w:tcBorders>
                            <w:shd w:val="clear" w:color="auto" w:fill="ffffff"/>
                            <w:tcMar>
                              <w:top w:type="dxa" w:w="0"/>
                              <w:left w:type="dxa" w:w="40"/>
                              <w:bottom w:type="dxa" w:w="40"/>
                              <w:right w:type="dxa" w:w="40"/>
                            </w:tcMar>
                            <w:vAlign w:val="top"/>
                          </w:tcPr>
                          <w:p/>
                        </w:tc>
                      </w:tr>
                    </w:tbl>
                  </w:txbxContent>
                </v:textbox>
                <w10:wrap type="topAndBottom" side="bothSides" anchorx="page" anchory="page"/>
              </v:shape>
            </w:pict>
          </mc:Fallback>
        </mc:AlternateContent>
      </w:r>
      <w:r>
        <w:rPr>
          <w:rFonts w:ascii="Arial" w:hAnsi="Arial"/>
          <w:sz w:val="28"/>
          <w:szCs w:val="28"/>
          <w:rtl w:val="0"/>
          <w:lang w:val="en-US"/>
        </w:rPr>
        <w:t>splay this analysis in a similar fashion to the table and pie-chart you can find in the lecture note</w:t>
      </w:r>
      <w:r>
        <w:rPr>
          <w:rFonts w:ascii="Arial" w:hAnsi="Arial"/>
          <w:sz w:val="28"/>
          <w:szCs w:val="28"/>
          <w:rtl w:val="0"/>
          <w:lang w:val="en-US"/>
        </w:rPr>
        <w:t>s.</w:t>
      </w:r>
    </w:p>
    <w:p>
      <w:pPr>
        <w:pStyle w:val="Default"/>
        <w:bidi w:val="0"/>
        <w:ind w:left="0" w:right="0" w:firstLine="0"/>
        <w:jc w:val="left"/>
        <w:rPr>
          <w:rFonts w:ascii="Verdana" w:cs="Verdana" w:hAnsi="Verdana" w:eastAsia="Verdana"/>
          <w:color w:val="217a94"/>
          <w:sz w:val="28"/>
          <w:szCs w:val="28"/>
          <w:rtl w:val="0"/>
        </w:rPr>
      </w:pPr>
    </w:p>
    <w:p>
      <w:pPr>
        <w:pStyle w:val="Default"/>
        <w:bidi w:val="0"/>
        <w:ind w:left="0" w:right="0" w:firstLine="0"/>
        <w:jc w:val="left"/>
        <w:rPr>
          <w:rFonts w:ascii="Verdana" w:cs="Verdana" w:hAnsi="Verdana" w:eastAsia="Verdana"/>
          <w:color w:val="217a94"/>
          <w:sz w:val="28"/>
          <w:szCs w:val="28"/>
          <w:rtl w:val="0"/>
        </w:rPr>
      </w:pPr>
      <w:r>
        <w:rPr>
          <w:rFonts w:ascii="Verdana" w:cs="Verdana" w:hAnsi="Verdana" w:eastAsia="Verdana"/>
          <w:color w:val="217a94"/>
          <w:sz w:val="28"/>
          <w:szCs w:val="28"/>
          <w:rtl w:val="0"/>
        </w:rPr>
        <w:drawing>
          <wp:anchor distT="0" distB="0" distL="76200" distR="76200" simplePos="0" relativeHeight="251660288" behindDoc="0" locked="0" layoutInCell="1" allowOverlap="1">
            <wp:simplePos x="0" y="0"/>
            <wp:positionH relativeFrom="margin">
              <wp:posOffset>872850</wp:posOffset>
            </wp:positionH>
            <wp:positionV relativeFrom="line">
              <wp:posOffset>759758</wp:posOffset>
            </wp:positionV>
            <wp:extent cx="5422901" cy="3586328"/>
            <wp:effectExtent l="0" t="0" r="0" b="0"/>
            <wp:wrapTopAndBottom distT="0" distB="0"/>
            <wp:docPr id="1073741826" name="officeArt object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r:id="rId4"/>
              </a:graphicData>
            </a:graphic>
          </wp:anchor>
        </w:drawing>
      </w:r>
    </w:p>
    <w:p>
      <w:pPr>
        <w:pStyle w:val="Default"/>
        <w:bidi w:val="0"/>
        <w:ind w:left="0" w:right="0" w:firstLine="0"/>
        <w:jc w:val="left"/>
        <w:rPr>
          <w:rFonts w:ascii="Verdana" w:cs="Verdana" w:hAnsi="Verdana" w:eastAsia="Verdana"/>
          <w:color w:val="217a94"/>
          <w:sz w:val="28"/>
          <w:szCs w:val="28"/>
          <w:rtl w:val="0"/>
        </w:rPr>
      </w:pPr>
    </w:p>
    <w:p>
      <w:pPr>
        <w:pStyle w:val="Body A"/>
      </w:pP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rFonts w:ascii="Arial" w:cs="Arial" w:hAnsi="Arial" w:eastAsia="Arial"/>
          <w:sz w:val="28"/>
          <w:szCs w:val="28"/>
        </w:rPr>
      </w:pPr>
      <w:r>
        <w:rPr>
          <w:rFonts w:ascii="Arial" w:hAnsi="Arial"/>
          <w:sz w:val="28"/>
          <w:szCs w:val="28"/>
          <w:rtl w:val="0"/>
          <w:lang w:val="en-US"/>
        </w:rPr>
        <w:t>As detailed above, I conducted a modal split analysis on 10 individuals, with the aim of gathering data on transportation activities. A table and a pie chart have been produced to display data.</w:t>
      </w: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  <w:r/>
    </w:p>
    <w:sectPr>
      <w:headerReference w:type="default" r:id="rId5"/>
      <w:footerReference w:type="default" r:id="rId6"/>
      <w:pgSz w:w="11906" w:h="16838" w:orient="portrait"/>
      <w:pgMar w:top="1440" w:right="1440" w:bottom="1440" w:left="1440" w:header="720" w:footer="864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  <w:font w:name="Verdan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rPr>
        <w:rFonts w:ascii="Arial" w:cs="Arial" w:hAnsi="Arial" w:eastAsia="Arial"/>
      </w:rPr>
    </w:pPr>
    <w:r>
      <w:rPr>
        <w:rFonts w:ascii="Arial" w:hAnsi="Arial"/>
        <w:rtl w:val="0"/>
        <w:lang w:val="en-US"/>
      </w:rPr>
      <w:t>PD14 A2 MODAL SPLIT</w:t>
    </w:r>
  </w:p>
  <w:p>
    <w:pPr>
      <w:pStyle w:val="Header &amp; Footer"/>
      <w:rPr>
        <w:rFonts w:ascii="Arial" w:cs="Arial" w:hAnsi="Arial" w:eastAsia="Arial"/>
      </w:rPr>
    </w:pPr>
    <w:r>
      <w:rPr>
        <w:rFonts w:ascii="Arial" w:hAnsi="Arial"/>
        <w:rtl w:val="0"/>
        <w:lang w:val="en-US"/>
      </w:rPr>
      <w:t>MOVEMENT OF PEOPLE</w:t>
    </w:r>
  </w:p>
  <w:p>
    <w:pPr>
      <w:pStyle w:val="Header &amp; Footer"/>
      <w:rPr>
        <w:rFonts w:ascii="Arial" w:cs="Arial" w:hAnsi="Arial" w:eastAsia="Arial"/>
      </w:rPr>
    </w:pPr>
    <w:r>
      <w:rPr>
        <w:rFonts w:ascii="Arial" w:hAnsi="Arial"/>
        <w:rtl w:val="0"/>
        <w:lang w:val="en-US"/>
      </w:rPr>
      <w:t>DANIEL MAXWELL</w:t>
    </w:r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1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:lang w:val="en-US"/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paragraph" w:styleId="Table Style 2">
    <w:name w:val="Table Style 2"/>
    <w:next w:val="Table Style 2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vertAlign w:val="baselin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chart" Target="charts/chart1.xml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charts/_rels/chart1.xml.rels><?xml version="1.0" encoding="UTF-8" standalone="yes"?><Relationships xmlns="http://schemas.openxmlformats.org/package/2006/relationships"><Relationship Id="rId1" Type="http://schemas.openxmlformats.org/officeDocument/2006/relationships/package" Target="../embeddings/Microsoft_Excel_Sheet1.xlsx"/></Relationships>
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roundedCorners val="0"/>
  <c:chart>
    <c:autoTitleDeleted val="1"/>
    <c:view3D>
      <c:rotX val="75"/>
      <c:hPercent val="27"/>
      <c:rotY val="0"/>
      <c:depthPercent val="100"/>
      <c:rAngAx val="0"/>
      <c:perspective val="30"/>
    </c:view3D>
    <c:floor>
      <c:spPr>
        <a:noFill/>
        <a:ln>
          <a:noFill/>
        </a:ln>
        <a:effectLst/>
        <a:sp3d/>
      </c:spPr>
    </c:floor>
    <c:sideWall>
      <c:spPr>
        <a:noFill/>
        <a:ln>
          <a:noFill/>
        </a:ln>
        <a:effectLst/>
        <a:sp3d/>
      </c:spPr>
    </c:sideWall>
    <c:backWall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212403"/>
          <c:y val="0.170477"/>
          <c:w val="0.575194"/>
          <c:h val="0.817023"/>
        </c:manualLayout>
      </c:layout>
      <c:pie3DChart>
        <c:varyColors val="0"/>
        <c:ser>
          <c:idx val="0"/>
          <c:order val="0"/>
          <c:tx>
            <c:strRef>
              <c:f>Sheet1!$A$2</c:f>
              <c:strCache>
                <c:ptCount val="1"/>
                <c:pt idx="0">
                  <c:v>%</c:v>
                </c:pt>
              </c:strCache>
            </c:strRef>
          </c:tx>
          <c:spPr>
            <a:solidFill>
              <a:srgbClr val="2E578C"/>
            </a:solidFill>
            <a:ln w="9525" cap="flat">
              <a:noFill/>
              <a:prstDash val="solid"/>
              <a:round/>
            </a:ln>
            <a:effectLst/>
            <a:sp3d prstMaterial="matte"/>
          </c:spPr>
          <c:explosion val="0"/>
          <c:dPt>
            <c:idx val="0"/>
            <c:explosion val="0"/>
            <c:spPr>
              <a:solidFill>
                <a:srgbClr val="2E578C"/>
              </a:solidFill>
              <a:ln w="9525" cap="flat">
                <a:noFill/>
                <a:prstDash val="solid"/>
                <a:round/>
              </a:ln>
              <a:effectLst/>
              <a:sp3d prstMaterial="matte"/>
            </c:spPr>
          </c:dPt>
          <c:dPt>
            <c:idx val="1"/>
            <c:explosion val="0"/>
            <c:spPr>
              <a:solidFill>
                <a:srgbClr val="5D9648"/>
              </a:solidFill>
              <a:ln w="9525" cap="flat">
                <a:noFill/>
                <a:prstDash val="solid"/>
                <a:round/>
              </a:ln>
              <a:effectLst/>
              <a:sp3d prstMaterial="matte"/>
            </c:spPr>
          </c:dPt>
          <c:dPt>
            <c:idx val="2"/>
            <c:explosion val="0"/>
            <c:spPr>
              <a:solidFill>
                <a:srgbClr val="E7A13D"/>
              </a:solidFill>
              <a:ln w="9525" cap="flat">
                <a:noFill/>
                <a:prstDash val="solid"/>
                <a:round/>
              </a:ln>
              <a:effectLst/>
              <a:sp3d prstMaterial="matte"/>
            </c:spPr>
          </c:dPt>
          <c:dPt>
            <c:idx val="3"/>
            <c:explosion val="0"/>
            <c:spPr>
              <a:solidFill>
                <a:srgbClr val="BC2D30"/>
              </a:solidFill>
              <a:ln w="9525" cap="flat">
                <a:noFill/>
                <a:prstDash val="solid"/>
                <a:round/>
              </a:ln>
              <a:effectLst/>
              <a:sp3d prstMaterial="matte"/>
            </c:spPr>
          </c:dPt>
          <c:dLbls>
            <c:dLbl>
              <c:idx val="0"/>
              <c:numFmt formatCode="#,##0%" sourceLinked="0"/>
              <c:txPr>
                <a:bodyPr/>
                <a:lstStyle/>
                <a:p>
                  <a:pPr>
                    <a:defRPr b="0" i="0" strike="noStrike" sz="1800" u="none">
                      <a:solidFill>
                        <a:srgbClr val="000000"/>
                      </a:solidFill>
                      <a:latin typeface="Helvetica"/>
                    </a:defRPr>
                  </a:pPr>
                </a:p>
              </c:txPr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</c:dLbl>
            <c:dLbl>
              <c:idx val="1"/>
              <c:numFmt formatCode="#,##0%" sourceLinked="0"/>
              <c:txPr>
                <a:bodyPr/>
                <a:lstStyle/>
                <a:p>
                  <a:pPr>
                    <a:defRPr b="0" i="0" strike="noStrike" sz="1800" u="none">
                      <a:solidFill>
                        <a:srgbClr val="000000"/>
                      </a:solidFill>
                      <a:latin typeface="Helvetica"/>
                    </a:defRPr>
                  </a:pPr>
                </a:p>
              </c:txPr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</c:dLbl>
            <c:dLbl>
              <c:idx val="2"/>
              <c:numFmt formatCode="#,##0%" sourceLinked="0"/>
              <c:txPr>
                <a:bodyPr/>
                <a:lstStyle/>
                <a:p>
                  <a:pPr>
                    <a:defRPr b="0" i="0" strike="noStrike" sz="1800" u="none">
                      <a:solidFill>
                        <a:srgbClr val="000000"/>
                      </a:solidFill>
                      <a:latin typeface="Helvetica"/>
                    </a:defRPr>
                  </a:pPr>
                </a:p>
              </c:txPr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</c:dLbl>
            <c:dLbl>
              <c:idx val="3"/>
              <c:numFmt formatCode="#,##0%" sourceLinked="0"/>
              <c:txPr>
                <a:bodyPr/>
                <a:lstStyle/>
                <a:p>
                  <a:pPr>
                    <a:defRPr b="0" i="0" strike="noStrike" sz="1800" u="none">
                      <a:solidFill>
                        <a:srgbClr val="000000"/>
                      </a:solidFill>
                      <a:latin typeface="Helvetica"/>
                    </a:defRPr>
                  </a:pPr>
                </a:p>
              </c:txPr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</c:dLbl>
            <c:numFmt formatCode="#,##0%" sourceLinked="0"/>
            <c:txPr>
              <a:bodyPr/>
              <a:lstStyle/>
              <a:p>
                <a:pPr>
                  <a:defRPr b="0" i="0" strike="noStrike" sz="1800" u="none">
                    <a:solidFill>
                      <a:srgbClr val="000000"/>
                    </a:solidFill>
                    <a:latin typeface="Helvetica"/>
                  </a:defRPr>
                </a:pPr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0"/>
          </c:dLbls>
          <c:cat>
            <c:strRef>
              <c:f>Sheet1!$B$1:$E$1</c:f>
              <c:strCache>
                <c:ptCount val="4"/>
                <c:pt idx="0">
                  <c:v>WALK</c:v>
                </c:pt>
                <c:pt idx="1">
                  <c:v>CYCLE</c:v>
                </c:pt>
                <c:pt idx="2">
                  <c:v>TRAIN/BUS</c:v>
                </c:pt>
                <c:pt idx="3">
                  <c:v>DRIVE</c:v>
                </c:pt>
              </c:strCache>
            </c:strRef>
          </c:cat>
          <c:val>
            <c:numRef>
              <c:f>Sheet1!$B$2:$E$2</c:f>
              <c:numCache>
                <c:ptCount val="4"/>
                <c:pt idx="0">
                  <c:v>29.000000</c:v>
                </c:pt>
                <c:pt idx="1">
                  <c:v>14.000000</c:v>
                </c:pt>
                <c:pt idx="2">
                  <c:v>21.000000</c:v>
                </c:pt>
                <c:pt idx="3">
                  <c:v>36.000000</c:v>
                </c:pt>
              </c:numCache>
            </c:numRef>
          </c:val>
        </c:ser>
      </c:pie3DChart>
      <c:spPr>
        <a:solidFill>
          <a:srgbClr val="FFFFFF"/>
        </a:solidFill>
        <a:ln w="12700" cap="flat">
          <a:noFill/>
          <a:miter lim="400000"/>
        </a:ln>
        <a:effectLst/>
      </c:spPr>
    </c:plotArea>
    <c:legend>
      <c:legendPos val="t"/>
      <c:layout>
        <c:manualLayout>
          <c:xMode val="edge"/>
          <c:yMode val="edge"/>
          <c:x val="0"/>
          <c:y val="0"/>
          <c:w val="1"/>
          <c:h val="0.102907"/>
        </c:manualLayout>
      </c:layout>
      <c:overlay val="1"/>
      <c:spPr>
        <a:noFill/>
        <a:ln w="12700" cap="flat">
          <a:noFill/>
          <a:miter lim="400000"/>
        </a:ln>
        <a:effectLst/>
      </c:spPr>
      <c:txPr>
        <a:bodyPr rot="0"/>
        <a:lstStyle/>
        <a:p>
          <a:pPr>
            <a:defRPr b="0" i="0" strike="noStrike" sz="1800" u="none">
              <a:solidFill>
                <a:srgbClr val="000000"/>
              </a:solidFill>
              <a:latin typeface="Helvetica"/>
            </a:defRPr>
          </a:pPr>
        </a:p>
      </c:txPr>
    </c:legend>
    <c:plotVisOnly val="1"/>
    <c:dispBlanksAs val="gap"/>
  </c:chart>
  <c:spPr>
    <a:solidFill>
      <a:srgbClr val="FFFFFF"/>
    </a:solidFill>
    <a:ln w="12700" cap="flat">
      <a:solidFill>
        <a:srgbClr val="888888"/>
      </a:solidFill>
      <a:prstDash val="solid"/>
      <a:round/>
    </a:ln>
    <a:effectLst/>
  </c:spPr>
  <c:externalData r:id="rId1">
    <c:autoUpdate val="0"/>
  </c:externalData>
</c:chartSpace>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