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7F23F" w14:textId="1F8518C8" w:rsidR="00CF34DC" w:rsidRDefault="005620BD">
      <w:r>
        <w:t>This assignment will be a discussion aro</w:t>
      </w:r>
      <w:r w:rsidR="008352D9">
        <w:t xml:space="preserve">und the </w:t>
      </w:r>
      <w:r w:rsidR="00336CED">
        <w:t xml:space="preserve">new piece of legislation that was proposed </w:t>
      </w:r>
      <w:r w:rsidR="00014EF1">
        <w:t xml:space="preserve">in 2022, this piece of legislation is called the a bill of Rights </w:t>
      </w:r>
      <w:r w:rsidR="00B5178A">
        <w:t>which would replace The Human Rights Act 1998</w:t>
      </w:r>
      <w:r w:rsidR="00CB437D">
        <w:t>.</w:t>
      </w:r>
      <w:r w:rsidR="00376C48">
        <w:t xml:space="preserve"> </w:t>
      </w:r>
      <w:r w:rsidR="003A32BC">
        <w:t>This piece of legislatio</w:t>
      </w:r>
      <w:r w:rsidR="00CB437D">
        <w:t xml:space="preserve">n would make a number of changes to the current </w:t>
      </w:r>
      <w:r w:rsidR="00CF34DC">
        <w:t xml:space="preserve">rights in place </w:t>
      </w:r>
    </w:p>
    <w:p w14:paraId="479BE70B" w14:textId="5727AD15" w:rsidR="00591462" w:rsidRPr="003A32BC" w:rsidRDefault="00003DFE">
      <w:pPr>
        <w:rPr>
          <w:u w:val="single"/>
        </w:rPr>
      </w:pPr>
      <w:r>
        <w:t xml:space="preserve">The assignment will discuss the more current proposals for legislation, the potential issues that surround the current law </w:t>
      </w:r>
      <w:r w:rsidR="00BA55FE">
        <w:t xml:space="preserve">as well as the advantages and disadvantages </w:t>
      </w:r>
      <w:r w:rsidR="00A03D43">
        <w:t>of this new p</w:t>
      </w:r>
      <w:r w:rsidR="00431EFE">
        <w:t>roposed la</w:t>
      </w:r>
      <w:r w:rsidR="00837EE9">
        <w:t>w</w:t>
      </w:r>
      <w:r w:rsidR="00431EFE">
        <w:t xml:space="preserve"> </w:t>
      </w:r>
      <w:r w:rsidR="00C40BF4">
        <w:t xml:space="preserve">( Ministry of justice, 2022) </w:t>
      </w:r>
      <w:r w:rsidR="00837EE9">
        <w:t>.</w:t>
      </w:r>
    </w:p>
    <w:p w14:paraId="25ACE470" w14:textId="5A38CB77" w:rsidR="009A491A" w:rsidRDefault="009A491A"/>
    <w:p w14:paraId="4FE2775C" w14:textId="5C9B537E" w:rsidR="00837EE9" w:rsidRDefault="009058BD">
      <w:r>
        <w:t xml:space="preserve">A constitution is </w:t>
      </w:r>
      <w:r w:rsidR="005204C5">
        <w:t xml:space="preserve">set </w:t>
      </w:r>
      <w:r w:rsidR="00B55153">
        <w:t>rules</w:t>
      </w:r>
      <w:r w:rsidR="005204C5">
        <w:t xml:space="preserve"> and principles that are usually contained in one document,</w:t>
      </w:r>
      <w:r w:rsidR="00FB701E">
        <w:t xml:space="preserve"> used to organise the country</w:t>
      </w:r>
      <w:r w:rsidR="00262EF8">
        <w:t>. Unlike other countries and continents, the U</w:t>
      </w:r>
      <w:r w:rsidR="00B47821">
        <w:t xml:space="preserve">nited Kingdom’s </w:t>
      </w:r>
      <w:r w:rsidR="00262EF8">
        <w:t xml:space="preserve">constitution isn’t a </w:t>
      </w:r>
      <w:r w:rsidR="002D7F94">
        <w:t>physical written document, instead, the British constitution is made up of various statutes, judicial made decisions</w:t>
      </w:r>
      <w:r w:rsidR="00D75702">
        <w:t>, conventions and treaties – these are used to govern the UK and is namely, the British Constitution</w:t>
      </w:r>
      <w:r w:rsidR="00AD3B30">
        <w:t xml:space="preserve"> (</w:t>
      </w:r>
      <w:r w:rsidR="00234A8B">
        <w:t>U</w:t>
      </w:r>
      <w:r w:rsidR="00916B5D">
        <w:t xml:space="preserve">nited kingdoms </w:t>
      </w:r>
      <w:r w:rsidR="00234A8B">
        <w:t xml:space="preserve">Parliament, 2023). </w:t>
      </w:r>
      <w:r w:rsidR="00F11755">
        <w:t>Whilst we have no written constitution, there are various sources of law</w:t>
      </w:r>
      <w:r w:rsidR="002947AF">
        <w:t xml:space="preserve">- making , </w:t>
      </w:r>
      <w:r w:rsidR="0055796B">
        <w:t>none of which are superior to another.</w:t>
      </w:r>
      <w:r w:rsidR="00912281">
        <w:t xml:space="preserve"> </w:t>
      </w:r>
      <w:r w:rsidR="005D5EB9">
        <w:t>Th</w:t>
      </w:r>
      <w:r w:rsidR="00240417">
        <w:t xml:space="preserve">ere are 4 main </w:t>
      </w:r>
      <w:r w:rsidR="00001C4F">
        <w:t>sources of law;</w:t>
      </w:r>
      <w:r w:rsidR="004260B7">
        <w:t xml:space="preserve"> legislation, </w:t>
      </w:r>
      <w:r w:rsidR="00871E75">
        <w:t>common law,</w:t>
      </w:r>
      <w:r w:rsidR="00BD6916">
        <w:t>European Union Law and The Human Rights Law</w:t>
      </w:r>
      <w:r w:rsidR="00181693">
        <w:t xml:space="preserve"> (</w:t>
      </w:r>
      <w:proofErr w:type="spellStart"/>
      <w:r w:rsidR="00181693">
        <w:t>LexisNexis,2023</w:t>
      </w:r>
      <w:proofErr w:type="spellEnd"/>
      <w:r w:rsidR="00181693">
        <w:t>).</w:t>
      </w:r>
    </w:p>
    <w:p w14:paraId="2AECC7CC" w14:textId="58B99B4C" w:rsidR="0055796B" w:rsidRDefault="0055796B"/>
    <w:p w14:paraId="001C7D81" w14:textId="155319FB" w:rsidR="006C5DFF" w:rsidRDefault="0055796B">
      <w:r>
        <w:t xml:space="preserve">Although it can be argued that </w:t>
      </w:r>
      <w:r w:rsidR="00A14C9E">
        <w:t xml:space="preserve">Primary legislation is seen as superior as this is where the majority of laws that govern the </w:t>
      </w:r>
      <w:r w:rsidR="007F19D4">
        <w:t xml:space="preserve">United Kingdom </w:t>
      </w:r>
      <w:r w:rsidR="00A9751E">
        <w:t xml:space="preserve">come </w:t>
      </w:r>
      <w:r w:rsidR="00A14C9E">
        <w:t>from. Parliament i</w:t>
      </w:r>
      <w:r w:rsidR="009A3654">
        <w:t xml:space="preserve">s </w:t>
      </w:r>
      <w:r w:rsidR="00A14C9E">
        <w:t xml:space="preserve">made up of 2 houses, known as </w:t>
      </w:r>
      <w:r w:rsidR="00E71495">
        <w:t>the</w:t>
      </w:r>
      <w:r w:rsidR="00A14C9E">
        <w:t xml:space="preserve"> House of Commons and the House of Lords</w:t>
      </w:r>
      <w:r w:rsidR="00E71495">
        <w:t xml:space="preserve">; the houses often view </w:t>
      </w:r>
      <w:r w:rsidR="00BB30CD">
        <w:t xml:space="preserve">the ideas around a new law to be made and make any changes that need to be made, and then send this draft to the House of Lords </w:t>
      </w:r>
      <w:r w:rsidR="00B55153">
        <w:t>who will then make any changes they feel need to made. This is a “ping pong” like</w:t>
      </w:r>
      <w:r w:rsidR="00F3460D">
        <w:t>- process until they are happy with the final draft – the green paper- which is then sent for royal assent ( to be signed off by the king to become law) and is then published to the public</w:t>
      </w:r>
      <w:r w:rsidR="00BA1E2C">
        <w:t xml:space="preserve"> (Law Wales, </w:t>
      </w:r>
      <w:r w:rsidR="00E72AF6">
        <w:t xml:space="preserve">2021) </w:t>
      </w:r>
      <w:r w:rsidR="00F3460D">
        <w:t>.</w:t>
      </w:r>
      <w:r w:rsidR="0067786E">
        <w:t xml:space="preserve"> </w:t>
      </w:r>
      <w:r w:rsidR="00044611">
        <w:t xml:space="preserve">For example, The Human Rights Act </w:t>
      </w:r>
      <w:r w:rsidR="00102370">
        <w:t xml:space="preserve"> 1998 was passed through parliament after a proposal was made by the public to have a set list of basic essential </w:t>
      </w:r>
      <w:r w:rsidR="00477C83">
        <w:t xml:space="preserve">human rights in writing </w:t>
      </w:r>
      <w:r w:rsidR="00B31DC0">
        <w:t>(legislation.gov, 2022).</w:t>
      </w:r>
    </w:p>
    <w:p w14:paraId="16DC1C12" w14:textId="77777777" w:rsidR="006C5DFF" w:rsidRDefault="006C5DFF"/>
    <w:p w14:paraId="79F0C382" w14:textId="1D1E6EC6" w:rsidR="00DB0246" w:rsidRDefault="00C4131A">
      <w:r>
        <w:t xml:space="preserve">Common law is also </w:t>
      </w:r>
      <w:r w:rsidR="00A220F3">
        <w:t xml:space="preserve">a form of law, whereby the </w:t>
      </w:r>
      <w:r w:rsidR="00533060">
        <w:t>rulings from the cases set precedent for how the law should be interpreted when applying it to cases seen in court. This is monitored by the the Supreme Court, which is bindi</w:t>
      </w:r>
      <w:r w:rsidR="006C5DFF">
        <w:t>ng for all courts below it</w:t>
      </w:r>
      <w:r w:rsidR="0095548B">
        <w:t xml:space="preserve"> (</w:t>
      </w:r>
      <w:r w:rsidR="008611E5">
        <w:t>legislation.gov, 2022) . It is essential that laws get interpreted where they see fit as this can help the public to better understand the law and how it is being applied directly to them</w:t>
      </w:r>
      <w:r w:rsidR="00DB0246">
        <w:t xml:space="preserve">, it also gives guidance to other courts making decisions on outcomes with similar cases. </w:t>
      </w:r>
    </w:p>
    <w:p w14:paraId="1AC101D5" w14:textId="79701627" w:rsidR="00325121" w:rsidRDefault="00325121"/>
    <w:p w14:paraId="2F2326CB" w14:textId="00322378" w:rsidR="008F673D" w:rsidRDefault="00FF4F28">
      <w:r>
        <w:t xml:space="preserve">Whilst </w:t>
      </w:r>
      <w:r w:rsidR="00AB4E2F">
        <w:t xml:space="preserve">it can be argued that </w:t>
      </w:r>
      <w:r w:rsidR="006A4206">
        <w:t>primary legislation is the main source of the laws that govern the U</w:t>
      </w:r>
      <w:r w:rsidR="00A9751E">
        <w:t>nited Kin</w:t>
      </w:r>
      <w:r w:rsidR="0087639C">
        <w:t xml:space="preserve">gdom </w:t>
      </w:r>
      <w:r w:rsidR="006A4206">
        <w:t xml:space="preserve"> there’s are still other ways that la</w:t>
      </w:r>
      <w:r w:rsidR="003E0172">
        <w:t xml:space="preserve">ws </w:t>
      </w:r>
      <w:r w:rsidR="006A4206">
        <w:t xml:space="preserve">can be be made – this is called secondary legislation. An example of secondary legislation is the Senedd- the Welsh government. </w:t>
      </w:r>
      <w:r w:rsidR="00C74F95">
        <w:t>Wales has introduced many of its own laws into the country such as the 20mph rule in residential areas</w:t>
      </w:r>
      <w:r w:rsidR="00541D66">
        <w:t>, and their own COVID 19</w:t>
      </w:r>
      <w:r w:rsidR="004565F3">
        <w:t xml:space="preserve"> legislation</w:t>
      </w:r>
      <w:r w:rsidR="005916FF">
        <w:t xml:space="preserve"> ( </w:t>
      </w:r>
      <w:r w:rsidR="00D30CAF">
        <w:t xml:space="preserve"> </w:t>
      </w:r>
      <w:r w:rsidR="004455CC">
        <w:t>–</w:t>
      </w:r>
      <w:r w:rsidR="0087639C">
        <w:t xml:space="preserve"> </w:t>
      </w:r>
      <w:r w:rsidR="004455CC">
        <w:t xml:space="preserve">The Coronavirus Act 2020 </w:t>
      </w:r>
      <w:r w:rsidR="00D30CAF">
        <w:t>(</w:t>
      </w:r>
      <w:r w:rsidR="0083546B">
        <w:t xml:space="preserve">Law Wales 2021). </w:t>
      </w:r>
      <w:r>
        <w:t xml:space="preserve"> </w:t>
      </w:r>
      <w:r w:rsidR="00481D9D">
        <w:t xml:space="preserve">Even though parliament is supreme, it is possible for </w:t>
      </w:r>
      <w:r w:rsidR="004A2E5E">
        <w:t xml:space="preserve">laws to be made where law does not apply directly to a circumstance. For example, </w:t>
      </w:r>
      <w:r w:rsidR="008F673D">
        <w:t xml:space="preserve">Donoghue V Stevenson, whereby a Ginger Ale drink was contaminated with a </w:t>
      </w:r>
      <w:r w:rsidR="008F1FAA">
        <w:t xml:space="preserve">decomposed snail and resulted in personal injury to the defendant. </w:t>
      </w:r>
      <w:r w:rsidR="001A79E9">
        <w:t>Due to this, the neighbour rule was founded</w:t>
      </w:r>
      <w:r w:rsidR="001E2248">
        <w:t xml:space="preserve">. This was important as </w:t>
      </w:r>
      <w:r w:rsidR="0061743C">
        <w:t xml:space="preserve">it established </w:t>
      </w:r>
      <w:r w:rsidR="00BF6EBD">
        <w:t>the form of negligence. This is an example of how court cases can</w:t>
      </w:r>
      <w:r w:rsidR="005D5EB9">
        <w:t xml:space="preserve"> effect </w:t>
      </w:r>
      <w:r w:rsidR="00BF6EBD">
        <w:t xml:space="preserve"> </w:t>
      </w:r>
      <w:r w:rsidR="008D2F51">
        <w:t xml:space="preserve">a law that has been passed, known as </w:t>
      </w:r>
      <w:r w:rsidR="00BD6916">
        <w:t>common</w:t>
      </w:r>
      <w:r w:rsidR="008D2F51">
        <w:t xml:space="preserve"> law</w:t>
      </w:r>
      <w:r w:rsidR="00815CC3">
        <w:t xml:space="preserve"> (</w:t>
      </w:r>
      <w:r w:rsidR="00B42B6D">
        <w:t>professional negligence</w:t>
      </w:r>
      <w:r w:rsidR="00E64B43">
        <w:t xml:space="preserve"> specialist legal advice, </w:t>
      </w:r>
      <w:r w:rsidR="00AF7F83">
        <w:t>2023)</w:t>
      </w:r>
      <w:r w:rsidR="00BD6916">
        <w:t xml:space="preserve"> .</w:t>
      </w:r>
      <w:r w:rsidR="00002004">
        <w:t xml:space="preserve"> Whilst secondary legislation cannot overrule </w:t>
      </w:r>
      <w:r w:rsidR="00052B1A">
        <w:t>the legislature, it can query laws that are already in place by the legislature to make the law more clear where applicable in cases – All laws should be written clearly</w:t>
      </w:r>
      <w:r w:rsidR="00730FD4">
        <w:t>, for people of all abilities to understand.</w:t>
      </w:r>
    </w:p>
    <w:p w14:paraId="15EDA87B" w14:textId="4C9A4781" w:rsidR="00206C69" w:rsidRDefault="00206C69"/>
    <w:p w14:paraId="15F371F2" w14:textId="7C286A90" w:rsidR="009C4E04" w:rsidRDefault="008A138C">
      <w:r>
        <w:t>The separation of powers</w:t>
      </w:r>
      <w:r w:rsidR="0089721D">
        <w:t xml:space="preserve"> is </w:t>
      </w:r>
      <w:r w:rsidR="0003074F">
        <w:t xml:space="preserve">an </w:t>
      </w:r>
      <w:r w:rsidR="0089721D">
        <w:t xml:space="preserve">ideology that is fundamental to how the UK </w:t>
      </w:r>
      <w:r w:rsidR="00EA618D">
        <w:t xml:space="preserve">works. It is </w:t>
      </w:r>
      <w:r w:rsidR="005F38E7">
        <w:t>to ensure that the branches of state are kept independent as well as their powers they hold as an individual</w:t>
      </w:r>
      <w:r w:rsidR="001C1887">
        <w:t xml:space="preserve">, thus keeping them accountable and equal in terms of power. </w:t>
      </w:r>
      <w:r w:rsidR="00BB51A9">
        <w:t>There are three b</w:t>
      </w:r>
      <w:r w:rsidR="000A29AF">
        <w:t xml:space="preserve">ranches of the state; The legislature, </w:t>
      </w:r>
      <w:r w:rsidR="00F20B53">
        <w:t xml:space="preserve">the government and the judiciary. </w:t>
      </w:r>
      <w:r w:rsidR="003624EB">
        <w:t xml:space="preserve">The legislature is parliament, who </w:t>
      </w:r>
      <w:r w:rsidR="00F867D8">
        <w:t xml:space="preserve">debate proposals </w:t>
      </w:r>
      <w:r w:rsidR="00F867D8">
        <w:lastRenderedPageBreak/>
        <w:t>for laws, discuss needs form change and then pass or reject these ideas</w:t>
      </w:r>
      <w:r w:rsidR="00153926">
        <w:t xml:space="preserve">. We also have a devolved </w:t>
      </w:r>
      <w:r w:rsidR="0015015C">
        <w:t>nation</w:t>
      </w:r>
      <w:r w:rsidR="00153926">
        <w:t xml:space="preserve">, meaning that </w:t>
      </w:r>
      <w:r w:rsidR="008321B8">
        <w:t xml:space="preserve">Scotland, Northern Ireland </w:t>
      </w:r>
      <w:r w:rsidR="008000F7">
        <w:t>and Wales have all been given Law making powers by parliament, to a certain extent. They can’t change laws such as The Human Rights Act 1998, however they can create their own laws such as the 20mph rule in Wales’s residential areas</w:t>
      </w:r>
      <w:r w:rsidR="00991A8D">
        <w:t xml:space="preserve">. </w:t>
      </w:r>
      <w:r w:rsidR="00B27189">
        <w:t xml:space="preserve">The government is then the second branch – the executive- </w:t>
      </w:r>
      <w:r w:rsidR="00563B2F">
        <w:t>who are responsible for creating policy, putting forwards proposals of law to the legislature</w:t>
      </w:r>
      <w:r w:rsidR="00CB7AB2">
        <w:t xml:space="preserve"> and essentially putting laws into effect. </w:t>
      </w:r>
      <w:r w:rsidR="00CD3E18">
        <w:t xml:space="preserve">Whilst the executor puts laws into place, </w:t>
      </w:r>
      <w:r w:rsidR="008A26F7">
        <w:t xml:space="preserve">the judiciary decide whether the laws that have been made are being followed or if they </w:t>
      </w:r>
      <w:r w:rsidR="003F7E0A">
        <w:t xml:space="preserve">have been made fit for purpose. The judiciary is made up </w:t>
      </w:r>
      <w:r w:rsidR="00662ACC">
        <w:t xml:space="preserve">of judges and officers of the </w:t>
      </w:r>
      <w:r w:rsidR="00D512F3">
        <w:t>courts of law</w:t>
      </w:r>
      <w:r w:rsidR="00A70CB2">
        <w:t>. This is done through court proceedings</w:t>
      </w:r>
      <w:r w:rsidR="008A26F7">
        <w:t xml:space="preserve"> </w:t>
      </w:r>
      <w:r w:rsidR="00B2264A">
        <w:t xml:space="preserve"> and tribunals, and the Supreme Court </w:t>
      </w:r>
      <w:r w:rsidR="00B43E4F">
        <w:t xml:space="preserve">oversees this. </w:t>
      </w:r>
      <w:r w:rsidR="009E496E">
        <w:t xml:space="preserve">To ensure that each branch doesn’t become for powerful that the other, </w:t>
      </w:r>
      <w:r w:rsidR="00991A8D">
        <w:t>there is “The Rule Of Law”</w:t>
      </w:r>
      <w:r w:rsidR="00EC5D13">
        <w:t xml:space="preserve"> ( </w:t>
      </w:r>
      <w:r w:rsidR="00884647">
        <w:t xml:space="preserve">The British institution of Human Rights (2022) . </w:t>
      </w:r>
      <w:r w:rsidR="005271F3">
        <w:t xml:space="preserve">The rule of law is the </w:t>
      </w:r>
      <w:r w:rsidR="00AB0FA5">
        <w:t>principle that sets “no one is above the law”</w:t>
      </w:r>
      <w:r w:rsidR="00B10635">
        <w:t xml:space="preserve">, </w:t>
      </w:r>
      <w:r w:rsidR="005D21F2">
        <w:t xml:space="preserve">Magna Carta was published in 1215 </w:t>
      </w:r>
      <w:r w:rsidR="000E0B5D">
        <w:t>and was the first document that was put into writing that stated that the king and his government was not above the law – thus creating the Rule of Law</w:t>
      </w:r>
      <w:r w:rsidR="003E732E">
        <w:t xml:space="preserve"> </w:t>
      </w:r>
      <w:r w:rsidR="00596B7D">
        <w:t xml:space="preserve">(The National Archive, </w:t>
      </w:r>
      <w:r w:rsidR="0069227F">
        <w:t>2023).</w:t>
      </w:r>
      <w:r w:rsidR="005D21F2">
        <w:t xml:space="preserve"> </w:t>
      </w:r>
      <w:r w:rsidR="00DB3C7F">
        <w:t xml:space="preserve"> For the rule of law </w:t>
      </w:r>
      <w:r w:rsidR="008F673D">
        <w:t xml:space="preserve">to </w:t>
      </w:r>
      <w:r w:rsidR="00DB3C7F">
        <w:t xml:space="preserve"> be effective, </w:t>
      </w:r>
      <w:r w:rsidR="009C4E04">
        <w:t xml:space="preserve">there just be an independent judiciary, </w:t>
      </w:r>
      <w:r w:rsidR="00625668">
        <w:t xml:space="preserve">legal remedy, </w:t>
      </w:r>
      <w:r w:rsidR="00F54ACB">
        <w:t xml:space="preserve">transparency or the law </w:t>
      </w:r>
      <w:r w:rsidR="0087574A">
        <w:t>and equality under the law (</w:t>
      </w:r>
      <w:proofErr w:type="spellStart"/>
      <w:r w:rsidR="0087574A">
        <w:t>LexisNexis</w:t>
      </w:r>
      <w:proofErr w:type="spellEnd"/>
      <w:r w:rsidR="0087574A">
        <w:t>, 202</w:t>
      </w:r>
      <w:r w:rsidR="00A44888">
        <w:t>3)</w:t>
      </w:r>
      <w:r w:rsidR="00206C69">
        <w:t>.</w:t>
      </w:r>
    </w:p>
    <w:p w14:paraId="314AED82" w14:textId="34C6DFF7" w:rsidR="008E017B" w:rsidRDefault="008E017B"/>
    <w:p w14:paraId="5D4EE988" w14:textId="741089A8" w:rsidR="000717B2" w:rsidRDefault="004E5EBE">
      <w:r>
        <w:t xml:space="preserve">Parliamentary sovereignty </w:t>
      </w:r>
      <w:r w:rsidR="00304F06">
        <w:t xml:space="preserve">means that </w:t>
      </w:r>
      <w:r w:rsidR="003F1885">
        <w:t xml:space="preserve">Parliament </w:t>
      </w:r>
      <w:r w:rsidR="004D7A0D">
        <w:t>enact legislation on any of area of law that they see fit, and that parliament can take precede</w:t>
      </w:r>
      <w:r w:rsidR="00675C81">
        <w:t>nce over subordinate legislation, regulation or common law rule in the UK</w:t>
      </w:r>
      <w:r w:rsidR="00D31AAA">
        <w:t>, essentially it is a legal principle with legal effect</w:t>
      </w:r>
      <w:r w:rsidR="00C53BAD">
        <w:t xml:space="preserve">; they discuss with other legal agencies </w:t>
      </w:r>
      <w:r w:rsidR="00904340">
        <w:t xml:space="preserve">their use of legal functions when </w:t>
      </w:r>
      <w:r w:rsidR="00D941A4">
        <w:t xml:space="preserve">legislation is passed by parliament. </w:t>
      </w:r>
      <w:r w:rsidR="003D3045">
        <w:t xml:space="preserve">Parliamentary sovereignty is a doctrine that honours parliaments </w:t>
      </w:r>
      <w:r w:rsidR="004F36A1">
        <w:t>legislative supremacy</w:t>
      </w:r>
      <w:r w:rsidR="00BD7DFE">
        <w:t xml:space="preserve"> of their constitutional role. </w:t>
      </w:r>
      <w:r w:rsidR="00FE68D2">
        <w:t>Parliamentary sovereignty means that they can create a new law, or end a law that has been made. This shows the importance of Parliament as a whole</w:t>
      </w:r>
      <w:r w:rsidR="00A52428">
        <w:t xml:space="preserve">; the laws they create are binding and are binding for court – courts cannot overrule </w:t>
      </w:r>
      <w:r w:rsidR="00243E59">
        <w:t xml:space="preserve">Parliament. </w:t>
      </w:r>
      <w:r w:rsidR="0084428E">
        <w:t>(</w:t>
      </w:r>
      <w:proofErr w:type="spellStart"/>
      <w:r w:rsidR="0084428E">
        <w:t>UKconstutional</w:t>
      </w:r>
      <w:r w:rsidR="00414A5F">
        <w:t>law</w:t>
      </w:r>
      <w:proofErr w:type="spellEnd"/>
      <w:r w:rsidR="00414A5F">
        <w:t>, 2023).</w:t>
      </w:r>
      <w:r w:rsidR="00213903">
        <w:t xml:space="preserve"> </w:t>
      </w:r>
      <w:r w:rsidR="00C22733">
        <w:t xml:space="preserve">No parliament can pass laws that future parliament would not be able to change. </w:t>
      </w:r>
      <w:r w:rsidR="00BA7C3D">
        <w:t xml:space="preserve">Parliamentary sovereignty is the most important part of the UK constitution as it keeps it running smoothly and </w:t>
      </w:r>
      <w:r w:rsidR="00E57B3F">
        <w:t xml:space="preserve">equally. In hindsight, </w:t>
      </w:r>
      <w:r w:rsidR="003D707E">
        <w:t>the Parliamentary sovereignty doctrine is a critical part of the UK’s constitution as it</w:t>
      </w:r>
      <w:r w:rsidR="00E93C24">
        <w:t xml:space="preserve"> does</w:t>
      </w:r>
      <w:r w:rsidR="000717B2">
        <w:t xml:space="preserve"> keep </w:t>
      </w:r>
      <w:r w:rsidR="00D22C43">
        <w:t xml:space="preserve">powers equal </w:t>
      </w:r>
      <w:r w:rsidR="00E93C24">
        <w:t xml:space="preserve"> in terms of creating laws and passing term, however it can also be noted that other forms of law can be created (common law, secondary legislation)</w:t>
      </w:r>
      <w:r w:rsidR="0042738E">
        <w:t>so legislature is not the only form of making law</w:t>
      </w:r>
      <w:r w:rsidR="000717B2">
        <w:t>.</w:t>
      </w:r>
      <w:r w:rsidR="0042738E">
        <w:t xml:space="preserve"> </w:t>
      </w:r>
      <w:r w:rsidR="005D27DA">
        <w:t>Theoretically, it can be argued that Parliament is supreme as it does have</w:t>
      </w:r>
      <w:r w:rsidR="00CA505A">
        <w:t xml:space="preserve"> more access granted when passing laws to be governed. </w:t>
      </w:r>
      <w:r w:rsidR="000B023C">
        <w:t xml:space="preserve"> </w:t>
      </w:r>
    </w:p>
    <w:p w14:paraId="397DF8E5" w14:textId="30C23219" w:rsidR="000B023C" w:rsidRDefault="000B023C"/>
    <w:p w14:paraId="2508B8CF" w14:textId="22098C29" w:rsidR="000B023C" w:rsidRDefault="00934A8B">
      <w:r>
        <w:t xml:space="preserve">In the case where reformation is needed, </w:t>
      </w:r>
      <w:r w:rsidR="00713346">
        <w:t>more attention is needed in terms of parliaments supremacy; it is stated that all</w:t>
      </w:r>
      <w:r w:rsidR="00763F00">
        <w:t xml:space="preserve"> law that is made is legal however that isn’t necessarily the case as parliament made law is binding for </w:t>
      </w:r>
      <w:r w:rsidR="00EA6F96">
        <w:t>devolved countries such as Wales</w:t>
      </w:r>
      <w:r w:rsidR="00EF4107">
        <w:t xml:space="preserve">, however, not having a written constitution does mean that laws can be interpreted easily by common law, as well as law being easily adjusted and updated when needs be, making the doctrine of parliamentary sovereignty a helpful tool. </w:t>
      </w:r>
    </w:p>
    <w:p w14:paraId="42782A9B" w14:textId="6CEC96DB" w:rsidR="00213903" w:rsidRDefault="00213903"/>
    <w:p w14:paraId="477AA674" w14:textId="10B9AECC" w:rsidR="008611E5" w:rsidRDefault="00414DA9">
      <w:r>
        <w:t>To conclude, parliamentary sovereignty is an essential doctrine to h</w:t>
      </w:r>
      <w:r w:rsidR="00D52DCF">
        <w:t xml:space="preserve">ave </w:t>
      </w:r>
      <w:r w:rsidR="00D318BA">
        <w:t xml:space="preserve">for parliament to remain the supreme law making body of the constitution, as well as courts having guidance to follow when </w:t>
      </w:r>
      <w:r w:rsidR="004E31E0">
        <w:t xml:space="preserve">reviewing cases to decide outcomes. However, it is important to note that the rule of law as stated by Magna carter (1215), </w:t>
      </w:r>
      <w:r w:rsidR="006F0400">
        <w:t>that the king and his government are not above the law</w:t>
      </w:r>
      <w:r w:rsidR="008611E5">
        <w:t xml:space="preserve">. Without case law, </w:t>
      </w:r>
      <w:r w:rsidR="00E36648">
        <w:t xml:space="preserve">the law could not be interpreted to a way where all members of the public can understand the law, as it can vary in different cases, an example of this would be the Donoghue V Stevenson case where the neighbourhood rule was set after interpreting the laws surrounding negligence. </w:t>
      </w:r>
    </w:p>
    <w:p w14:paraId="4662CD09" w14:textId="77777777" w:rsidR="00730FD4" w:rsidRDefault="00730FD4"/>
    <w:p w14:paraId="0D44BB37" w14:textId="77777777" w:rsidR="00213903" w:rsidRDefault="00213903"/>
    <w:p w14:paraId="51681A78" w14:textId="1E03E465" w:rsidR="00F81219" w:rsidRDefault="00F81219"/>
    <w:p w14:paraId="348CC29E" w14:textId="77777777" w:rsidR="00F81219" w:rsidRDefault="00F81219"/>
    <w:p w14:paraId="7D96F198" w14:textId="06CF3D09" w:rsidR="00466D92" w:rsidRDefault="00466D92"/>
    <w:p w14:paraId="5385DF37" w14:textId="77777777" w:rsidR="00091F6F" w:rsidRDefault="00091F6F"/>
    <w:p w14:paraId="338582D4" w14:textId="77777777" w:rsidR="00EF4107" w:rsidRDefault="00EF4107">
      <w:r>
        <w:t xml:space="preserve">Reference list </w:t>
      </w:r>
    </w:p>
    <w:p w14:paraId="18430DAC" w14:textId="77777777" w:rsidR="00EF4107" w:rsidRDefault="00EF4107"/>
    <w:p w14:paraId="47848407" w14:textId="77777777" w:rsidR="00EA5FFD" w:rsidRDefault="00EA5FFD">
      <w:pPr>
        <w:pStyle w:val="p1"/>
        <w:divId w:val="1677802404"/>
      </w:pPr>
      <w:r w:rsidRPr="00800414">
        <w:rPr>
          <w:rStyle w:val="s1"/>
          <w:rFonts w:asciiTheme="minorHAnsi" w:hAnsiTheme="minorHAnsi"/>
        </w:rPr>
        <w:t xml:space="preserve">Ministry of Justice , June 22, 2022, </w:t>
      </w:r>
      <w:r w:rsidRPr="00800414">
        <w:rPr>
          <w:rStyle w:val="s2"/>
          <w:rFonts w:asciiTheme="minorHAnsi" w:hAnsiTheme="minorHAnsi"/>
        </w:rPr>
        <w:t>bill of rights: bill document.</w:t>
      </w:r>
      <w:r w:rsidRPr="00800414">
        <w:rPr>
          <w:rStyle w:val="apple-converted-space"/>
          <w:rFonts w:asciiTheme="minorHAnsi" w:hAnsiTheme="minorHAnsi"/>
        </w:rPr>
        <w:t> </w:t>
      </w:r>
      <w:r w:rsidRPr="00800414">
        <w:rPr>
          <w:rStyle w:val="s1"/>
          <w:rFonts w:asciiTheme="minorHAnsi" w:hAnsiTheme="minorHAnsi"/>
        </w:rPr>
        <w:t xml:space="preserve"> Accessed at :</w:t>
      </w:r>
      <w:r>
        <w:rPr>
          <w:rStyle w:val="s1"/>
        </w:rPr>
        <w:t xml:space="preserve"> </w:t>
      </w:r>
      <w:hyperlink r:id="rId6" w:history="1">
        <w:r>
          <w:rPr>
            <w:rStyle w:val="Hyperlink"/>
          </w:rPr>
          <w:t>https://www.gov.uk/government/publications/bill-of-rights-bill-documents</w:t>
        </w:r>
        <w:r>
          <w:rPr>
            <w:rStyle w:val="apple-converted-space"/>
            <w:rFonts w:ascii="UICTFontTextStyleBody" w:hAnsi="UICTFontTextStyleBody"/>
            <w:color w:val="0000FF"/>
            <w:u w:val="single"/>
          </w:rPr>
          <w:t> </w:t>
        </w:r>
      </w:hyperlink>
    </w:p>
    <w:p w14:paraId="33743472" w14:textId="77777777" w:rsidR="00800414" w:rsidRDefault="00800414"/>
    <w:p w14:paraId="22A67BBE" w14:textId="77777777" w:rsidR="00102CD7" w:rsidRDefault="000D2009" w:rsidP="000D2009">
      <w:pPr>
        <w:spacing w:after="45"/>
        <w:divId w:val="1276596317"/>
        <w:rPr>
          <w:rFonts w:cs="Times New Roman"/>
          <w:sz w:val="28"/>
          <w:szCs w:val="28"/>
        </w:rPr>
      </w:pPr>
      <w:r w:rsidRPr="000D2009">
        <w:rPr>
          <w:rFonts w:cs="Times New Roman"/>
          <w:sz w:val="28"/>
          <w:szCs w:val="28"/>
        </w:rPr>
        <w:t xml:space="preserve">UK Parliament 2023, </w:t>
      </w:r>
      <w:r w:rsidRPr="000D2009">
        <w:rPr>
          <w:rFonts w:cs="Times New Roman"/>
          <w:i/>
          <w:iCs/>
          <w:sz w:val="28"/>
          <w:szCs w:val="28"/>
        </w:rPr>
        <w:t>cons</w:t>
      </w:r>
      <w:r w:rsidR="00315A58" w:rsidRPr="00C70B4A">
        <w:rPr>
          <w:rFonts w:cs="Times New Roman"/>
          <w:i/>
          <w:iCs/>
          <w:sz w:val="28"/>
          <w:szCs w:val="28"/>
        </w:rPr>
        <w:t>titution</w:t>
      </w:r>
      <w:r w:rsidR="00C70B4A">
        <w:rPr>
          <w:rFonts w:cs="Times New Roman"/>
          <w:sz w:val="28"/>
          <w:szCs w:val="28"/>
        </w:rPr>
        <w:t xml:space="preserve">, </w:t>
      </w:r>
      <w:r w:rsidRPr="000D2009">
        <w:rPr>
          <w:rFonts w:cs="Times New Roman"/>
          <w:sz w:val="28"/>
          <w:szCs w:val="28"/>
        </w:rPr>
        <w:t>Accesse</w:t>
      </w:r>
      <w:r w:rsidR="00315A58">
        <w:rPr>
          <w:rFonts w:cs="Times New Roman"/>
          <w:sz w:val="28"/>
          <w:szCs w:val="28"/>
        </w:rPr>
        <w:t>d at</w:t>
      </w:r>
    </w:p>
    <w:p w14:paraId="3DA13606" w14:textId="3AFD4E02" w:rsidR="000D2009" w:rsidRPr="000D2009" w:rsidRDefault="000D2009" w:rsidP="000D2009">
      <w:pPr>
        <w:spacing w:after="45"/>
        <w:divId w:val="1276596317"/>
        <w:rPr>
          <w:rFonts w:cs="Times New Roman"/>
          <w:sz w:val="28"/>
          <w:szCs w:val="28"/>
        </w:rPr>
      </w:pPr>
      <w:r w:rsidRPr="000D2009">
        <w:rPr>
          <w:rFonts w:cs="Times New Roman"/>
          <w:sz w:val="28"/>
          <w:szCs w:val="28"/>
        </w:rPr>
        <w:t>:</w:t>
      </w:r>
      <w:r w:rsidRPr="000D2009">
        <w:rPr>
          <w:rFonts w:ascii=".AppleSystemUIFont" w:hAnsi=".AppleSystemUIFont" w:cs="Times New Roman"/>
          <w:b/>
          <w:bCs/>
          <w:i/>
          <w:iCs/>
          <w:sz w:val="28"/>
          <w:szCs w:val="28"/>
        </w:rPr>
        <w:t> </w:t>
      </w:r>
      <w:r w:rsidRPr="000D2009">
        <w:rPr>
          <w:rFonts w:ascii="UICTFontTextStyleBody" w:hAnsi="UICTFontTextStyleBody" w:cs="Times New Roman"/>
          <w:b/>
          <w:bCs/>
          <w:sz w:val="28"/>
          <w:szCs w:val="28"/>
        </w:rPr>
        <w:t xml:space="preserve"> </w:t>
      </w:r>
      <w:hyperlink r:id="rId7" w:history="1">
        <w:r w:rsidRPr="000D2009">
          <w:rPr>
            <w:rFonts w:ascii="UICTFontTextStyleBody" w:hAnsi="UICTFontTextStyleBody" w:cs="Times New Roman"/>
            <w:b/>
            <w:bCs/>
            <w:color w:val="0000FF"/>
            <w:sz w:val="28"/>
            <w:szCs w:val="28"/>
            <w:u w:val="single"/>
          </w:rPr>
          <w:t>https://www.parliament.uk/site-information/glossary/constitution/</w:t>
        </w:r>
      </w:hyperlink>
    </w:p>
    <w:p w14:paraId="096E10E1" w14:textId="77777777" w:rsidR="00914C59" w:rsidRDefault="00914C59">
      <w:pPr>
        <w:pStyle w:val="p1"/>
        <w:divId w:val="450711696"/>
        <w:rPr>
          <w:rStyle w:val="s1"/>
          <w:rFonts w:asciiTheme="minorHAnsi" w:hAnsiTheme="minorHAnsi"/>
        </w:rPr>
      </w:pPr>
    </w:p>
    <w:p w14:paraId="3E539D50" w14:textId="4D0788F4" w:rsidR="007E0D08" w:rsidRPr="00914C59" w:rsidRDefault="007E0D08">
      <w:pPr>
        <w:pStyle w:val="p1"/>
        <w:divId w:val="450711696"/>
        <w:rPr>
          <w:rFonts w:asciiTheme="minorHAnsi" w:hAnsiTheme="minorHAnsi"/>
        </w:rPr>
      </w:pPr>
      <w:r w:rsidRPr="00914C59">
        <w:rPr>
          <w:rStyle w:val="s1"/>
          <w:rFonts w:asciiTheme="minorHAnsi" w:hAnsiTheme="minorHAnsi"/>
        </w:rPr>
        <w:t xml:space="preserve">Michael </w:t>
      </w:r>
      <w:proofErr w:type="spellStart"/>
      <w:r w:rsidRPr="00914C59">
        <w:rPr>
          <w:rStyle w:val="s1"/>
          <w:rFonts w:asciiTheme="minorHAnsi" w:hAnsiTheme="minorHAnsi"/>
        </w:rPr>
        <w:t>For</w:t>
      </w:r>
      <w:r w:rsidR="00914C59">
        <w:rPr>
          <w:rStyle w:val="s1"/>
          <w:rFonts w:asciiTheme="minorHAnsi" w:hAnsiTheme="minorHAnsi"/>
        </w:rPr>
        <w:t>nan</w:t>
      </w:r>
      <w:proofErr w:type="spellEnd"/>
      <w:r w:rsidRPr="00914C59">
        <w:rPr>
          <w:rStyle w:val="s1"/>
          <w:rFonts w:asciiTheme="minorHAnsi" w:hAnsiTheme="minorHAnsi"/>
        </w:rPr>
        <w:t xml:space="preserve">, 2021, </w:t>
      </w:r>
      <w:r w:rsidRPr="00914C59">
        <w:rPr>
          <w:rStyle w:val="s2"/>
          <w:rFonts w:asciiTheme="minorHAnsi" w:hAnsiTheme="minorHAnsi"/>
        </w:rPr>
        <w:t>UK constitutional law association</w:t>
      </w:r>
      <w:r w:rsidRPr="00914C59">
        <w:rPr>
          <w:rStyle w:val="apple-converted-space"/>
          <w:rFonts w:asciiTheme="minorHAnsi" w:hAnsiTheme="minorHAnsi"/>
        </w:rPr>
        <w:t> </w:t>
      </w:r>
    </w:p>
    <w:p w14:paraId="28C6CB99" w14:textId="77777777" w:rsidR="007E0D08" w:rsidRDefault="007E0D08">
      <w:pPr>
        <w:pStyle w:val="p1"/>
        <w:divId w:val="450711696"/>
      </w:pPr>
      <w:hyperlink r:id="rId8" w:history="1">
        <w:r>
          <w:rPr>
            <w:rStyle w:val="Hyperlink"/>
          </w:rPr>
          <w:t>https://ukconstitutionallaw.org/2021/10/18/michael-foran-parliamentary-sovereignty-and-the-politics-of-law-making/</w:t>
        </w:r>
      </w:hyperlink>
      <w:r>
        <w:rPr>
          <w:rStyle w:val="apple-converted-space"/>
          <w:rFonts w:ascii="UICTFontTextStyleBody" w:hAnsi="UICTFontTextStyleBody"/>
        </w:rPr>
        <w:t> </w:t>
      </w:r>
    </w:p>
    <w:p w14:paraId="17E1DE53" w14:textId="0F843500" w:rsidR="00184148" w:rsidRDefault="00184148"/>
    <w:p w14:paraId="60A85F5C" w14:textId="77777777" w:rsidR="001558DF" w:rsidRDefault="001558DF">
      <w:pPr>
        <w:pStyle w:val="p1"/>
        <w:divId w:val="631402360"/>
      </w:pPr>
      <w:r>
        <w:rPr>
          <w:rStyle w:val="s1"/>
        </w:rPr>
        <w:t xml:space="preserve">Professional negligence claim solicitors, 2023, </w:t>
      </w:r>
      <w:r>
        <w:rPr>
          <w:rStyle w:val="s2"/>
        </w:rPr>
        <w:t xml:space="preserve">Donoghue v Stevenson (1932) case analysis, </w:t>
      </w:r>
      <w:r>
        <w:rPr>
          <w:rStyle w:val="s1"/>
        </w:rPr>
        <w:t>accessed at:</w:t>
      </w:r>
      <w:r>
        <w:rPr>
          <w:rStyle w:val="apple-converted-space"/>
          <w:rFonts w:ascii="UICTFontTextStyleBody" w:hAnsi="UICTFontTextStyleBody"/>
        </w:rPr>
        <w:t> </w:t>
      </w:r>
    </w:p>
    <w:p w14:paraId="365F41FC" w14:textId="77777777" w:rsidR="001558DF" w:rsidRDefault="001558DF">
      <w:pPr>
        <w:pStyle w:val="p1"/>
        <w:divId w:val="631402360"/>
      </w:pPr>
      <w:hyperlink r:id="rId9" w:history="1">
        <w:r>
          <w:rPr>
            <w:rStyle w:val="Hyperlink"/>
          </w:rPr>
          <w:t>https://professionalnegligenceclaimsolicitors.co.uk/duty-of-care-key-tort-law-judgment-donoghue/</w:t>
        </w:r>
      </w:hyperlink>
      <w:r>
        <w:rPr>
          <w:rStyle w:val="apple-converted-space"/>
          <w:rFonts w:ascii="UICTFontTextStyleBody" w:hAnsi="UICTFontTextStyleBody"/>
        </w:rPr>
        <w:t> </w:t>
      </w:r>
    </w:p>
    <w:p w14:paraId="4CA47713" w14:textId="77777777" w:rsidR="0038243D" w:rsidRDefault="0038243D"/>
    <w:p w14:paraId="7ABD0389" w14:textId="77777777" w:rsidR="00D029C5" w:rsidRDefault="00D029C5">
      <w:pPr>
        <w:pStyle w:val="p1"/>
        <w:divId w:val="692419620"/>
      </w:pPr>
      <w:r>
        <w:rPr>
          <w:rStyle w:val="s1"/>
        </w:rPr>
        <w:t xml:space="preserve">National archives, 2023, </w:t>
      </w:r>
      <w:r>
        <w:rPr>
          <w:rStyle w:val="s2"/>
        </w:rPr>
        <w:t xml:space="preserve">Magna Carta, </w:t>
      </w:r>
      <w:r>
        <w:rPr>
          <w:rStyle w:val="s1"/>
        </w:rPr>
        <w:t>accessed at:</w:t>
      </w:r>
    </w:p>
    <w:p w14:paraId="403D9143" w14:textId="77777777" w:rsidR="00D029C5" w:rsidRDefault="00D029C5">
      <w:pPr>
        <w:pStyle w:val="p1"/>
        <w:divId w:val="692419620"/>
      </w:pPr>
      <w:hyperlink r:id="rId10" w:history="1">
        <w:r>
          <w:rPr>
            <w:rStyle w:val="Hyperlink"/>
            <w:rFonts w:ascii="UICTFontTextStyleBody" w:hAnsi="UICTFontTextStyleBody"/>
          </w:rPr>
          <w:t>https://www.nationalarchives.gov.uk/education/resources/magna-carta/british-library-magna-carta-1215-runnymede/</w:t>
        </w:r>
      </w:hyperlink>
    </w:p>
    <w:p w14:paraId="543F5275" w14:textId="77777777" w:rsidR="00D029C5" w:rsidRDefault="00D029C5"/>
    <w:p w14:paraId="76C7A778" w14:textId="77777777" w:rsidR="003E4D80" w:rsidRDefault="003E4D80">
      <w:pPr>
        <w:pStyle w:val="p1"/>
        <w:divId w:val="2119253692"/>
      </w:pPr>
      <w:r>
        <w:rPr>
          <w:rStyle w:val="s1"/>
        </w:rPr>
        <w:t xml:space="preserve">Parliament.gov 2023, </w:t>
      </w:r>
      <w:r>
        <w:rPr>
          <w:rStyle w:val="s2"/>
        </w:rPr>
        <w:t xml:space="preserve">parliament’s authority </w:t>
      </w:r>
      <w:r>
        <w:rPr>
          <w:rStyle w:val="s1"/>
        </w:rPr>
        <w:t>access at:</w:t>
      </w:r>
    </w:p>
    <w:p w14:paraId="647098A2" w14:textId="77777777" w:rsidR="003E4D80" w:rsidRDefault="003E4D80">
      <w:pPr>
        <w:pStyle w:val="p1"/>
        <w:divId w:val="2119253692"/>
      </w:pPr>
      <w:hyperlink r:id="rId11" w:history="1">
        <w:r>
          <w:rPr>
            <w:rStyle w:val="Hyperlink"/>
            <w:rFonts w:ascii="UICTFontTextStyleBody" w:hAnsi="UICTFontTextStyleBody"/>
          </w:rPr>
          <w:t>https://www.parliament.uk/about/how/role/sovereignty</w:t>
        </w:r>
      </w:hyperlink>
    </w:p>
    <w:p w14:paraId="74C22EE8" w14:textId="77777777" w:rsidR="003E4D80" w:rsidRDefault="003E4D80"/>
    <w:p w14:paraId="1FE54534" w14:textId="77777777" w:rsidR="00E37E11" w:rsidRDefault="0098046F" w:rsidP="0098046F">
      <w:pPr>
        <w:pStyle w:val="p1"/>
        <w:divId w:val="832112536"/>
        <w:rPr>
          <w:rStyle w:val="apple-converted-space"/>
          <w:rFonts w:ascii="UICTFontTextStyleBody" w:hAnsi="UICTFontTextStyleBody"/>
        </w:rPr>
      </w:pPr>
      <w:r>
        <w:rPr>
          <w:rStyle w:val="s1"/>
        </w:rPr>
        <w:t xml:space="preserve">The British institution of human rights, </w:t>
      </w:r>
      <w:r>
        <w:rPr>
          <w:rStyle w:val="s2"/>
        </w:rPr>
        <w:t>Separation of Powers, Parliamentary Sovereignty &amp; the Rule of Law 2023</w:t>
      </w:r>
      <w:r>
        <w:rPr>
          <w:rStyle w:val="s1"/>
        </w:rPr>
        <w:t xml:space="preserve">, </w:t>
      </w:r>
      <w:r>
        <w:rPr>
          <w:rStyle w:val="apple-converted-space"/>
          <w:rFonts w:ascii="UICTFontTextStyleBody" w:hAnsi="UICTFontTextStyleBody"/>
        </w:rPr>
        <w:t xml:space="preserve">  </w:t>
      </w:r>
      <w:r>
        <w:rPr>
          <w:rStyle w:val="s1"/>
        </w:rPr>
        <w:t xml:space="preserve">Accessed at: </w:t>
      </w:r>
      <w:hyperlink r:id="rId12" w:history="1">
        <w:r>
          <w:rPr>
            <w:rStyle w:val="s3"/>
            <w:u w:val="single"/>
          </w:rPr>
          <w:t>https://www.bihr.org.uk/get-informed/legislation/separation-of-powers-parliamentary-sovereignty-the-rule-of-law</w:t>
        </w:r>
      </w:hyperlink>
      <w:r w:rsidR="00E37E11">
        <w:rPr>
          <w:rStyle w:val="apple-converted-space"/>
          <w:rFonts w:ascii="UICTFontTextStyleBody" w:hAnsi="UICTFontTextStyleBody"/>
        </w:rPr>
        <w:t xml:space="preserve"> </w:t>
      </w:r>
    </w:p>
    <w:p w14:paraId="26BF4223" w14:textId="77777777" w:rsidR="009C019F" w:rsidRDefault="009C019F" w:rsidP="0098046F">
      <w:pPr>
        <w:pStyle w:val="p1"/>
        <w:divId w:val="832112536"/>
        <w:rPr>
          <w:rStyle w:val="apple-converted-space"/>
          <w:rFonts w:ascii="UICTFontTextStyleBody" w:hAnsi="UICTFontTextStyleBody"/>
        </w:rPr>
      </w:pPr>
    </w:p>
    <w:p w14:paraId="47454C6B" w14:textId="77777777" w:rsidR="009C019F" w:rsidRDefault="0098046F">
      <w:pPr>
        <w:pStyle w:val="p1"/>
        <w:divId w:val="307788681"/>
      </w:pPr>
      <w:r>
        <w:rPr>
          <w:rStyle w:val="apple-converted-space"/>
          <w:rFonts w:ascii="UICTFontTextStyleBody" w:hAnsi="UICTFontTextStyleBody"/>
        </w:rPr>
        <w:t> </w:t>
      </w:r>
      <w:r w:rsidR="009C019F">
        <w:rPr>
          <w:rStyle w:val="s1"/>
        </w:rPr>
        <w:t xml:space="preserve">LexisNexis, 2023, </w:t>
      </w:r>
      <w:r w:rsidR="009C019F">
        <w:rPr>
          <w:rStyle w:val="s2"/>
        </w:rPr>
        <w:t xml:space="preserve">sources of constitutional law, </w:t>
      </w:r>
      <w:r w:rsidR="009C019F">
        <w:rPr>
          <w:rStyle w:val="s1"/>
        </w:rPr>
        <w:t>accessed at:</w:t>
      </w:r>
    </w:p>
    <w:p w14:paraId="489175F1" w14:textId="77777777" w:rsidR="009C019F" w:rsidRDefault="009C019F">
      <w:pPr>
        <w:pStyle w:val="p1"/>
        <w:divId w:val="307788681"/>
      </w:pPr>
      <w:hyperlink r:id="rId13" w:history="1">
        <w:r>
          <w:rPr>
            <w:rStyle w:val="Hyperlink"/>
            <w:rFonts w:ascii="UICTFontTextStyleBody" w:hAnsi="UICTFontTextStyleBody"/>
          </w:rPr>
          <w:t>https://www.lexisnexis.co.uk/legal/guidance/sources-of-constitutional-la</w:t>
        </w:r>
      </w:hyperlink>
    </w:p>
    <w:p w14:paraId="68A9DA00" w14:textId="23558D30" w:rsidR="0098046F" w:rsidRDefault="0098046F" w:rsidP="0098046F">
      <w:pPr>
        <w:pStyle w:val="p1"/>
        <w:divId w:val="832112536"/>
      </w:pPr>
    </w:p>
    <w:p w14:paraId="3EAA74D9" w14:textId="77777777" w:rsidR="0046066A" w:rsidRPr="0046066A" w:rsidRDefault="0046066A" w:rsidP="0046066A">
      <w:pPr>
        <w:divId w:val="858003191"/>
        <w:rPr>
          <w:rFonts w:ascii=".AppleSystemUIFont" w:hAnsi=".AppleSystemUIFont" w:cs="Times New Roman"/>
          <w:sz w:val="26"/>
          <w:szCs w:val="26"/>
        </w:rPr>
      </w:pPr>
      <w:r w:rsidRPr="0046066A">
        <w:rPr>
          <w:rFonts w:ascii="UICTFontTextStyleBody" w:hAnsi="UICTFontTextStyleBody" w:cs="Times New Roman"/>
          <w:sz w:val="26"/>
          <w:szCs w:val="26"/>
        </w:rPr>
        <w:t xml:space="preserve">Gov.Uk, 2022, </w:t>
      </w:r>
      <w:r w:rsidRPr="0046066A">
        <w:rPr>
          <w:rFonts w:ascii=".AppleSystemUIFont" w:hAnsi=".AppleSystemUIFont" w:cs="Times New Roman"/>
          <w:b/>
          <w:bCs/>
          <w:i/>
          <w:iCs/>
          <w:sz w:val="26"/>
          <w:szCs w:val="26"/>
        </w:rPr>
        <w:t xml:space="preserve">The Coronavirus Act 2020 (Suspension: Transportation, Storage and Disposal of Dead Bodies etc) (Wales) Regulations 2021, </w:t>
      </w:r>
      <w:r w:rsidRPr="0046066A">
        <w:rPr>
          <w:rFonts w:ascii="UICTFontTextStyleEmphasizedBody" w:hAnsi="UICTFontTextStyleEmphasizedBody" w:cs="Times New Roman"/>
          <w:b/>
          <w:bCs/>
          <w:sz w:val="26"/>
          <w:szCs w:val="26"/>
        </w:rPr>
        <w:t>accessed at: </w:t>
      </w:r>
    </w:p>
    <w:p w14:paraId="2C5172DD" w14:textId="77777777" w:rsidR="0046066A" w:rsidRPr="0046066A" w:rsidRDefault="0046066A" w:rsidP="0046066A">
      <w:pPr>
        <w:divId w:val="858003191"/>
        <w:rPr>
          <w:rFonts w:ascii=".AppleSystemUIFont" w:hAnsi=".AppleSystemUIFont" w:cs="Times New Roman"/>
          <w:sz w:val="26"/>
          <w:szCs w:val="26"/>
        </w:rPr>
      </w:pPr>
      <w:hyperlink r:id="rId14" w:history="1">
        <w:r w:rsidRPr="0046066A">
          <w:rPr>
            <w:rFonts w:ascii="UICTFontTextStyleBody" w:hAnsi="UICTFontTextStyleBody" w:cs="Times New Roman"/>
            <w:color w:val="0000FF"/>
            <w:sz w:val="26"/>
            <w:szCs w:val="26"/>
            <w:u w:val="single"/>
          </w:rPr>
          <w:t>https://www.gov.wales/coronavirus-act-2020-suspension-transportation-storage-and-disposal-dead-bodies-etc-wales</w:t>
        </w:r>
      </w:hyperlink>
    </w:p>
    <w:p w14:paraId="24163751" w14:textId="6DB90E2C" w:rsidR="009C019F" w:rsidRDefault="009C019F" w:rsidP="0098046F">
      <w:pPr>
        <w:pStyle w:val="p1"/>
        <w:divId w:val="832112536"/>
      </w:pPr>
    </w:p>
    <w:p w14:paraId="7402AB55" w14:textId="77777777" w:rsidR="00CE3618" w:rsidRDefault="00CE3618">
      <w:pPr>
        <w:pStyle w:val="p1"/>
        <w:divId w:val="2016498984"/>
      </w:pPr>
      <w:r>
        <w:rPr>
          <w:rStyle w:val="s1"/>
        </w:rPr>
        <w:t>Legislation.gov, 2022,</w:t>
      </w:r>
      <w:r>
        <w:rPr>
          <w:rStyle w:val="apple-converted-space"/>
          <w:rFonts w:ascii="UICTFontTextStyleBody" w:hAnsi="UICTFontTextStyleBody"/>
        </w:rPr>
        <w:t xml:space="preserve">  </w:t>
      </w:r>
      <w:r>
        <w:rPr>
          <w:rStyle w:val="s2"/>
        </w:rPr>
        <w:t xml:space="preserve">The Human Rights Act 1998, </w:t>
      </w:r>
      <w:r>
        <w:rPr>
          <w:rStyle w:val="s1"/>
        </w:rPr>
        <w:t xml:space="preserve">accessed at : </w:t>
      </w:r>
      <w:hyperlink r:id="rId15" w:history="1">
        <w:r>
          <w:rPr>
            <w:rStyle w:val="Hyperlink"/>
          </w:rPr>
          <w:t xml:space="preserve">https://www.legislation.gov.uk/ukpga/1998/42/contents </w:t>
        </w:r>
      </w:hyperlink>
      <w:r>
        <w:rPr>
          <w:rStyle w:val="apple-converted-space"/>
          <w:rFonts w:ascii="UICTFontTextStyleBody" w:hAnsi="UICTFontTextStyleBody"/>
        </w:rPr>
        <w:t> </w:t>
      </w:r>
    </w:p>
    <w:p w14:paraId="6F61AE42" w14:textId="191F9CB1" w:rsidR="0046066A" w:rsidRDefault="0046066A" w:rsidP="0098046F">
      <w:pPr>
        <w:pStyle w:val="p1"/>
        <w:divId w:val="832112536"/>
      </w:pPr>
    </w:p>
    <w:p w14:paraId="22F39F60" w14:textId="77777777" w:rsidR="0006477C" w:rsidRDefault="0006477C">
      <w:pPr>
        <w:pStyle w:val="p1"/>
        <w:divId w:val="941110360"/>
      </w:pPr>
      <w:r>
        <w:rPr>
          <w:rStyle w:val="s1"/>
        </w:rPr>
        <w:t xml:space="preserve">LexisNexis 2023, </w:t>
      </w:r>
      <w:r>
        <w:rPr>
          <w:rStyle w:val="s2"/>
        </w:rPr>
        <w:t xml:space="preserve">the rule of law, </w:t>
      </w:r>
      <w:r>
        <w:rPr>
          <w:rStyle w:val="s1"/>
        </w:rPr>
        <w:t xml:space="preserve">accessed at: </w:t>
      </w:r>
      <w:hyperlink r:id="rId16" w:history="1">
        <w:r>
          <w:rPr>
            <w:rStyle w:val="Hyperlink"/>
          </w:rPr>
          <w:t>https://www.lexisnexis.co.uk/about-us/rule-of-law</w:t>
        </w:r>
      </w:hyperlink>
      <w:r>
        <w:rPr>
          <w:rStyle w:val="apple-converted-space"/>
          <w:rFonts w:ascii="UICTFontTextStyleBody" w:hAnsi="UICTFontTextStyleBody"/>
        </w:rPr>
        <w:t> </w:t>
      </w:r>
    </w:p>
    <w:p w14:paraId="7735E629" w14:textId="77777777" w:rsidR="0006477C" w:rsidRDefault="0006477C">
      <w:pPr>
        <w:pStyle w:val="p2"/>
        <w:divId w:val="941110360"/>
      </w:pPr>
    </w:p>
    <w:p w14:paraId="6CCAFF66" w14:textId="77777777" w:rsidR="00CE3618" w:rsidRPr="0098046F" w:rsidRDefault="00CE3618" w:rsidP="0098046F">
      <w:pPr>
        <w:pStyle w:val="p1"/>
        <w:divId w:val="832112536"/>
      </w:pPr>
    </w:p>
    <w:p w14:paraId="502E4F90" w14:textId="77777777" w:rsidR="00344329" w:rsidRDefault="00344329">
      <w:pPr>
        <w:pStyle w:val="p1"/>
        <w:divId w:val="1304771577"/>
      </w:pPr>
      <w:r>
        <w:rPr>
          <w:rStyle w:val="s1"/>
        </w:rPr>
        <w:t xml:space="preserve">Law Wales, 2021, </w:t>
      </w:r>
      <w:r>
        <w:rPr>
          <w:rStyle w:val="s2"/>
        </w:rPr>
        <w:t xml:space="preserve">understanding legislation, </w:t>
      </w:r>
      <w:r>
        <w:rPr>
          <w:rStyle w:val="s1"/>
        </w:rPr>
        <w:t>accessed at:</w:t>
      </w:r>
      <w:hyperlink r:id="rId17" w:history="1">
        <w:r>
          <w:rPr>
            <w:rStyle w:val="Hyperlink"/>
            <w:rFonts w:ascii="UICTFontTextStyleBody" w:hAnsi="UICTFontTextStyleBody"/>
          </w:rPr>
          <w:t xml:space="preserve"> https://law.gov.wales/constitution-and-government/law-making-wales/understanding-legislation</w:t>
        </w:r>
      </w:hyperlink>
      <w:r>
        <w:rPr>
          <w:rStyle w:val="apple-converted-space"/>
          <w:rFonts w:ascii="UICTFontTextStyleBody" w:hAnsi="UICTFontTextStyleBody"/>
        </w:rPr>
        <w:t> </w:t>
      </w:r>
    </w:p>
    <w:p w14:paraId="77532B2F" w14:textId="77777777" w:rsidR="00344329" w:rsidRDefault="00344329"/>
    <w:p w14:paraId="5DF20050" w14:textId="3D621883" w:rsidR="00184148" w:rsidRDefault="00184148">
      <w:r>
        <w:br w:type="page"/>
      </w:r>
    </w:p>
    <w:p w14:paraId="42D20E87" w14:textId="748DD204" w:rsidR="00184148" w:rsidRDefault="00184148"/>
    <w:p w14:paraId="7FBEE899" w14:textId="77777777" w:rsidR="00184148" w:rsidRDefault="00184148">
      <w:r>
        <w:br w:type="page"/>
      </w:r>
    </w:p>
    <w:p w14:paraId="12C6ED64" w14:textId="2E286508" w:rsidR="007C044A" w:rsidRDefault="007C044A"/>
    <w:p w14:paraId="59E90E3D" w14:textId="77777777" w:rsidR="007C044A" w:rsidRDefault="007C044A"/>
    <w:sectPr w:rsidR="007C044A" w:rsidSect="007C044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7B9DE" w14:textId="77777777" w:rsidR="008F792C" w:rsidRDefault="008F792C" w:rsidP="00C03314">
      <w:r>
        <w:separator/>
      </w:r>
    </w:p>
  </w:endnote>
  <w:endnote w:type="continuationSeparator" w:id="0">
    <w:p w14:paraId="0F25D10E" w14:textId="77777777" w:rsidR="008F792C" w:rsidRDefault="008F792C" w:rsidP="00C033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40430" w14:textId="4EBEAA4C" w:rsidR="00C03314" w:rsidRDefault="00C03314">
    <w:pPr>
      <w:pStyle w:val="Footer"/>
    </w:pPr>
    <w:r>
      <w:t>Sophie Morgan 22050</w:t>
    </w:r>
    <w:r w:rsidR="005061C1">
      <w:t xml:space="preserve">71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D5D8B" w14:textId="77777777" w:rsidR="008F792C" w:rsidRDefault="008F792C" w:rsidP="00C03314">
      <w:r>
        <w:separator/>
      </w:r>
    </w:p>
  </w:footnote>
  <w:footnote w:type="continuationSeparator" w:id="0">
    <w:p w14:paraId="4F514B2F" w14:textId="77777777" w:rsidR="008F792C" w:rsidRDefault="008F792C" w:rsidP="00C033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EEFFF" w14:textId="7857645B" w:rsidR="00C03314" w:rsidRDefault="005061C1">
    <w:pPr>
      <w:pStyle w:val="Header"/>
    </w:pPr>
    <w:proofErr w:type="spellStart"/>
    <w:r>
      <w:t>Zita</w:t>
    </w:r>
    <w:proofErr w:type="spellEnd"/>
    <w:r>
      <w:t xml:space="preserve"> Draper – Legal Process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44A"/>
    <w:rsid w:val="00001C4F"/>
    <w:rsid w:val="00002004"/>
    <w:rsid w:val="00003DFE"/>
    <w:rsid w:val="00014EF1"/>
    <w:rsid w:val="0003074F"/>
    <w:rsid w:val="00044611"/>
    <w:rsid w:val="00052B1A"/>
    <w:rsid w:val="0006477C"/>
    <w:rsid w:val="000717B2"/>
    <w:rsid w:val="00091F6F"/>
    <w:rsid w:val="000A29AF"/>
    <w:rsid w:val="000B023C"/>
    <w:rsid w:val="000D2009"/>
    <w:rsid w:val="000E0B5D"/>
    <w:rsid w:val="00102370"/>
    <w:rsid w:val="00102CD7"/>
    <w:rsid w:val="0015015C"/>
    <w:rsid w:val="001503D7"/>
    <w:rsid w:val="00153926"/>
    <w:rsid w:val="001558DF"/>
    <w:rsid w:val="0016414C"/>
    <w:rsid w:val="00181693"/>
    <w:rsid w:val="00184148"/>
    <w:rsid w:val="001A79E9"/>
    <w:rsid w:val="001C1887"/>
    <w:rsid w:val="001C27B3"/>
    <w:rsid w:val="001D72C2"/>
    <w:rsid w:val="001E2248"/>
    <w:rsid w:val="001E3BB8"/>
    <w:rsid w:val="001F2258"/>
    <w:rsid w:val="00206C69"/>
    <w:rsid w:val="00213903"/>
    <w:rsid w:val="00234A8B"/>
    <w:rsid w:val="00240417"/>
    <w:rsid w:val="00243E59"/>
    <w:rsid w:val="00262EF8"/>
    <w:rsid w:val="002947AF"/>
    <w:rsid w:val="002C4368"/>
    <w:rsid w:val="002D7F94"/>
    <w:rsid w:val="00304F06"/>
    <w:rsid w:val="00315A58"/>
    <w:rsid w:val="00325121"/>
    <w:rsid w:val="00336CED"/>
    <w:rsid w:val="00344329"/>
    <w:rsid w:val="003624EB"/>
    <w:rsid w:val="00376C48"/>
    <w:rsid w:val="0038243D"/>
    <w:rsid w:val="003962BF"/>
    <w:rsid w:val="003A32BC"/>
    <w:rsid w:val="003D0343"/>
    <w:rsid w:val="003D3045"/>
    <w:rsid w:val="003D707E"/>
    <w:rsid w:val="003E0172"/>
    <w:rsid w:val="003E4D80"/>
    <w:rsid w:val="003E732E"/>
    <w:rsid w:val="003F1885"/>
    <w:rsid w:val="003F7E0A"/>
    <w:rsid w:val="00414A5F"/>
    <w:rsid w:val="00414DA9"/>
    <w:rsid w:val="004260B7"/>
    <w:rsid w:val="0042738E"/>
    <w:rsid w:val="00431EFE"/>
    <w:rsid w:val="004322F5"/>
    <w:rsid w:val="0044474F"/>
    <w:rsid w:val="004455CC"/>
    <w:rsid w:val="004565F3"/>
    <w:rsid w:val="0046066A"/>
    <w:rsid w:val="00466D92"/>
    <w:rsid w:val="00477C83"/>
    <w:rsid w:val="00481D9D"/>
    <w:rsid w:val="004A2E5E"/>
    <w:rsid w:val="004D7A0D"/>
    <w:rsid w:val="004E31E0"/>
    <w:rsid w:val="004E50AA"/>
    <w:rsid w:val="004E5EBE"/>
    <w:rsid w:val="004F36A1"/>
    <w:rsid w:val="005061C1"/>
    <w:rsid w:val="005204C5"/>
    <w:rsid w:val="00525FED"/>
    <w:rsid w:val="005271F3"/>
    <w:rsid w:val="00533060"/>
    <w:rsid w:val="00541D66"/>
    <w:rsid w:val="005458F2"/>
    <w:rsid w:val="0055796B"/>
    <w:rsid w:val="005620BD"/>
    <w:rsid w:val="00563B2F"/>
    <w:rsid w:val="00591462"/>
    <w:rsid w:val="005916FF"/>
    <w:rsid w:val="00596B7D"/>
    <w:rsid w:val="005C0023"/>
    <w:rsid w:val="005D21F2"/>
    <w:rsid w:val="005D27DA"/>
    <w:rsid w:val="005D5EB9"/>
    <w:rsid w:val="005F38E7"/>
    <w:rsid w:val="005F5E92"/>
    <w:rsid w:val="00606E37"/>
    <w:rsid w:val="0061743C"/>
    <w:rsid w:val="006235AA"/>
    <w:rsid w:val="00625668"/>
    <w:rsid w:val="00662ACC"/>
    <w:rsid w:val="00675C81"/>
    <w:rsid w:val="0067786E"/>
    <w:rsid w:val="0069227F"/>
    <w:rsid w:val="006A4206"/>
    <w:rsid w:val="006C5DFF"/>
    <w:rsid w:val="006F0400"/>
    <w:rsid w:val="006F2A96"/>
    <w:rsid w:val="00713346"/>
    <w:rsid w:val="00716405"/>
    <w:rsid w:val="007213D5"/>
    <w:rsid w:val="00730FD4"/>
    <w:rsid w:val="00763F00"/>
    <w:rsid w:val="007C044A"/>
    <w:rsid w:val="007E0D08"/>
    <w:rsid w:val="007F19D4"/>
    <w:rsid w:val="008000F7"/>
    <w:rsid w:val="00800414"/>
    <w:rsid w:val="00815CC3"/>
    <w:rsid w:val="00817DFA"/>
    <w:rsid w:val="008321B8"/>
    <w:rsid w:val="008352D9"/>
    <w:rsid w:val="0083546B"/>
    <w:rsid w:val="00837EE9"/>
    <w:rsid w:val="0084428E"/>
    <w:rsid w:val="008611E5"/>
    <w:rsid w:val="00871E75"/>
    <w:rsid w:val="0087574A"/>
    <w:rsid w:val="0087639C"/>
    <w:rsid w:val="00884647"/>
    <w:rsid w:val="0089721D"/>
    <w:rsid w:val="008A138C"/>
    <w:rsid w:val="008A26F7"/>
    <w:rsid w:val="008D2F51"/>
    <w:rsid w:val="008E017B"/>
    <w:rsid w:val="008F1FAA"/>
    <w:rsid w:val="008F673D"/>
    <w:rsid w:val="008F792C"/>
    <w:rsid w:val="00904340"/>
    <w:rsid w:val="009058BD"/>
    <w:rsid w:val="00912281"/>
    <w:rsid w:val="00914C59"/>
    <w:rsid w:val="00916B5D"/>
    <w:rsid w:val="00934A8B"/>
    <w:rsid w:val="0095548B"/>
    <w:rsid w:val="009800BD"/>
    <w:rsid w:val="0098046F"/>
    <w:rsid w:val="00991A8D"/>
    <w:rsid w:val="009A3654"/>
    <w:rsid w:val="009A491A"/>
    <w:rsid w:val="009C019F"/>
    <w:rsid w:val="009C4E04"/>
    <w:rsid w:val="009E496E"/>
    <w:rsid w:val="00A03D43"/>
    <w:rsid w:val="00A14C9E"/>
    <w:rsid w:val="00A220F3"/>
    <w:rsid w:val="00A23247"/>
    <w:rsid w:val="00A44888"/>
    <w:rsid w:val="00A52428"/>
    <w:rsid w:val="00A567F8"/>
    <w:rsid w:val="00A669C2"/>
    <w:rsid w:val="00A70CB2"/>
    <w:rsid w:val="00A9751E"/>
    <w:rsid w:val="00AB0FA5"/>
    <w:rsid w:val="00AB4E2F"/>
    <w:rsid w:val="00AD3B30"/>
    <w:rsid w:val="00AE3E2E"/>
    <w:rsid w:val="00AF7F83"/>
    <w:rsid w:val="00B10635"/>
    <w:rsid w:val="00B2264A"/>
    <w:rsid w:val="00B27189"/>
    <w:rsid w:val="00B31DC0"/>
    <w:rsid w:val="00B42B6D"/>
    <w:rsid w:val="00B43DB2"/>
    <w:rsid w:val="00B43E4F"/>
    <w:rsid w:val="00B47821"/>
    <w:rsid w:val="00B5178A"/>
    <w:rsid w:val="00B55153"/>
    <w:rsid w:val="00BA1E2C"/>
    <w:rsid w:val="00BA55FE"/>
    <w:rsid w:val="00BA7C3D"/>
    <w:rsid w:val="00BB30CD"/>
    <w:rsid w:val="00BB51A9"/>
    <w:rsid w:val="00BC0DAB"/>
    <w:rsid w:val="00BD6916"/>
    <w:rsid w:val="00BD6F17"/>
    <w:rsid w:val="00BD7976"/>
    <w:rsid w:val="00BD7DFE"/>
    <w:rsid w:val="00BF6EBD"/>
    <w:rsid w:val="00C03314"/>
    <w:rsid w:val="00C22733"/>
    <w:rsid w:val="00C25CEC"/>
    <w:rsid w:val="00C40BF4"/>
    <w:rsid w:val="00C4131A"/>
    <w:rsid w:val="00C47197"/>
    <w:rsid w:val="00C53BAD"/>
    <w:rsid w:val="00C65858"/>
    <w:rsid w:val="00C70B4A"/>
    <w:rsid w:val="00C74F95"/>
    <w:rsid w:val="00C80A47"/>
    <w:rsid w:val="00C84DA6"/>
    <w:rsid w:val="00CA505A"/>
    <w:rsid w:val="00CB437D"/>
    <w:rsid w:val="00CB7AB2"/>
    <w:rsid w:val="00CC17F5"/>
    <w:rsid w:val="00CD3E18"/>
    <w:rsid w:val="00CE3618"/>
    <w:rsid w:val="00CF30AF"/>
    <w:rsid w:val="00CF34DC"/>
    <w:rsid w:val="00D029C5"/>
    <w:rsid w:val="00D22C43"/>
    <w:rsid w:val="00D30CAF"/>
    <w:rsid w:val="00D318BA"/>
    <w:rsid w:val="00D31AAA"/>
    <w:rsid w:val="00D512F3"/>
    <w:rsid w:val="00D52DCF"/>
    <w:rsid w:val="00D75702"/>
    <w:rsid w:val="00D941A4"/>
    <w:rsid w:val="00DB0246"/>
    <w:rsid w:val="00DB3C7F"/>
    <w:rsid w:val="00E002E6"/>
    <w:rsid w:val="00E149BA"/>
    <w:rsid w:val="00E16A6C"/>
    <w:rsid w:val="00E2670D"/>
    <w:rsid w:val="00E36648"/>
    <w:rsid w:val="00E37E11"/>
    <w:rsid w:val="00E57B3F"/>
    <w:rsid w:val="00E64B43"/>
    <w:rsid w:val="00E71495"/>
    <w:rsid w:val="00E72AF6"/>
    <w:rsid w:val="00E93C24"/>
    <w:rsid w:val="00EA5FFD"/>
    <w:rsid w:val="00EA618D"/>
    <w:rsid w:val="00EA6F96"/>
    <w:rsid w:val="00EC5D13"/>
    <w:rsid w:val="00ED5B12"/>
    <w:rsid w:val="00EF4107"/>
    <w:rsid w:val="00F11755"/>
    <w:rsid w:val="00F20B53"/>
    <w:rsid w:val="00F3460D"/>
    <w:rsid w:val="00F54ACB"/>
    <w:rsid w:val="00F80DAF"/>
    <w:rsid w:val="00F81219"/>
    <w:rsid w:val="00F84E92"/>
    <w:rsid w:val="00F867D8"/>
    <w:rsid w:val="00FB701E"/>
    <w:rsid w:val="00FC65F7"/>
    <w:rsid w:val="00FE68D2"/>
    <w:rsid w:val="00FF4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695857"/>
  <w15:chartTrackingRefBased/>
  <w15:docId w15:val="{57787CE5-371D-3448-A077-50F78283F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3314"/>
    <w:pPr>
      <w:tabs>
        <w:tab w:val="center" w:pos="4513"/>
        <w:tab w:val="right" w:pos="9026"/>
      </w:tabs>
    </w:pPr>
  </w:style>
  <w:style w:type="character" w:customStyle="1" w:styleId="HeaderChar">
    <w:name w:val="Header Char"/>
    <w:basedOn w:val="DefaultParagraphFont"/>
    <w:link w:val="Header"/>
    <w:uiPriority w:val="99"/>
    <w:rsid w:val="00C03314"/>
  </w:style>
  <w:style w:type="paragraph" w:styleId="Footer">
    <w:name w:val="footer"/>
    <w:basedOn w:val="Normal"/>
    <w:link w:val="FooterChar"/>
    <w:uiPriority w:val="99"/>
    <w:unhideWhenUsed/>
    <w:rsid w:val="00C03314"/>
    <w:pPr>
      <w:tabs>
        <w:tab w:val="center" w:pos="4513"/>
        <w:tab w:val="right" w:pos="9026"/>
      </w:tabs>
    </w:pPr>
  </w:style>
  <w:style w:type="character" w:customStyle="1" w:styleId="FooterChar">
    <w:name w:val="Footer Char"/>
    <w:basedOn w:val="DefaultParagraphFont"/>
    <w:link w:val="Footer"/>
    <w:uiPriority w:val="99"/>
    <w:rsid w:val="00C03314"/>
  </w:style>
  <w:style w:type="paragraph" w:customStyle="1" w:styleId="p1">
    <w:name w:val="p1"/>
    <w:basedOn w:val="Normal"/>
    <w:rsid w:val="00EA5FFD"/>
    <w:rPr>
      <w:rFonts w:ascii=".AppleSystemUIFont" w:hAnsi=".AppleSystemUIFont" w:cs="Times New Roman"/>
      <w:sz w:val="26"/>
      <w:szCs w:val="26"/>
    </w:rPr>
  </w:style>
  <w:style w:type="character" w:customStyle="1" w:styleId="s1">
    <w:name w:val="s1"/>
    <w:basedOn w:val="DefaultParagraphFont"/>
    <w:rsid w:val="00EA5FFD"/>
    <w:rPr>
      <w:rFonts w:ascii="UICTFontTextStyleBody" w:hAnsi="UICTFontTextStyleBody" w:hint="default"/>
      <w:b w:val="0"/>
      <w:bCs w:val="0"/>
      <w:i w:val="0"/>
      <w:iCs w:val="0"/>
      <w:sz w:val="26"/>
      <w:szCs w:val="26"/>
    </w:rPr>
  </w:style>
  <w:style w:type="character" w:customStyle="1" w:styleId="s2">
    <w:name w:val="s2"/>
    <w:basedOn w:val="DefaultParagraphFont"/>
    <w:rsid w:val="00EA5FFD"/>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EA5FFD"/>
  </w:style>
  <w:style w:type="character" w:styleId="Hyperlink">
    <w:name w:val="Hyperlink"/>
    <w:basedOn w:val="DefaultParagraphFont"/>
    <w:uiPriority w:val="99"/>
    <w:semiHidden/>
    <w:unhideWhenUsed/>
    <w:rsid w:val="00EA5FFD"/>
    <w:rPr>
      <w:color w:val="0000FF"/>
      <w:u w:val="single"/>
    </w:rPr>
  </w:style>
  <w:style w:type="paragraph" w:customStyle="1" w:styleId="p2">
    <w:name w:val="p2"/>
    <w:basedOn w:val="Normal"/>
    <w:rsid w:val="0098046F"/>
    <w:rPr>
      <w:rFonts w:ascii=".AppleSystemUIFont" w:hAnsi=".AppleSystemUIFont" w:cs="Times New Roman"/>
      <w:sz w:val="26"/>
      <w:szCs w:val="26"/>
    </w:rPr>
  </w:style>
  <w:style w:type="character" w:customStyle="1" w:styleId="s3">
    <w:name w:val="s3"/>
    <w:basedOn w:val="DefaultParagraphFont"/>
    <w:rsid w:val="0098046F"/>
    <w:rPr>
      <w:rFonts w:ascii="UICTFontTextStyleBody" w:hAnsi="UICTFontTextStyleBody" w:hint="default"/>
      <w:b w:val="0"/>
      <w:bCs w:val="0"/>
      <w:i w:val="0"/>
      <w:iCs w:val="0"/>
      <w:color w:val="E4AF0A"/>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711696">
      <w:bodyDiv w:val="1"/>
      <w:marLeft w:val="0"/>
      <w:marRight w:val="0"/>
      <w:marTop w:val="0"/>
      <w:marBottom w:val="0"/>
      <w:divBdr>
        <w:top w:val="none" w:sz="0" w:space="0" w:color="auto"/>
        <w:left w:val="none" w:sz="0" w:space="0" w:color="auto"/>
        <w:bottom w:val="none" w:sz="0" w:space="0" w:color="auto"/>
        <w:right w:val="none" w:sz="0" w:space="0" w:color="auto"/>
      </w:divBdr>
    </w:div>
    <w:div w:id="631402360">
      <w:bodyDiv w:val="1"/>
      <w:marLeft w:val="0"/>
      <w:marRight w:val="0"/>
      <w:marTop w:val="0"/>
      <w:marBottom w:val="0"/>
      <w:divBdr>
        <w:top w:val="none" w:sz="0" w:space="0" w:color="auto"/>
        <w:left w:val="none" w:sz="0" w:space="0" w:color="auto"/>
        <w:bottom w:val="none" w:sz="0" w:space="0" w:color="auto"/>
        <w:right w:val="none" w:sz="0" w:space="0" w:color="auto"/>
      </w:divBdr>
    </w:div>
    <w:div w:id="692419620">
      <w:bodyDiv w:val="1"/>
      <w:marLeft w:val="0"/>
      <w:marRight w:val="0"/>
      <w:marTop w:val="0"/>
      <w:marBottom w:val="0"/>
      <w:divBdr>
        <w:top w:val="none" w:sz="0" w:space="0" w:color="auto"/>
        <w:left w:val="none" w:sz="0" w:space="0" w:color="auto"/>
        <w:bottom w:val="none" w:sz="0" w:space="0" w:color="auto"/>
        <w:right w:val="none" w:sz="0" w:space="0" w:color="auto"/>
      </w:divBdr>
    </w:div>
    <w:div w:id="832112536">
      <w:bodyDiv w:val="1"/>
      <w:marLeft w:val="0"/>
      <w:marRight w:val="0"/>
      <w:marTop w:val="0"/>
      <w:marBottom w:val="0"/>
      <w:divBdr>
        <w:top w:val="none" w:sz="0" w:space="0" w:color="auto"/>
        <w:left w:val="none" w:sz="0" w:space="0" w:color="auto"/>
        <w:bottom w:val="none" w:sz="0" w:space="0" w:color="auto"/>
        <w:right w:val="none" w:sz="0" w:space="0" w:color="auto"/>
      </w:divBdr>
      <w:divsChild>
        <w:div w:id="307788681">
          <w:marLeft w:val="0"/>
          <w:marRight w:val="0"/>
          <w:marTop w:val="0"/>
          <w:marBottom w:val="0"/>
          <w:divBdr>
            <w:top w:val="none" w:sz="0" w:space="0" w:color="auto"/>
            <w:left w:val="none" w:sz="0" w:space="0" w:color="auto"/>
            <w:bottom w:val="none" w:sz="0" w:space="0" w:color="auto"/>
            <w:right w:val="none" w:sz="0" w:space="0" w:color="auto"/>
          </w:divBdr>
        </w:div>
        <w:div w:id="858003191">
          <w:marLeft w:val="0"/>
          <w:marRight w:val="0"/>
          <w:marTop w:val="0"/>
          <w:marBottom w:val="0"/>
          <w:divBdr>
            <w:top w:val="none" w:sz="0" w:space="0" w:color="auto"/>
            <w:left w:val="none" w:sz="0" w:space="0" w:color="auto"/>
            <w:bottom w:val="none" w:sz="0" w:space="0" w:color="auto"/>
            <w:right w:val="none" w:sz="0" w:space="0" w:color="auto"/>
          </w:divBdr>
        </w:div>
        <w:div w:id="2016498984">
          <w:marLeft w:val="0"/>
          <w:marRight w:val="0"/>
          <w:marTop w:val="0"/>
          <w:marBottom w:val="0"/>
          <w:divBdr>
            <w:top w:val="none" w:sz="0" w:space="0" w:color="auto"/>
            <w:left w:val="none" w:sz="0" w:space="0" w:color="auto"/>
            <w:bottom w:val="none" w:sz="0" w:space="0" w:color="auto"/>
            <w:right w:val="none" w:sz="0" w:space="0" w:color="auto"/>
          </w:divBdr>
        </w:div>
        <w:div w:id="941110360">
          <w:marLeft w:val="0"/>
          <w:marRight w:val="0"/>
          <w:marTop w:val="0"/>
          <w:marBottom w:val="0"/>
          <w:divBdr>
            <w:top w:val="none" w:sz="0" w:space="0" w:color="auto"/>
            <w:left w:val="none" w:sz="0" w:space="0" w:color="auto"/>
            <w:bottom w:val="none" w:sz="0" w:space="0" w:color="auto"/>
            <w:right w:val="none" w:sz="0" w:space="0" w:color="auto"/>
          </w:divBdr>
        </w:div>
      </w:divsChild>
    </w:div>
    <w:div w:id="1276596317">
      <w:bodyDiv w:val="1"/>
      <w:marLeft w:val="0"/>
      <w:marRight w:val="0"/>
      <w:marTop w:val="0"/>
      <w:marBottom w:val="0"/>
      <w:divBdr>
        <w:top w:val="none" w:sz="0" w:space="0" w:color="auto"/>
        <w:left w:val="none" w:sz="0" w:space="0" w:color="auto"/>
        <w:bottom w:val="none" w:sz="0" w:space="0" w:color="auto"/>
        <w:right w:val="none" w:sz="0" w:space="0" w:color="auto"/>
      </w:divBdr>
    </w:div>
    <w:div w:id="1304771577">
      <w:bodyDiv w:val="1"/>
      <w:marLeft w:val="0"/>
      <w:marRight w:val="0"/>
      <w:marTop w:val="0"/>
      <w:marBottom w:val="0"/>
      <w:divBdr>
        <w:top w:val="none" w:sz="0" w:space="0" w:color="auto"/>
        <w:left w:val="none" w:sz="0" w:space="0" w:color="auto"/>
        <w:bottom w:val="none" w:sz="0" w:space="0" w:color="auto"/>
        <w:right w:val="none" w:sz="0" w:space="0" w:color="auto"/>
      </w:divBdr>
    </w:div>
    <w:div w:id="1677802404">
      <w:bodyDiv w:val="1"/>
      <w:marLeft w:val="0"/>
      <w:marRight w:val="0"/>
      <w:marTop w:val="0"/>
      <w:marBottom w:val="0"/>
      <w:divBdr>
        <w:top w:val="none" w:sz="0" w:space="0" w:color="auto"/>
        <w:left w:val="none" w:sz="0" w:space="0" w:color="auto"/>
        <w:bottom w:val="none" w:sz="0" w:space="0" w:color="auto"/>
        <w:right w:val="none" w:sz="0" w:space="0" w:color="auto"/>
      </w:divBdr>
    </w:div>
    <w:div w:id="2119253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constitutionallaw.org/2021/10/18/michael-foran-parliamentary-sovereignty-and-the-politics-of-law-making/" TargetMode="External"/><Relationship Id="rId13" Type="http://schemas.openxmlformats.org/officeDocument/2006/relationships/hyperlink" Target="https://www.lexisnexis.co.uk/legal/guidance/sources-of-constitutional-law"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parliament.uk/site-information/glossary/constitution/" TargetMode="External"/><Relationship Id="rId12" Type="http://schemas.openxmlformats.org/officeDocument/2006/relationships/hyperlink" Target="https://www.bihr.org.uk/get-informed/legislation/separation-of-powers-parliamentary-sovereignty-the-rule-of-law" TargetMode="External"/><Relationship Id="rId17" Type="http://schemas.openxmlformats.org/officeDocument/2006/relationships/hyperlink" Target="https://law.gov.wales/constitution-and-government/law-making-wales/understanding-legislation" TargetMode="External"/><Relationship Id="rId2" Type="http://schemas.openxmlformats.org/officeDocument/2006/relationships/settings" Target="settings.xml"/><Relationship Id="rId16" Type="http://schemas.openxmlformats.org/officeDocument/2006/relationships/hyperlink" Target="https://www.lexisnexis.co.uk/about-us/rule-of-law"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publications/bill-of-rights-bill-documents" TargetMode="External"/><Relationship Id="rId11" Type="http://schemas.openxmlformats.org/officeDocument/2006/relationships/hyperlink" Target="https://www.parliament.uk/about/how/role/sovereignty/" TargetMode="External"/><Relationship Id="rId5" Type="http://schemas.openxmlformats.org/officeDocument/2006/relationships/endnotes" Target="endnotes.xml"/><Relationship Id="rId15" Type="http://schemas.openxmlformats.org/officeDocument/2006/relationships/hyperlink" Target="https://www.legislation.gov.uk/ukpga/1998/42/contents" TargetMode="External"/><Relationship Id="rId10" Type="http://schemas.openxmlformats.org/officeDocument/2006/relationships/hyperlink" Target="https://www.nationalarchives.gov.uk/education/resources/magna-carta/british-library-magna-carta-1215-runnymede/"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professionalnegligenceclaimsolicitors.co.uk/duty-of-care-key-tort-law-judgment-donoghue/" TargetMode="External"/><Relationship Id="rId14" Type="http://schemas.openxmlformats.org/officeDocument/2006/relationships/hyperlink" Target="https://www.gov.wales/coronavirus-act-2020-suspension-transportation-storage-and-disposal-dead-bodies-etc-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1723</Words>
  <Characters>9827</Characters>
  <Application>Microsoft Office Word</Application>
  <DocSecurity>0</DocSecurity>
  <Lines>81</Lines>
  <Paragraphs>23</Paragraphs>
  <ScaleCrop>false</ScaleCrop>
  <Company/>
  <LinksUpToDate>false</LinksUpToDate>
  <CharactersWithSpaces>11527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 (2205071)</dc:creator>
  <cp:keywords/>
  <dc:description/>
  <cp:lastModifiedBy>Sophie Morgan (2205071)</cp:lastModifiedBy>
  <cp:revision>2</cp:revision>
  <dcterms:created xsi:type="dcterms:W3CDTF">2023-11-10T23:27:00Z</dcterms:created>
  <dcterms:modified xsi:type="dcterms:W3CDTF">2023-11-10T23:27:00Z</dcterms:modified>
</cp:coreProperties>
</file>