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594EF5" w14:textId="77777777" w:rsidR="00DA745E" w:rsidRDefault="002347FB">
      <w:pPr>
        <w:jc w:val="center"/>
      </w:pPr>
      <w:r>
        <w:rPr>
          <w:b/>
        </w:rPr>
        <w:br/>
      </w:r>
      <w:r>
        <w:rPr>
          <w:b/>
        </w:rPr>
        <w:br/>
      </w:r>
      <w:r>
        <w:rPr>
          <w:b/>
        </w:rPr>
        <w:br/>
        <w:t>HEALTHCARE SERVICES: ACCESS, DEVELOPMENT AND IMPACT</w:t>
      </w:r>
    </w:p>
    <w:p w14:paraId="1536F322" w14:textId="77777777" w:rsidR="00DA745E" w:rsidRPr="005F1663" w:rsidRDefault="002347FB">
      <w:pPr>
        <w:jc w:val="center"/>
      </w:pPr>
      <w:r>
        <w:br/>
      </w:r>
      <w:r w:rsidRPr="005F1663">
        <w:t>Task 1: Mini Report – Community Mental Health Services in Oldbury, Sandwell</w:t>
      </w:r>
      <w:r w:rsidRPr="005F1663">
        <w:br/>
      </w:r>
      <w:r w:rsidRPr="005F1663">
        <w:br/>
        <w:t>Task 2: Essay – Pharmacy Services in the United Kingdom</w:t>
      </w:r>
    </w:p>
    <w:p w14:paraId="781A2901" w14:textId="72F3F5CF" w:rsidR="00DA745E" w:rsidRPr="005F1663" w:rsidRDefault="002347FB">
      <w:pPr>
        <w:jc w:val="center"/>
      </w:pPr>
      <w:r w:rsidRPr="005F1663">
        <w:br/>
      </w:r>
      <w:r w:rsidRPr="005F1663">
        <w:br/>
        <w:t xml:space="preserve">Student name: </w:t>
      </w:r>
      <w:r w:rsidR="001D7E08" w:rsidRPr="005F1663">
        <w:t>Michelle Finnegan</w:t>
      </w:r>
    </w:p>
    <w:p w14:paraId="1EA3FA69" w14:textId="45B7115E" w:rsidR="00DA745E" w:rsidRPr="005F1663" w:rsidRDefault="002347FB">
      <w:pPr>
        <w:jc w:val="center"/>
      </w:pPr>
      <w:r w:rsidRPr="005F1663">
        <w:t xml:space="preserve">Student number: </w:t>
      </w:r>
      <w:r w:rsidR="001D7E08" w:rsidRPr="005F1663">
        <w:t>2537269</w:t>
      </w:r>
    </w:p>
    <w:p w14:paraId="13CA491E" w14:textId="43945B9C" w:rsidR="00DA745E" w:rsidRPr="005F1663" w:rsidRDefault="002347FB">
      <w:pPr>
        <w:jc w:val="center"/>
      </w:pPr>
      <w:r w:rsidRPr="005F1663">
        <w:t xml:space="preserve">Module code and title: </w:t>
      </w:r>
      <w:r w:rsidR="00E00946" w:rsidRPr="005F1663">
        <w:t>LCH</w:t>
      </w:r>
      <w:r w:rsidR="00B846EC" w:rsidRPr="005F1663">
        <w:t>S4003</w:t>
      </w:r>
      <w:r w:rsidR="00D40E6B" w:rsidRPr="005F1663">
        <w:t>,</w:t>
      </w:r>
      <w:r w:rsidR="00514C7A" w:rsidRPr="005F1663">
        <w:t xml:space="preserve"> Introduction to Health and Social Care</w:t>
      </w:r>
    </w:p>
    <w:p w14:paraId="5263B580" w14:textId="757E2242" w:rsidR="00DA745E" w:rsidRPr="005F1663" w:rsidRDefault="002347FB">
      <w:pPr>
        <w:jc w:val="center"/>
      </w:pPr>
      <w:r w:rsidRPr="005F1663">
        <w:t>Lecturer’s name</w:t>
      </w:r>
      <w:r w:rsidR="003D3DA9" w:rsidRPr="005F1663">
        <w:t>: Zarah</w:t>
      </w:r>
      <w:r w:rsidR="009554EB" w:rsidRPr="005F1663">
        <w:t xml:space="preserve"> </w:t>
      </w:r>
      <w:r w:rsidR="001C73A4" w:rsidRPr="005F1663">
        <w:t>Ahmed</w:t>
      </w:r>
    </w:p>
    <w:p w14:paraId="5636D2C7" w14:textId="77777777" w:rsidR="00DA745E" w:rsidRDefault="002347FB">
      <w:pPr>
        <w:jc w:val="center"/>
      </w:pPr>
      <w:r>
        <w:t>Assignment title: Healthcare Services – Mini Report and Essay</w:t>
      </w:r>
    </w:p>
    <w:p w14:paraId="10410FFC" w14:textId="77777777" w:rsidR="00DA745E" w:rsidRDefault="002347FB">
      <w:pPr>
        <w:jc w:val="center"/>
      </w:pPr>
      <w:r>
        <w:t>Submission date: 19 October 2026</w:t>
      </w:r>
    </w:p>
    <w:p w14:paraId="2B0EFB68" w14:textId="77777777" w:rsidR="00DA745E" w:rsidRDefault="002347FB">
      <w:r>
        <w:br w:type="page"/>
      </w:r>
    </w:p>
    <w:p w14:paraId="78CF9BD8" w14:textId="77777777" w:rsidR="00DA745E" w:rsidRDefault="002347FB">
      <w:pPr>
        <w:pStyle w:val="Heading1"/>
      </w:pPr>
      <w:r>
        <w:rPr>
          <w:rFonts w:ascii="Arial" w:eastAsia="Arial" w:hAnsi="Arial"/>
        </w:rPr>
        <w:lastRenderedPageBreak/>
        <w:t>Task 1: Mini Report</w:t>
      </w:r>
    </w:p>
    <w:p w14:paraId="4F9AB038" w14:textId="5F335536" w:rsidR="00DA745E" w:rsidRDefault="002347FB">
      <w:r>
        <w:rPr>
          <w:b/>
        </w:rPr>
        <w:t xml:space="preserve">To: </w:t>
      </w:r>
      <w:r w:rsidR="001C73A4">
        <w:t>Councilor</w:t>
      </w:r>
      <w:r>
        <w:t xml:space="preserve"> Suzanne Hartwell, Oldbury Ward, Sandwell Metropolitan Borough Council</w:t>
      </w:r>
    </w:p>
    <w:p w14:paraId="7C672CD5" w14:textId="77777777" w:rsidR="00DA745E" w:rsidRDefault="002347FB">
      <w:r>
        <w:rPr>
          <w:b/>
        </w:rPr>
        <w:t xml:space="preserve">Address: </w:t>
      </w:r>
      <w:r>
        <w:t>Sandwell Council House, Freeth Street, Oldbury, West Midlands, B69 3DE</w:t>
      </w:r>
    </w:p>
    <w:p w14:paraId="1D2FD514" w14:textId="77777777" w:rsidR="00DA745E" w:rsidRDefault="002347FB">
      <w:r>
        <w:rPr>
          <w:b/>
        </w:rPr>
        <w:t xml:space="preserve">Subject: </w:t>
      </w:r>
      <w:r>
        <w:t>Improving access to community mental health services in Oldbury</w:t>
      </w:r>
    </w:p>
    <w:p w14:paraId="4F0E10BE" w14:textId="39EADC42" w:rsidR="00DA745E" w:rsidRDefault="002347FB">
      <w:r>
        <w:rPr>
          <w:b/>
        </w:rPr>
        <w:t xml:space="preserve">Prepared by: </w:t>
      </w:r>
      <w:r w:rsidR="005E0303">
        <w:t>Michelle Finnegan</w:t>
      </w:r>
    </w:p>
    <w:p w14:paraId="69A536DE" w14:textId="77777777" w:rsidR="00DA745E" w:rsidRDefault="002347FB">
      <w:r>
        <w:rPr>
          <w:b/>
        </w:rPr>
        <w:t xml:space="preserve">Date: </w:t>
      </w:r>
      <w:r>
        <w:t>19 October 2026</w:t>
      </w:r>
    </w:p>
    <w:p w14:paraId="0236C76E" w14:textId="77777777" w:rsidR="00DA745E" w:rsidRDefault="002347FB">
      <w:pPr>
        <w:pStyle w:val="Heading2"/>
      </w:pPr>
      <w:r>
        <w:rPr>
          <w:rFonts w:ascii="Arial" w:eastAsia="Arial" w:hAnsi="Arial"/>
        </w:rPr>
        <w:t>Introduction</w:t>
      </w:r>
    </w:p>
    <w:p w14:paraId="0A8D8634" w14:textId="77777777" w:rsidR="00DA745E" w:rsidRPr="005F1663" w:rsidRDefault="002347FB">
      <w:r w:rsidRPr="005F1663">
        <w:t>This report considers a hypothetical shortage of community mental health services in Oldbury, Sandwell, and recommends local action. Community provision may include assessment, psychological therapies, recovery support, peer groups and help with daily living. It enables people to obtain support close to home rather than relying only on hospital care. The shortage is an assignment scenario, not a verified claim about current local capacity. A gap in accessible support would affect residents, families and the</w:t>
      </w:r>
      <w:r w:rsidRPr="005F1663">
        <w:t xml:space="preserve"> wider community. Part 1 of the Care Act 2014 is central because it requires local authorities to promote wellbeing, prevent or delay care needs and cooperate with relevant partners (Care Act 2014, ss. 1–3 and 6).</w:t>
      </w:r>
    </w:p>
    <w:p w14:paraId="7262380E" w14:textId="77777777" w:rsidR="00DA745E" w:rsidRPr="005F1663" w:rsidRDefault="002347FB">
      <w:pPr>
        <w:pStyle w:val="Heading2"/>
        <w:rPr>
          <w:sz w:val="22"/>
          <w:szCs w:val="22"/>
        </w:rPr>
      </w:pPr>
      <w:r w:rsidRPr="005F1663">
        <w:rPr>
          <w:rFonts w:ascii="Arial" w:eastAsia="Arial" w:hAnsi="Arial"/>
          <w:sz w:val="22"/>
          <w:szCs w:val="22"/>
        </w:rPr>
        <w:t>Why the service is needed and impact on the community</w:t>
      </w:r>
    </w:p>
    <w:p w14:paraId="3D0D66A4" w14:textId="7455F2F6" w:rsidR="00DA745E" w:rsidRPr="005F1663" w:rsidRDefault="002347FB">
      <w:r w:rsidRPr="005F1663">
        <w:t xml:space="preserve">Community mental health services help people manage symptoms, maintain relationships, work or study, and live independently. Support near home can connect people with housing advice, social care, primary care and voluntary </w:t>
      </w:r>
      <w:r w:rsidR="001C73A4" w:rsidRPr="005F1663">
        <w:t>organizations</w:t>
      </w:r>
      <w:r w:rsidRPr="005F1663">
        <w:t xml:space="preserve">. The NHS Community Mental Health Framework promotes whole-person, joined-up support across </w:t>
      </w:r>
      <w:r w:rsidR="001C73A4" w:rsidRPr="005F1663">
        <w:t>organizational</w:t>
      </w:r>
      <w:r w:rsidRPr="005F1663">
        <w:t xml:space="preserve"> boundaries rather than responding only when difficulties become severe (NHS England and NHS Improvement and National Collaborating Centre for Mental Health, 2019). Early support can identify deterioration and establish a care plan before crisis point.</w:t>
      </w:r>
    </w:p>
    <w:p w14:paraId="46276BFB" w14:textId="7DFCC23E" w:rsidR="00DA745E" w:rsidRPr="005F1663" w:rsidRDefault="002347FB">
      <w:r w:rsidRPr="005F1663">
        <w:t xml:space="preserve">If provision is insufficient, people may wait longer for assessment or treatment, struggle to get early help, or disengage because services are difficult to access. Worsening mental health can affect sleep, self-care, physical health, relationships, work and education. Family members may take on unpaid </w:t>
      </w:r>
      <w:r w:rsidR="00085F4A" w:rsidRPr="005F1663">
        <w:t>care</w:t>
      </w:r>
      <w:r w:rsidRPr="005F1663">
        <w:t xml:space="preserve"> responsibilities without enough information or respite. Poverty, disability, language differences, transport difficulties and limited internet access can create further barriers. A service must be accessible and appropriate to different needs, not merely located nearby.</w:t>
      </w:r>
    </w:p>
    <w:p w14:paraId="7166642E" w14:textId="77777777" w:rsidR="00DA745E" w:rsidRDefault="002347FB">
      <w:r w:rsidRPr="005F1663">
        <w:t>A shortage may shift demand towards emergency departments, crisis teams and inpatient care.</w:t>
      </w:r>
      <w:r>
        <w:t xml:space="preserve"> These services are essential for urgent needs but should not be the only route to support. Crisis </w:t>
      </w:r>
      <w:r>
        <w:lastRenderedPageBreak/>
        <w:t>treatment can be distressing, and delayed intervention may make recovery harder. Community support cannot replace specialist or emergency care when clinically required; it should form part of a coordinated pathway. Section 1 of the Care Act requires local authorities to promote wellbeing, including mental and emotional health, relationships, control over daily life and participation in society. Section 2 requires steps to prevent or delay care and support needs, while section 3 promotes integration with hea</w:t>
      </w:r>
      <w:r>
        <w:t>lth provision (Care Act 2014). These duties support accessible help before needs intensify.</w:t>
      </w:r>
    </w:p>
    <w:p w14:paraId="001E3D6A" w14:textId="77777777" w:rsidR="00DA745E" w:rsidRDefault="002347FB">
      <w:pPr>
        <w:pStyle w:val="Heading2"/>
      </w:pPr>
      <w:r>
        <w:rPr>
          <w:rFonts w:ascii="Arial" w:eastAsia="Arial" w:hAnsi="Arial"/>
        </w:rPr>
        <w:t>Recommendations</w:t>
      </w:r>
    </w:p>
    <w:p w14:paraId="2326B2FF" w14:textId="6FF7D793" w:rsidR="00DA745E" w:rsidRDefault="002347FB">
      <w:r>
        <w:t xml:space="preserve">First, Sandwell Council should coordinate </w:t>
      </w:r>
      <w:r w:rsidR="001C73A4">
        <w:t>needs</w:t>
      </w:r>
      <w:r>
        <w:t xml:space="preserve"> assessment with NHS partners, primary care, service users, carers and voluntary </w:t>
      </w:r>
      <w:r w:rsidR="0028084F">
        <w:t>organizations</w:t>
      </w:r>
      <w:r>
        <w:t xml:space="preserve">. It should examine waiting times, referral outcomes, crisis presentations, unmet social care needs and barriers across </w:t>
      </w:r>
      <w:r w:rsidR="0028084F">
        <w:t>neighborhoods</w:t>
      </w:r>
      <w:r>
        <w:t xml:space="preserve"> and groups. Residents with lived experience should help define appropriate support. This </w:t>
      </w:r>
      <w:r w:rsidR="0028084F">
        <w:t>applies to</w:t>
      </w:r>
      <w:r>
        <w:t xml:space="preserve"> the Care Act wellbeing principle by considering people’s wishes and circumstances, not treating demand as a single number (Care Act 2014, s. 1).</w:t>
      </w:r>
    </w:p>
    <w:p w14:paraId="1EADAFEA" w14:textId="77777777" w:rsidR="00DA745E" w:rsidRDefault="002347FB">
      <w:r>
        <w:t xml:space="preserve">Second, the council should work with NHS partners to strengthen early intervention. Options include drop-in sessions, peer-support groups, social-prescribing links, information for carers and clear routes into talking therapies and specialist services. Information should be accessible, with interpreting support and non-digital routes where needed. The council cannot deliver NHS clinical treatment alone: section 3 supports integration and section 6 requires cooperation with partners. Joint commissioning and </w:t>
      </w:r>
      <w:r>
        <w:t>referral protocols could reduce gaps between health and social care.</w:t>
      </w:r>
    </w:p>
    <w:p w14:paraId="08426C9E" w14:textId="4244E93D" w:rsidR="00DA745E" w:rsidRDefault="002347FB">
      <w:r>
        <w:t xml:space="preserve">Third, partners should develop a sustainable workforce plan covering recruitment, retention, supervision and training in trauma-informed, culturally responsive practice. Voluntary </w:t>
      </w:r>
      <w:r w:rsidR="0028084F">
        <w:t>organizations</w:t>
      </w:r>
      <w:r>
        <w:t xml:space="preserve"> may contribute peer support and local knowledge where safeguarding arrangements are clear. Expansion should be phased according to assessed need and funding, </w:t>
      </w:r>
      <w:r w:rsidR="0028084F">
        <w:t>prioritizing</w:t>
      </w:r>
      <w:r>
        <w:t xml:space="preserve"> continuity over short-term projects.</w:t>
      </w:r>
    </w:p>
    <w:p w14:paraId="774D9D3F" w14:textId="4A15CB24" w:rsidR="00DA745E" w:rsidRDefault="002347FB">
      <w:r>
        <w:t xml:space="preserve">Finally, partners should publish quarterly results on waiting times, referral completion, service-user experience, crisis escalation and outcomes such as wellbeing and daily independence. Results should be reviewed with residents and carers and </w:t>
      </w:r>
      <w:r w:rsidR="0028084F">
        <w:t>analyzed</w:t>
      </w:r>
      <w:r>
        <w:t xml:space="preserve"> to identify unequal access. This would show whether investment improves outcomes and which groups remain underserved. The approach reflects the NHS framework’s emphasis on person-</w:t>
      </w:r>
      <w:r w:rsidR="0028084F">
        <w:t>centered</w:t>
      </w:r>
      <w:r>
        <w:t>, integrated community support (NHS England and NHS Improvement and National Collaborating Centre for Mental Health, 2019).</w:t>
      </w:r>
    </w:p>
    <w:p w14:paraId="77966E66" w14:textId="77777777" w:rsidR="00DA745E" w:rsidRDefault="002347FB">
      <w:pPr>
        <w:pStyle w:val="Heading2"/>
      </w:pPr>
      <w:r>
        <w:rPr>
          <w:rFonts w:ascii="Arial" w:eastAsia="Arial" w:hAnsi="Arial"/>
        </w:rPr>
        <w:lastRenderedPageBreak/>
        <w:t>Conclusion</w:t>
      </w:r>
    </w:p>
    <w:p w14:paraId="61162A46" w14:textId="24CFBF7C" w:rsidR="00DA745E" w:rsidRDefault="002347FB">
      <w:r>
        <w:t xml:space="preserve">A shortage of community mental health support can undermine wellbeing, independence and family life while increasing pressure on crisis and hospital services. The Care Act 2014 does not make the council solely responsible for all mental health treatment, but its principles of wellbeing, prevention, integration and cooperation provide a basis for local leadership with NHS and community partners. Sandwell Council should assess local </w:t>
      </w:r>
      <w:r w:rsidR="0028084F">
        <w:t>needs</w:t>
      </w:r>
      <w:r>
        <w:t>, co-design accessible early support, plan sustainable capacity and monitor outcomes transparently. These actions would help Oldbury residents obtain appropriate support before difficulties escalate and participate more fully in community life.</w:t>
      </w:r>
    </w:p>
    <w:p w14:paraId="2A60BCF0" w14:textId="77777777" w:rsidR="00DA745E" w:rsidRDefault="002347FB">
      <w:r>
        <w:br w:type="page"/>
      </w:r>
    </w:p>
    <w:p w14:paraId="5C3D002E" w14:textId="77777777" w:rsidR="00DA745E" w:rsidRDefault="002347FB">
      <w:pPr>
        <w:pStyle w:val="Heading1"/>
      </w:pPr>
      <w:r>
        <w:rPr>
          <w:rFonts w:ascii="Arial" w:eastAsia="Arial" w:hAnsi="Arial"/>
        </w:rPr>
        <w:lastRenderedPageBreak/>
        <w:t>Task 2: Essay</w:t>
      </w:r>
    </w:p>
    <w:p w14:paraId="2B3CB902" w14:textId="77777777" w:rsidR="00DA745E" w:rsidRDefault="002347FB">
      <w:pPr>
        <w:pStyle w:val="Heading2"/>
      </w:pPr>
      <w:r>
        <w:rPr>
          <w:rFonts w:ascii="Arial" w:eastAsia="Arial" w:hAnsi="Arial"/>
        </w:rPr>
        <w:t>Pharmacy Services in the United Kingdom: History, Function and Significance</w:t>
      </w:r>
    </w:p>
    <w:p w14:paraId="53924277" w14:textId="77777777" w:rsidR="00DA745E" w:rsidRDefault="002347FB">
      <w:pPr>
        <w:pStyle w:val="Heading2"/>
      </w:pPr>
      <w:r>
        <w:rPr>
          <w:rFonts w:ascii="Arial" w:eastAsia="Arial" w:hAnsi="Arial"/>
        </w:rPr>
        <w:t>Introduction</w:t>
      </w:r>
    </w:p>
    <w:p w14:paraId="2D0CA6AC" w14:textId="6398967A" w:rsidR="00DA745E" w:rsidRDefault="002347FB">
      <w:r>
        <w:t xml:space="preserve">Pharmacy services help people obtain medicines safely and understand how to use them effectively. In the United Kingdom, pharmacy has developed from a trade focused on preparing and selling remedies into a regulated profession contributing to prevention, long-term condition management and treatment of some common illnesses. Community pharmacies are important because they </w:t>
      </w:r>
      <w:proofErr w:type="gramStart"/>
      <w:r>
        <w:t>are located in</w:t>
      </w:r>
      <w:proofErr w:type="gramEnd"/>
      <w:r>
        <w:t xml:space="preserve"> </w:t>
      </w:r>
      <w:r w:rsidR="0028084F">
        <w:t>neighborhoods</w:t>
      </w:r>
      <w:r>
        <w:t xml:space="preserve"> and often offer access without a GP appointment. This essay outlines the historical development of pharmacy, explains how community pharmacy operates in contemporary England, and critically evaluates its value and limitations for service users. The discussion of current NHS services focuses on England because arrangements differ across the UK.</w:t>
      </w:r>
    </w:p>
    <w:p w14:paraId="5962ED59" w14:textId="77777777" w:rsidR="00DA745E" w:rsidRDefault="002347FB">
      <w:pPr>
        <w:pStyle w:val="Heading2"/>
      </w:pPr>
      <w:r>
        <w:rPr>
          <w:rFonts w:ascii="Arial" w:eastAsia="Arial" w:hAnsi="Arial"/>
        </w:rPr>
        <w:t>Historical context and current function</w:t>
      </w:r>
    </w:p>
    <w:p w14:paraId="43385981" w14:textId="5BA04C89" w:rsidR="00DA745E" w:rsidRDefault="002347FB">
      <w:r>
        <w:t xml:space="preserve">Pharmacy’s modern professional history in Great Britain is often traced to the establishment of the Pharmaceutical Society in 1841. Before this, apothecaries and chemists and druggists supplied or prepared remedies, but education and standards varied. </w:t>
      </w:r>
      <w:r w:rsidR="0028084F">
        <w:t>Society</w:t>
      </w:r>
      <w:r>
        <w:t xml:space="preserve"> sought to strengthen professional education and status. Later legislation, particularly the Pharmacy and Poisons Act 1868, linked the sale of certain medicines and poisons to registration, helping establish clearer standards for safe practice (Anderson, 2008). These developments mattered because medicine quality and safe supply required knowledge, accountability and public confidence.</w:t>
      </w:r>
    </w:p>
    <w:p w14:paraId="63CE9276" w14:textId="77777777" w:rsidR="00DA745E" w:rsidRDefault="002347FB">
      <w:r>
        <w:t>The creation of the National Health Service in 1948 placed pharmacy within a publicly funded healthcare system and expanded access to prescribed medicines. Over time, industrial medicine production reduced the need for pharmacists to prepare every product themselves. Their work increasingly included checking prescriptions, advising patients and supporting safe medicine use. More recent policy has encouraged pharmacists to contribute to prevention and clinical services as well as dispensing. The profession h</w:t>
      </w:r>
      <w:r>
        <w:t>as therefore shifted from a predominantly product-focused role towards a broader patient-facing contribution.</w:t>
      </w:r>
    </w:p>
    <w:p w14:paraId="06D5A897" w14:textId="19F5FC18" w:rsidR="00DA745E" w:rsidRDefault="002347FB">
      <w:r>
        <w:t xml:space="preserve">Today, community pharmacies in England </w:t>
      </w:r>
      <w:r w:rsidR="005E5CDC">
        <w:t>dispense</w:t>
      </w:r>
      <w:r w:rsidR="007A51A3">
        <w:t>,</w:t>
      </w:r>
      <w:r>
        <w:t xml:space="preserve"> </w:t>
      </w:r>
      <w:r w:rsidR="003440BE">
        <w:t>advise</w:t>
      </w:r>
      <w:r>
        <w:t xml:space="preserve"> non-prescription medicines and support people with long-term conditions. Depending on the pharmacy and commissioning arrangements, services can include the New Medicine Service, blood-pressure checks, contraception support and </w:t>
      </w:r>
      <w:r w:rsidR="00253CAF">
        <w:t>quit smoking</w:t>
      </w:r>
      <w:r w:rsidR="005F1663">
        <w:t xml:space="preserve"> services.</w:t>
      </w:r>
      <w:r>
        <w:t xml:space="preserve"> NHS Pharmacy First enables participating pharmacies to assess patients for seven common conditions through </w:t>
      </w:r>
      <w:r>
        <w:t xml:space="preserve">defined clinical pathways </w:t>
      </w:r>
      <w:r>
        <w:lastRenderedPageBreak/>
        <w:t>and, where appropriate, provide advice or supply specified medicines without a separate GP appointment (NHS England, 2024; NHS England, 2025). Pharmacists must follow professional standards and clinical protocols, give safety-netting advice and refer patients elsewhere when symptoms suggest a serious condition.</w:t>
      </w:r>
    </w:p>
    <w:p w14:paraId="4DB155A9" w14:textId="77777777" w:rsidR="00DA745E" w:rsidRDefault="002347FB">
      <w:pPr>
        <w:pStyle w:val="Heading2"/>
      </w:pPr>
      <w:r>
        <w:rPr>
          <w:rFonts w:ascii="Arial" w:eastAsia="Arial" w:hAnsi="Arial"/>
        </w:rPr>
        <w:t>Critical evaluation and significance for service users</w:t>
      </w:r>
    </w:p>
    <w:p w14:paraId="27302610" w14:textId="7EC6C140" w:rsidR="00DA745E" w:rsidRDefault="002347FB">
      <w:r>
        <w:t xml:space="preserve">Community pharmacy’s main strength is convenience. Local premises may offer advice sooner than services requiring appointments. This helps with minor </w:t>
      </w:r>
      <w:r w:rsidR="003440BE">
        <w:t>illnesses</w:t>
      </w:r>
      <w:r>
        <w:t>, medicine queries and new prescriptions. Counselling can improve understanding, support appropriate medicine use and identify side effects or interactions. Reviews suggest pharmacist-led services can improve some outcomes, including measures linked to blood pressure and diabetes, although effects vary by service and study design (Yuan et al., 2019; Al-Babtain, Cheema and Hadi, 2022). Pharmacy First offers another route to timely care and may help general practice focus on patients needing GP assessment (NH</w:t>
      </w:r>
      <w:r>
        <w:t>S England, 2024).</w:t>
      </w:r>
    </w:p>
    <w:p w14:paraId="7D30FC57" w14:textId="7A7BE145" w:rsidR="00DA745E" w:rsidRDefault="002347FB">
      <w:r>
        <w:t xml:space="preserve">However, pharmacies cannot meet every need. Pharmacists may lack full access to medical records, while complex symptoms can require a GP or specialist. Safe information-sharing and referral pathways are essential. Research on UK pharmacy services identifies barriers to integration with general practice, including differing professional expectations and </w:t>
      </w:r>
      <w:r w:rsidR="00785E40">
        <w:t>organizational</w:t>
      </w:r>
      <w:r>
        <w:t xml:space="preserve"> arrangements (Hindi, Jacobs and Schafheutle, 2019). Expanding a service therefore does not automatically create joined-up care; professionals need clear responsibilities and reliable communication.</w:t>
      </w:r>
    </w:p>
    <w:p w14:paraId="5B4D8F36" w14:textId="77777777" w:rsidR="00DA745E" w:rsidRDefault="002347FB">
      <w:r>
        <w:t>Workforce and financial pressures also matter. Pharmacy teams balance consultations with dispensing, and low staffing can reduce time for counselling. Availability varies by location, opening hours and service participation. Housebound people, those with mobility or communication needs, and residents unable to travel may not benefit from walk-in access. Digital systems can improve information exchange but should not be the only route for people with limited digital access.</w:t>
      </w:r>
    </w:p>
    <w:p w14:paraId="497C0354" w14:textId="06CD9D34" w:rsidR="00DA745E" w:rsidRDefault="002347FB">
      <w:r>
        <w:t xml:space="preserve">Pharmacy is most effective within an integrated health system, not as a substitute for other services. NHS specifications require clinical pathways, </w:t>
      </w:r>
      <w:r w:rsidR="003D3DA9">
        <w:t>safety netting</w:t>
      </w:r>
      <w:r>
        <w:t xml:space="preserve"> and </w:t>
      </w:r>
      <w:r w:rsidR="00785E40">
        <w:t>referrals</w:t>
      </w:r>
      <w:r>
        <w:t xml:space="preserve"> when necessary (NHS England, 2025). Commissioners should support sustainable funding, adequate staffing, accessible premises and secure information-sharing. Evaluation should examine outcomes and fair access, not simply count consultations. These safeguards can turn local convenience into meaningful improvements in health and quality of life.</w:t>
      </w:r>
    </w:p>
    <w:p w14:paraId="359878E5" w14:textId="77777777" w:rsidR="00DA745E" w:rsidRDefault="002347FB">
      <w:pPr>
        <w:pStyle w:val="Heading2"/>
      </w:pPr>
      <w:r>
        <w:rPr>
          <w:rFonts w:ascii="Arial" w:eastAsia="Arial" w:hAnsi="Arial"/>
        </w:rPr>
        <w:lastRenderedPageBreak/>
        <w:t>Conclusion</w:t>
      </w:r>
    </w:p>
    <w:p w14:paraId="3562B8B1" w14:textId="77777777" w:rsidR="00DA745E" w:rsidRDefault="002347FB">
      <w:r>
        <w:t>Pharmacy has evolved from medicine preparation and supply into a broader contribution to healthcare. Community pharmacies now provide dispensing, medicine advice, prevention and selected clinical services, including Pharmacy First in England. Their accessibility can support safer medicine use and timely advice, and research indicates benefits for some clinical outcomes. Nevertheless, workforce pressures, variation in provision, limits to information access and barriers for some residents constrain their pot</w:t>
      </w:r>
      <w:r>
        <w:t>ential. Adequate resources and integration with general practice and other NHS services are necessary if pharmacy is to improve access and quality of life.</w:t>
      </w:r>
    </w:p>
    <w:p w14:paraId="27542D6D" w14:textId="77777777" w:rsidR="00DA745E" w:rsidRDefault="002347FB">
      <w:r>
        <w:br w:type="page"/>
      </w:r>
    </w:p>
    <w:p w14:paraId="635F813E" w14:textId="77777777" w:rsidR="00DA745E" w:rsidRDefault="002347FB">
      <w:pPr>
        <w:pStyle w:val="Heading1"/>
      </w:pPr>
      <w:r>
        <w:rPr>
          <w:rFonts w:ascii="Arial" w:eastAsia="Arial" w:hAnsi="Arial"/>
        </w:rPr>
        <w:lastRenderedPageBreak/>
        <w:t>Reference List</w:t>
      </w:r>
    </w:p>
    <w:p w14:paraId="61EE0EC6" w14:textId="4EB494C5" w:rsidR="00DA745E" w:rsidRDefault="002347FB">
      <w:pPr>
        <w:ind w:left="432" w:hanging="432"/>
      </w:pPr>
      <w:r>
        <w:t xml:space="preserve">Al-Babtain, B., Cheema, E. and Hadi, M.A. (2022) ‘Impact of community-pharmacist-led medication review programmes on patient outcomes: a systematic review and meta-analysis of </w:t>
      </w:r>
      <w:r w:rsidR="003D3DA9">
        <w:t>randomized</w:t>
      </w:r>
      <w:r>
        <w:t xml:space="preserve"> controlled trials’, Research in Social and Administrative Pharmacy, 18(4), pp. 2559–2568. Available at: </w:t>
      </w:r>
      <w:hyperlink r:id="rId8" w:history="1">
        <w:r w:rsidRPr="00AE2697">
          <w:rPr>
            <w:rStyle w:val="Hyperlink"/>
          </w:rPr>
          <w:t>https://doi.org/10.1016/j.sapharm.2021.04.022</w:t>
        </w:r>
      </w:hyperlink>
      <w:r w:rsidRPr="00C005C9">
        <w:rPr>
          <w:color w:val="4F81BD" w:themeColor="accent1"/>
        </w:rPr>
        <w:t xml:space="preserve"> </w:t>
      </w:r>
      <w:r>
        <w:t>(Accessed: 17 October 2026).</w:t>
      </w:r>
    </w:p>
    <w:p w14:paraId="04B9A750" w14:textId="7566129D" w:rsidR="00DA745E" w:rsidRDefault="002347FB">
      <w:pPr>
        <w:ind w:left="432" w:hanging="432"/>
      </w:pPr>
      <w:r>
        <w:t xml:space="preserve">Anderson, S. (2008) ‘Community pharmacy and public health in Great Britain, 1936 to 2006: how a phoenix rose from the ashes’, Journal of Epidemiology and Community Health, 62(6), pp. 472–477. Available at: </w:t>
      </w:r>
      <w:hyperlink r:id="rId9" w:history="1">
        <w:r w:rsidRPr="00AE2697">
          <w:rPr>
            <w:rStyle w:val="Hyperlink"/>
          </w:rPr>
          <w:t>https://pmc.ncbi.nlm.nih.gov/articles/PMC2652958/</w:t>
        </w:r>
      </w:hyperlink>
      <w:r w:rsidRPr="00C005C9">
        <w:rPr>
          <w:color w:val="4F81BD" w:themeColor="accent1"/>
        </w:rPr>
        <w:t xml:space="preserve"> </w:t>
      </w:r>
      <w:r>
        <w:t>(Accessed: 17 October 2026).</w:t>
      </w:r>
    </w:p>
    <w:p w14:paraId="61545252" w14:textId="61A4510B" w:rsidR="00DA745E" w:rsidRDefault="002347FB">
      <w:pPr>
        <w:ind w:left="432" w:hanging="432"/>
      </w:pPr>
      <w:r>
        <w:t xml:space="preserve">Care Act 2014, c. 23. Available at: </w:t>
      </w:r>
      <w:hyperlink r:id="rId10" w:history="1">
        <w:r w:rsidRPr="00AE2697">
          <w:rPr>
            <w:rStyle w:val="Hyperlink"/>
          </w:rPr>
          <w:t>https://www.legislation.gov.uk/ukpga/2014/23/contents</w:t>
        </w:r>
      </w:hyperlink>
      <w:r w:rsidRPr="00C005C9">
        <w:rPr>
          <w:color w:val="4F81BD" w:themeColor="accent1"/>
        </w:rPr>
        <w:t xml:space="preserve"> </w:t>
      </w:r>
      <w:r>
        <w:t>(Accessed: 17 October 2026).</w:t>
      </w:r>
    </w:p>
    <w:p w14:paraId="7AE6FEB5" w14:textId="572B1284" w:rsidR="00DA745E" w:rsidRDefault="002347FB">
      <w:pPr>
        <w:ind w:left="432" w:hanging="432"/>
      </w:pPr>
      <w:r>
        <w:t>Hindi, A.M.K., Jacobs, S. and Schafheutle, E.I. (</w:t>
      </w:r>
      <w:proofErr w:type="gramStart"/>
      <w:r>
        <w:t>2019) ‘</w:t>
      </w:r>
      <w:proofErr w:type="gramEnd"/>
      <w:r>
        <w:t xml:space="preserve">Solidarity or dissonance? A systematic review of pharmacist and GP views on community pharmacy services in the UK’, Health and Social Care in the Community, 27(3), pp. 565–598. Available at: </w:t>
      </w:r>
      <w:hyperlink r:id="rId11" w:history="1">
        <w:r w:rsidRPr="00AE2697">
          <w:rPr>
            <w:rStyle w:val="Hyperlink"/>
          </w:rPr>
          <w:t>https://doi.org/10.1111/hsc.12618</w:t>
        </w:r>
      </w:hyperlink>
      <w:r w:rsidRPr="00C005C9">
        <w:rPr>
          <w:color w:val="4F81BD" w:themeColor="accent1"/>
        </w:rPr>
        <w:t xml:space="preserve"> </w:t>
      </w:r>
      <w:r>
        <w:t>(Accessed: 17 October 2026).</w:t>
      </w:r>
    </w:p>
    <w:p w14:paraId="0AC66DAD" w14:textId="4B59CF51" w:rsidR="00DA745E" w:rsidRDefault="002347FB">
      <w:pPr>
        <w:ind w:left="432" w:hanging="432"/>
      </w:pPr>
      <w:r>
        <w:t xml:space="preserve">NHS England (2024) ‘Update on the Pharmacy First service’. Available at: </w:t>
      </w:r>
      <w:hyperlink r:id="rId12" w:history="1">
        <w:r w:rsidRPr="00AE2697">
          <w:rPr>
            <w:rStyle w:val="Hyperlink"/>
          </w:rPr>
          <w:t>https://www.england.nhs.uk/long-read/update-on-the-pharmacy-first-service/</w:t>
        </w:r>
      </w:hyperlink>
      <w:r w:rsidRPr="00C005C9">
        <w:rPr>
          <w:color w:val="4F81BD" w:themeColor="accent1"/>
        </w:rPr>
        <w:t xml:space="preserve"> </w:t>
      </w:r>
      <w:r>
        <w:t>(Accessed: 17 October 2026).</w:t>
      </w:r>
    </w:p>
    <w:p w14:paraId="796A4C80" w14:textId="0BB901D3" w:rsidR="00DA745E" w:rsidRDefault="002347FB">
      <w:pPr>
        <w:ind w:left="432" w:hanging="432"/>
      </w:pPr>
      <w:r>
        <w:t>NHS England (</w:t>
      </w:r>
      <w:r w:rsidR="00B43C2F">
        <w:t xml:space="preserve">2025) </w:t>
      </w:r>
      <w:r>
        <w:t xml:space="preserve">Community pharmacy advanced service specification: NHS Pharmacy First Service’. Available at: </w:t>
      </w:r>
      <w:hyperlink r:id="rId13" w:history="1">
        <w:r w:rsidRPr="00AE2697">
          <w:rPr>
            <w:rStyle w:val="Hyperlink"/>
          </w:rPr>
          <w:t>https://www.england.nhs.uk/publication/community-pharmacy-advanced-service-specification-nhs-pharmacy-first-service/</w:t>
        </w:r>
      </w:hyperlink>
      <w:r w:rsidRPr="002E172A">
        <w:rPr>
          <w:color w:val="4F81BD" w:themeColor="accent1"/>
        </w:rPr>
        <w:t xml:space="preserve"> </w:t>
      </w:r>
      <w:r>
        <w:t>(Accessed: 17 October 2026).</w:t>
      </w:r>
    </w:p>
    <w:p w14:paraId="7E05D5B7" w14:textId="13460D1D" w:rsidR="00DA745E" w:rsidRDefault="002347FB">
      <w:pPr>
        <w:ind w:left="432" w:hanging="432"/>
      </w:pPr>
      <w:r>
        <w:t xml:space="preserve">NHS England and NHS Improvement and National Collaborating Centre for Mental Health (2019) The community mental health framework for adults and older adults. Available at: </w:t>
      </w:r>
      <w:hyperlink r:id="rId14" w:history="1">
        <w:r w:rsidRPr="00AE2697">
          <w:rPr>
            <w:rStyle w:val="Hyperlink"/>
          </w:rPr>
          <w:t>https://www.england.nhs.uk/publication/the-community-mental-health-framework-for-adults-and-older-adults/</w:t>
        </w:r>
      </w:hyperlink>
      <w:r w:rsidRPr="00BA01F0">
        <w:rPr>
          <w:color w:val="4F81BD" w:themeColor="accent1"/>
        </w:rPr>
        <w:t xml:space="preserve"> </w:t>
      </w:r>
      <w:r>
        <w:t>(Accessed: 17 October 2026).</w:t>
      </w:r>
    </w:p>
    <w:p w14:paraId="40E4BA34" w14:textId="068F405E" w:rsidR="00DA745E" w:rsidRDefault="002347FB">
      <w:pPr>
        <w:ind w:left="432" w:hanging="432"/>
      </w:pPr>
      <w:r>
        <w:t>Sandwell Council (n.d</w:t>
      </w:r>
      <w:r w:rsidR="00B43C2F">
        <w:t xml:space="preserve">.) </w:t>
      </w:r>
      <w:r>
        <w:t xml:space="preserve">Oldbury Ward’. Available at: </w:t>
      </w:r>
      <w:hyperlink r:id="rId15" w:history="1">
        <w:r w:rsidRPr="00AE2697">
          <w:rPr>
            <w:rStyle w:val="Hyperlink"/>
          </w:rPr>
          <w:t>https://www.sandwell.gov.uk/Neighbourhoods/oldbury-ward</w:t>
        </w:r>
      </w:hyperlink>
      <w:r w:rsidRPr="00BA01F0">
        <w:rPr>
          <w:color w:val="4F81BD" w:themeColor="accent1"/>
        </w:rPr>
        <w:t xml:space="preserve"> </w:t>
      </w:r>
      <w:r>
        <w:t>(Accessed: 17 October 2026).</w:t>
      </w:r>
    </w:p>
    <w:p w14:paraId="21C825F3" w14:textId="2C8E8C3F" w:rsidR="00DA745E" w:rsidRDefault="002347FB">
      <w:pPr>
        <w:ind w:left="432" w:hanging="432"/>
      </w:pPr>
      <w:r>
        <w:t xml:space="preserve">Yuan, C. et al. (2019) ‘Clinical outcomes of community pharmacy services: a systematic review and meta-analysis’, Health and Social Care in the Community, 27(5), pp. e567–e587. Available at: </w:t>
      </w:r>
      <w:hyperlink r:id="rId16" w:history="1">
        <w:r w:rsidRPr="008F5A03">
          <w:rPr>
            <w:rStyle w:val="Hyperlink"/>
          </w:rPr>
          <w:t>https://doi.org/10.1111/hsc.12794</w:t>
        </w:r>
      </w:hyperlink>
      <w:r w:rsidRPr="00BA01F0">
        <w:rPr>
          <w:color w:val="4F81BD" w:themeColor="accent1"/>
        </w:rPr>
        <w:t xml:space="preserve"> </w:t>
      </w:r>
      <w:r>
        <w:t>(Accessed: 17 October 2026).</w:t>
      </w:r>
    </w:p>
    <w:p w14:paraId="16649294" w14:textId="2602A761" w:rsidR="00DA745E" w:rsidRDefault="00DA745E"/>
    <w:sectPr w:rsidR="00DA745E" w:rsidSect="00034616">
      <w:footerReference w:type="default" r:id="rId17"/>
      <w:pgSz w:w="12240" w:h="15840"/>
      <w:pgMar w:top="1152" w:right="1440" w:bottom="1152"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853771" w14:textId="77777777" w:rsidR="002347FB" w:rsidRDefault="002347FB">
      <w:pPr>
        <w:spacing w:after="0" w:line="240" w:lineRule="auto"/>
      </w:pPr>
      <w:r>
        <w:separator/>
      </w:r>
    </w:p>
  </w:endnote>
  <w:endnote w:type="continuationSeparator" w:id="0">
    <w:p w14:paraId="44C05011" w14:textId="77777777" w:rsidR="002347FB" w:rsidRDefault="002347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AC98DB" w14:textId="1DEB7B3B" w:rsidR="00DA745E" w:rsidRDefault="002347FB">
    <w:pPr>
      <w:pStyle w:val="Footer"/>
      <w:jc w:val="center"/>
    </w:pPr>
    <w:r>
      <w:fldChar w:fldCharType="begin"/>
    </w:r>
    <w:r>
      <w:instrText xml:space="preserve"> PAGE </w:instrText>
    </w:r>
    <w:r>
      <w:fldChar w:fldCharType="separate"/>
    </w:r>
    <w:r w:rsidR="006F5DA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B21C70" w14:textId="77777777" w:rsidR="002347FB" w:rsidRDefault="002347FB">
      <w:pPr>
        <w:spacing w:after="0" w:line="240" w:lineRule="auto"/>
      </w:pPr>
      <w:r>
        <w:separator/>
      </w:r>
    </w:p>
  </w:footnote>
  <w:footnote w:type="continuationSeparator" w:id="0">
    <w:p w14:paraId="7B2FE5D1" w14:textId="77777777" w:rsidR="002347FB" w:rsidRDefault="002347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583808350">
    <w:abstractNumId w:val="8"/>
  </w:num>
  <w:num w:numId="2" w16cid:durableId="918640653">
    <w:abstractNumId w:val="6"/>
  </w:num>
  <w:num w:numId="3" w16cid:durableId="508064068">
    <w:abstractNumId w:val="5"/>
  </w:num>
  <w:num w:numId="4" w16cid:durableId="1480807432">
    <w:abstractNumId w:val="4"/>
  </w:num>
  <w:num w:numId="5" w16cid:durableId="1074159691">
    <w:abstractNumId w:val="7"/>
  </w:num>
  <w:num w:numId="6" w16cid:durableId="1913154754">
    <w:abstractNumId w:val="3"/>
  </w:num>
  <w:num w:numId="7" w16cid:durableId="1564368570">
    <w:abstractNumId w:val="2"/>
  </w:num>
  <w:num w:numId="8" w16cid:durableId="216547156">
    <w:abstractNumId w:val="1"/>
  </w:num>
  <w:num w:numId="9" w16cid:durableId="20796722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85F4A"/>
    <w:rsid w:val="000B0FA1"/>
    <w:rsid w:val="000F1E94"/>
    <w:rsid w:val="0015074B"/>
    <w:rsid w:val="001C73A4"/>
    <w:rsid w:val="001D7E08"/>
    <w:rsid w:val="002347FB"/>
    <w:rsid w:val="00253CAF"/>
    <w:rsid w:val="0028084F"/>
    <w:rsid w:val="0029639D"/>
    <w:rsid w:val="002E172A"/>
    <w:rsid w:val="00326F90"/>
    <w:rsid w:val="003440BE"/>
    <w:rsid w:val="003A70AB"/>
    <w:rsid w:val="003D3DA9"/>
    <w:rsid w:val="00514C7A"/>
    <w:rsid w:val="00583687"/>
    <w:rsid w:val="005E0303"/>
    <w:rsid w:val="005E145F"/>
    <w:rsid w:val="005E5CDC"/>
    <w:rsid w:val="005F1663"/>
    <w:rsid w:val="006F5DA5"/>
    <w:rsid w:val="007509AE"/>
    <w:rsid w:val="00785E40"/>
    <w:rsid w:val="007A51A3"/>
    <w:rsid w:val="008F5A03"/>
    <w:rsid w:val="009554EB"/>
    <w:rsid w:val="00AA1D8D"/>
    <w:rsid w:val="00AE2697"/>
    <w:rsid w:val="00B43C2F"/>
    <w:rsid w:val="00B47730"/>
    <w:rsid w:val="00B846EC"/>
    <w:rsid w:val="00BA01F0"/>
    <w:rsid w:val="00C005C9"/>
    <w:rsid w:val="00CB0664"/>
    <w:rsid w:val="00D40E6B"/>
    <w:rsid w:val="00DA745E"/>
    <w:rsid w:val="00E00946"/>
    <w:rsid w:val="00E91B8F"/>
    <w:rsid w:val="00F92F1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22BFD3C0-609C-44C7-9952-331074809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AE2697"/>
    <w:rPr>
      <w:color w:val="0000FF" w:themeColor="hyperlink"/>
      <w:u w:val="single"/>
    </w:rPr>
  </w:style>
  <w:style w:type="character" w:styleId="UnresolvedMention">
    <w:name w:val="Unresolved Mention"/>
    <w:basedOn w:val="DefaultParagraphFont"/>
    <w:uiPriority w:val="99"/>
    <w:semiHidden/>
    <w:unhideWhenUsed/>
    <w:rsid w:val="00AE26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sapharm.2021.04.022%20" TargetMode="External"/><Relationship Id="rId13" Type="http://schemas.openxmlformats.org/officeDocument/2006/relationships/hyperlink" Target="https://www.england.nhs.uk/publication/community-pharmacy-advanced-service-specification-nhs-pharmacy-first-service/%20"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long-read/update-on-the-pharmacy-first-service/%2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111/hsc.12794%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hsc.12618%20" TargetMode="External"/><Relationship Id="rId5" Type="http://schemas.openxmlformats.org/officeDocument/2006/relationships/webSettings" Target="webSettings.xml"/><Relationship Id="rId15" Type="http://schemas.openxmlformats.org/officeDocument/2006/relationships/hyperlink" Target="https://www.sandwell.gov.uk/Neighbourhoods/oldbury-ward%20" TargetMode="External"/><Relationship Id="rId10" Type="http://schemas.openxmlformats.org/officeDocument/2006/relationships/hyperlink" Target="https://www.legislation.gov.uk/ukpga/2014/23/contents%2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pmc.ncbi.nlm.nih.gov/articles/PMC2652958/%20" TargetMode="External"/><Relationship Id="rId14" Type="http://schemas.openxmlformats.org/officeDocument/2006/relationships/hyperlink" Target="https://www.england.nhs.uk/publication/the-community-mental-health-framework-for-adults-and-older-adults/%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2264</Words>
  <Characters>12908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15142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michelle Finnegan</cp:lastModifiedBy>
  <cp:revision>2</cp:revision>
  <dcterms:created xsi:type="dcterms:W3CDTF">2026-10-18T22:11:00Z</dcterms:created>
  <dcterms:modified xsi:type="dcterms:W3CDTF">2026-10-18T22:11:00Z</dcterms:modified>
  <cp:category/>
</cp:coreProperties>
</file>