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B52B4" w:rsidRPr="00B75BF1" w14:paraId="7662673C" w14:textId="77777777" w:rsidTr="00FB52B4">
        <w:trPr>
          <w:jc w:val="center"/>
        </w:trPr>
        <w:tc>
          <w:tcPr>
            <w:tcW w:w="2093" w:type="dxa"/>
            <w:shd w:val="clear" w:color="auto" w:fill="auto"/>
            <w:vAlign w:val="center"/>
          </w:tcPr>
          <w:p w14:paraId="24D72963"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Student name:</w:t>
            </w:r>
          </w:p>
        </w:tc>
        <w:tc>
          <w:tcPr>
            <w:tcW w:w="3293" w:type="dxa"/>
            <w:vAlign w:val="center"/>
          </w:tcPr>
          <w:p w14:paraId="6D5B72B6" w14:textId="1A4E4FE8" w:rsidR="00FB52B4" w:rsidRPr="00B75BF1" w:rsidRDefault="00FB52B4" w:rsidP="0061369F">
            <w:pPr>
              <w:spacing w:before="120" w:after="120"/>
              <w:rPr>
                <w:rFonts w:ascii="Arial" w:hAnsi="Arial" w:cs="Arial"/>
                <w:b/>
                <w:sz w:val="22"/>
              </w:rPr>
            </w:pPr>
            <w:r w:rsidRPr="00B75BF1">
              <w:rPr>
                <w:rFonts w:ascii="Arial" w:hAnsi="Arial" w:cs="Arial"/>
                <w:b/>
                <w:sz w:val="22"/>
              </w:rPr>
              <w:fldChar w:fldCharType="begin">
                <w:ffData>
                  <w:name w:val="Text2"/>
                  <w:enabled/>
                  <w:calcOnExit w:val="0"/>
                  <w:textInput/>
                </w:ffData>
              </w:fldChar>
            </w:r>
            <w:r w:rsidRPr="00B75BF1">
              <w:rPr>
                <w:rFonts w:ascii="Arial" w:hAnsi="Arial" w:cs="Arial"/>
                <w:b/>
                <w:sz w:val="22"/>
              </w:rPr>
              <w:instrText xml:space="preserve"> FORMTEXT </w:instrText>
            </w:r>
            <w:r w:rsidRPr="00B75BF1">
              <w:rPr>
                <w:rFonts w:ascii="Arial" w:hAnsi="Arial" w:cs="Arial"/>
                <w:b/>
                <w:sz w:val="22"/>
              </w:rPr>
            </w:r>
            <w:r w:rsidRPr="00B75BF1">
              <w:rPr>
                <w:rFonts w:ascii="Arial" w:hAnsi="Arial" w:cs="Arial"/>
                <w:b/>
                <w:sz w:val="22"/>
              </w:rPr>
              <w:fldChar w:fldCharType="separate"/>
            </w:r>
            <w:r w:rsidRPr="00B75BF1">
              <w:rPr>
                <w:rFonts w:ascii="Arial" w:hAnsi="Arial" w:cs="Arial"/>
                <w:b/>
                <w:noProof/>
                <w:sz w:val="22"/>
              </w:rPr>
              <w:t> </w:t>
            </w:r>
            <w:r w:rsidRPr="00B75BF1">
              <w:rPr>
                <w:rFonts w:ascii="Arial" w:hAnsi="Arial" w:cs="Arial"/>
                <w:b/>
                <w:noProof/>
                <w:sz w:val="22"/>
              </w:rPr>
              <w:t> </w:t>
            </w:r>
            <w:r w:rsidRPr="00B75BF1">
              <w:rPr>
                <w:rFonts w:ascii="Arial" w:hAnsi="Arial" w:cs="Arial"/>
                <w:b/>
                <w:noProof/>
                <w:sz w:val="22"/>
              </w:rPr>
              <w:t> </w:t>
            </w:r>
            <w:r w:rsidRPr="00B75BF1">
              <w:rPr>
                <w:rFonts w:ascii="Arial" w:hAnsi="Arial" w:cs="Arial"/>
                <w:b/>
                <w:noProof/>
                <w:sz w:val="22"/>
              </w:rPr>
              <w:t> </w:t>
            </w:r>
            <w:r w:rsidRPr="00B75BF1">
              <w:rPr>
                <w:rFonts w:ascii="Arial" w:hAnsi="Arial" w:cs="Arial"/>
                <w:b/>
                <w:noProof/>
                <w:sz w:val="22"/>
              </w:rPr>
              <w:t> </w:t>
            </w:r>
            <w:r w:rsidRPr="00B75BF1">
              <w:rPr>
                <w:rFonts w:ascii="Arial" w:hAnsi="Arial" w:cs="Arial"/>
                <w:b/>
                <w:sz w:val="22"/>
              </w:rPr>
              <w:fldChar w:fldCharType="end"/>
            </w:r>
            <w:r w:rsidRPr="00B75BF1">
              <w:rPr>
                <w:rFonts w:ascii="Arial" w:hAnsi="Arial" w:cs="Arial"/>
                <w:b/>
                <w:sz w:val="22"/>
              </w:rPr>
              <w:t>Umair Ali</w:t>
            </w:r>
          </w:p>
        </w:tc>
        <w:tc>
          <w:tcPr>
            <w:tcW w:w="2268" w:type="dxa"/>
            <w:shd w:val="clear" w:color="auto" w:fill="D9D9D9" w:themeFill="background1" w:themeFillShade="D9"/>
            <w:vAlign w:val="center"/>
          </w:tcPr>
          <w:p w14:paraId="684C8F59"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Student ID number:</w:t>
            </w:r>
          </w:p>
        </w:tc>
        <w:tc>
          <w:tcPr>
            <w:tcW w:w="2268" w:type="dxa"/>
            <w:vAlign w:val="center"/>
          </w:tcPr>
          <w:p w14:paraId="5C244470" w14:textId="77777777" w:rsidR="00FB52B4" w:rsidRPr="00B75BF1" w:rsidRDefault="00FB52B4" w:rsidP="0061369F">
            <w:pPr>
              <w:spacing w:before="120" w:after="120"/>
              <w:rPr>
                <w:rFonts w:ascii="Arial" w:hAnsi="Arial" w:cs="Arial"/>
                <w:b/>
                <w:sz w:val="22"/>
              </w:rPr>
            </w:pPr>
          </w:p>
        </w:tc>
      </w:tr>
      <w:tr w:rsidR="00FB52B4" w:rsidRPr="00B75BF1" w14:paraId="7E742152" w14:textId="77777777" w:rsidTr="00FB52B4">
        <w:trPr>
          <w:jc w:val="center"/>
        </w:trPr>
        <w:tc>
          <w:tcPr>
            <w:tcW w:w="2093" w:type="dxa"/>
            <w:shd w:val="clear" w:color="auto" w:fill="auto"/>
            <w:vAlign w:val="center"/>
          </w:tcPr>
          <w:p w14:paraId="381F4DE0"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Programme:</w:t>
            </w:r>
          </w:p>
        </w:tc>
        <w:tc>
          <w:tcPr>
            <w:tcW w:w="7829" w:type="dxa"/>
            <w:gridSpan w:val="3"/>
            <w:vAlign w:val="center"/>
          </w:tcPr>
          <w:p w14:paraId="23FB6591"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Master of Business Administration</w:t>
            </w:r>
          </w:p>
        </w:tc>
      </w:tr>
      <w:tr w:rsidR="00FB52B4" w:rsidRPr="00B75BF1" w14:paraId="6795451C" w14:textId="77777777" w:rsidTr="00FB52B4">
        <w:trPr>
          <w:jc w:val="center"/>
        </w:trPr>
        <w:tc>
          <w:tcPr>
            <w:tcW w:w="2093" w:type="dxa"/>
            <w:shd w:val="clear" w:color="auto" w:fill="auto"/>
            <w:vAlign w:val="center"/>
          </w:tcPr>
          <w:p w14:paraId="482F4917"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Module:</w:t>
            </w:r>
          </w:p>
        </w:tc>
        <w:tc>
          <w:tcPr>
            <w:tcW w:w="7829" w:type="dxa"/>
            <w:gridSpan w:val="3"/>
            <w:vAlign w:val="center"/>
          </w:tcPr>
          <w:p w14:paraId="5913CC66"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International Business Concepts</w:t>
            </w:r>
          </w:p>
        </w:tc>
      </w:tr>
      <w:tr w:rsidR="00FB52B4" w:rsidRPr="00B75BF1" w14:paraId="3A851A9C" w14:textId="77777777" w:rsidTr="00FB52B4">
        <w:trPr>
          <w:jc w:val="center"/>
        </w:trPr>
        <w:tc>
          <w:tcPr>
            <w:tcW w:w="2093" w:type="dxa"/>
            <w:shd w:val="clear" w:color="auto" w:fill="auto"/>
            <w:vAlign w:val="center"/>
          </w:tcPr>
          <w:p w14:paraId="64893E21"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Module code:</w:t>
            </w:r>
          </w:p>
        </w:tc>
        <w:tc>
          <w:tcPr>
            <w:tcW w:w="3293" w:type="dxa"/>
            <w:vAlign w:val="center"/>
          </w:tcPr>
          <w:p w14:paraId="0021549B"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LCMB7034</w:t>
            </w:r>
          </w:p>
        </w:tc>
        <w:tc>
          <w:tcPr>
            <w:tcW w:w="2268" w:type="dxa"/>
            <w:shd w:val="clear" w:color="auto" w:fill="D9D9D9" w:themeFill="background1" w:themeFillShade="D9"/>
            <w:vAlign w:val="center"/>
          </w:tcPr>
          <w:p w14:paraId="19B75EE8" w14:textId="77777777" w:rsidR="00FB52B4" w:rsidRPr="00B75BF1" w:rsidRDefault="00FB52B4" w:rsidP="0061369F">
            <w:pPr>
              <w:pStyle w:val="Heading2"/>
              <w:jc w:val="left"/>
              <w:rPr>
                <w:rFonts w:ascii="Arial" w:hAnsi="Arial" w:cs="Arial"/>
                <w:sz w:val="22"/>
                <w:szCs w:val="22"/>
              </w:rPr>
            </w:pPr>
            <w:r w:rsidRPr="00B75BF1">
              <w:rPr>
                <w:rFonts w:ascii="Arial" w:hAnsi="Arial" w:cs="Arial"/>
                <w:sz w:val="22"/>
                <w:szCs w:val="22"/>
              </w:rPr>
              <w:t>Contribution to Overall Module Assessment (%):</w:t>
            </w:r>
          </w:p>
        </w:tc>
        <w:tc>
          <w:tcPr>
            <w:tcW w:w="2268" w:type="dxa"/>
            <w:vAlign w:val="center"/>
          </w:tcPr>
          <w:p w14:paraId="2AC09E49"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100%</w:t>
            </w:r>
          </w:p>
        </w:tc>
      </w:tr>
      <w:tr w:rsidR="00FB52B4" w:rsidRPr="00B75BF1" w14:paraId="3E077EE3" w14:textId="77777777" w:rsidTr="00FB52B4">
        <w:trPr>
          <w:jc w:val="center"/>
        </w:trPr>
        <w:tc>
          <w:tcPr>
            <w:tcW w:w="2093" w:type="dxa"/>
            <w:shd w:val="clear" w:color="auto" w:fill="auto"/>
            <w:vAlign w:val="center"/>
          </w:tcPr>
          <w:p w14:paraId="1F5AB8A7"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Lecturer:</w:t>
            </w:r>
          </w:p>
        </w:tc>
        <w:tc>
          <w:tcPr>
            <w:tcW w:w="3293" w:type="dxa"/>
            <w:vAlign w:val="center"/>
          </w:tcPr>
          <w:p w14:paraId="766A9A4F"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Akshay Narayanan</w:t>
            </w:r>
          </w:p>
        </w:tc>
        <w:tc>
          <w:tcPr>
            <w:tcW w:w="2268" w:type="dxa"/>
            <w:shd w:val="clear" w:color="auto" w:fill="D9D9D9" w:themeFill="background1" w:themeFillShade="D9"/>
            <w:vAlign w:val="center"/>
          </w:tcPr>
          <w:p w14:paraId="72AEB904"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Internal Verifier:</w:t>
            </w:r>
          </w:p>
        </w:tc>
        <w:tc>
          <w:tcPr>
            <w:tcW w:w="2268" w:type="dxa"/>
            <w:vAlign w:val="center"/>
          </w:tcPr>
          <w:p w14:paraId="33FCB315"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 xml:space="preserve">Vasilios </w:t>
            </w:r>
            <w:proofErr w:type="spellStart"/>
            <w:r w:rsidRPr="00B75BF1">
              <w:rPr>
                <w:rFonts w:ascii="Arial" w:hAnsi="Arial" w:cs="Arial"/>
                <w:b/>
                <w:sz w:val="22"/>
              </w:rPr>
              <w:t>Tavlaridis</w:t>
            </w:r>
            <w:proofErr w:type="spellEnd"/>
          </w:p>
          <w:p w14:paraId="006F0460"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Hoang Nguyen</w:t>
            </w:r>
          </w:p>
        </w:tc>
      </w:tr>
      <w:tr w:rsidR="00FB52B4" w:rsidRPr="00B75BF1" w14:paraId="6A9B14A9" w14:textId="77777777" w:rsidTr="00FB52B4">
        <w:trPr>
          <w:jc w:val="center"/>
        </w:trPr>
        <w:tc>
          <w:tcPr>
            <w:tcW w:w="2093" w:type="dxa"/>
            <w:shd w:val="clear" w:color="auto" w:fill="auto"/>
            <w:vAlign w:val="center"/>
          </w:tcPr>
          <w:p w14:paraId="409BA428"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Assignment Title:</w:t>
            </w:r>
          </w:p>
        </w:tc>
        <w:tc>
          <w:tcPr>
            <w:tcW w:w="3293" w:type="dxa"/>
            <w:vAlign w:val="center"/>
          </w:tcPr>
          <w:p w14:paraId="2DF561BB"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Report</w:t>
            </w:r>
          </w:p>
        </w:tc>
        <w:tc>
          <w:tcPr>
            <w:tcW w:w="2268" w:type="dxa"/>
            <w:shd w:val="clear" w:color="auto" w:fill="auto"/>
            <w:vAlign w:val="center"/>
          </w:tcPr>
          <w:p w14:paraId="39B31C8C"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Word count (or equivalent):</w:t>
            </w:r>
          </w:p>
        </w:tc>
        <w:tc>
          <w:tcPr>
            <w:tcW w:w="2268" w:type="dxa"/>
            <w:vAlign w:val="center"/>
          </w:tcPr>
          <w:p w14:paraId="275B09FE"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5,000 (± 10%)</w:t>
            </w:r>
          </w:p>
        </w:tc>
      </w:tr>
      <w:tr w:rsidR="00FB52B4" w:rsidRPr="00B75BF1" w14:paraId="13539CE2" w14:textId="77777777" w:rsidTr="00FB52B4">
        <w:trPr>
          <w:jc w:val="center"/>
        </w:trPr>
        <w:tc>
          <w:tcPr>
            <w:tcW w:w="2093" w:type="dxa"/>
            <w:shd w:val="clear" w:color="auto" w:fill="auto"/>
            <w:vAlign w:val="center"/>
          </w:tcPr>
          <w:p w14:paraId="5A748ADC"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Submission deadline:</w:t>
            </w:r>
          </w:p>
        </w:tc>
        <w:tc>
          <w:tcPr>
            <w:tcW w:w="3293" w:type="dxa"/>
            <w:vAlign w:val="center"/>
          </w:tcPr>
          <w:p w14:paraId="43FFF03D" w14:textId="77777777" w:rsidR="00FB52B4" w:rsidRPr="00B75BF1" w:rsidRDefault="00FB52B4" w:rsidP="0061369F">
            <w:pPr>
              <w:spacing w:line="360" w:lineRule="auto"/>
              <w:rPr>
                <w:rFonts w:ascii="Arial" w:hAnsi="Arial" w:cs="Arial"/>
                <w:b/>
                <w:bCs/>
                <w:sz w:val="22"/>
              </w:rPr>
            </w:pPr>
            <w:r w:rsidRPr="00B75BF1">
              <w:rPr>
                <w:rFonts w:ascii="Arial" w:hAnsi="Arial" w:cs="Arial"/>
                <w:b/>
                <w:bCs/>
                <w:sz w:val="22"/>
              </w:rPr>
              <w:t>Friday 20/03/2026 by 2pm</w:t>
            </w:r>
          </w:p>
        </w:tc>
        <w:tc>
          <w:tcPr>
            <w:tcW w:w="2268" w:type="dxa"/>
            <w:shd w:val="clear" w:color="auto" w:fill="auto"/>
            <w:vAlign w:val="center"/>
          </w:tcPr>
          <w:p w14:paraId="4CB03797" w14:textId="77777777" w:rsidR="00FB52B4" w:rsidRPr="00B75BF1" w:rsidRDefault="00FB52B4" w:rsidP="0061369F">
            <w:pPr>
              <w:spacing w:before="120" w:after="120"/>
              <w:rPr>
                <w:rFonts w:ascii="Arial" w:hAnsi="Arial" w:cs="Arial"/>
                <w:b/>
                <w:sz w:val="22"/>
              </w:rPr>
            </w:pPr>
            <w:r w:rsidRPr="00B75BF1">
              <w:rPr>
                <w:rFonts w:ascii="Arial" w:hAnsi="Arial" w:cs="Arial"/>
                <w:b/>
                <w:sz w:val="22"/>
              </w:rPr>
              <w:t>Return date of provisional marks &amp; written feedback:</w:t>
            </w:r>
          </w:p>
        </w:tc>
        <w:tc>
          <w:tcPr>
            <w:tcW w:w="2268" w:type="dxa"/>
            <w:vAlign w:val="center"/>
          </w:tcPr>
          <w:p w14:paraId="1F51771F" w14:textId="77777777" w:rsidR="00FB52B4" w:rsidRPr="00B75BF1" w:rsidRDefault="00FB52B4" w:rsidP="0061369F">
            <w:pPr>
              <w:spacing w:before="120" w:after="120"/>
              <w:rPr>
                <w:rFonts w:ascii="Arial" w:hAnsi="Arial" w:cs="Arial"/>
                <w:b/>
                <w:bCs/>
                <w:sz w:val="22"/>
              </w:rPr>
            </w:pPr>
            <w:r w:rsidRPr="00B75BF1">
              <w:rPr>
                <w:rFonts w:ascii="Arial" w:hAnsi="Arial" w:cs="Arial"/>
                <w:b/>
                <w:bCs/>
                <w:sz w:val="22"/>
              </w:rPr>
              <w:t>24/04/2026</w:t>
            </w:r>
          </w:p>
        </w:tc>
      </w:tr>
    </w:tbl>
    <w:p w14:paraId="1C644662" w14:textId="5F24E7E0" w:rsidR="000E3651" w:rsidRPr="00B75BF1" w:rsidRDefault="000E3651" w:rsidP="00FB52B4">
      <w:pPr>
        <w:jc w:val="center"/>
      </w:pPr>
      <w:r w:rsidRPr="00B75BF1">
        <w:br w:type="page"/>
      </w:r>
    </w:p>
    <w:sdt>
      <w:sdtPr>
        <w:rPr>
          <w:rFonts w:asciiTheme="majorBidi" w:eastAsiaTheme="minorHAnsi" w:hAnsiTheme="majorBidi" w:cstheme="minorBidi"/>
          <w:color w:val="auto"/>
          <w:sz w:val="24"/>
          <w:szCs w:val="22"/>
          <w:lang w:val="en-IN"/>
        </w:rPr>
        <w:id w:val="666671977"/>
        <w:docPartObj>
          <w:docPartGallery w:val="Table of Contents"/>
          <w:docPartUnique/>
        </w:docPartObj>
      </w:sdtPr>
      <w:sdtEndPr>
        <w:rPr>
          <w:b/>
          <w:bCs/>
          <w:noProof/>
        </w:rPr>
      </w:sdtEndPr>
      <w:sdtContent>
        <w:p w14:paraId="7C286063" w14:textId="5F8DA532" w:rsidR="00FF6E1E" w:rsidRPr="00B75BF1" w:rsidRDefault="00FF6E1E">
          <w:pPr>
            <w:pStyle w:val="TOCHeading"/>
          </w:pPr>
          <w:r w:rsidRPr="00B75BF1">
            <w:t>Table of Contents</w:t>
          </w:r>
        </w:p>
        <w:p w14:paraId="72FE1E32" w14:textId="64FDDCCD" w:rsidR="00FF6E1E" w:rsidRPr="00B75BF1" w:rsidRDefault="00FF6E1E">
          <w:pPr>
            <w:pStyle w:val="TOC1"/>
            <w:tabs>
              <w:tab w:val="right" w:leader="dot" w:pos="9016"/>
            </w:tabs>
            <w:rPr>
              <w:rFonts w:asciiTheme="minorHAnsi" w:eastAsiaTheme="minorEastAsia" w:hAnsiTheme="minorHAnsi"/>
              <w:noProof/>
              <w:sz w:val="22"/>
              <w:lang w:val="en-US"/>
            </w:rPr>
          </w:pPr>
          <w:r w:rsidRPr="00B75BF1">
            <w:fldChar w:fldCharType="begin"/>
          </w:r>
          <w:r w:rsidRPr="00B75BF1">
            <w:instrText xml:space="preserve"> TOC \o "1-3" \h \z \u </w:instrText>
          </w:r>
          <w:r w:rsidRPr="00B75BF1">
            <w:fldChar w:fldCharType="separate"/>
          </w:r>
          <w:hyperlink w:anchor="_Toc224049957" w:history="1">
            <w:r w:rsidRPr="00B75BF1">
              <w:rPr>
                <w:rStyle w:val="Hyperlink"/>
                <w:noProof/>
              </w:rPr>
              <w:t>SECTION 1 — INTERNATIONAL BUSINESS REPORT</w:t>
            </w:r>
            <w:r w:rsidRPr="00B75BF1">
              <w:rPr>
                <w:noProof/>
                <w:webHidden/>
              </w:rPr>
              <w:tab/>
            </w:r>
            <w:r w:rsidRPr="00B75BF1">
              <w:rPr>
                <w:noProof/>
                <w:webHidden/>
              </w:rPr>
              <w:fldChar w:fldCharType="begin"/>
            </w:r>
            <w:r w:rsidRPr="00B75BF1">
              <w:rPr>
                <w:noProof/>
                <w:webHidden/>
              </w:rPr>
              <w:instrText xml:space="preserve"> PAGEREF _Toc224049957 \h </w:instrText>
            </w:r>
            <w:r w:rsidRPr="00B75BF1">
              <w:rPr>
                <w:noProof/>
                <w:webHidden/>
              </w:rPr>
            </w:r>
            <w:r w:rsidRPr="00B75BF1">
              <w:rPr>
                <w:noProof/>
                <w:webHidden/>
              </w:rPr>
              <w:fldChar w:fldCharType="separate"/>
            </w:r>
            <w:r w:rsidR="00B75BF1" w:rsidRPr="00B75BF1">
              <w:rPr>
                <w:noProof/>
                <w:webHidden/>
              </w:rPr>
              <w:t>3</w:t>
            </w:r>
            <w:r w:rsidRPr="00B75BF1">
              <w:rPr>
                <w:noProof/>
                <w:webHidden/>
              </w:rPr>
              <w:fldChar w:fldCharType="end"/>
            </w:r>
          </w:hyperlink>
        </w:p>
        <w:p w14:paraId="19D958AE" w14:textId="0C860C03" w:rsidR="00FF6E1E" w:rsidRPr="00B75BF1" w:rsidRDefault="00925838">
          <w:pPr>
            <w:pStyle w:val="TOC1"/>
            <w:tabs>
              <w:tab w:val="left" w:pos="440"/>
              <w:tab w:val="right" w:leader="dot" w:pos="9016"/>
            </w:tabs>
            <w:rPr>
              <w:rFonts w:asciiTheme="minorHAnsi" w:eastAsiaTheme="minorEastAsia" w:hAnsiTheme="minorHAnsi"/>
              <w:noProof/>
              <w:sz w:val="22"/>
              <w:lang w:val="en-US"/>
            </w:rPr>
          </w:pPr>
          <w:hyperlink w:anchor="_Toc224049958" w:history="1">
            <w:r w:rsidR="00FF6E1E" w:rsidRPr="00B75BF1">
              <w:rPr>
                <w:rStyle w:val="Hyperlink"/>
                <w:noProof/>
              </w:rPr>
              <w:t>1</w:t>
            </w:r>
            <w:r w:rsidR="00FF6E1E" w:rsidRPr="00B75BF1">
              <w:rPr>
                <w:rFonts w:asciiTheme="minorHAnsi" w:eastAsiaTheme="minorEastAsia" w:hAnsiTheme="minorHAnsi"/>
                <w:noProof/>
                <w:sz w:val="22"/>
                <w:lang w:val="en-US"/>
              </w:rPr>
              <w:tab/>
            </w:r>
            <w:r w:rsidR="00FF6E1E" w:rsidRPr="00B75BF1">
              <w:rPr>
                <w:rStyle w:val="Hyperlink"/>
                <w:noProof/>
              </w:rPr>
              <w:t>Introduction:</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_Toc224049958 \h </w:instrText>
            </w:r>
            <w:r w:rsidR="00FF6E1E" w:rsidRPr="00B75BF1">
              <w:rPr>
                <w:noProof/>
                <w:webHidden/>
              </w:rPr>
            </w:r>
            <w:r w:rsidR="00FF6E1E" w:rsidRPr="00B75BF1">
              <w:rPr>
                <w:noProof/>
                <w:webHidden/>
              </w:rPr>
              <w:fldChar w:fldCharType="separate"/>
            </w:r>
            <w:r w:rsidR="00B75BF1" w:rsidRPr="00B75BF1">
              <w:rPr>
                <w:noProof/>
                <w:webHidden/>
              </w:rPr>
              <w:t>3</w:t>
            </w:r>
            <w:r w:rsidR="00FF6E1E" w:rsidRPr="00B75BF1">
              <w:rPr>
                <w:noProof/>
                <w:webHidden/>
              </w:rPr>
              <w:fldChar w:fldCharType="end"/>
            </w:r>
          </w:hyperlink>
        </w:p>
        <w:p w14:paraId="422BD012" w14:textId="2FFB6BAD" w:rsidR="00FF6E1E" w:rsidRPr="00B75BF1" w:rsidRDefault="00925838">
          <w:pPr>
            <w:pStyle w:val="TOC1"/>
            <w:tabs>
              <w:tab w:val="left" w:pos="440"/>
              <w:tab w:val="right" w:leader="dot" w:pos="9016"/>
            </w:tabs>
            <w:rPr>
              <w:rFonts w:asciiTheme="minorHAnsi" w:eastAsiaTheme="minorEastAsia" w:hAnsiTheme="minorHAnsi"/>
              <w:noProof/>
              <w:sz w:val="22"/>
              <w:lang w:val="en-US"/>
            </w:rPr>
          </w:pPr>
          <w:hyperlink w:anchor="_Toc224049959" w:history="1">
            <w:r w:rsidR="00FF6E1E" w:rsidRPr="00B75BF1">
              <w:rPr>
                <w:rStyle w:val="Hyperlink"/>
                <w:noProof/>
              </w:rPr>
              <w:t>2</w:t>
            </w:r>
            <w:r w:rsidR="00FF6E1E" w:rsidRPr="00B75BF1">
              <w:rPr>
                <w:rFonts w:asciiTheme="minorHAnsi" w:eastAsiaTheme="minorEastAsia" w:hAnsiTheme="minorHAnsi"/>
                <w:noProof/>
                <w:sz w:val="22"/>
                <w:lang w:val="en-US"/>
              </w:rPr>
              <w:tab/>
            </w:r>
            <w:r w:rsidR="00FF6E1E" w:rsidRPr="00B75BF1">
              <w:rPr>
                <w:rStyle w:val="Hyperlink"/>
                <w:noProof/>
              </w:rPr>
              <w:t>Industry and Country Overview</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_Toc224049959 \h </w:instrText>
            </w:r>
            <w:r w:rsidR="00FF6E1E" w:rsidRPr="00B75BF1">
              <w:rPr>
                <w:noProof/>
                <w:webHidden/>
              </w:rPr>
            </w:r>
            <w:r w:rsidR="00FF6E1E" w:rsidRPr="00B75BF1">
              <w:rPr>
                <w:noProof/>
                <w:webHidden/>
              </w:rPr>
              <w:fldChar w:fldCharType="separate"/>
            </w:r>
            <w:r w:rsidR="00B75BF1" w:rsidRPr="00B75BF1">
              <w:rPr>
                <w:noProof/>
                <w:webHidden/>
              </w:rPr>
              <w:t>3</w:t>
            </w:r>
            <w:r w:rsidR="00FF6E1E" w:rsidRPr="00B75BF1">
              <w:rPr>
                <w:noProof/>
                <w:webHidden/>
              </w:rPr>
              <w:fldChar w:fldCharType="end"/>
            </w:r>
          </w:hyperlink>
        </w:p>
        <w:p w14:paraId="25DA199C" w14:textId="6E07FCC7"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60" w:history="1">
            <w:r w:rsidR="00FF6E1E" w:rsidRPr="00B75BF1">
              <w:rPr>
                <w:rStyle w:val="Hyperlink"/>
                <w:noProof/>
              </w:rPr>
              <w:t>2.1</w:t>
            </w:r>
            <w:r w:rsidR="00FF6E1E" w:rsidRPr="00B75BF1">
              <w:rPr>
                <w:rFonts w:asciiTheme="minorHAnsi" w:eastAsiaTheme="minorEastAsia" w:hAnsiTheme="minorHAnsi"/>
                <w:noProof/>
                <w:sz w:val="22"/>
                <w:lang w:val="en-US"/>
              </w:rPr>
              <w:tab/>
            </w:r>
            <w:r w:rsidR="00FF6E1E" w:rsidRPr="00B75BF1">
              <w:rPr>
                <w:rStyle w:val="Hyperlink"/>
                <w:noProof/>
              </w:rPr>
              <w:t>Defining the UK fast fashion industry</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_Toc224049960 \h </w:instrText>
            </w:r>
            <w:r w:rsidR="00FF6E1E" w:rsidRPr="00B75BF1">
              <w:rPr>
                <w:noProof/>
                <w:webHidden/>
              </w:rPr>
            </w:r>
            <w:r w:rsidR="00FF6E1E" w:rsidRPr="00B75BF1">
              <w:rPr>
                <w:noProof/>
                <w:webHidden/>
              </w:rPr>
              <w:fldChar w:fldCharType="separate"/>
            </w:r>
            <w:r w:rsidR="00B75BF1" w:rsidRPr="00B75BF1">
              <w:rPr>
                <w:noProof/>
                <w:webHidden/>
              </w:rPr>
              <w:t>3</w:t>
            </w:r>
            <w:r w:rsidR="00FF6E1E" w:rsidRPr="00B75BF1">
              <w:rPr>
                <w:noProof/>
                <w:webHidden/>
              </w:rPr>
              <w:fldChar w:fldCharType="end"/>
            </w:r>
          </w:hyperlink>
        </w:p>
        <w:p w14:paraId="3B152BB2" w14:textId="3F4A2FE1"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61" w:history="1">
            <w:r w:rsidR="00FF6E1E" w:rsidRPr="00B75BF1">
              <w:rPr>
                <w:rStyle w:val="Hyperlink"/>
                <w:noProof/>
              </w:rPr>
              <w:t>2.2</w:t>
            </w:r>
            <w:r w:rsidR="00FF6E1E" w:rsidRPr="00B75BF1">
              <w:rPr>
                <w:rFonts w:asciiTheme="minorHAnsi" w:eastAsiaTheme="minorEastAsia" w:hAnsiTheme="minorHAnsi"/>
                <w:noProof/>
                <w:sz w:val="22"/>
                <w:lang w:val="en-US"/>
              </w:rPr>
              <w:tab/>
            </w:r>
            <w:r w:rsidR="00FF6E1E" w:rsidRPr="00B75BF1">
              <w:rPr>
                <w:rStyle w:val="Hyperlink"/>
                <w:noProof/>
              </w:rPr>
              <w:t>Size, scope and economic importance</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_Toc224049961 \h </w:instrText>
            </w:r>
            <w:r w:rsidR="00FF6E1E" w:rsidRPr="00B75BF1">
              <w:rPr>
                <w:noProof/>
                <w:webHidden/>
              </w:rPr>
            </w:r>
            <w:r w:rsidR="00FF6E1E" w:rsidRPr="00B75BF1">
              <w:rPr>
                <w:noProof/>
                <w:webHidden/>
              </w:rPr>
              <w:fldChar w:fldCharType="separate"/>
            </w:r>
            <w:r w:rsidR="00B75BF1" w:rsidRPr="00B75BF1">
              <w:rPr>
                <w:noProof/>
                <w:webHidden/>
              </w:rPr>
              <w:t>3</w:t>
            </w:r>
            <w:r w:rsidR="00FF6E1E" w:rsidRPr="00B75BF1">
              <w:rPr>
                <w:noProof/>
                <w:webHidden/>
              </w:rPr>
              <w:fldChar w:fldCharType="end"/>
            </w:r>
          </w:hyperlink>
        </w:p>
        <w:p w14:paraId="363A2415" w14:textId="12B214CA"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62" w:history="1">
            <w:r w:rsidR="00FF6E1E" w:rsidRPr="00B75BF1">
              <w:rPr>
                <w:rStyle w:val="Hyperlink"/>
                <w:noProof/>
              </w:rPr>
              <w:t>2.3</w:t>
            </w:r>
            <w:r w:rsidR="00FF6E1E" w:rsidRPr="00B75BF1">
              <w:rPr>
                <w:rFonts w:asciiTheme="minorHAnsi" w:eastAsiaTheme="minorEastAsia" w:hAnsiTheme="minorHAnsi"/>
                <w:noProof/>
                <w:sz w:val="22"/>
                <w:lang w:val="en-US"/>
              </w:rPr>
              <w:tab/>
            </w:r>
            <w:r w:rsidR="00FF6E1E" w:rsidRPr="00B75BF1">
              <w:rPr>
                <w:rStyle w:val="Hyperlink"/>
                <w:noProof/>
              </w:rPr>
              <w:t>Market structure and competitive landscape</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_Toc224049962 \h </w:instrText>
            </w:r>
            <w:r w:rsidR="00FF6E1E" w:rsidRPr="00B75BF1">
              <w:rPr>
                <w:noProof/>
                <w:webHidden/>
              </w:rPr>
            </w:r>
            <w:r w:rsidR="00FF6E1E" w:rsidRPr="00B75BF1">
              <w:rPr>
                <w:noProof/>
                <w:webHidden/>
              </w:rPr>
              <w:fldChar w:fldCharType="separate"/>
            </w:r>
            <w:r w:rsidR="00B75BF1" w:rsidRPr="00B75BF1">
              <w:rPr>
                <w:noProof/>
                <w:webHidden/>
              </w:rPr>
              <w:t>4</w:t>
            </w:r>
            <w:r w:rsidR="00FF6E1E" w:rsidRPr="00B75BF1">
              <w:rPr>
                <w:noProof/>
                <w:webHidden/>
              </w:rPr>
              <w:fldChar w:fldCharType="end"/>
            </w:r>
          </w:hyperlink>
        </w:p>
        <w:p w14:paraId="6F86F9FD" w14:textId="1C903728"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63" w:history="1">
            <w:r w:rsidR="00FF6E1E" w:rsidRPr="00B75BF1">
              <w:rPr>
                <w:rStyle w:val="Hyperlink"/>
                <w:noProof/>
              </w:rPr>
              <w:t>2.4</w:t>
            </w:r>
            <w:r w:rsidR="00FF6E1E" w:rsidRPr="00B75BF1">
              <w:rPr>
                <w:rFonts w:asciiTheme="minorHAnsi" w:eastAsiaTheme="minorEastAsia" w:hAnsiTheme="minorHAnsi"/>
                <w:noProof/>
                <w:sz w:val="22"/>
                <w:lang w:val="en-US"/>
              </w:rPr>
              <w:tab/>
            </w:r>
            <w:r w:rsidR="00FF6E1E" w:rsidRPr="00B75BF1">
              <w:rPr>
                <w:rStyle w:val="Hyperlink"/>
                <w:noProof/>
              </w:rPr>
              <w:t>Relative positioning of key companies</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_Toc224049963 \h </w:instrText>
            </w:r>
            <w:r w:rsidR="00FF6E1E" w:rsidRPr="00B75BF1">
              <w:rPr>
                <w:noProof/>
                <w:webHidden/>
              </w:rPr>
            </w:r>
            <w:r w:rsidR="00FF6E1E" w:rsidRPr="00B75BF1">
              <w:rPr>
                <w:noProof/>
                <w:webHidden/>
              </w:rPr>
              <w:fldChar w:fldCharType="separate"/>
            </w:r>
            <w:r w:rsidR="00B75BF1" w:rsidRPr="00B75BF1">
              <w:rPr>
                <w:noProof/>
                <w:webHidden/>
              </w:rPr>
              <w:t>4</w:t>
            </w:r>
            <w:r w:rsidR="00FF6E1E" w:rsidRPr="00B75BF1">
              <w:rPr>
                <w:noProof/>
                <w:webHidden/>
              </w:rPr>
              <w:fldChar w:fldCharType="end"/>
            </w:r>
          </w:hyperlink>
        </w:p>
        <w:p w14:paraId="2831603D" w14:textId="7881D421" w:rsidR="00FF6E1E" w:rsidRPr="00B75BF1" w:rsidRDefault="00925838">
          <w:pPr>
            <w:pStyle w:val="TOC1"/>
            <w:tabs>
              <w:tab w:val="left" w:pos="440"/>
              <w:tab w:val="right" w:leader="dot" w:pos="9016"/>
            </w:tabs>
            <w:rPr>
              <w:rFonts w:asciiTheme="minorHAnsi" w:eastAsiaTheme="minorEastAsia" w:hAnsiTheme="minorHAnsi"/>
              <w:noProof/>
              <w:sz w:val="22"/>
              <w:lang w:val="en-US"/>
            </w:rPr>
          </w:pPr>
          <w:hyperlink w:anchor="_Toc224049964" w:history="1">
            <w:r w:rsidR="00FF6E1E" w:rsidRPr="00B75BF1">
              <w:rPr>
                <w:rStyle w:val="Hyperlink"/>
                <w:rFonts w:ascii="Times New Roman" w:hAnsi="Times New Roman"/>
                <w:noProof/>
              </w:rPr>
              <w:t>3</w:t>
            </w:r>
            <w:r w:rsidR="00FF6E1E" w:rsidRPr="00B75BF1">
              <w:rPr>
                <w:rFonts w:asciiTheme="minorHAnsi" w:eastAsiaTheme="minorEastAsia" w:hAnsiTheme="minorHAnsi"/>
                <w:noProof/>
                <w:sz w:val="22"/>
                <w:lang w:val="en-US"/>
              </w:rPr>
              <w:tab/>
            </w:r>
            <w:r w:rsidR="00FF6E1E" w:rsidRPr="00B75BF1">
              <w:rPr>
                <w:rStyle w:val="Hyperlink"/>
                <w:noProof/>
              </w:rPr>
              <w:t>Porter’s Diamond Model of National Advantage</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_Toc224049964 \h </w:instrText>
            </w:r>
            <w:r w:rsidR="00FF6E1E" w:rsidRPr="00B75BF1">
              <w:rPr>
                <w:noProof/>
                <w:webHidden/>
              </w:rPr>
            </w:r>
            <w:r w:rsidR="00FF6E1E" w:rsidRPr="00B75BF1">
              <w:rPr>
                <w:noProof/>
                <w:webHidden/>
              </w:rPr>
              <w:fldChar w:fldCharType="separate"/>
            </w:r>
            <w:r w:rsidR="00B75BF1" w:rsidRPr="00B75BF1">
              <w:rPr>
                <w:noProof/>
                <w:webHidden/>
              </w:rPr>
              <w:t>5</w:t>
            </w:r>
            <w:r w:rsidR="00FF6E1E" w:rsidRPr="00B75BF1">
              <w:rPr>
                <w:noProof/>
                <w:webHidden/>
              </w:rPr>
              <w:fldChar w:fldCharType="end"/>
            </w:r>
          </w:hyperlink>
        </w:p>
        <w:p w14:paraId="0945CB6C" w14:textId="1650BABD"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65" w:history="1">
            <w:r w:rsidR="00FF6E1E" w:rsidRPr="00B75BF1">
              <w:rPr>
                <w:rStyle w:val="Hyperlink"/>
                <w:noProof/>
              </w:rPr>
              <w:t>3.1</w:t>
            </w:r>
            <w:r w:rsidR="00FF6E1E" w:rsidRPr="00B75BF1">
              <w:rPr>
                <w:rFonts w:asciiTheme="minorHAnsi" w:eastAsiaTheme="minorEastAsia" w:hAnsiTheme="minorHAnsi"/>
                <w:noProof/>
                <w:sz w:val="22"/>
                <w:lang w:val="en-US"/>
              </w:rPr>
              <w:tab/>
            </w:r>
            <w:r w:rsidR="00FF6E1E" w:rsidRPr="00B75BF1">
              <w:rPr>
                <w:rStyle w:val="Hyperlink"/>
                <w:noProof/>
              </w:rPr>
              <w:t>Introduction to the model and why it fits this case</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_Toc224049965 \h </w:instrText>
            </w:r>
            <w:r w:rsidR="00FF6E1E" w:rsidRPr="00B75BF1">
              <w:rPr>
                <w:noProof/>
                <w:webHidden/>
              </w:rPr>
            </w:r>
            <w:r w:rsidR="00FF6E1E" w:rsidRPr="00B75BF1">
              <w:rPr>
                <w:noProof/>
                <w:webHidden/>
              </w:rPr>
              <w:fldChar w:fldCharType="separate"/>
            </w:r>
            <w:r w:rsidR="00B75BF1" w:rsidRPr="00B75BF1">
              <w:rPr>
                <w:noProof/>
                <w:webHidden/>
              </w:rPr>
              <w:t>5</w:t>
            </w:r>
            <w:r w:rsidR="00FF6E1E" w:rsidRPr="00B75BF1">
              <w:rPr>
                <w:noProof/>
                <w:webHidden/>
              </w:rPr>
              <w:fldChar w:fldCharType="end"/>
            </w:r>
          </w:hyperlink>
        </w:p>
        <w:p w14:paraId="559997BE" w14:textId="301E0842"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66" w:history="1">
            <w:r w:rsidR="00FF6E1E" w:rsidRPr="00B75BF1">
              <w:rPr>
                <w:rStyle w:val="Hyperlink"/>
                <w:noProof/>
              </w:rPr>
              <w:t>3.2</w:t>
            </w:r>
            <w:r w:rsidR="00FF6E1E" w:rsidRPr="00B75BF1">
              <w:rPr>
                <w:rFonts w:asciiTheme="minorHAnsi" w:eastAsiaTheme="minorEastAsia" w:hAnsiTheme="minorHAnsi"/>
                <w:noProof/>
                <w:sz w:val="22"/>
                <w:lang w:val="en-US"/>
              </w:rPr>
              <w:tab/>
            </w:r>
            <w:r w:rsidR="00FF6E1E" w:rsidRPr="00B75BF1">
              <w:rPr>
                <w:rStyle w:val="Hyperlink"/>
                <w:noProof/>
              </w:rPr>
              <w:t>Factor conditions</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_Toc224049966 \h </w:instrText>
            </w:r>
            <w:r w:rsidR="00FF6E1E" w:rsidRPr="00B75BF1">
              <w:rPr>
                <w:noProof/>
                <w:webHidden/>
              </w:rPr>
            </w:r>
            <w:r w:rsidR="00FF6E1E" w:rsidRPr="00B75BF1">
              <w:rPr>
                <w:noProof/>
                <w:webHidden/>
              </w:rPr>
              <w:fldChar w:fldCharType="separate"/>
            </w:r>
            <w:r w:rsidR="00B75BF1" w:rsidRPr="00B75BF1">
              <w:rPr>
                <w:noProof/>
                <w:webHidden/>
              </w:rPr>
              <w:t>5</w:t>
            </w:r>
            <w:r w:rsidR="00FF6E1E" w:rsidRPr="00B75BF1">
              <w:rPr>
                <w:noProof/>
                <w:webHidden/>
              </w:rPr>
              <w:fldChar w:fldCharType="end"/>
            </w:r>
          </w:hyperlink>
        </w:p>
        <w:p w14:paraId="005F45FE" w14:textId="27C81457"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67" w:history="1">
            <w:r w:rsidR="00FF6E1E" w:rsidRPr="00B75BF1">
              <w:rPr>
                <w:rStyle w:val="Hyperlink"/>
                <w:noProof/>
              </w:rPr>
              <w:t>3.3</w:t>
            </w:r>
            <w:r w:rsidR="00FF6E1E" w:rsidRPr="00B75BF1">
              <w:rPr>
                <w:rFonts w:asciiTheme="minorHAnsi" w:eastAsiaTheme="minorEastAsia" w:hAnsiTheme="minorHAnsi"/>
                <w:noProof/>
                <w:sz w:val="22"/>
                <w:lang w:val="en-US"/>
              </w:rPr>
              <w:tab/>
            </w:r>
            <w:r w:rsidR="00FF6E1E" w:rsidRPr="00B75BF1">
              <w:rPr>
                <w:rStyle w:val="Hyperlink"/>
                <w:noProof/>
              </w:rPr>
              <w:t>Demand conditions</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_Toc224049967 \h </w:instrText>
            </w:r>
            <w:r w:rsidR="00FF6E1E" w:rsidRPr="00B75BF1">
              <w:rPr>
                <w:noProof/>
                <w:webHidden/>
              </w:rPr>
            </w:r>
            <w:r w:rsidR="00FF6E1E" w:rsidRPr="00B75BF1">
              <w:rPr>
                <w:noProof/>
                <w:webHidden/>
              </w:rPr>
              <w:fldChar w:fldCharType="separate"/>
            </w:r>
            <w:r w:rsidR="00B75BF1" w:rsidRPr="00B75BF1">
              <w:rPr>
                <w:noProof/>
                <w:webHidden/>
              </w:rPr>
              <w:t>5</w:t>
            </w:r>
            <w:r w:rsidR="00FF6E1E" w:rsidRPr="00B75BF1">
              <w:rPr>
                <w:noProof/>
                <w:webHidden/>
              </w:rPr>
              <w:fldChar w:fldCharType="end"/>
            </w:r>
          </w:hyperlink>
        </w:p>
        <w:p w14:paraId="620CDF50" w14:textId="5E9F5132"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68" w:history="1">
            <w:r w:rsidR="00FF6E1E" w:rsidRPr="00B75BF1">
              <w:rPr>
                <w:rStyle w:val="Hyperlink"/>
                <w:noProof/>
              </w:rPr>
              <w:t>3.4</w:t>
            </w:r>
            <w:r w:rsidR="00FF6E1E" w:rsidRPr="00B75BF1">
              <w:rPr>
                <w:rFonts w:asciiTheme="minorHAnsi" w:eastAsiaTheme="minorEastAsia" w:hAnsiTheme="minorHAnsi"/>
                <w:noProof/>
                <w:sz w:val="22"/>
                <w:lang w:val="en-US"/>
              </w:rPr>
              <w:tab/>
            </w:r>
            <w:r w:rsidR="00FF6E1E" w:rsidRPr="00B75BF1">
              <w:rPr>
                <w:rStyle w:val="Hyperlink"/>
                <w:noProof/>
              </w:rPr>
              <w:t>Related and supporting industries</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_Toc224049968 \h </w:instrText>
            </w:r>
            <w:r w:rsidR="00FF6E1E" w:rsidRPr="00B75BF1">
              <w:rPr>
                <w:noProof/>
                <w:webHidden/>
              </w:rPr>
            </w:r>
            <w:r w:rsidR="00FF6E1E" w:rsidRPr="00B75BF1">
              <w:rPr>
                <w:noProof/>
                <w:webHidden/>
              </w:rPr>
              <w:fldChar w:fldCharType="separate"/>
            </w:r>
            <w:r w:rsidR="00B75BF1" w:rsidRPr="00B75BF1">
              <w:rPr>
                <w:noProof/>
                <w:webHidden/>
              </w:rPr>
              <w:t>6</w:t>
            </w:r>
            <w:r w:rsidR="00FF6E1E" w:rsidRPr="00B75BF1">
              <w:rPr>
                <w:noProof/>
                <w:webHidden/>
              </w:rPr>
              <w:fldChar w:fldCharType="end"/>
            </w:r>
          </w:hyperlink>
        </w:p>
        <w:p w14:paraId="22DFE931" w14:textId="0B6323C6"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69" w:history="1">
            <w:r w:rsidR="00FF6E1E" w:rsidRPr="00B75BF1">
              <w:rPr>
                <w:rStyle w:val="Hyperlink"/>
                <w:noProof/>
              </w:rPr>
              <w:t>3.5</w:t>
            </w:r>
            <w:r w:rsidR="00FF6E1E" w:rsidRPr="00B75BF1">
              <w:rPr>
                <w:rFonts w:asciiTheme="minorHAnsi" w:eastAsiaTheme="minorEastAsia" w:hAnsiTheme="minorHAnsi"/>
                <w:noProof/>
                <w:sz w:val="22"/>
                <w:lang w:val="en-US"/>
              </w:rPr>
              <w:tab/>
            </w:r>
            <w:r w:rsidR="00FF6E1E" w:rsidRPr="00B75BF1">
              <w:rPr>
                <w:rStyle w:val="Hyperlink"/>
                <w:noProof/>
              </w:rPr>
              <w:t>Firm strategy, structure and rivalry</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_Toc224049969 \h </w:instrText>
            </w:r>
            <w:r w:rsidR="00FF6E1E" w:rsidRPr="00B75BF1">
              <w:rPr>
                <w:noProof/>
                <w:webHidden/>
              </w:rPr>
            </w:r>
            <w:r w:rsidR="00FF6E1E" w:rsidRPr="00B75BF1">
              <w:rPr>
                <w:noProof/>
                <w:webHidden/>
              </w:rPr>
              <w:fldChar w:fldCharType="separate"/>
            </w:r>
            <w:r w:rsidR="00B75BF1" w:rsidRPr="00B75BF1">
              <w:rPr>
                <w:noProof/>
                <w:webHidden/>
              </w:rPr>
              <w:t>6</w:t>
            </w:r>
            <w:r w:rsidR="00FF6E1E" w:rsidRPr="00B75BF1">
              <w:rPr>
                <w:noProof/>
                <w:webHidden/>
              </w:rPr>
              <w:fldChar w:fldCharType="end"/>
            </w:r>
          </w:hyperlink>
        </w:p>
        <w:p w14:paraId="0301B899" w14:textId="14D58C08"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70" w:history="1">
            <w:r w:rsidR="00FF6E1E" w:rsidRPr="00B75BF1">
              <w:rPr>
                <w:rStyle w:val="Hyperlink"/>
                <w:noProof/>
              </w:rPr>
              <w:t>3.6</w:t>
            </w:r>
            <w:r w:rsidR="00FF6E1E" w:rsidRPr="00B75BF1">
              <w:rPr>
                <w:rFonts w:asciiTheme="minorHAnsi" w:eastAsiaTheme="minorEastAsia" w:hAnsiTheme="minorHAnsi"/>
                <w:noProof/>
                <w:sz w:val="22"/>
                <w:lang w:val="en-US"/>
              </w:rPr>
              <w:tab/>
            </w:r>
            <w:r w:rsidR="00FF6E1E" w:rsidRPr="00B75BF1">
              <w:rPr>
                <w:rStyle w:val="Hyperlink"/>
                <w:noProof/>
              </w:rPr>
              <w:t>Role of government and chance</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_Toc224049970 \h </w:instrText>
            </w:r>
            <w:r w:rsidR="00FF6E1E" w:rsidRPr="00B75BF1">
              <w:rPr>
                <w:noProof/>
                <w:webHidden/>
              </w:rPr>
            </w:r>
            <w:r w:rsidR="00FF6E1E" w:rsidRPr="00B75BF1">
              <w:rPr>
                <w:noProof/>
                <w:webHidden/>
              </w:rPr>
              <w:fldChar w:fldCharType="separate"/>
            </w:r>
            <w:r w:rsidR="00B75BF1" w:rsidRPr="00B75BF1">
              <w:rPr>
                <w:noProof/>
                <w:webHidden/>
              </w:rPr>
              <w:t>7</w:t>
            </w:r>
            <w:r w:rsidR="00FF6E1E" w:rsidRPr="00B75BF1">
              <w:rPr>
                <w:noProof/>
                <w:webHidden/>
              </w:rPr>
              <w:fldChar w:fldCharType="end"/>
            </w:r>
          </w:hyperlink>
        </w:p>
        <w:p w14:paraId="7413771B" w14:textId="14027601" w:rsidR="00FF6E1E" w:rsidRPr="00B75BF1" w:rsidRDefault="00925838">
          <w:pPr>
            <w:pStyle w:val="TOC1"/>
            <w:tabs>
              <w:tab w:val="left" w:pos="440"/>
              <w:tab w:val="right" w:leader="dot" w:pos="9016"/>
            </w:tabs>
            <w:rPr>
              <w:rFonts w:asciiTheme="minorHAnsi" w:eastAsiaTheme="minorEastAsia" w:hAnsiTheme="minorHAnsi"/>
              <w:noProof/>
              <w:sz w:val="22"/>
              <w:lang w:val="en-US"/>
            </w:rPr>
          </w:pPr>
          <w:hyperlink w:anchor="_Toc224049971" w:history="1">
            <w:r w:rsidR="00FF6E1E" w:rsidRPr="00B75BF1">
              <w:rPr>
                <w:rStyle w:val="Hyperlink"/>
                <w:noProof/>
              </w:rPr>
              <w:t>4</w:t>
            </w:r>
            <w:r w:rsidR="00FF6E1E" w:rsidRPr="00B75BF1">
              <w:rPr>
                <w:rFonts w:asciiTheme="minorHAnsi" w:eastAsiaTheme="minorEastAsia" w:hAnsiTheme="minorHAnsi"/>
                <w:noProof/>
                <w:sz w:val="22"/>
                <w:lang w:val="en-US"/>
              </w:rPr>
              <w:tab/>
            </w:r>
            <w:r w:rsidR="00FF6E1E" w:rsidRPr="00B75BF1">
              <w:rPr>
                <w:rStyle w:val="Hyperlink"/>
                <w:noProof/>
              </w:rPr>
              <w:t>Critical Evaluation of Zara’s Success in the UK</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_Toc224049971 \h </w:instrText>
            </w:r>
            <w:r w:rsidR="00FF6E1E" w:rsidRPr="00B75BF1">
              <w:rPr>
                <w:noProof/>
                <w:webHidden/>
              </w:rPr>
            </w:r>
            <w:r w:rsidR="00FF6E1E" w:rsidRPr="00B75BF1">
              <w:rPr>
                <w:noProof/>
                <w:webHidden/>
              </w:rPr>
              <w:fldChar w:fldCharType="separate"/>
            </w:r>
            <w:r w:rsidR="00B75BF1" w:rsidRPr="00B75BF1">
              <w:rPr>
                <w:noProof/>
                <w:webHidden/>
              </w:rPr>
              <w:t>7</w:t>
            </w:r>
            <w:r w:rsidR="00FF6E1E" w:rsidRPr="00B75BF1">
              <w:rPr>
                <w:noProof/>
                <w:webHidden/>
              </w:rPr>
              <w:fldChar w:fldCharType="end"/>
            </w:r>
          </w:hyperlink>
        </w:p>
        <w:p w14:paraId="29CD497D" w14:textId="540E60C9"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72" w:history="1">
            <w:r w:rsidR="00FF6E1E" w:rsidRPr="00B75BF1">
              <w:rPr>
                <w:rStyle w:val="Hyperlink"/>
                <w:rFonts w:ascii="Times New Roman" w:hAnsi="Times New Roman"/>
                <w:noProof/>
              </w:rPr>
              <w:t>4.1</w:t>
            </w:r>
            <w:r w:rsidR="00FF6E1E" w:rsidRPr="00B75BF1">
              <w:rPr>
                <w:rFonts w:asciiTheme="minorHAnsi" w:eastAsiaTheme="minorEastAsia" w:hAnsiTheme="minorHAnsi"/>
                <w:noProof/>
                <w:sz w:val="22"/>
                <w:lang w:val="en-US"/>
              </w:rPr>
              <w:tab/>
            </w:r>
            <w:r w:rsidR="00FF6E1E" w:rsidRPr="00B75BF1">
              <w:rPr>
                <w:rStyle w:val="Hyperlink"/>
                <w:noProof/>
              </w:rPr>
              <w:t>Zara and its presence in the UK</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_Toc224049972 \h </w:instrText>
            </w:r>
            <w:r w:rsidR="00FF6E1E" w:rsidRPr="00B75BF1">
              <w:rPr>
                <w:noProof/>
                <w:webHidden/>
              </w:rPr>
            </w:r>
            <w:r w:rsidR="00FF6E1E" w:rsidRPr="00B75BF1">
              <w:rPr>
                <w:noProof/>
                <w:webHidden/>
              </w:rPr>
              <w:fldChar w:fldCharType="separate"/>
            </w:r>
            <w:r w:rsidR="00B75BF1" w:rsidRPr="00B75BF1">
              <w:rPr>
                <w:noProof/>
                <w:webHidden/>
              </w:rPr>
              <w:t>7</w:t>
            </w:r>
            <w:r w:rsidR="00FF6E1E" w:rsidRPr="00B75BF1">
              <w:rPr>
                <w:noProof/>
                <w:webHidden/>
              </w:rPr>
              <w:fldChar w:fldCharType="end"/>
            </w:r>
          </w:hyperlink>
        </w:p>
        <w:p w14:paraId="43890292" w14:textId="4205BFEC"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73" w:history="1">
            <w:r w:rsidR="00FF6E1E" w:rsidRPr="00B75BF1">
              <w:rPr>
                <w:rStyle w:val="Hyperlink"/>
                <w:noProof/>
              </w:rPr>
              <w:t>4.2</w:t>
            </w:r>
            <w:r w:rsidR="00FF6E1E" w:rsidRPr="00B75BF1">
              <w:rPr>
                <w:rFonts w:asciiTheme="minorHAnsi" w:eastAsiaTheme="minorEastAsia" w:hAnsiTheme="minorHAnsi"/>
                <w:noProof/>
                <w:sz w:val="22"/>
                <w:lang w:val="en-US"/>
              </w:rPr>
              <w:tab/>
            </w:r>
            <w:r w:rsidR="00FF6E1E" w:rsidRPr="00B75BF1">
              <w:rPr>
                <w:rStyle w:val="Hyperlink"/>
                <w:noProof/>
              </w:rPr>
              <w:t>Framework for evaluating market attractiveness</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_Toc224049973 \h </w:instrText>
            </w:r>
            <w:r w:rsidR="00FF6E1E" w:rsidRPr="00B75BF1">
              <w:rPr>
                <w:noProof/>
                <w:webHidden/>
              </w:rPr>
            </w:r>
            <w:r w:rsidR="00FF6E1E" w:rsidRPr="00B75BF1">
              <w:rPr>
                <w:noProof/>
                <w:webHidden/>
              </w:rPr>
              <w:fldChar w:fldCharType="separate"/>
            </w:r>
            <w:r w:rsidR="00B75BF1" w:rsidRPr="00B75BF1">
              <w:rPr>
                <w:noProof/>
                <w:webHidden/>
              </w:rPr>
              <w:t>8</w:t>
            </w:r>
            <w:r w:rsidR="00FF6E1E" w:rsidRPr="00B75BF1">
              <w:rPr>
                <w:noProof/>
                <w:webHidden/>
              </w:rPr>
              <w:fldChar w:fldCharType="end"/>
            </w:r>
          </w:hyperlink>
        </w:p>
        <w:p w14:paraId="7A3483C9" w14:textId="0C9ADFE4"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74" w:history="1">
            <w:r w:rsidR="00FF6E1E" w:rsidRPr="00B75BF1">
              <w:rPr>
                <w:rStyle w:val="Hyperlink"/>
                <w:noProof/>
              </w:rPr>
              <w:t>4.3</w:t>
            </w:r>
            <w:r w:rsidR="00FF6E1E" w:rsidRPr="00B75BF1">
              <w:rPr>
                <w:rFonts w:asciiTheme="minorHAnsi" w:eastAsiaTheme="minorEastAsia" w:hAnsiTheme="minorHAnsi"/>
                <w:noProof/>
                <w:sz w:val="22"/>
                <w:lang w:val="en-US"/>
              </w:rPr>
              <w:tab/>
            </w:r>
            <w:r w:rsidR="00FF6E1E" w:rsidRPr="00B75BF1">
              <w:rPr>
                <w:rStyle w:val="Hyperlink"/>
                <w:noProof/>
              </w:rPr>
              <w:t>Political factors</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_Toc224049974 \h </w:instrText>
            </w:r>
            <w:r w:rsidR="00FF6E1E" w:rsidRPr="00B75BF1">
              <w:rPr>
                <w:noProof/>
                <w:webHidden/>
              </w:rPr>
            </w:r>
            <w:r w:rsidR="00FF6E1E" w:rsidRPr="00B75BF1">
              <w:rPr>
                <w:noProof/>
                <w:webHidden/>
              </w:rPr>
              <w:fldChar w:fldCharType="separate"/>
            </w:r>
            <w:r w:rsidR="00B75BF1" w:rsidRPr="00B75BF1">
              <w:rPr>
                <w:noProof/>
                <w:webHidden/>
              </w:rPr>
              <w:t>8</w:t>
            </w:r>
            <w:r w:rsidR="00FF6E1E" w:rsidRPr="00B75BF1">
              <w:rPr>
                <w:noProof/>
                <w:webHidden/>
              </w:rPr>
              <w:fldChar w:fldCharType="end"/>
            </w:r>
          </w:hyperlink>
        </w:p>
        <w:p w14:paraId="4BB0B3AD" w14:textId="18B6C47A"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75" w:history="1">
            <w:r w:rsidR="00FF6E1E" w:rsidRPr="00B75BF1">
              <w:rPr>
                <w:rStyle w:val="Hyperlink"/>
                <w:noProof/>
              </w:rPr>
              <w:t>4.4</w:t>
            </w:r>
            <w:r w:rsidR="00FF6E1E" w:rsidRPr="00B75BF1">
              <w:rPr>
                <w:rFonts w:asciiTheme="minorHAnsi" w:eastAsiaTheme="minorEastAsia" w:hAnsiTheme="minorHAnsi"/>
                <w:noProof/>
                <w:sz w:val="22"/>
                <w:lang w:val="en-US"/>
              </w:rPr>
              <w:tab/>
            </w:r>
            <w:r w:rsidR="00FF6E1E" w:rsidRPr="00B75BF1">
              <w:rPr>
                <w:rStyle w:val="Hyperlink"/>
                <w:noProof/>
              </w:rPr>
              <w:t>Economic factors</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_Toc224049975 \h </w:instrText>
            </w:r>
            <w:r w:rsidR="00FF6E1E" w:rsidRPr="00B75BF1">
              <w:rPr>
                <w:noProof/>
                <w:webHidden/>
              </w:rPr>
            </w:r>
            <w:r w:rsidR="00FF6E1E" w:rsidRPr="00B75BF1">
              <w:rPr>
                <w:noProof/>
                <w:webHidden/>
              </w:rPr>
              <w:fldChar w:fldCharType="separate"/>
            </w:r>
            <w:r w:rsidR="00B75BF1" w:rsidRPr="00B75BF1">
              <w:rPr>
                <w:noProof/>
                <w:webHidden/>
              </w:rPr>
              <w:t>8</w:t>
            </w:r>
            <w:r w:rsidR="00FF6E1E" w:rsidRPr="00B75BF1">
              <w:rPr>
                <w:noProof/>
                <w:webHidden/>
              </w:rPr>
              <w:fldChar w:fldCharType="end"/>
            </w:r>
          </w:hyperlink>
        </w:p>
        <w:p w14:paraId="54E9BEDA" w14:textId="69C203CC"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76" w:history="1">
            <w:r w:rsidR="00FF6E1E" w:rsidRPr="00B75BF1">
              <w:rPr>
                <w:rStyle w:val="Hyperlink"/>
                <w:noProof/>
              </w:rPr>
              <w:t>4.5</w:t>
            </w:r>
            <w:r w:rsidR="00FF6E1E" w:rsidRPr="00B75BF1">
              <w:rPr>
                <w:rFonts w:asciiTheme="minorHAnsi" w:eastAsiaTheme="minorEastAsia" w:hAnsiTheme="minorHAnsi"/>
                <w:noProof/>
                <w:sz w:val="22"/>
                <w:lang w:val="en-US"/>
              </w:rPr>
              <w:tab/>
            </w:r>
            <w:r w:rsidR="00FF6E1E" w:rsidRPr="00B75BF1">
              <w:rPr>
                <w:rStyle w:val="Hyperlink"/>
                <w:noProof/>
              </w:rPr>
              <w:t>Legal and regulatory factors</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_Toc224049976 \h </w:instrText>
            </w:r>
            <w:r w:rsidR="00FF6E1E" w:rsidRPr="00B75BF1">
              <w:rPr>
                <w:noProof/>
                <w:webHidden/>
              </w:rPr>
            </w:r>
            <w:r w:rsidR="00FF6E1E" w:rsidRPr="00B75BF1">
              <w:rPr>
                <w:noProof/>
                <w:webHidden/>
              </w:rPr>
              <w:fldChar w:fldCharType="separate"/>
            </w:r>
            <w:r w:rsidR="00B75BF1" w:rsidRPr="00B75BF1">
              <w:rPr>
                <w:noProof/>
                <w:webHidden/>
              </w:rPr>
              <w:t>9</w:t>
            </w:r>
            <w:r w:rsidR="00FF6E1E" w:rsidRPr="00B75BF1">
              <w:rPr>
                <w:noProof/>
                <w:webHidden/>
              </w:rPr>
              <w:fldChar w:fldCharType="end"/>
            </w:r>
          </w:hyperlink>
        </w:p>
        <w:p w14:paraId="264B8438" w14:textId="14734A63"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77" w:history="1">
            <w:r w:rsidR="00FF6E1E" w:rsidRPr="00B75BF1">
              <w:rPr>
                <w:rStyle w:val="Hyperlink"/>
                <w:rFonts w:ascii="Times New Roman" w:hAnsi="Times New Roman"/>
                <w:noProof/>
              </w:rPr>
              <w:t>4.6</w:t>
            </w:r>
            <w:r w:rsidR="00FF6E1E" w:rsidRPr="00B75BF1">
              <w:rPr>
                <w:rFonts w:asciiTheme="minorHAnsi" w:eastAsiaTheme="minorEastAsia" w:hAnsiTheme="minorHAnsi"/>
                <w:noProof/>
                <w:sz w:val="22"/>
                <w:lang w:val="en-US"/>
              </w:rPr>
              <w:tab/>
            </w:r>
            <w:r w:rsidR="00FF6E1E" w:rsidRPr="00B75BF1">
              <w:rPr>
                <w:rStyle w:val="Hyperlink"/>
                <w:noProof/>
              </w:rPr>
              <w:t>Cultural</w:t>
            </w:r>
            <w:bookmarkStart w:id="0" w:name="_GoBack"/>
            <w:bookmarkEnd w:id="0"/>
            <w:r w:rsidR="00FF6E1E" w:rsidRPr="00B75BF1">
              <w:rPr>
                <w:rStyle w:val="Hyperlink"/>
                <w:noProof/>
              </w:rPr>
              <w:t xml:space="preserve"> and social factors</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_Toc224049977 \h </w:instrText>
            </w:r>
            <w:r w:rsidR="00FF6E1E" w:rsidRPr="00B75BF1">
              <w:rPr>
                <w:noProof/>
                <w:webHidden/>
              </w:rPr>
            </w:r>
            <w:r w:rsidR="00FF6E1E" w:rsidRPr="00B75BF1">
              <w:rPr>
                <w:noProof/>
                <w:webHidden/>
              </w:rPr>
              <w:fldChar w:fldCharType="separate"/>
            </w:r>
            <w:r w:rsidR="00B75BF1" w:rsidRPr="00B75BF1">
              <w:rPr>
                <w:noProof/>
                <w:webHidden/>
              </w:rPr>
              <w:t>10</w:t>
            </w:r>
            <w:r w:rsidR="00FF6E1E" w:rsidRPr="00B75BF1">
              <w:rPr>
                <w:noProof/>
                <w:webHidden/>
              </w:rPr>
              <w:fldChar w:fldCharType="end"/>
            </w:r>
          </w:hyperlink>
        </w:p>
        <w:p w14:paraId="3A1C15B6" w14:textId="65B650DB"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78" w:history="1">
            <w:r w:rsidR="00FF6E1E" w:rsidRPr="00B75BF1">
              <w:rPr>
                <w:rStyle w:val="Hyperlink"/>
                <w:noProof/>
              </w:rPr>
              <w:t>4.7</w:t>
            </w:r>
            <w:r w:rsidR="00FF6E1E" w:rsidRPr="00B75BF1">
              <w:rPr>
                <w:rFonts w:asciiTheme="minorHAnsi" w:eastAsiaTheme="minorEastAsia" w:hAnsiTheme="minorHAnsi"/>
                <w:noProof/>
                <w:sz w:val="22"/>
                <w:lang w:val="en-US"/>
              </w:rPr>
              <w:tab/>
            </w:r>
            <w:r w:rsidR="00FF6E1E" w:rsidRPr="00B75BF1">
              <w:rPr>
                <w:rStyle w:val="Hyperlink"/>
                <w:noProof/>
              </w:rPr>
              <w:t>Zara’s competitive position in the UK market</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_Toc224049978 \h </w:instrText>
            </w:r>
            <w:r w:rsidR="00FF6E1E" w:rsidRPr="00B75BF1">
              <w:rPr>
                <w:noProof/>
                <w:webHidden/>
              </w:rPr>
            </w:r>
            <w:r w:rsidR="00FF6E1E" w:rsidRPr="00B75BF1">
              <w:rPr>
                <w:noProof/>
                <w:webHidden/>
              </w:rPr>
              <w:fldChar w:fldCharType="separate"/>
            </w:r>
            <w:r w:rsidR="00B75BF1" w:rsidRPr="00B75BF1">
              <w:rPr>
                <w:noProof/>
                <w:webHidden/>
              </w:rPr>
              <w:t>10</w:t>
            </w:r>
            <w:r w:rsidR="00FF6E1E" w:rsidRPr="00B75BF1">
              <w:rPr>
                <w:noProof/>
                <w:webHidden/>
              </w:rPr>
              <w:fldChar w:fldCharType="end"/>
            </w:r>
          </w:hyperlink>
        </w:p>
        <w:p w14:paraId="6279B7E3" w14:textId="5C77A312"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79" w:history="1">
            <w:r w:rsidR="00FF6E1E" w:rsidRPr="00B75BF1">
              <w:rPr>
                <w:rStyle w:val="Hyperlink"/>
                <w:noProof/>
              </w:rPr>
              <w:t>4.8</w:t>
            </w:r>
            <w:r w:rsidR="00FF6E1E" w:rsidRPr="00B75BF1">
              <w:rPr>
                <w:rFonts w:asciiTheme="minorHAnsi" w:eastAsiaTheme="minorEastAsia" w:hAnsiTheme="minorHAnsi"/>
                <w:noProof/>
                <w:sz w:val="22"/>
                <w:lang w:val="en-US"/>
              </w:rPr>
              <w:tab/>
            </w:r>
            <w:r w:rsidR="00FF6E1E" w:rsidRPr="00B75BF1">
              <w:rPr>
                <w:rStyle w:val="Hyperlink"/>
                <w:noProof/>
              </w:rPr>
              <w:t>Overall judgement on Zara’s likely success</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_Toc224049979 \h </w:instrText>
            </w:r>
            <w:r w:rsidR="00FF6E1E" w:rsidRPr="00B75BF1">
              <w:rPr>
                <w:noProof/>
                <w:webHidden/>
              </w:rPr>
            </w:r>
            <w:r w:rsidR="00FF6E1E" w:rsidRPr="00B75BF1">
              <w:rPr>
                <w:noProof/>
                <w:webHidden/>
              </w:rPr>
              <w:fldChar w:fldCharType="separate"/>
            </w:r>
            <w:r w:rsidR="00B75BF1" w:rsidRPr="00B75BF1">
              <w:rPr>
                <w:noProof/>
                <w:webHidden/>
              </w:rPr>
              <w:t>11</w:t>
            </w:r>
            <w:r w:rsidR="00FF6E1E" w:rsidRPr="00B75BF1">
              <w:rPr>
                <w:noProof/>
                <w:webHidden/>
              </w:rPr>
              <w:fldChar w:fldCharType="end"/>
            </w:r>
          </w:hyperlink>
        </w:p>
        <w:p w14:paraId="72907852" w14:textId="7C71F781" w:rsidR="00FF6E1E" w:rsidRPr="00B75BF1" w:rsidRDefault="00925838">
          <w:pPr>
            <w:pStyle w:val="TOC1"/>
            <w:tabs>
              <w:tab w:val="left" w:pos="440"/>
              <w:tab w:val="right" w:leader="dot" w:pos="9016"/>
            </w:tabs>
            <w:rPr>
              <w:rFonts w:asciiTheme="minorHAnsi" w:eastAsiaTheme="minorEastAsia" w:hAnsiTheme="minorHAnsi"/>
              <w:noProof/>
              <w:sz w:val="22"/>
              <w:lang w:val="en-US"/>
            </w:rPr>
          </w:pPr>
          <w:hyperlink w:anchor="_Toc224049980" w:history="1">
            <w:r w:rsidR="00FF6E1E" w:rsidRPr="00B75BF1">
              <w:rPr>
                <w:rStyle w:val="Hyperlink"/>
                <w:noProof/>
              </w:rPr>
              <w:t>5</w:t>
            </w:r>
            <w:r w:rsidR="00FF6E1E" w:rsidRPr="00B75BF1">
              <w:rPr>
                <w:rFonts w:asciiTheme="minorHAnsi" w:eastAsiaTheme="minorEastAsia" w:hAnsiTheme="minorHAnsi"/>
                <w:noProof/>
                <w:sz w:val="22"/>
                <w:lang w:val="en-US"/>
              </w:rPr>
              <w:tab/>
            </w:r>
            <w:r w:rsidR="00FF6E1E" w:rsidRPr="00B75BF1">
              <w:rPr>
                <w:rStyle w:val="Hyperlink"/>
                <w:noProof/>
              </w:rPr>
              <w:t>Conclusion</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_Toc224049980 \h </w:instrText>
            </w:r>
            <w:r w:rsidR="00FF6E1E" w:rsidRPr="00B75BF1">
              <w:rPr>
                <w:noProof/>
                <w:webHidden/>
              </w:rPr>
            </w:r>
            <w:r w:rsidR="00FF6E1E" w:rsidRPr="00B75BF1">
              <w:rPr>
                <w:noProof/>
                <w:webHidden/>
              </w:rPr>
              <w:fldChar w:fldCharType="separate"/>
            </w:r>
            <w:r w:rsidR="00B75BF1" w:rsidRPr="00B75BF1">
              <w:rPr>
                <w:noProof/>
                <w:webHidden/>
              </w:rPr>
              <w:t>11</w:t>
            </w:r>
            <w:r w:rsidR="00FF6E1E" w:rsidRPr="00B75BF1">
              <w:rPr>
                <w:noProof/>
                <w:webHidden/>
              </w:rPr>
              <w:fldChar w:fldCharType="end"/>
            </w:r>
          </w:hyperlink>
        </w:p>
        <w:p w14:paraId="2B64E178" w14:textId="6D8BF122" w:rsidR="00FF6E1E" w:rsidRPr="00B75BF1" w:rsidRDefault="00925838">
          <w:pPr>
            <w:pStyle w:val="TOC1"/>
            <w:tabs>
              <w:tab w:val="right" w:leader="dot" w:pos="9016"/>
            </w:tabs>
            <w:rPr>
              <w:rFonts w:asciiTheme="minorHAnsi" w:eastAsiaTheme="minorEastAsia" w:hAnsiTheme="minorHAnsi"/>
              <w:noProof/>
              <w:sz w:val="22"/>
              <w:lang w:val="en-US"/>
            </w:rPr>
          </w:pPr>
          <w:hyperlink w:anchor="_Toc224049981" w:history="1">
            <w:r w:rsidR="00FF6E1E" w:rsidRPr="00B75BF1">
              <w:rPr>
                <w:rStyle w:val="Hyperlink"/>
                <w:noProof/>
              </w:rPr>
              <w:t>Section 2: REFLECTIVE ACCOUNT</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_Toc224049981 \h </w:instrText>
            </w:r>
            <w:r w:rsidR="00FF6E1E" w:rsidRPr="00B75BF1">
              <w:rPr>
                <w:noProof/>
                <w:webHidden/>
              </w:rPr>
            </w:r>
            <w:r w:rsidR="00FF6E1E" w:rsidRPr="00B75BF1">
              <w:rPr>
                <w:noProof/>
                <w:webHidden/>
              </w:rPr>
              <w:fldChar w:fldCharType="separate"/>
            </w:r>
            <w:r w:rsidR="00B75BF1" w:rsidRPr="00B75BF1">
              <w:rPr>
                <w:noProof/>
                <w:webHidden/>
              </w:rPr>
              <w:t>13</w:t>
            </w:r>
            <w:r w:rsidR="00FF6E1E" w:rsidRPr="00B75BF1">
              <w:rPr>
                <w:noProof/>
                <w:webHidden/>
              </w:rPr>
              <w:fldChar w:fldCharType="end"/>
            </w:r>
          </w:hyperlink>
        </w:p>
        <w:p w14:paraId="582A7FD9" w14:textId="61620513" w:rsidR="00FF6E1E" w:rsidRPr="00B75BF1" w:rsidRDefault="00925838">
          <w:pPr>
            <w:pStyle w:val="TOC1"/>
            <w:tabs>
              <w:tab w:val="left" w:pos="440"/>
              <w:tab w:val="right" w:leader="dot" w:pos="9016"/>
            </w:tabs>
            <w:rPr>
              <w:rFonts w:asciiTheme="minorHAnsi" w:eastAsiaTheme="minorEastAsia" w:hAnsiTheme="minorHAnsi"/>
              <w:noProof/>
              <w:sz w:val="22"/>
              <w:lang w:val="en-US"/>
            </w:rPr>
          </w:pPr>
          <w:hyperlink w:anchor="_Toc224049982" w:history="1">
            <w:r w:rsidR="00FF6E1E" w:rsidRPr="00B75BF1">
              <w:rPr>
                <w:rStyle w:val="Hyperlink"/>
                <w:rFonts w:ascii="Times New Roman" w:hAnsi="Times New Roman"/>
                <w:noProof/>
              </w:rPr>
              <w:t>6</w:t>
            </w:r>
            <w:r w:rsidR="00FF6E1E" w:rsidRPr="00B75BF1">
              <w:rPr>
                <w:rFonts w:asciiTheme="minorHAnsi" w:eastAsiaTheme="minorEastAsia" w:hAnsiTheme="minorHAnsi"/>
                <w:noProof/>
                <w:sz w:val="22"/>
                <w:lang w:val="en-US"/>
              </w:rPr>
              <w:tab/>
            </w:r>
            <w:r w:rsidR="00FF6E1E" w:rsidRPr="00B75BF1">
              <w:rPr>
                <w:rStyle w:val="Hyperlink"/>
                <w:noProof/>
              </w:rPr>
              <w:t>Reflective Account Using Gibbs Cycle</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_Toc224049982 \h </w:instrText>
            </w:r>
            <w:r w:rsidR="00FF6E1E" w:rsidRPr="00B75BF1">
              <w:rPr>
                <w:noProof/>
                <w:webHidden/>
              </w:rPr>
            </w:r>
            <w:r w:rsidR="00FF6E1E" w:rsidRPr="00B75BF1">
              <w:rPr>
                <w:noProof/>
                <w:webHidden/>
              </w:rPr>
              <w:fldChar w:fldCharType="separate"/>
            </w:r>
            <w:r w:rsidR="00B75BF1" w:rsidRPr="00B75BF1">
              <w:rPr>
                <w:noProof/>
                <w:webHidden/>
              </w:rPr>
              <w:t>13</w:t>
            </w:r>
            <w:r w:rsidR="00FF6E1E" w:rsidRPr="00B75BF1">
              <w:rPr>
                <w:noProof/>
                <w:webHidden/>
              </w:rPr>
              <w:fldChar w:fldCharType="end"/>
            </w:r>
          </w:hyperlink>
        </w:p>
        <w:p w14:paraId="71779E11" w14:textId="23D0D342"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83" w:history="1">
            <w:r w:rsidR="00FF6E1E" w:rsidRPr="00B75BF1">
              <w:rPr>
                <w:rStyle w:val="Hyperlink"/>
                <w:noProof/>
              </w:rPr>
              <w:t>6.1</w:t>
            </w:r>
            <w:r w:rsidR="00FF6E1E" w:rsidRPr="00B75BF1">
              <w:rPr>
                <w:rFonts w:asciiTheme="minorHAnsi" w:eastAsiaTheme="minorEastAsia" w:hAnsiTheme="minorHAnsi"/>
                <w:noProof/>
                <w:sz w:val="22"/>
                <w:lang w:val="en-US"/>
              </w:rPr>
              <w:tab/>
            </w:r>
            <w:r w:rsidR="00FF6E1E" w:rsidRPr="00B75BF1">
              <w:rPr>
                <w:rStyle w:val="Hyperlink"/>
                <w:noProof/>
              </w:rPr>
              <w:t>Description</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_Toc224049983 \h </w:instrText>
            </w:r>
            <w:r w:rsidR="00FF6E1E" w:rsidRPr="00B75BF1">
              <w:rPr>
                <w:noProof/>
                <w:webHidden/>
              </w:rPr>
            </w:r>
            <w:r w:rsidR="00FF6E1E" w:rsidRPr="00B75BF1">
              <w:rPr>
                <w:noProof/>
                <w:webHidden/>
              </w:rPr>
              <w:fldChar w:fldCharType="separate"/>
            </w:r>
            <w:r w:rsidR="00B75BF1" w:rsidRPr="00B75BF1">
              <w:rPr>
                <w:noProof/>
                <w:webHidden/>
              </w:rPr>
              <w:t>13</w:t>
            </w:r>
            <w:r w:rsidR="00FF6E1E" w:rsidRPr="00B75BF1">
              <w:rPr>
                <w:noProof/>
                <w:webHidden/>
              </w:rPr>
              <w:fldChar w:fldCharType="end"/>
            </w:r>
          </w:hyperlink>
        </w:p>
        <w:p w14:paraId="14F7E425" w14:textId="5E5595D9"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84" w:history="1">
            <w:r w:rsidR="00FF6E1E" w:rsidRPr="00B75BF1">
              <w:rPr>
                <w:rStyle w:val="Hyperlink"/>
                <w:noProof/>
              </w:rPr>
              <w:t>6.2</w:t>
            </w:r>
            <w:r w:rsidR="00FF6E1E" w:rsidRPr="00B75BF1">
              <w:rPr>
                <w:rFonts w:asciiTheme="minorHAnsi" w:eastAsiaTheme="minorEastAsia" w:hAnsiTheme="minorHAnsi"/>
                <w:noProof/>
                <w:sz w:val="22"/>
                <w:lang w:val="en-US"/>
              </w:rPr>
              <w:tab/>
            </w:r>
            <w:r w:rsidR="00FF6E1E" w:rsidRPr="00B75BF1">
              <w:rPr>
                <w:rStyle w:val="Hyperlink"/>
                <w:noProof/>
              </w:rPr>
              <w:t>Feelings</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_Toc224049984 \h </w:instrText>
            </w:r>
            <w:r w:rsidR="00FF6E1E" w:rsidRPr="00B75BF1">
              <w:rPr>
                <w:noProof/>
                <w:webHidden/>
              </w:rPr>
            </w:r>
            <w:r w:rsidR="00FF6E1E" w:rsidRPr="00B75BF1">
              <w:rPr>
                <w:noProof/>
                <w:webHidden/>
              </w:rPr>
              <w:fldChar w:fldCharType="separate"/>
            </w:r>
            <w:r w:rsidR="00B75BF1" w:rsidRPr="00B75BF1">
              <w:rPr>
                <w:noProof/>
                <w:webHidden/>
              </w:rPr>
              <w:t>13</w:t>
            </w:r>
            <w:r w:rsidR="00FF6E1E" w:rsidRPr="00B75BF1">
              <w:rPr>
                <w:noProof/>
                <w:webHidden/>
              </w:rPr>
              <w:fldChar w:fldCharType="end"/>
            </w:r>
          </w:hyperlink>
        </w:p>
        <w:p w14:paraId="04F81D90" w14:textId="32B3AD54"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85" w:history="1">
            <w:r w:rsidR="00FF6E1E" w:rsidRPr="00B75BF1">
              <w:rPr>
                <w:rStyle w:val="Hyperlink"/>
                <w:noProof/>
              </w:rPr>
              <w:t>6.3</w:t>
            </w:r>
            <w:r w:rsidR="00FF6E1E" w:rsidRPr="00B75BF1">
              <w:rPr>
                <w:rFonts w:asciiTheme="minorHAnsi" w:eastAsiaTheme="minorEastAsia" w:hAnsiTheme="minorHAnsi"/>
                <w:noProof/>
                <w:sz w:val="22"/>
                <w:lang w:val="en-US"/>
              </w:rPr>
              <w:tab/>
            </w:r>
            <w:r w:rsidR="00FF6E1E" w:rsidRPr="00B75BF1">
              <w:rPr>
                <w:rStyle w:val="Hyperlink"/>
                <w:noProof/>
              </w:rPr>
              <w:t>Evaluation</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_Toc224049985 \h </w:instrText>
            </w:r>
            <w:r w:rsidR="00FF6E1E" w:rsidRPr="00B75BF1">
              <w:rPr>
                <w:noProof/>
                <w:webHidden/>
              </w:rPr>
            </w:r>
            <w:r w:rsidR="00FF6E1E" w:rsidRPr="00B75BF1">
              <w:rPr>
                <w:noProof/>
                <w:webHidden/>
              </w:rPr>
              <w:fldChar w:fldCharType="separate"/>
            </w:r>
            <w:r w:rsidR="00B75BF1" w:rsidRPr="00B75BF1">
              <w:rPr>
                <w:noProof/>
                <w:webHidden/>
              </w:rPr>
              <w:t>13</w:t>
            </w:r>
            <w:r w:rsidR="00FF6E1E" w:rsidRPr="00B75BF1">
              <w:rPr>
                <w:noProof/>
                <w:webHidden/>
              </w:rPr>
              <w:fldChar w:fldCharType="end"/>
            </w:r>
          </w:hyperlink>
        </w:p>
        <w:p w14:paraId="3D92C0AE" w14:textId="4C6CB74C"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86" w:history="1">
            <w:r w:rsidR="00FF6E1E" w:rsidRPr="00B75BF1">
              <w:rPr>
                <w:rStyle w:val="Hyperlink"/>
                <w:noProof/>
              </w:rPr>
              <w:t>6.4</w:t>
            </w:r>
            <w:r w:rsidR="00FF6E1E" w:rsidRPr="00B75BF1">
              <w:rPr>
                <w:rFonts w:asciiTheme="minorHAnsi" w:eastAsiaTheme="minorEastAsia" w:hAnsiTheme="minorHAnsi"/>
                <w:noProof/>
                <w:sz w:val="22"/>
                <w:lang w:val="en-US"/>
              </w:rPr>
              <w:tab/>
            </w:r>
            <w:r w:rsidR="00FF6E1E" w:rsidRPr="00B75BF1">
              <w:rPr>
                <w:rStyle w:val="Hyperlink"/>
                <w:noProof/>
              </w:rPr>
              <w:t>Analysis</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_Toc224049986 \h </w:instrText>
            </w:r>
            <w:r w:rsidR="00FF6E1E" w:rsidRPr="00B75BF1">
              <w:rPr>
                <w:noProof/>
                <w:webHidden/>
              </w:rPr>
            </w:r>
            <w:r w:rsidR="00FF6E1E" w:rsidRPr="00B75BF1">
              <w:rPr>
                <w:noProof/>
                <w:webHidden/>
              </w:rPr>
              <w:fldChar w:fldCharType="separate"/>
            </w:r>
            <w:r w:rsidR="00B75BF1" w:rsidRPr="00B75BF1">
              <w:rPr>
                <w:noProof/>
                <w:webHidden/>
              </w:rPr>
              <w:t>14</w:t>
            </w:r>
            <w:r w:rsidR="00FF6E1E" w:rsidRPr="00B75BF1">
              <w:rPr>
                <w:noProof/>
                <w:webHidden/>
              </w:rPr>
              <w:fldChar w:fldCharType="end"/>
            </w:r>
          </w:hyperlink>
        </w:p>
        <w:p w14:paraId="41F6A2DC" w14:textId="7A86700B"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87" w:history="1">
            <w:r w:rsidR="00FF6E1E" w:rsidRPr="00B75BF1">
              <w:rPr>
                <w:rStyle w:val="Hyperlink"/>
                <w:noProof/>
              </w:rPr>
              <w:t>6.5</w:t>
            </w:r>
            <w:r w:rsidR="00FF6E1E" w:rsidRPr="00B75BF1">
              <w:rPr>
                <w:rFonts w:asciiTheme="minorHAnsi" w:eastAsiaTheme="minorEastAsia" w:hAnsiTheme="minorHAnsi"/>
                <w:noProof/>
                <w:sz w:val="22"/>
                <w:lang w:val="en-US"/>
              </w:rPr>
              <w:tab/>
            </w:r>
            <w:r w:rsidR="00FF6E1E" w:rsidRPr="00B75BF1">
              <w:rPr>
                <w:rStyle w:val="Hyperlink"/>
                <w:noProof/>
              </w:rPr>
              <w:t>Conclusion</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_Toc224049987 \h </w:instrText>
            </w:r>
            <w:r w:rsidR="00FF6E1E" w:rsidRPr="00B75BF1">
              <w:rPr>
                <w:noProof/>
                <w:webHidden/>
              </w:rPr>
            </w:r>
            <w:r w:rsidR="00FF6E1E" w:rsidRPr="00B75BF1">
              <w:rPr>
                <w:noProof/>
                <w:webHidden/>
              </w:rPr>
              <w:fldChar w:fldCharType="separate"/>
            </w:r>
            <w:r w:rsidR="00B75BF1" w:rsidRPr="00B75BF1">
              <w:rPr>
                <w:noProof/>
                <w:webHidden/>
              </w:rPr>
              <w:t>14</w:t>
            </w:r>
            <w:r w:rsidR="00FF6E1E" w:rsidRPr="00B75BF1">
              <w:rPr>
                <w:noProof/>
                <w:webHidden/>
              </w:rPr>
              <w:fldChar w:fldCharType="end"/>
            </w:r>
          </w:hyperlink>
        </w:p>
        <w:p w14:paraId="2DD2AEFC" w14:textId="2A37AA89" w:rsidR="00FF6E1E" w:rsidRPr="00B75BF1" w:rsidRDefault="00925838">
          <w:pPr>
            <w:pStyle w:val="TOC2"/>
            <w:tabs>
              <w:tab w:val="left" w:pos="880"/>
              <w:tab w:val="right" w:leader="dot" w:pos="9016"/>
            </w:tabs>
            <w:rPr>
              <w:rFonts w:asciiTheme="minorHAnsi" w:eastAsiaTheme="minorEastAsia" w:hAnsiTheme="minorHAnsi"/>
              <w:noProof/>
              <w:sz w:val="22"/>
              <w:lang w:val="en-US"/>
            </w:rPr>
          </w:pPr>
          <w:hyperlink w:anchor="_Toc224049988" w:history="1">
            <w:r w:rsidR="00FF6E1E" w:rsidRPr="00B75BF1">
              <w:rPr>
                <w:rStyle w:val="Hyperlink"/>
                <w:noProof/>
              </w:rPr>
              <w:t>6.6</w:t>
            </w:r>
            <w:r w:rsidR="00FF6E1E" w:rsidRPr="00B75BF1">
              <w:rPr>
                <w:rFonts w:asciiTheme="minorHAnsi" w:eastAsiaTheme="minorEastAsia" w:hAnsiTheme="minorHAnsi"/>
                <w:noProof/>
                <w:sz w:val="22"/>
                <w:lang w:val="en-US"/>
              </w:rPr>
              <w:tab/>
            </w:r>
            <w:r w:rsidR="00FF6E1E" w:rsidRPr="00B75BF1">
              <w:rPr>
                <w:rStyle w:val="Hyperlink"/>
                <w:noProof/>
              </w:rPr>
              <w:t>Action Plan</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_Toc224049988 \h </w:instrText>
            </w:r>
            <w:r w:rsidR="00FF6E1E" w:rsidRPr="00B75BF1">
              <w:rPr>
                <w:noProof/>
                <w:webHidden/>
              </w:rPr>
            </w:r>
            <w:r w:rsidR="00FF6E1E" w:rsidRPr="00B75BF1">
              <w:rPr>
                <w:noProof/>
                <w:webHidden/>
              </w:rPr>
              <w:fldChar w:fldCharType="separate"/>
            </w:r>
            <w:r w:rsidR="00B75BF1" w:rsidRPr="00B75BF1">
              <w:rPr>
                <w:noProof/>
                <w:webHidden/>
              </w:rPr>
              <w:t>15</w:t>
            </w:r>
            <w:r w:rsidR="00FF6E1E" w:rsidRPr="00B75BF1">
              <w:rPr>
                <w:noProof/>
                <w:webHidden/>
              </w:rPr>
              <w:fldChar w:fldCharType="end"/>
            </w:r>
          </w:hyperlink>
        </w:p>
        <w:p w14:paraId="068FC3F4" w14:textId="5E702512" w:rsidR="00FF6E1E" w:rsidRPr="00B75BF1" w:rsidRDefault="00925838">
          <w:pPr>
            <w:pStyle w:val="TOC1"/>
            <w:tabs>
              <w:tab w:val="left" w:pos="440"/>
              <w:tab w:val="right" w:leader="dot" w:pos="9016"/>
            </w:tabs>
            <w:rPr>
              <w:rFonts w:asciiTheme="minorHAnsi" w:eastAsiaTheme="minorEastAsia" w:hAnsiTheme="minorHAnsi"/>
              <w:noProof/>
              <w:sz w:val="22"/>
              <w:lang w:val="en-US"/>
            </w:rPr>
          </w:pPr>
          <w:hyperlink w:anchor="_Toc224049989" w:history="1">
            <w:r w:rsidR="00FF6E1E" w:rsidRPr="00B75BF1">
              <w:rPr>
                <w:rStyle w:val="Hyperlink"/>
                <w:noProof/>
              </w:rPr>
              <w:t>7</w:t>
            </w:r>
            <w:r w:rsidR="00FF6E1E" w:rsidRPr="00B75BF1">
              <w:rPr>
                <w:rFonts w:asciiTheme="minorHAnsi" w:eastAsiaTheme="minorEastAsia" w:hAnsiTheme="minorHAnsi"/>
                <w:noProof/>
                <w:sz w:val="22"/>
                <w:lang w:val="en-US"/>
              </w:rPr>
              <w:tab/>
            </w:r>
            <w:r w:rsidR="00FF6E1E" w:rsidRPr="00B75BF1">
              <w:rPr>
                <w:rStyle w:val="Hyperlink"/>
                <w:noProof/>
              </w:rPr>
              <w:t>Reflection:</w:t>
            </w:r>
            <w:r w:rsidR="00FF6E1E" w:rsidRPr="00B75BF1">
              <w:rPr>
                <w:noProof/>
                <w:webHidden/>
              </w:rPr>
              <w:tab/>
            </w:r>
            <w:r w:rsidR="00FF6E1E" w:rsidRPr="00B75BF1">
              <w:rPr>
                <w:noProof/>
                <w:webHidden/>
              </w:rPr>
              <w:fldChar w:fldCharType="begin"/>
            </w:r>
            <w:r w:rsidR="00FF6E1E" w:rsidRPr="00B75BF1">
              <w:rPr>
                <w:noProof/>
                <w:webHidden/>
              </w:rPr>
              <w:instrText xml:space="preserve"> PAGEREF _Toc224049989 \h </w:instrText>
            </w:r>
            <w:r w:rsidR="00FF6E1E" w:rsidRPr="00B75BF1">
              <w:rPr>
                <w:noProof/>
                <w:webHidden/>
              </w:rPr>
            </w:r>
            <w:r w:rsidR="00FF6E1E" w:rsidRPr="00B75BF1">
              <w:rPr>
                <w:noProof/>
                <w:webHidden/>
              </w:rPr>
              <w:fldChar w:fldCharType="separate"/>
            </w:r>
            <w:r w:rsidR="00B75BF1" w:rsidRPr="00B75BF1">
              <w:rPr>
                <w:noProof/>
                <w:webHidden/>
              </w:rPr>
              <w:t>17</w:t>
            </w:r>
            <w:r w:rsidR="00FF6E1E" w:rsidRPr="00B75BF1">
              <w:rPr>
                <w:noProof/>
                <w:webHidden/>
              </w:rPr>
              <w:fldChar w:fldCharType="end"/>
            </w:r>
          </w:hyperlink>
        </w:p>
        <w:p w14:paraId="25E06E6B" w14:textId="545D2947" w:rsidR="000E3651" w:rsidRPr="00B75BF1" w:rsidRDefault="00FF6E1E" w:rsidP="00FF6E1E">
          <w:r w:rsidRPr="00B75BF1">
            <w:rPr>
              <w:b/>
              <w:bCs/>
              <w:noProof/>
            </w:rPr>
            <w:fldChar w:fldCharType="end"/>
          </w:r>
        </w:p>
      </w:sdtContent>
    </w:sdt>
    <w:p w14:paraId="3B7F73BE" w14:textId="6D4237E3" w:rsidR="00DE0A02" w:rsidRPr="00B75BF1" w:rsidRDefault="000E3651" w:rsidP="000E3651">
      <w:pPr>
        <w:pStyle w:val="Heading1"/>
        <w:numPr>
          <w:ilvl w:val="0"/>
          <w:numId w:val="0"/>
        </w:numPr>
        <w:ind w:left="432" w:hanging="432"/>
      </w:pPr>
      <w:bookmarkStart w:id="1" w:name="_Toc224049957"/>
      <w:r w:rsidRPr="00B75BF1">
        <w:lastRenderedPageBreak/>
        <w:t>SECTION 1 — INTERNATIONAL BUSINESS REPORT</w:t>
      </w:r>
      <w:bookmarkEnd w:id="1"/>
    </w:p>
    <w:p w14:paraId="68EC7974" w14:textId="3CD81E8C" w:rsidR="000E3651" w:rsidRPr="00B75BF1" w:rsidRDefault="000E3651" w:rsidP="000E3651">
      <w:pPr>
        <w:pStyle w:val="Heading1"/>
      </w:pPr>
      <w:bookmarkStart w:id="2" w:name="_Toc224049958"/>
      <w:r w:rsidRPr="00B75BF1">
        <w:t>Introduction:</w:t>
      </w:r>
      <w:bookmarkEnd w:id="2"/>
    </w:p>
    <w:p w14:paraId="4A18C7D0" w14:textId="5372110E" w:rsidR="000E3651" w:rsidRPr="00B75BF1" w:rsidRDefault="00142496" w:rsidP="00142496">
      <w:r w:rsidRPr="00B75BF1">
        <w:t xml:space="preserve">Fast fashion represents a major segment of the fashion economy within the UK and provides low-cost and trend-following apparel in both physical and online outlets. According to recent UKFT statistics, the sector of fashion and textile in the UK adds PS62 billion to the GDP and provides employment to 1.3 million people, which highlights its economic importance </w:t>
      </w:r>
      <w:r w:rsidR="00037391" w:rsidRPr="00B75BF1">
        <w:fldChar w:fldCharType="begin" w:fldLock="1"/>
      </w:r>
      <w:r w:rsidR="00844FAF" w:rsidRPr="00B75BF1">
        <w:instrText>ADDIN CSL_CITATION {"citationItems":[{"id":"ITEM-1","itemData":{"URL":"https://ukft.org/industry-footprint-report/","accessed":{"date-parts":[["2026","3","9"]]},"author":[{"dropping-particle":"","family":"UKFT","given":"","non-dropping-particle":"","parse-names":false,"suffix":""}],"id":"ITEM-1","issued":{"date-parts":[["2023"]]},"title":"The UK fashion and textile industry contributes £62bn to the UK economy","type":"webpage"},"uris":["http://www.mendeley.com/documents/?uuid=2388e1e1-b73f-47f4-9483-709699455304"]},{"id":"ITEM-2","itemData":{"URL":"https://ukft.org/industry-reports-and-stats/","accessed":{"date-parts":[["2026","3","9"]]},"author":[{"dropping-particle":"","family":"UKFT","given":"","non-dropping-particle":"","parse-names":false,"suffix":""}],"id":"ITEM-2","issued":{"date-parts":[["2025"]]},"title":"About the UK fashion and textiles industry","type":"webpage"},"uris":["http://www.mendeley.com/documents/?uuid=bd407deb-b00a-4090-a4a7-6ae97152d1a7"]}],"mendeley":{"formattedCitation":"(UKFT, 2023b, 2025a)","plainTextFormattedCitation":"(UKFT, 2023b, 2025a)","previouslyFormattedCitation":"(UKFT, 2023b, 2025a)"},"properties":{"noteIndex":0},"schema":"https://github.com/citation-style-language/schema/raw/master/csl-citation.json"}</w:instrText>
      </w:r>
      <w:r w:rsidR="00037391" w:rsidRPr="00B75BF1">
        <w:fldChar w:fldCharType="separate"/>
      </w:r>
      <w:r w:rsidR="00844FAF" w:rsidRPr="00B75BF1">
        <w:rPr>
          <w:noProof/>
        </w:rPr>
        <w:t>(UKFT, 2023b, 2025a)</w:t>
      </w:r>
      <w:r w:rsidR="00037391" w:rsidRPr="00B75BF1">
        <w:fldChar w:fldCharType="end"/>
      </w:r>
      <w:r w:rsidR="000E3651" w:rsidRPr="00B75BF1">
        <w:t xml:space="preserve">. </w:t>
      </w:r>
      <w:r w:rsidRPr="00B75BF1">
        <w:t xml:space="preserve">The consumer demand is high and more intricate because the UK customers still purchase fast fashion and are increasingly worried about the value and sustainability </w:t>
      </w:r>
      <w:r w:rsidR="00037391" w:rsidRPr="00B75BF1">
        <w:fldChar w:fldCharType="begin" w:fldLock="1"/>
      </w:r>
      <w:r w:rsidR="00BA2F26" w:rsidRPr="00B75BF1">
        <w:instrText>ADDIN CSL_CITATION {"citationItems":[{"id":"ITEM-1","itemData":{"URL":"https://www.mckinsey.com/~/media/mckinsey/industries/retail/our insights/state of fashion/2025/the-state-of-fashion-2025-v2.pdf","accessed":{"date-parts":[["2026","3","9"]]},"author":[{"dropping-particle":"","family":"McKinsey &amp; Company","given":"","non-dropping-particle":"","parse-names":false,"suffix":""}],"id":"ITEM-1","issued":{"date-parts":[["2025"]]},"title":"The State of Fashion 2025","type":"webpage"},"uris":["http://www.mendeley.com/documents/?uuid=d867b9a9-5a0e-4d13-9d30-789df3c37e64"]},{"id":"ITEM-2","itemData":{"author":[{"dropping-particle":"","family":"BOF","given":"","non-dropping-particle":"","parse-names":false,"suffix":""}],"id":"ITEM-2","issued":{"date-parts":[["2025"]]},"title":"Consumers Want Brands to Prove They’re Worth It","type":"webpage"},"uris":["http://www.mendeley.com/documents/?uuid=9b67ba93-d6ac-4a9e-8e97-861d6346171a"]}],"mendeley":{"formattedCitation":"(BOF, 2025; McKinsey &amp; Company, 2025)","plainTextFormattedCitation":"(BOF, 2025; McKinsey &amp; Company, 2025)","previouslyFormattedCitation":"(BOF, 2025; McKinsey &amp; Company, 2025)"},"properties":{"noteIndex":0},"schema":"https://github.com/citation-style-language/schema/raw/master/csl-citation.json"}</w:instrText>
      </w:r>
      <w:r w:rsidR="00037391" w:rsidRPr="00B75BF1">
        <w:fldChar w:fldCharType="separate"/>
      </w:r>
      <w:r w:rsidR="00BA2F26" w:rsidRPr="00B75BF1">
        <w:rPr>
          <w:noProof/>
        </w:rPr>
        <w:t>(BOF, 2025; McKinsey &amp; Company, 2025)</w:t>
      </w:r>
      <w:r w:rsidR="00037391" w:rsidRPr="00B75BF1">
        <w:fldChar w:fldCharType="end"/>
      </w:r>
      <w:r w:rsidR="000E3651" w:rsidRPr="00B75BF1">
        <w:t xml:space="preserve">. </w:t>
      </w:r>
      <w:r w:rsidRPr="00B75BF1">
        <w:t>Zara, the targeted foreign MNE, is a part of Inditex that integrates a global brand with a store-and-online framework and continued customer experience and sustainability investments. The report describes the UK fast fashion, uses the diamond of Porter to evaluate the competitive situation of the countries, and critically examines the political, economic, legal, and cultural influences that impact Zara success in the UK</w:t>
      </w:r>
      <w:r w:rsidR="000E3651" w:rsidRPr="00B75BF1">
        <w:t>.</w:t>
      </w:r>
    </w:p>
    <w:p w14:paraId="6EDAC309" w14:textId="2D6FC3DC" w:rsidR="000E3651" w:rsidRPr="00B75BF1" w:rsidRDefault="000E3651" w:rsidP="000E3651">
      <w:pPr>
        <w:pStyle w:val="Heading1"/>
      </w:pPr>
      <w:bookmarkStart w:id="3" w:name="_Toc224049959"/>
      <w:r w:rsidRPr="00B75BF1">
        <w:t>Industry and Country Overview</w:t>
      </w:r>
      <w:bookmarkEnd w:id="3"/>
    </w:p>
    <w:p w14:paraId="5AAD27AF" w14:textId="3E397A69" w:rsidR="00D75670" w:rsidRPr="00B75BF1" w:rsidRDefault="00D75670" w:rsidP="005B0DA7">
      <w:pPr>
        <w:pStyle w:val="Heading2"/>
      </w:pPr>
      <w:bookmarkStart w:id="4" w:name="_Toc224049960"/>
      <w:r w:rsidRPr="00B75BF1">
        <w:t>Defining the UK fast fashion industry</w:t>
      </w:r>
      <w:bookmarkEnd w:id="4"/>
    </w:p>
    <w:p w14:paraId="3FD85D0F" w14:textId="3960CF55" w:rsidR="00D75670" w:rsidRPr="00B75BF1" w:rsidRDefault="00142496" w:rsidP="00142496">
      <w:pPr>
        <w:pStyle w:val="NormalWeb"/>
      </w:pPr>
      <w:r w:rsidRPr="00B75BF1">
        <w:t xml:space="preserve">Fast fashion is a retail model that involves rapid design-to-shelf-cycle, a rapid change of assortment, and low prices. It is a part of the larger clothing market although it focuses on short lead times, trend imitation, and turnover. Responsive trends and affordable prices, enabled by responsive sourcing, online advertising and continuous product novelty make the UK fast fashion sector stand out compared to the wider apparel retail that tends to prioritize the length of life of its products and brand value based on heritage or quality </w:t>
      </w:r>
      <w:r w:rsidR="00BA2F26" w:rsidRPr="00B75BF1">
        <w:fldChar w:fldCharType="begin" w:fldLock="1"/>
      </w:r>
      <w:r w:rsidR="00BA2F26" w:rsidRPr="00B75BF1">
        <w:instrText>ADDIN CSL_CITATION {"citationItems":[{"id":"ITEM-1","itemData":{"URL":"https://www.mckinsey.com/~/media/mckinsey/industries/retail/our insights/state of fashion/2025/the-state-of-fashion-2025-v2.pdf","accessed":{"date-parts":[["2026","3","9"]]},"author":[{"dropping-particle":"","family":"McKinsey &amp; Company","given":"","non-dropping-particle":"","parse-names":false,"suffix":""}],"id":"ITEM-1","issued":{"date-parts":[["2025"]]},"title":"The State of Fashion 2025","type":"webpage"},"uris":["http://www.mendeley.com/documents/?uuid=d867b9a9-5a0e-4d13-9d30-789df3c37e64"]},{"id":"ITEM-2","itemData":{"DOI":"10.4324/9780429295607-18","ISBN":"9780429295607","author":[{"dropping-particle":"","family":"Miranda","given":"José","non-dropping-particle":"","parse-names":false,"suffix":""},{"dropping-particle":"","family":"Roldan","given":"Alba","non-dropping-particle":"","parse-names":false,"suffix":""}],"id":"ITEM-2","issued":{"date-parts":[["2023","10","13"]]},"page":"266-285","title":"Fast Fashion","type":"chapter"},"uris":["http://www.mendeley.com/documents/?uuid=4abf1682-4484-470c-931e-41a12726518a"]},{"id":"ITEM-3","itemData":{"URL":"https://fashionunited.uk/statistics/uk-fashion-industry-statistics","accessed":{"date-parts":[["2026","3","9"]]},"author":[{"dropping-particle":"","family":"Fashion United","given":"","non-dropping-particle":"","parse-names":false,"suffix":""}],"id":"ITEM-3","issued":{"date-parts":[["2023"]]},"title":"Statistics","type":"webpage"},"uris":["http://www.mendeley.com/documents/?uuid=6eb763ee-3352-478e-b319-288f1edd6fdd"]}],"mendeley":{"formattedCitation":"(Fashion United, 2023; McKinsey &amp; Company, 2025; Miranda &amp; Roldan, 2023)","plainTextFormattedCitation":"(Fashion United, 2023; McKinsey &amp; Company, 2025; Miranda &amp; Roldan, 2023)","previouslyFormattedCitation":"(Fashion United, 2023; McKinsey &amp; Company, 2025; Miranda &amp; Roldan, 2023)"},"properties":{"noteIndex":0},"schema":"https://github.com/citation-style-language/schema/raw/master/csl-citation.json"}</w:instrText>
      </w:r>
      <w:r w:rsidR="00BA2F26" w:rsidRPr="00B75BF1">
        <w:fldChar w:fldCharType="separate"/>
      </w:r>
      <w:r w:rsidR="00BA2F26" w:rsidRPr="00B75BF1">
        <w:rPr>
          <w:noProof/>
        </w:rPr>
        <w:t>(Fashion United, 2023; McKinsey &amp; Company, 2025; Miranda &amp; Roldan, 2023)</w:t>
      </w:r>
      <w:r w:rsidR="00BA2F26" w:rsidRPr="00B75BF1">
        <w:fldChar w:fldCharType="end"/>
      </w:r>
      <w:r w:rsidR="00D75670" w:rsidRPr="00B75BF1">
        <w:t xml:space="preserve">. </w:t>
      </w:r>
    </w:p>
    <w:p w14:paraId="6A76E548" w14:textId="189A3078" w:rsidR="00D75670" w:rsidRPr="00B75BF1" w:rsidRDefault="00D75670" w:rsidP="005B0DA7">
      <w:pPr>
        <w:pStyle w:val="Heading2"/>
      </w:pPr>
      <w:bookmarkStart w:id="5" w:name="_Toc224049961"/>
      <w:r w:rsidRPr="00B75BF1">
        <w:t>Size, scope and economic importance</w:t>
      </w:r>
      <w:bookmarkEnd w:id="5"/>
    </w:p>
    <w:p w14:paraId="3473669A" w14:textId="0736E579" w:rsidR="00D75670" w:rsidRPr="00B75BF1" w:rsidRDefault="00142496" w:rsidP="00142496">
      <w:pPr>
        <w:pStyle w:val="NormalWeb"/>
      </w:pPr>
      <w:r w:rsidRPr="00B75BF1">
        <w:t xml:space="preserve">UK fast fashion market is in one of the largest and most digitally developed fashion markets in Europe. According to UKFT, the industry contributes PS62 billion to the GDP, 1.3 million jobs, and PS23 billion in taxes, which highlights its role in the macro economy </w:t>
      </w:r>
      <w:r w:rsidR="00BA2F26" w:rsidRPr="00B75BF1">
        <w:fldChar w:fldCharType="begin" w:fldLock="1"/>
      </w:r>
      <w:r w:rsidR="00844FAF" w:rsidRPr="00B75BF1">
        <w:instrText>ADDIN CSL_CITATION {"citationItems":[{"id":"ITEM-1","itemData":{"URL":"https://ukft.org/industry-reports-and-stats/","accessed":{"date-parts":[["2026","3","9"]]},"author":[{"dropping-particle":"","family":"UKFT","given":"","non-dropping-particle":"","parse-names":false,"suffix":""}],"id":"ITEM-1","issued":{"date-parts":[["2025"]]},"title":"About the UK fashion and textiles industry","type":"webpage"},"uris":["http://www.mendeley.com/documents/?uuid=bd407deb-b00a-4090-a4a7-6ae97152d1a7"]},{"id":"ITEM-2","itemData":{"URL":"https://ukft.org/wp-content/uploads/2026/01/OE-Report-executive-summary-4.pdf","accessed":{"date-parts":[["2026","3","9"]]},"author":[{"dropping-particle":"","family":"UKFT","given":"","non-dropping-particle":"","parse-names":false,"suffix":""}],"id":"ITEM-2","issued":{"date-parts":[["2023"]]},"title":"The Fashion &amp; Textile Industry’s Footprint in the UK","type":"webpage"},"uris":["http://www.mendeley.com/documents/?uuid=67ddf1b0-dfbc-4f10-b18d-b9a6f91f3025"]}],"mendeley":{"formattedCitation":"(UKFT, 2023a, 2025a)","plainTextFormattedCitation":"(UKFT, 2023a, 2025a)","previouslyFormattedCitation":"(UKFT, 2023a, 2025a)"},"properties":{"noteIndex":0},"schema":"https://github.com/citation-style-language/schema/raw/master/csl-citation.json"}</w:instrText>
      </w:r>
      <w:r w:rsidR="00BA2F26" w:rsidRPr="00B75BF1">
        <w:fldChar w:fldCharType="separate"/>
      </w:r>
      <w:r w:rsidR="00844FAF" w:rsidRPr="00B75BF1">
        <w:rPr>
          <w:noProof/>
        </w:rPr>
        <w:t>(UKFT, 2023a, 2025a)</w:t>
      </w:r>
      <w:r w:rsidR="00BA2F26" w:rsidRPr="00B75BF1">
        <w:fldChar w:fldCharType="end"/>
      </w:r>
      <w:r w:rsidR="00D75670" w:rsidRPr="00B75BF1">
        <w:t xml:space="preserve">. </w:t>
      </w:r>
      <w:r w:rsidRPr="00B75BF1">
        <w:t xml:space="preserve">Demand is high but it is now more value conscious. According to McKinsey State of Fashion 2025, consumers, even in the UK, are more sensitive to prices but want brands to be more sustainable, many of them continue to shop in fast-fashion stores </w:t>
      </w:r>
      <w:r w:rsidR="00CC243E" w:rsidRPr="00B75BF1">
        <w:fldChar w:fldCharType="begin" w:fldLock="1"/>
      </w:r>
      <w:r w:rsidR="00C87C0A" w:rsidRPr="00B75BF1">
        <w:instrText>ADDIN CSL_CITATION {"citationItems":[{"id":"ITEM-1","itemData":{"URL":"https://www.mckinsey.com/~/media/mckinsey/industries/retail/our insights/state of fashion/2025/the-state-of-fashion-2025-v2.pdf","accessed":{"date-parts":[["2026","3","9"]]},"author":[{"dropping-particle":"","family":"McKinsey &amp; Company","given":"","non-dropping-particle":"","parse-names":false,"suffix":""}],"id":"ITEM-1","issued":{"date-parts":[["2025"]]},"title":"The State of Fashion 2025","type":"webpage"},"uris":["http://www.mendeley.com/documents/?uuid=d867b9a9-5a0e-4d13-9d30-789df3c37e64"]},{"id":"ITEM-2","itemData":{"DOI":"https://doi.org/10.1016/j.spc.2025.02.011","ISSN":"2352-5509","abstract":"Sustainability in the fast fashion industry (FFI) has become crucial due to the sector's substantial environmental and social impacts. As sustainability has started capturing the interest of consumers and policymakers, there has been a heightened expectation for fast fashion companies to prioritise it in their practices. This situation is paradoxical but inevitable for these companies, which rely on an unsustainable business model promoting mindless consumption while also needing to address the growing consumer demand for more conscious and responsible practices. Therefore, understanding the role of sustainability in influencing consumer behaviour within this predominantly consumer-driven industry is vital for developing strategies, fostering sustainable consumption patterns, and ensuring long-term environmental and social benefits. This systematic literature review aims to analyse how existing literature has studied sustainability as a driver influencing consumer behaviour in the FFI. Through the consolidation and critical analysis of 95 scholarly articles, we explore how sustainability influences consumer pre- and post-purchase behaviour in the FFI. By understanding the role sustainability plays in this industry, the review identifies key research trends and gaps, providing actionable recommendations for future researchers, practitioners, and policymakers. Our analysis categorised the drivers of consumer behaviour into four main themes – Marketing Strategies, Individual Influences, Group Influences, and Situational Influences – with individual influences and marketing strategies being the most examined drivers. Key research gaps were identified, including the need for further investigation into male consumer attitudes, generational and cross-cultural differences, and underexplored drivers. The study also recommends a broader application of diverse theoretical frameworks and mixed research methods. Our study provides practical insights for marketers, managers, and policymakers to integrate sustainability into business strategies, develop transparent communication and educational campaigns, and implement targeted regulations to promote sustainable consumption practices.","author":[{"dropping-particle":"","family":"Mathew","given":"Manjitha","non-dropping-particle":"","parse-names":false,"suffix":""},{"dropping-particle":"","family":"Spinelli","given":"Riccardo","non-dropping-particle":"","parse-names":false,"suffix":""}],"container-title":"Sustainable Production and Consumption","id":"ITEM-2","issued":{"date-parts":[["2025"]]},"page":"132-145","title":"Decoding sustainable drivers: A systematic literature review on sustMathew, M., &amp; Spinelli, R. (2025). Decoding sustainable drivers: A systematic literature review on sustainability-induced consumer behaviour in the fast fashion industry. Sustainable Prod","type":"article-journal","volume":"55"},"uris":["http://www.mendeley.com/documents/?uuid=58bec0c6-d4de-4781-beb6-307f6537ceb1"]},{"id":"ITEM-3","itemData":{"ISSN":"1535-3958","author":[{"dropping-particle":"","family":"Baena","given":"Verónica","non-dropping-particle":"","parse-names":false,"suffix":""}],"container-title":"Corporate Social Responsibility and Environmental Management","id":"ITEM-3","issue":"5","issued":{"date-parts":[["2024"]]},"page":"4315-4328","publisher":"Wiley Online Library","title":"The shift from fast fashion to socially and sustainable fast fashion: The pivotal role of ethical consideration of consumer intentions to purchase Zara","type":"article-journal","volume":"31"},"uris":["http://www.mendeley.com/documents/?uuid=874a3086-af46-4457-b179-2cb6163ded81"]}],"mendeley":{"formattedCitation":"(Baena, 2024; Mathew &amp; Spinelli, 2025; McKinsey &amp; Company, 2025)","plainTextFormattedCitation":"(Baena, 2024; Mathew &amp; Spinelli, 2025; McKinsey &amp; Company, 2025)","previouslyFormattedCitation":"(Baena, 2024; Mathew &amp; Spinelli, 2025; McKinsey &amp; Company, 2025)"},"properties":{"noteIndex":0},"schema":"https://github.com/citation-style-language/schema/raw/master/csl-citation.json"}</w:instrText>
      </w:r>
      <w:r w:rsidR="00CC243E" w:rsidRPr="00B75BF1">
        <w:fldChar w:fldCharType="separate"/>
      </w:r>
      <w:r w:rsidR="00CC243E" w:rsidRPr="00B75BF1">
        <w:rPr>
          <w:noProof/>
        </w:rPr>
        <w:t>(Baena, 2024; Mathew &amp; Spinelli, 2025; McKinsey &amp; Company, 2025)</w:t>
      </w:r>
      <w:r w:rsidR="00CC243E" w:rsidRPr="00B75BF1">
        <w:fldChar w:fldCharType="end"/>
      </w:r>
      <w:r w:rsidR="00D75670" w:rsidRPr="00B75BF1">
        <w:t xml:space="preserve">. </w:t>
      </w:r>
    </w:p>
    <w:p w14:paraId="4A33FF3B" w14:textId="62F83CCD" w:rsidR="00D75670" w:rsidRPr="00B75BF1" w:rsidRDefault="00142496" w:rsidP="00D75670">
      <w:pPr>
        <w:pStyle w:val="NormalWeb"/>
      </w:pPr>
      <w:r w:rsidRPr="00B75BF1">
        <w:t xml:space="preserve">The growth of the industry relies on e-commerce. According to the ONS data, the internet sales constitute a significant percentage of the UK retail and Reuters indicated that the non-food online penetration has increased by 35.8 percent in February 2024, to reach 36.4 percent in February 2025. Fashion is also one of the most online categories, digital visibility, fulfilment, and returns management are essential </w:t>
      </w:r>
      <w:r w:rsidR="00C87C0A" w:rsidRPr="00B75BF1">
        <w:fldChar w:fldCharType="begin" w:fldLock="1"/>
      </w:r>
      <w:r w:rsidR="00656A80" w:rsidRPr="00B75BF1">
        <w:instrText>ADDIN CSL_CITATION {"citationItems":[{"id":"ITEM-1","itemData":{"DOI":"https://doi.org/10.1016/j.tre.2024.103904","ISSN":"1366-5545","abstract":"This study explores a critically under-researched aspect of Supply Chain Management (SCM), e-commerce returns in the fashion sector. By combining a comprehensive literature review with empirical data from the UK’s second-largest pure-play fashion retailer, the research offers new insights into the scale and drivers of fashion e-commerce returns. Using a mixed-methods approach, the study uncovers detailed patterns in returned items and the reasons behind consumer return behaviours, revealing the operational complexities these returns impose on reverse logistics processes. In 2022 alone, fashion returns cost the UK industry an estimated £7 billion, while contributing to 750,000 tonnes of CO2 emissions from discarded apparel. A novel framework is proposed to address the challenges associated with high-volume returns, providing practical strategies for improving returns management efficiency. The findings contribute significantly to the SCM field by offering empirical evidence on the specifics of fashion returns, an area previously lacking robust data. This paper not only fills this gap but also provides actionable insights for both academic research and industry practice. By focusing on the management of returns within fashion e-commerce, the study contributes to the development of more sustainable and efficient supply chain strategies, advancing current knowledge within SCM research.","author":[{"dropping-particle":"","family":"Marriott","given":"Joshua","non-dropping-particle":"","parse-names":false,"suffix":""},{"dropping-particle":"","family":"Bektaş","given":"Tolga","non-dropping-particle":"","parse-names":false,"suffix":""},{"dropping-particle":"","family":"Leung","given":"Eric Ka Ho","non-dropping-particle":"","parse-names":false,"suffix":""},{"dropping-particle":"","family":"Lyons","given":"Andrew","non-dropping-particle":"","parse-names":false,"suffix":""}],"container-title":"Transportation Research Part E: Logistics and Transportation Review","id":"ITEM-1","issued":{"date-parts":[["2025"]]},"page":"103904","title":"The billion-pound question in fashion E-commerce: Investigating the anatomy of returns","type":"article-journal","volume":"194"},"uris":["http://www.mendeley.com/documents/?uuid=632c878c-ad67-4218-ad02-6231a938e87e"]},{"id":"ITEM-2","itemData":{"URL":"https://www.ons.gov.uk/businessindustryandtrade/retailindustry/timeseries/j4mc/drsi","accessed":{"date-parts":[["2026","3","9"]]},"author":[{"dropping-particle":"","family":"Office for National Statistics","given":"","non-dropping-particle":"","parse-names":false,"suffix":""}],"id":"ITEM-2","issued":{"date-parts":[["2021"]]},"title":"Internet sales as a percentage of total retail sales (ratio) (%25)","type":"webpage"},"uris":["http://www.mendeley.com/documents/?uuid=23b31c88-8696-4e2b-943e-f97d210af1f1"]},{"id":"ITEM-3","itemData":{"URL":"https://www.ons.gov.uk/businessindustryandtrade/retailindustry/bulletins/retailsales/december2024","accessed":{"date-parts":[["2026","3","7"]]},"author":[{"dropping-particle":"","family":"ONS GOV UK","given":"","non-dropping-particle":"","parse-names":false,"suffix":""}],"id":"ITEM-3","issued":{"date-parts":[["2025"]]},"title":"Retail sales, Great Britain: December 2024","type":"webpage"},"uris":["http://www.mendeley.com/documents/?uuid=455dc700-edaf-4b2e-85bc-1e43de490d95"]},{"id":"ITEM-4","itemData":{"URL":"https://www.reuters.com/business/retail-consumer/britains-next-says-worst-structural-shift-online-is-over-2025-03-27/","accessed":{"date-parts":[["2026","3","9"]]},"author":[{"dropping-particle":"","family":"Reuters","given":"","non-dropping-particle":"","parse-names":false,"suffix":""}],"id":"ITEM-4","issued":{"date-parts":[["2025"]]},"title":"Britain's Next says worst of structural shift to online is over","type":"webpage"},"uris":["http://www.mendeley.com/documents/?uuid=b8177ab4-7dfa-4d5f-8a30-b27b5c5f995a"]}],"mendeley":{"formattedCitation":"(Marriott et al., 2025; Office for National Statistics, 2021; ONS GOV UK, 2025b; Reuters, 2025a)","plainTextFormattedCitation":"(Marriott et al., 2025; Office for National Statistics, 2021; ONS GOV UK, 2025b; Reuters, 2025a)","previouslyFormattedCitation":"(Marriott et al., 2025; Office for National Statistics, 2021; ONS GOV UK, 2025b; Reuters, 2025a)"},"properties":{"noteIndex":0},"schema":"https://github.com/citation-style-language/schema/raw/master/csl-citation.json"}</w:instrText>
      </w:r>
      <w:r w:rsidR="00C87C0A" w:rsidRPr="00B75BF1">
        <w:fldChar w:fldCharType="separate"/>
      </w:r>
      <w:r w:rsidR="00656A80" w:rsidRPr="00B75BF1">
        <w:rPr>
          <w:noProof/>
        </w:rPr>
        <w:t>(Marriott et al., 2025; Office for National Statistics, 2021; ONS GOV UK, 2025b; Reuters, 2025a)</w:t>
      </w:r>
      <w:r w:rsidR="00C87C0A" w:rsidRPr="00B75BF1">
        <w:fldChar w:fldCharType="end"/>
      </w:r>
      <w:r w:rsidR="00D75670" w:rsidRPr="00B75BF1">
        <w:t xml:space="preserve">. </w:t>
      </w:r>
    </w:p>
    <w:p w14:paraId="47D359BE" w14:textId="36ACD7E5" w:rsidR="00D75670" w:rsidRPr="00B75BF1" w:rsidRDefault="00142496" w:rsidP="00D75670">
      <w:pPr>
        <w:pStyle w:val="NormalWeb"/>
      </w:pPr>
      <w:r w:rsidRPr="00B75BF1">
        <w:t xml:space="preserve">The industry is very reliant on imports and supply chains. UK fast fashion has been based on sourcing worldwide, cheap production, and expedited logistics. This makes it affordable but leaves a retailer in the trade friction, delays in shipping and under investigation of </w:t>
      </w:r>
      <w:proofErr w:type="spellStart"/>
      <w:r w:rsidRPr="00B75BF1">
        <w:t>labour</w:t>
      </w:r>
      <w:proofErr w:type="spellEnd"/>
      <w:r w:rsidRPr="00B75BF1">
        <w:t xml:space="preserve"> and </w:t>
      </w:r>
      <w:r w:rsidRPr="00B75BF1">
        <w:lastRenderedPageBreak/>
        <w:t xml:space="preserve">environmental standards. The economic value of the sector lies in its association with consumption, logistics, marketing, technology, and global sourcing, which form a giant workforce </w:t>
      </w:r>
      <w:r w:rsidR="00D46C2F" w:rsidRPr="00B75BF1">
        <w:fldChar w:fldCharType="begin" w:fldLock="1"/>
      </w:r>
      <w:r w:rsidR="00844FAF" w:rsidRPr="00B75BF1">
        <w:instrText>ADDIN CSL_CITATION {"citationItems":[{"id":"ITEM-1","itemData":{"URL":"https://ukft.org/industry-reports-and-stats/","accessed":{"date-parts":[["2026","3","9"]]},"author":[{"dropping-particle":"","family":"UKFT","given":"","non-dropping-particle":"","parse-names":false,"suffix":""}],"id":"ITEM-1","issued":{"date-parts":[["2025"]]},"title":"About the UK fashion and textiles industry","type":"webpage"},"uris":["http://www.mendeley.com/documents/?uuid=bd407deb-b00a-4090-a4a7-6ae97152d1a7"]},{"id":"ITEM-2","itemData":{"DOI":"10.3390/systems13060405","ISBN":"2079-8954","abstract":"One of the core objectives of the European Green Deal in pursuing climate neutrality and sustainable development is the decarbonization of high-impact sectors. Among the most polluting is the fast fashion industry, driven by linear business models that must urgently transition to circular economy frameworks and decarbonized supply chains. Fast fashion poses significant environmental and social challenges due to its high greenhouse gas emissions, excessive resource consumption, and substantial waste generation. To foster greater sustainability within the sector, this study examines environmental indicators defined by the European Sustainability Reporting Standards (ESRS), in accordance with the EU’s Corporate Sustainability Reporting Directive (CSRD) 2022/2464. Aligned with the Global Reporting Initiative (GRI), these standards aim to harmonize sustainability disclosures and enable better decision-making across environmental, social, and governance (ESG) dimensions throughout Europe. This research focuses on five key environmental aspects—climate change, pollution, water resource management, biodiversity, and circular economy/resource use—across four leading fast fashion brands: Mango, Zara, H&amp;M, and Shein. Using an exploratory web-based methodology, this study evaluates how these companies disclose and implement ESG strategies in their supply chains. The central aim is to assess the sustainability and resilience of their operations, with particular emphasis on communication strategies that support the transition from linear to circular business models. Ultimately, this study seeks to highlight both the progress and persistent challenges faced by the fast fashion industry in aligning with ESG and ESRS requirements.","author":[{"dropping-particle":"","family":"Arimany Serrat","given":"Núria","non-dropping-particle":"","parse-names":false,"suffix":""},{"dropping-particle":"","family":"Arribas-Ibar","given":"Manel","non-dropping-particle":"","parse-names":false,"suffix":""},{"dropping-particle":"","family":"Erdoğan","given":"Gözde","non-dropping-particle":"","parse-names":false,"suffix":""}],"container-title":"Systems","id":"ITEM-2","issue":"6","issued":{"date-parts":[["2025"]]},"page":"405","title":"Fast Fashion Sector: Business Models, Supply Chains, and European Sustainability Standards","type":"article","volume":"13"},"uris":["http://www.mendeley.com/documents/?uuid=2c98de92-4dde-4ec3-9976-6cd028c529d1"]},{"id":"ITEM-3","itemData":{"ISSN":"2241-794X","author":[{"dropping-particle":"","family":"Jones","given":"Peter","non-dropping-particle":"","parse-names":false,"suffix":""}],"container-title":"Athens Journal of Business and Economics","id":"ITEM-3","issue":"1","issued":{"date-parts":[["2025"]]},"page":"9-24","publisher":"Athens Institute for Education and Research","title":"Sustainability and the UK’s Leading Clothing Retailers","type":"article-journal","volume":"11"},"uris":["http://www.mendeley.com/documents/?uuid=25ecb100-9f2c-49bb-b019-7ae90965511a"]}],"mendeley":{"formattedCitation":"(Arimany Serrat et al., 2025; Jones, 2025; UKFT, 2025a)","plainTextFormattedCitation":"(Arimany Serrat et al., 2025; Jones, 2025; UKFT, 2025a)","previouslyFormattedCitation":"(Arimany Serrat et al., 2025; Jones, 2025; UKFT, 2025a)"},"properties":{"noteIndex":0},"schema":"https://github.com/citation-style-language/schema/raw/master/csl-citation.json"}</w:instrText>
      </w:r>
      <w:r w:rsidR="00D46C2F" w:rsidRPr="00B75BF1">
        <w:fldChar w:fldCharType="separate"/>
      </w:r>
      <w:r w:rsidR="00844FAF" w:rsidRPr="00B75BF1">
        <w:rPr>
          <w:noProof/>
        </w:rPr>
        <w:t>(Arimany Serrat et al., 2025; Jones, 2025; UKFT, 2025a)</w:t>
      </w:r>
      <w:r w:rsidR="00D46C2F" w:rsidRPr="00B75BF1">
        <w:fldChar w:fldCharType="end"/>
      </w:r>
      <w:r w:rsidR="00D75670" w:rsidRPr="00B75BF1">
        <w:t xml:space="preserve">. </w:t>
      </w:r>
    </w:p>
    <w:p w14:paraId="1226A9AA" w14:textId="2F6C8881" w:rsidR="00D75670" w:rsidRPr="00B75BF1" w:rsidRDefault="00D75670" w:rsidP="005B0DA7">
      <w:pPr>
        <w:pStyle w:val="Heading2"/>
      </w:pPr>
      <w:bookmarkStart w:id="6" w:name="_Toc224049962"/>
      <w:r w:rsidRPr="00B75BF1">
        <w:t>Market structure and competitive landscape</w:t>
      </w:r>
      <w:bookmarkEnd w:id="6"/>
    </w:p>
    <w:p w14:paraId="704797DA" w14:textId="7CE2507C" w:rsidR="00D75670" w:rsidRPr="00B75BF1" w:rsidRDefault="00142496" w:rsidP="00142496">
      <w:pPr>
        <w:pStyle w:val="NormalWeb"/>
      </w:pPr>
      <w:r w:rsidRPr="00B75BF1">
        <w:t xml:space="preserve">The UK market is competitive and highly fragmented, comprising of multinational players such as Zara and H&amp;M, value-oriented operators such as Primark, UK online first players such as ASOS and Boohoo, rapid cross-border entry players such as Shein, and general retailers such as Next </w:t>
      </w:r>
      <w:r w:rsidR="00C215C7" w:rsidRPr="00B75BF1">
        <w:fldChar w:fldCharType="begin" w:fldLock="1"/>
      </w:r>
      <w:r w:rsidR="00A175BA" w:rsidRPr="00B75BF1">
        <w:instrText>ADDIN CSL_CITATION {"citationItems":[{"id":"ITEM-1","itemData":{"URL":"https://www.inditex.com/itxcomweb/api/media/604197b9-50de-4f4f-ab84-c1e379cb3fd0/Inditex_Group_Annual_Report_2024.pdf?t=1741989136588&amp;","accessed":{"date-parts":[["2026","3","9"]]},"author":[{"dropping-particle":"","family":"INDITEX 2024","given":"","non-dropping-particle":"","parse-names":false,"suffix":""}],"id":"ITEM-1","issued":{"date-parts":[["2024"]]},"title":"INDITEX GROUP ANNUAL REPORT 2024","type":"webpage"},"uris":["http://www.mendeley.com/documents/?uuid=40a1cc8a-ef89-4394-8c89-d81cd06cde16"]},{"id":"ITEM-2","itemData":{"URL":"https://hmgroup.com/wp-content/uploads/2025/01/H-M-Hennes-Mauritz-AB-Full-year-report-2024.pdf","accessed":{"date-parts":[["2026","3","9"]]},"author":[{"dropping-particle":"","family":"H&amp;M Group","given":"","non-dropping-particle":"","parse-names":false,"suffix":""}],"id":"ITEM-2","issued":{"date-parts":[["2024"]]},"title":"H&amp;M Group Q4","type":"webpage"},"uris":["http://www.mendeley.com/documents/?uuid=792f7cb5-c18d-4ac3-bdbe-22372e6c8998"]},{"id":"ITEM-3","itemData":{"URL":"https://www.abf.co.uk/content/dam/abf/corporate/ar-assets-2024/pdfs/abf-annual-report-2024.pdf.downloadasset.pdf","accessed":{"date-parts":[["2026","3","9"]]},"author":[{"dropping-particle":"","family":"ABF","given":"","non-dropping-particle":"","parse-names":false,"suffix":""}],"id":"ITEM-3","issued":{"date-parts":[["2024"]]},"title":"Associated British Foods plc","type":"webpage"},"uris":["http://www.mendeley.com/documents/?uuid=b3f9c7c1-8ae8-486d-a78d-cf98b1b53656"]},{"id":"ITEM-4","itemData":{"URL":"https://www.asosplc.com/media/xvajuhhu/asos_annual_report_2024.pdf","accessed":{"date-parts":[["2026","3","9"]]},"author":[{"dropping-particle":"","family":"ASOS","given":"","non-dropping-particle":"","parse-names":false,"suffix":""}],"id":"ITEM-4","issued":{"date-parts":[["2024"]]},"title":"ASOS Annual Report 2024","type":"webpage"},"uris":["http://www.mendeley.com/documents/?uuid=6ffd1c30-a16d-4e52-9729-3ba41082b823"]},{"id":"ITEM-5","itemData":{"URL":"https://www.nextplc.co.uk/~/media/Files/N/next-plc-v4/about-next/annual-report-and-accounts-jan-2025.pdf","accessed":{"date-parts":[["2026","3","9"]]},"author":[{"dropping-particle":"","family":"Next plc","given":"","non-dropping-particle":"","parse-names":false,"suffix":""}],"id":"ITEM-5","issued":{"date-parts":[["2025"]]},"title":"NEXT","type":"webpage"},"uris":["http://www.mendeley.com/documents/?uuid=fbc19127-9d77-4bd3-b99a-387c97832dca"]},{"id":"ITEM-6","itemData":{"URL":"https://www.theguardian.com/business/2024/oct/08/shein-doubles-profits-uk-sales-ipo-fashion-retailer-boohoo-asos","accessed":{"date-parts":[["2026","3","9"]]},"author":[{"dropping-particle":"","family":"Sarah Butler","given":"","non-dropping-particle":"","parse-names":false,"suffix":""}],"id":"ITEM-6","issued":{"date-parts":[["2024"]]},"title":"Shein doubles profits in UK after sales leap 40% to £1.5bn","type":"webpage"},"uris":["http://www.mendeley.com/documents/?uuid=37759eb4-0d43-4d32-8be5-edd1f39351e4"]}],"mendeley":{"formattedCitation":"(ABF, 2024; ASOS, 2024; H&amp;M Group, 2024; INDITEX 2024, 2024; Next plc, 2025; Sarah Butler, 2024b)","plainTextFormattedCitation":"(ABF, 2024; ASOS, 2024; H&amp;M Group, 2024; INDITEX 2024, 2024; Next plc, 2025; Sarah Butler, 2024b)","previouslyFormattedCitation":"(ABF, 2024; ASOS, 2024; H&amp;M Group, 2024; INDITEX 2024, 2024; Next plc, 2025; Sarah Butler, 2024b)"},"properties":{"noteIndex":0},"schema":"https://github.com/citation-style-language/schema/raw/master/csl-citation.json"}</w:instrText>
      </w:r>
      <w:r w:rsidR="00C215C7" w:rsidRPr="00B75BF1">
        <w:fldChar w:fldCharType="separate"/>
      </w:r>
      <w:r w:rsidR="00A175BA" w:rsidRPr="00B75BF1">
        <w:rPr>
          <w:noProof/>
        </w:rPr>
        <w:t>(ABF, 2024; ASOS, 2024; H&amp;M Group, 2024; INDITEX 2024, 2024; Next plc, 2025; Sarah Butler, 2024b)</w:t>
      </w:r>
      <w:r w:rsidR="00C215C7" w:rsidRPr="00B75BF1">
        <w:fldChar w:fldCharType="end"/>
      </w:r>
      <w:r w:rsidR="00D75670" w:rsidRPr="00B75BF1">
        <w:t xml:space="preserve">. </w:t>
      </w:r>
    </w:p>
    <w:p w14:paraId="05996FC6" w14:textId="534ECEAA" w:rsidR="00D75670" w:rsidRPr="00B75BF1" w:rsidRDefault="00142496" w:rsidP="00D75670">
      <w:pPr>
        <w:pStyle w:val="NormalWeb"/>
      </w:pPr>
      <w:r w:rsidRPr="00B75BF1">
        <w:t xml:space="preserve">The building is readable on three dimensions. First, physical vs digital-first: Stores are held by Zara, H&amp;M, Primark, and Next, whereas ASOS, Boohoo, and Shein are mostly online. Second value versus mid-market trend-led Primark and Shein compete on price, whereas Zara and H&amp;M sell a more branded lower-end style; Next is fashion meets mainstream. Third, local vs. international: ASOS, Boohoo, and Next are domestic, but Zara, H&amp;M, and Shein are foreign with other sourcing and platform strategies. This translates into a market that is trading down on price, across on convenience or a little up on design and brand assurance </w:t>
      </w:r>
      <w:r w:rsidR="00A175BA" w:rsidRPr="00B75BF1">
        <w:fldChar w:fldCharType="begin" w:fldLock="1"/>
      </w:r>
      <w:r w:rsidR="00A175BA" w:rsidRPr="00B75BF1">
        <w:instrText>ADDIN CSL_CITATION {"citationItems":[{"id":"ITEM-1","itemData":{"URL":"https://www.inditex.com/itxcomweb/api/media/604197b9-50de-4f4f-ab84-c1e379cb3fd0/Inditex_Group_Annual_Report_2024.pdf?t=1741989136588&amp;","accessed":{"date-parts":[["2026","3","9"]]},"author":[{"dropping-particle":"","family":"INDITEX 2024","given":"","non-dropping-particle":"","parse-names":false,"suffix":""}],"id":"ITEM-1","issued":{"date-parts":[["2024"]]},"title":"INDITEX GROUP ANNUAL REPORT 2024","type":"webpage"},"uris":["http://www.mendeley.com/documents/?uuid=40a1cc8a-ef89-4394-8c89-d81cd06cde16"]},{"id":"ITEM-2","itemData":{"URL":"https://hmgroup.com/wp-content/uploads/2025/01/H-M-Hennes-Mauritz-AB-Full-year-report-2024.pdf","accessed":{"date-parts":[["2026","3","9"]]},"author":[{"dropping-particle":"","family":"H&amp;M Group","given":"","non-dropping-particle":"","parse-names":false,"suffix":""}],"id":"ITEM-2","issued":{"date-parts":[["2024"]]},"title":"H&amp;M Group Q4","type":"webpage"},"uris":["http://www.mendeley.com/documents/?uuid=792f7cb5-c18d-4ac3-bdbe-22372e6c8998"]},{"id":"ITEM-3","itemData":{"URL":"https://www.abf.co.uk/content/dam/abf/corporate/ar-assets-2024/pdfs/abf-annual-report-2024.pdf.downloadasset.pdf","accessed":{"date-parts":[["2026","3","9"]]},"author":[{"dropping-particle":"","family":"ABF","given":"","non-dropping-particle":"","parse-names":false,"suffix":""}],"id":"ITEM-3","issued":{"date-parts":[["2024"]]},"title":"Associated British Foods plc","type":"webpage"},"uris":["http://www.mendeley.com/documents/?uuid=b3f9c7c1-8ae8-486d-a78d-cf98b1b53656"]},{"id":"ITEM-4","itemData":{"URL":"https://www.asosplc.com/media/xvajuhhu/asos_annual_report_2024.pdf","accessed":{"date-parts":[["2026","3","9"]]},"author":[{"dropping-particle":"","family":"ASOS","given":"","non-dropping-particle":"","parse-names":false,"suffix":""}],"id":"ITEM-4","issued":{"date-parts":[["2024"]]},"title":"ASOS Annual Report 2024","type":"webpage"},"uris":["http://www.mendeley.com/documents/?uuid=6ffd1c30-a16d-4e52-9729-3ba41082b823"]},{"id":"ITEM-5","itemData":{"URL":"https://www.debenhamsgroup.com/files/results-centre/2024/boohoo-group-plc-annual-report-and-financial-statements-2024-v3.pdf","accessed":{"date-parts":[["2026","3","9"]]},"author":[{"dropping-particle":"","family":"Boohoo group plc","given":"","non-dropping-particle":"","parse-names":false,"suffix":""}],"id":"ITEM-5","issued":{"date-parts":[["2024"]]},"title":"ANNUAL REPORT AND FINANCIAL STATEMENTS REGISTERED NUMBER 114397","type":"webpage"},"uris":["http://www.mendeley.com/documents/?uuid=7de56617-48ed-4620-bffe-d87458e331f7"]},{"id":"ITEM-6","itemData":{"URL":"https://www.nextplc.co.uk/~/media/Files/N/next-plc-v4/about-next/annual-report-and-accounts-jan-2025.pdf","accessed":{"date-parts":[["2026","3","9"]]},"author":[{"dropping-particle":"","family":"Next plc","given":"","non-dropping-particle":"","parse-names":false,"suffix":""}],"id":"ITEM-6","issued":{"date-parts":[["2025"]]},"title":"NEXT","type":"webpage"},"uris":["http://www.mendeley.com/documents/?uuid=fbc19127-9d77-4bd3-b99a-387c97832dca"]}],"mendeley":{"formattedCitation":"(ABF, 2024; ASOS, 2024; Boohoo group plc, 2024; H&amp;M Group, 2024; INDITEX 2024, 2024; Next plc, 2025)","plainTextFormattedCitation":"(ABF, 2024; ASOS, 2024; Boohoo group plc, 2024; H&amp;M Group, 2024; INDITEX 2024, 2024; Next plc, 2025)","previouslyFormattedCitation":"(ABF, 2024; ASOS, 2024; Boohoo group plc, 2024; H&amp;M Group, 2024; INDITEX 2024, 2024; Next plc, 2025)"},"properties":{"noteIndex":0},"schema":"https://github.com/citation-style-language/schema/raw/master/csl-citation.json"}</w:instrText>
      </w:r>
      <w:r w:rsidR="00A175BA" w:rsidRPr="00B75BF1">
        <w:fldChar w:fldCharType="separate"/>
      </w:r>
      <w:r w:rsidR="00A175BA" w:rsidRPr="00B75BF1">
        <w:rPr>
          <w:noProof/>
        </w:rPr>
        <w:t>(ABF, 2024; ASOS, 2024; Boohoo group plc, 2024; H&amp;M Group, 2024; INDITEX 2024, 2024; Next plc, 2025)</w:t>
      </w:r>
      <w:r w:rsidR="00A175BA" w:rsidRPr="00B75BF1">
        <w:fldChar w:fldCharType="end"/>
      </w:r>
      <w:r w:rsidR="00D75670" w:rsidRPr="00B75BF1">
        <w:t xml:space="preserve">. </w:t>
      </w:r>
    </w:p>
    <w:p w14:paraId="6A61AFDB" w14:textId="35A44C7D" w:rsidR="00D75670" w:rsidRPr="00B75BF1" w:rsidRDefault="00D75670" w:rsidP="005B0DA7">
      <w:pPr>
        <w:pStyle w:val="Heading2"/>
      </w:pPr>
      <w:bookmarkStart w:id="7" w:name="_Toc224049963"/>
      <w:r w:rsidRPr="00B75BF1">
        <w:t>Relative positioning of key companies</w:t>
      </w:r>
      <w:bookmarkEnd w:id="7"/>
    </w:p>
    <w:p w14:paraId="40A455DA" w14:textId="04C41CB9" w:rsidR="00D75670" w:rsidRPr="00B75BF1" w:rsidRDefault="00142496" w:rsidP="00142496">
      <w:pPr>
        <w:pStyle w:val="NormalWeb"/>
      </w:pPr>
      <w:r w:rsidRPr="00B75BF1">
        <w:t xml:space="preserve">Market leaders are competing on similar but different grounds. Primark enjoys ultra-competitive pricing and huge format stores but its online shopping is inferior to the competitors. With low prices, intense marketing in the social-media platform, and fast online updates, Shein and Boohoo compete with younger customers, but are questioned about sustainability and supply-chain practices. ASOS is financially challenged in a challenging market but has strong digital skills and </w:t>
      </w:r>
      <w:proofErr w:type="spellStart"/>
      <w:r w:rsidRPr="00B75BF1">
        <w:t>fashionation</w:t>
      </w:r>
      <w:proofErr w:type="spellEnd"/>
      <w:r w:rsidRPr="00B75BF1">
        <w:t xml:space="preserve"> </w:t>
      </w:r>
      <w:r w:rsidR="00A175BA" w:rsidRPr="00B75BF1">
        <w:fldChar w:fldCharType="begin" w:fldLock="1"/>
      </w:r>
      <w:r w:rsidR="00DC5BF8" w:rsidRPr="00B75BF1">
        <w:instrText>ADDIN CSL_CITATION {"citationItems":[{"id":"ITEM-1","itemData":{"URL":"https://www.theguardian.com/business/article/2024/may/08/boohoo-dives-into-debt-as-losses-soar-and-sales-slump","author":[{"dropping-particle":"","family":"Sarah Butler","given":"","non-dropping-particle":"","parse-names":false,"suffix":""}],"id":"ITEM-1","issued":{"date-parts":[["2024"]]},"title":"Boohoo dives into debt as losses soar to £160m and sales slump","type":"webpage"},"uris":["http://www.mendeley.com/documents/?uuid=c77ca99b-9730-4855-9b02-ebe5a2ef7d91"]},{"id":"ITEM-2","itemData":{"URL":"https://www.asosplc.com/media/xvajuhhu/asos_annual_report_2024.pdf","accessed":{"date-parts":[["2026","3","9"]]},"author":[{"dropping-particle":"","family":"ASOS","given":"","non-dropping-particle":"","parse-names":false,"suffix":""}],"id":"ITEM-2","issued":{"date-parts":[["2024"]]},"title":"ASOS Annual Report 2024","type":"webpage"},"uris":["http://www.mendeley.com/documents/?uuid=6ffd1c30-a16d-4e52-9729-3ba41082b823"]},{"id":"ITEM-3","itemData":{"URL":"https://www.theguardian.com/business/2024/nov/05/asos-loss-cost-of-living-stock-discount","accessed":{"date-parts":[["2026","3","9"]]},"author":[{"dropping-particle":"","family":"Kollewe","given":"Julia","non-dropping-particle":"","parse-names":false,"suffix":""}],"id":"ITEM-3","issued":{"date-parts":[["2024"]]},"title":"Asos slides to huge loss but insists it sees ‘green shoots’","type":"webpage"},"uris":["http://www.mendeley.com/documents/?uuid=b850072b-e71c-4fc7-8fee-8144c9736f9f"]},{"id":"ITEM-4","itemData":{"URL":"https://www.abf.co.uk/content/dam/abf/corporate/ar-assets-2024/pdfs/abf-annual-report-2024.pdf.downloadasset.pdf","accessed":{"date-parts":[["2026","3","9"]]},"author":[{"dropping-particle":"","family":"ABF","given":"","non-dropping-particle":"","parse-names":false,"suffix":""}],"id":"ITEM-4","issued":{"date-parts":[["2024"]]},"title":"Associated British Foods plc","type":"webpage"},"uris":["http://www.mendeley.com/documents/?uuid=b3f9c7c1-8ae8-486d-a78d-cf98b1b53656"]},{"id":"ITEM-5","itemData":{"URL":"https://www.theguardian.com/business/2024/oct/08/shein-doubles-profits-uk-sales-ipo-fashion-retailer-boohoo-asos","accessed":{"date-parts":[["2026","3","9"]]},"author":[{"dropping-particle":"","family":"Sarah Butler","given":"","non-dropping-particle":"","parse-names":false,"suffix":""}],"id":"ITEM-5","issued":{"date-parts":[["2024"]]},"title":"Shein doubles profits in UK after sales leap 40% to £1.5bn","type":"webpage"},"uris":["http://www.mendeley.com/documents/?uuid=37759eb4-0d43-4d32-8be5-edd1f39351e4"]}],"mendeley":{"formattedCitation":"(ABF, 2024; ASOS, 2024; Kollewe, 2024; Sarah Butler, 2024a, 2024b)","plainTextFormattedCitation":"(ABF, 2024; ASOS, 2024; Kollewe, 2024; Sarah Butler, 2024a, 2024b)","previouslyFormattedCitation":"(ABF, 2024; ASOS, 2024; Kollewe, 2024; Sarah Butler, 2024a, 2024b)"},"properties":{"noteIndex":0},"schema":"https://github.com/citation-style-language/schema/raw/master/csl-citation.json"}</w:instrText>
      </w:r>
      <w:r w:rsidR="00A175BA" w:rsidRPr="00B75BF1">
        <w:fldChar w:fldCharType="separate"/>
      </w:r>
      <w:r w:rsidR="00DC5BF8" w:rsidRPr="00B75BF1">
        <w:rPr>
          <w:noProof/>
        </w:rPr>
        <w:t>(ABF, 2024; ASOS, 2024; Kollewe, 2024; Sarah Butler, 2024a, 2024b)</w:t>
      </w:r>
      <w:r w:rsidR="00A175BA" w:rsidRPr="00B75BF1">
        <w:fldChar w:fldCharType="end"/>
      </w:r>
      <w:r w:rsidR="00D75670" w:rsidRPr="00B75BF1">
        <w:t xml:space="preserve">. </w:t>
      </w:r>
    </w:p>
    <w:p w14:paraId="7B7E583F" w14:textId="5B1C932A" w:rsidR="00D75670" w:rsidRPr="00B75BF1" w:rsidRDefault="00142496" w:rsidP="00D75670">
      <w:pPr>
        <w:pStyle w:val="NormalWeb"/>
      </w:pPr>
      <w:r w:rsidRPr="00B75BF1">
        <w:t xml:space="preserve">H&amp;M and Zara are rivals in both global size and affordable aesthetic but Zara retains a superior business identity of being trendy, selecting products, and keeping up with the trends. The 2024 report of Inditex is focused on its integrated store-and-online model, whereas the 2025 report of H&amp;M is focused on the expansion of </w:t>
      </w:r>
      <w:proofErr w:type="spellStart"/>
      <w:r w:rsidRPr="00B75BF1">
        <w:t>omnichannels</w:t>
      </w:r>
      <w:proofErr w:type="spellEnd"/>
      <w:r w:rsidRPr="00B75BF1">
        <w:t xml:space="preserve"> </w:t>
      </w:r>
      <w:r w:rsidR="00DC5BF8" w:rsidRPr="00B75BF1">
        <w:fldChar w:fldCharType="begin" w:fldLock="1"/>
      </w:r>
      <w:r w:rsidR="00DC5BF8" w:rsidRPr="00B75BF1">
        <w:instrText>ADDIN CSL_CITATION {"citationItems":[{"id":"ITEM-1","itemData":{"URL":"https://www.inditex.com/itxcomweb/api/media/604197b9-50de-4f4f-ab84-c1e379cb3fd0/Inditex_Group_Annual_Report_2024.pdf?t=1741989136588&amp;","accessed":{"date-parts":[["2026","3","9"]]},"author":[{"dropping-particle":"","family":"INDITEX 2024","given":"","non-dropping-particle":"","parse-names":false,"suffix":""}],"id":"ITEM-1","issued":{"date-parts":[["2024"]]},"title":"INDITEX GROUP ANNUAL REPORT 2024","type":"webpage"},"uris":["http://www.mendeley.com/documents/?uuid=40a1cc8a-ef89-4394-8c89-d81cd06cde16"]},{"id":"ITEM-2","itemData":{"URL":"http://hmgroup.com/wp-content/uploads/2025/03/HM-Group-Annual-and-sustainability-report-2024.pdf","accessed":{"date-parts":[["2026","3","9"]]},"author":[{"dropping-particle":"","family":"H&amp;M Group","given":"","non-dropping-particle":"","parse-names":false,"suffix":""}],"id":"ITEM-2","issued":{"date-parts":[["2025"]]},"title":"H&amp;M Report ANNUAL &amp; SUSTAINABILITY REPORT","type":"webpage"},"uris":["http://www.mendeley.com/documents/?uuid=038459af-63a0-4021-bb90-7dbe0831cd53"]}],"mendeley":{"formattedCitation":"(H&amp;M Group, 2025; INDITEX 2024, 2024)","plainTextFormattedCitation":"(H&amp;M Group, 2025; INDITEX 2024, 2024)","previouslyFormattedCitation":"(H&amp;M Group, 2025; INDITEX 2024, 2024)"},"properties":{"noteIndex":0},"schema":"https://github.com/citation-style-language/schema/raw/master/csl-citation.json"}</w:instrText>
      </w:r>
      <w:r w:rsidR="00DC5BF8" w:rsidRPr="00B75BF1">
        <w:fldChar w:fldCharType="separate"/>
      </w:r>
      <w:r w:rsidR="00DC5BF8" w:rsidRPr="00B75BF1">
        <w:rPr>
          <w:noProof/>
        </w:rPr>
        <w:t>(H&amp;M Group, 2025; INDITEX 2024, 2024)</w:t>
      </w:r>
      <w:r w:rsidR="00DC5BF8" w:rsidRPr="00B75BF1">
        <w:fldChar w:fldCharType="end"/>
      </w:r>
      <w:r w:rsidR="00D75670" w:rsidRPr="00B75BF1">
        <w:t xml:space="preserve">. </w:t>
      </w:r>
    </w:p>
    <w:p w14:paraId="390C50BD" w14:textId="20A5E072" w:rsidR="00D75670" w:rsidRPr="00B75BF1" w:rsidRDefault="00142496" w:rsidP="00D75670">
      <w:pPr>
        <w:pStyle w:val="NormalWeb"/>
      </w:pPr>
      <w:r w:rsidRPr="00B75BF1">
        <w:t xml:space="preserve">Next has a reputation of operational discipline and trust, as well as store-plus-digital proposition. According to Reuters, Next anticipates online expansion to offset poor physical store sales, indicating how the hybrid capability has been turned into a strategic resource in retailing apparel in the UK </w:t>
      </w:r>
      <w:r w:rsidR="00DC5BF8" w:rsidRPr="00B75BF1">
        <w:fldChar w:fldCharType="begin" w:fldLock="1"/>
      </w:r>
      <w:r w:rsidR="00656A80" w:rsidRPr="00B75BF1">
        <w:instrText>ADDIN CSL_CITATION {"citationItems":[{"id":"ITEM-1","itemData":{"URL":"https://www.reuters.com/business/retail-consumer/britains-next-says-worst-structural-shift-online-is-over-2025-03-27/","accessed":{"date-parts":[["2026","3","9"]]},"author":[{"dropping-particle":"","family":"Reuters","given":"","non-dropping-particle":"","parse-names":false,"suffix":""}],"id":"ITEM-1","issued":{"date-parts":[["2025"]]},"title":"Britain's Next says worst of structural shift to online is over","type":"webpage"},"uris":["http://www.mendeley.com/documents/?uuid=b8177ab4-7dfa-4d5f-8a30-b27b5c5f995a"]},{"id":"ITEM-2","itemData":{"URL":"https://www.nextplc.co.uk/~/media/Files/N/next-plc-v4/about-next/annual-report-and-accounts-jan-2025.pdf","accessed":{"date-parts":[["2026","3","9"]]},"author":[{"dropping-particle":"","family":"Next plc","given":"","non-dropping-particle":"","parse-names":false,"suffix":""}],"id":"ITEM-2","issued":{"date-parts":[["2025"]]},"title":"NEXT","type":"webpage"},"uris":["http://www.mendeley.com/documents/?uuid=fbc19127-9d77-4bd3-b99a-387c97832dca"]}],"mendeley":{"formattedCitation":"(Next plc, 2025; Reuters, 2025a)","plainTextFormattedCitation":"(Next plc, 2025; Reuters, 2025a)","previouslyFormattedCitation":"(Next plc, 2025; Reuters, 2025a)"},"properties":{"noteIndex":0},"schema":"https://github.com/citation-style-language/schema/raw/master/csl-citation.json"}</w:instrText>
      </w:r>
      <w:r w:rsidR="00DC5BF8" w:rsidRPr="00B75BF1">
        <w:fldChar w:fldCharType="separate"/>
      </w:r>
      <w:r w:rsidR="00656A80" w:rsidRPr="00B75BF1">
        <w:rPr>
          <w:noProof/>
        </w:rPr>
        <w:t>(Next plc, 2025; Reuters, 2025a)</w:t>
      </w:r>
      <w:r w:rsidR="00DC5BF8" w:rsidRPr="00B75BF1">
        <w:fldChar w:fldCharType="end"/>
      </w:r>
      <w:r w:rsidR="00D75670" w:rsidRPr="00B75BF1">
        <w:t xml:space="preserve">. </w:t>
      </w:r>
    </w:p>
    <w:p w14:paraId="28823336" w14:textId="6CAB9D7B" w:rsidR="00D75670" w:rsidRPr="00B75BF1" w:rsidRDefault="00D75670" w:rsidP="00A8145B">
      <w:pPr>
        <w:pStyle w:val="NormalWeb"/>
      </w:pPr>
      <w:r w:rsidRPr="00B75BF1">
        <w:t xml:space="preserve">Overall, </w:t>
      </w:r>
      <w:r w:rsidR="00A8145B" w:rsidRPr="00B75BF1">
        <w:t xml:space="preserve">Zara is placed in a powerful mid-range, design-oriented, global brand, fashionable in comparison to Primark, and not dependent on low prices as Shein and Boohoo. Store-plus-digital integration helps Zara to be visible, convenient, and trusted by the customer. It is difficult to fulfill the needs of fashion novelties, velocity, and sustainability in a competitive market </w:t>
      </w:r>
      <w:r w:rsidR="00B64D62" w:rsidRPr="00B75BF1">
        <w:fldChar w:fldCharType="begin" w:fldLock="1"/>
      </w:r>
      <w:r w:rsidR="00B64D62" w:rsidRPr="00B75BF1">
        <w:instrText>ADDIN CSL_CITATION {"citationItems":[{"id":"ITEM-1","itemData":{"URL":"https://www.inditex.com/itxcomweb/api/media/604197b9-50de-4f4f-ab84-c1e379cb3fd0/Inditex_Group_Annual_Report_2024.pdf?t=1741989136588&amp;","accessed":{"date-parts":[["2026","3","9"]]},"author":[{"dropping-particle":"","family":"INDITEX 2024","given":"","non-dropping-particle":"","parse-names":false,"suffix":""}],"id":"ITEM-1","issued":{"date-parts":[["2024"]]},"title":"INDITEX GROUP ANNUAL REPORT 2024","type":"webpage"},"uris":["http://www.mendeley.com/documents/?uuid=40a1cc8a-ef89-4394-8c89-d81cd06cde16"]},{"id":"ITEM-2","itemData":{"URL":"https://www.theguardian.com/business/2024/oct/08/shein-doubles-profits-uk-sales-ipo-fashion-retailer-boohoo-asos","accessed":{"date-parts":[["2026","3","9"]]},"author":[{"dropping-particle":"","family":"Sarah Butler","given":"","non-dropping-particle":"","parse-names":false,"suffix":""}],"id":"ITEM-2","issued":{"date-parts":[["2024"]]},"title":"Shein doubles profits in UK after sales leap 40% to £1.5bn","type":"webpage"},"uris":["http://www.mendeley.com/documents/?uuid=37759eb4-0d43-4d32-8be5-edd1f39351e4"]},{"id":"ITEM-3","itemData":{"URL":"https://www.mckinsey.com/~/media/mckinsey/industries/retail/our insights/state of fashion/2025/the-state-of-fashion-2025-v2.pdf","accessed":{"date-parts":[["2026","3","9"]]},"author":[{"dropping-particle":"","family":"McKinsey &amp; Company","given":"","non-dropping-particle":"","parse-names":false,"suffix":""}],"id":"ITEM-3","issued":{"date-parts":[["2025"]]},"title":"The State of Fashion 2025","type":"webpage"},"uris":["http://www.mendeley.com/documents/?uuid=d867b9a9-5a0e-4d13-9d30-789df3c37e64"]}],"mendeley":{"formattedCitation":"(INDITEX 2024, 2024; McKinsey &amp; Company, 2025; Sarah Butler, 2024b)","plainTextFormattedCitation":"(INDITEX 2024, 2024; McKinsey &amp; Company, 2025; Sarah Butler, 2024b)","previouslyFormattedCitation":"(INDITEX 2024, 2024; McKinsey &amp; Company, 2025; Sarah Butler, 2024b)"},"properties":{"noteIndex":0},"schema":"https://github.com/citation-style-language/schema/raw/master/csl-citation.json"}</w:instrText>
      </w:r>
      <w:r w:rsidR="00B64D62" w:rsidRPr="00B75BF1">
        <w:fldChar w:fldCharType="separate"/>
      </w:r>
      <w:r w:rsidR="00B64D62" w:rsidRPr="00B75BF1">
        <w:rPr>
          <w:noProof/>
        </w:rPr>
        <w:t>(INDITEX 2024, 2024; McKinsey &amp; Company, 2025; Sarah Butler, 2024b)</w:t>
      </w:r>
      <w:r w:rsidR="00B64D62" w:rsidRPr="00B75BF1">
        <w:fldChar w:fldCharType="end"/>
      </w:r>
      <w:r w:rsidRPr="00B75BF1">
        <w:t xml:space="preserve">. </w:t>
      </w:r>
    </w:p>
    <w:p w14:paraId="62C4C728" w14:textId="2D93A1D4" w:rsidR="005B0DA7" w:rsidRPr="00B75BF1" w:rsidRDefault="005B0DA7" w:rsidP="002D576F">
      <w:pPr>
        <w:pStyle w:val="Heading1"/>
        <w:rPr>
          <w:rFonts w:ascii="Times New Roman" w:hAnsi="Times New Roman"/>
          <w:sz w:val="36"/>
        </w:rPr>
      </w:pPr>
      <w:bookmarkStart w:id="8" w:name="_Toc224049964"/>
      <w:r w:rsidRPr="00B75BF1">
        <w:lastRenderedPageBreak/>
        <w:t>Porter’s Diamond Model of National Advantage</w:t>
      </w:r>
      <w:bookmarkEnd w:id="8"/>
    </w:p>
    <w:p w14:paraId="32193847" w14:textId="38C9E15E" w:rsidR="005B0DA7" w:rsidRPr="00B75BF1" w:rsidRDefault="005B0DA7" w:rsidP="002D576F">
      <w:pPr>
        <w:pStyle w:val="Heading2"/>
      </w:pPr>
      <w:bookmarkStart w:id="9" w:name="_Toc224049965"/>
      <w:r w:rsidRPr="00B75BF1">
        <w:t>Introduction to the model and why it fits this case</w:t>
      </w:r>
      <w:bookmarkEnd w:id="9"/>
    </w:p>
    <w:p w14:paraId="0C90C11B" w14:textId="7E4DD5B6" w:rsidR="005B0DA7" w:rsidRPr="00B75BF1" w:rsidRDefault="001F50A1" w:rsidP="001F50A1">
      <w:pPr>
        <w:pStyle w:val="NormalWeb"/>
      </w:pPr>
      <w:r w:rsidRPr="00B75BF1">
        <w:t xml:space="preserve">The Diamond Model by Porter can be applied in this situation as it helps to understand how the UK situation influences the competitiveness of fast fashion. In this instance, the model aids in determining whether the UK offers an environment where it is speedy, responsive, </w:t>
      </w:r>
      <w:proofErr w:type="spellStart"/>
      <w:r w:rsidRPr="00B75BF1">
        <w:t>omnichannel</w:t>
      </w:r>
      <w:proofErr w:type="spellEnd"/>
      <w:r w:rsidRPr="00B75BF1">
        <w:t xml:space="preserve"> retailing, and trend-driven competition. Nevertheless, the model should be used cautiously. National conditions </w:t>
      </w:r>
      <w:proofErr w:type="spellStart"/>
      <w:r w:rsidRPr="00B75BF1">
        <w:t>favourable</w:t>
      </w:r>
      <w:proofErr w:type="spellEnd"/>
      <w:r w:rsidRPr="00B75BF1">
        <w:t xml:space="preserve"> in the UK fast fashion market do not bring a special advantage to a single company; they benefit its competitors as well and make the market highly contestable. This is significant in that it is relatively simple to enter fast fashion than capital-intensive industries, especially by using e-commerce, outsourcing sourcing, and digital marketing. Hence, the Diamond of this case explains both why the UK is desirable to companies like Zara, and why competition is fierce and sustainable competitive advantage is based on the firm-specific abilities instead of country factors alone </w:t>
      </w:r>
      <w:r w:rsidR="00664FF3" w:rsidRPr="00B75BF1">
        <w:fldChar w:fldCharType="begin" w:fldLock="1"/>
      </w:r>
      <w:r w:rsidR="001A1186" w:rsidRPr="00B75BF1">
        <w:instrText>ADDIN CSL_CITATION {"citationItems":[{"id":"ITEM-1","itemData":{"URL":"https://www.mckinsey.com/~/media/mckinsey/industries/retail/our insights/state of fashion/2025/the-state-of-fashion-2025-v2.pdf","accessed":{"date-parts":[["2026","3","9"]]},"author":[{"dropping-particle":"","family":"McKinsey &amp; Company","given":"","non-dropping-particle":"","parse-names":false,"suffix":""}],"id":"ITEM-1","issued":{"date-parts":[["2025"]]},"title":"The State of Fashion 2025","type":"webpage"},"uris":["http://www.mendeley.com/documents/?uuid=d867b9a9-5a0e-4d13-9d30-789df3c37e64"]},{"id":"ITEM-2","itemData":{"URL":"https://ukft.org/industry-footprint-report/","accessed":{"date-parts":[["2026","3","9"]]},"author":[{"dropping-particle":"","family":"UKFT","given":"","non-dropping-particle":"","parse-names":false,"suffix":""}],"id":"ITEM-2","issued":{"date-parts":[["2023"]]},"title":"The UK fashion and textile industry contributes £62bn to the UK economy","type":"webpage"},"uris":["http://www.mendeley.com/documents/?uuid=2388e1e1-b73f-47f4-9483-709699455304"]}],"mendeley":{"formattedCitation":"(McKinsey &amp; Company, 2025; UKFT, 2023b)","plainTextFormattedCitation":"(McKinsey &amp; Company, 2025; UKFT, 2023b)","previouslyFormattedCitation":"(McKinsey &amp; Company, 2025; UKFT, 2023b)"},"properties":{"noteIndex":0},"schema":"https://github.com/citation-style-language/schema/raw/master/csl-citation.json"}</w:instrText>
      </w:r>
      <w:r w:rsidR="00664FF3" w:rsidRPr="00B75BF1">
        <w:fldChar w:fldCharType="separate"/>
      </w:r>
      <w:r w:rsidR="00664FF3" w:rsidRPr="00B75BF1">
        <w:rPr>
          <w:noProof/>
        </w:rPr>
        <w:t>(McKinsey &amp; Company, 2025; UKFT, 2023b)</w:t>
      </w:r>
      <w:r w:rsidR="00664FF3" w:rsidRPr="00B75BF1">
        <w:fldChar w:fldCharType="end"/>
      </w:r>
      <w:r w:rsidR="005B0DA7" w:rsidRPr="00B75BF1">
        <w:t xml:space="preserve">. </w:t>
      </w:r>
    </w:p>
    <w:p w14:paraId="284CDCF6" w14:textId="2D097D82" w:rsidR="005B0DA7" w:rsidRPr="00B75BF1" w:rsidRDefault="005B0DA7" w:rsidP="002D576F">
      <w:pPr>
        <w:pStyle w:val="Heading2"/>
      </w:pPr>
      <w:bookmarkStart w:id="10" w:name="_Toc224049966"/>
      <w:r w:rsidRPr="00B75BF1">
        <w:t>Factor conditions</w:t>
      </w:r>
      <w:bookmarkEnd w:id="10"/>
    </w:p>
    <w:p w14:paraId="19C37001" w14:textId="6D5E75B0" w:rsidR="001F50A1" w:rsidRPr="00B75BF1" w:rsidRDefault="001F50A1" w:rsidP="001F50A1">
      <w:pPr>
        <w:spacing w:before="100" w:beforeAutospacing="1" w:after="100" w:afterAutospacing="1" w:line="240" w:lineRule="auto"/>
        <w:rPr>
          <w:rFonts w:ascii="Times New Roman" w:eastAsia="Times New Roman" w:hAnsi="Times New Roman" w:cs="Times New Roman"/>
          <w:szCs w:val="24"/>
          <w:lang w:val="en-US"/>
        </w:rPr>
      </w:pPr>
      <w:r w:rsidRPr="00B75BF1">
        <w:rPr>
          <w:rFonts w:ascii="Times New Roman" w:eastAsia="Times New Roman" w:hAnsi="Times New Roman" w:cs="Times New Roman"/>
          <w:szCs w:val="24"/>
          <w:lang w:val="en-US"/>
        </w:rPr>
        <w:t>The UK has a good factor condition to fast fashion, particularly retail facility, logistics, and digital preparedness. It enjoys high density urban retail networks, warehousing, well-developed transport systems, and penetration rates of online shopping, all of which are helpful in short lead times, efficacious fulfilment, and easy returns. The UK is also favored with a large skills base in fashion purchasing, stocking, branding, and online marketing, which is backed by universities, artistic economies and London as a world fashion and media location. Such circumstances are very much applicable to Zara, which relies on the model of speed, responsiveness of brands, and synchronized store-plus-digital.</w:t>
      </w:r>
    </w:p>
    <w:p w14:paraId="27C58D07" w14:textId="79AC985F" w:rsidR="005B0DA7" w:rsidRPr="00B75BF1" w:rsidRDefault="001F50A1" w:rsidP="001F50A1">
      <w:pPr>
        <w:spacing w:before="100" w:beforeAutospacing="1" w:after="100" w:afterAutospacing="1" w:line="240" w:lineRule="auto"/>
        <w:rPr>
          <w:rFonts w:ascii="Times New Roman" w:eastAsia="Times New Roman" w:hAnsi="Times New Roman" w:cs="Times New Roman"/>
          <w:szCs w:val="24"/>
          <w:lang w:val="en-US"/>
        </w:rPr>
      </w:pPr>
      <w:r w:rsidRPr="00B75BF1">
        <w:rPr>
          <w:rFonts w:ascii="Times New Roman" w:eastAsia="Times New Roman" w:hAnsi="Times New Roman" w:cs="Times New Roman"/>
          <w:szCs w:val="24"/>
          <w:lang w:val="en-US"/>
        </w:rPr>
        <w:t xml:space="preserve">Nevertheless, Zara is not the only company that enjoys these benefits. Competitors that include H&amp;M, Primark, ASOS, Boohoo, and </w:t>
      </w:r>
      <w:proofErr w:type="spellStart"/>
      <w:r w:rsidRPr="00B75BF1">
        <w:rPr>
          <w:rFonts w:ascii="Times New Roman" w:eastAsia="Times New Roman" w:hAnsi="Times New Roman" w:cs="Times New Roman"/>
          <w:szCs w:val="24"/>
          <w:lang w:val="en-US"/>
        </w:rPr>
        <w:t>Shein</w:t>
      </w:r>
      <w:proofErr w:type="spellEnd"/>
      <w:r w:rsidRPr="00B75BF1">
        <w:rPr>
          <w:rFonts w:ascii="Times New Roman" w:eastAsia="Times New Roman" w:hAnsi="Times New Roman" w:cs="Times New Roman"/>
          <w:szCs w:val="24"/>
          <w:lang w:val="en-US"/>
        </w:rPr>
        <w:t xml:space="preserve"> also have access to the same infrastructure and talent base. This implies that the industry as a whole is </w:t>
      </w:r>
      <w:proofErr w:type="spellStart"/>
      <w:r w:rsidRPr="00B75BF1">
        <w:rPr>
          <w:rFonts w:ascii="Times New Roman" w:eastAsia="Times New Roman" w:hAnsi="Times New Roman" w:cs="Times New Roman"/>
          <w:szCs w:val="24"/>
          <w:lang w:val="en-US"/>
        </w:rPr>
        <w:t>favourable</w:t>
      </w:r>
      <w:proofErr w:type="spellEnd"/>
      <w:r w:rsidRPr="00B75BF1">
        <w:rPr>
          <w:rFonts w:ascii="Times New Roman" w:eastAsia="Times New Roman" w:hAnsi="Times New Roman" w:cs="Times New Roman"/>
          <w:szCs w:val="24"/>
          <w:lang w:val="en-US"/>
        </w:rPr>
        <w:t xml:space="preserve"> and not posing a specific obstacle to imitation. Practically, the advanced retail culture in the UK reduces operational costs to both local and international competition which enhances competition. Meanwhile, margins are undermined by high store rents, wage pressure and wider cost inflation, so companies should not count solely on UK environment to their benefit. In the case of Zara, success is hence in integrating these national capabilities with firm-level competencies that include supply-chain coordination, data utilization and quick assortment control </w:t>
      </w:r>
      <w:r w:rsidR="001A1186" w:rsidRPr="00B75BF1">
        <w:fldChar w:fldCharType="begin" w:fldLock="1"/>
      </w:r>
      <w:r w:rsidR="009E521B" w:rsidRPr="00B75BF1">
        <w:instrText>ADDIN CSL_CITATION {"citationItems":[{"id":"ITEM-1","itemData":{"URL":"https://www.ons.gov.uk/businessindustryandtrade/retailindustry/bulletins/retailsales/december2024","accessed":{"date-parts":[["2026","3","7"]]},"author":[{"dropping-particle":"","family":"ONS GOV UK","given":"","non-dropping-particle":"","parse-names":false,"suffix":""}],"id":"ITEM-1","issued":{"date-parts":[["2025"]]},"title":"Retail sales, Great Britain: December 2024","type":"webpage"},"uris":["http://www.mendeley.com/documents/?uuid=455dc700-edaf-4b2e-85bc-1e43de490d95"]},{"id":"ITEM-2","itemData":{"URL":"https://www.reuters.com/world/uk/uk-firms-flag-hundreds-millions-costs-nic-wage-hike-post-budget-2024-11-08/","accessed":{"date-parts":[["2026","3","9"]]},"author":[{"dropping-particle":"","family":"Reuters","given":"","non-dropping-particle":"","parse-names":false,"suffix":""}],"id":"ITEM-2","issued":{"date-parts":[["2024"]]},"title":"FACTBOX UK firms flag over $1.4 bln in labour costs from increase in national insurance, wages","type":"webpage"},"uris":["http://www.mendeley.com/documents/?uuid=b877c4a5-3cfb-4747-bac5-c2bbd27c20b7"]},{"id":"ITEM-3","itemData":{"URL":"https://www.reuters.com/business/world-at-work/uk-retailers-labour-cost-fears-jump-after-reforms-survey-shows-2026-02-19/","accessed":{"date-parts":[["2026","3","9"]]},"author":[{"dropping-particle":"","family":"Reuters","given":"","non-dropping-particle":"","parse-names":false,"suffix":""}],"id":"ITEM-3","issued":{"date-parts":[["2026"]]},"title":"UK retailers' labour cost fears jump after reforms, survey shows","type":"webpage"},"uris":["http://www.mendeley.com/documents/?uuid=3f3ff4fa-5384-4acd-81d0-231763fddafc"]},{"id":"ITEM-4","itemData":{"DOI":"10.1080/0965254X.2021.1972440","ISSN":"0965-254X","author":[{"dropping-particle":"","family":"Zhang","given":"Lina","non-dropping-particle":"","parse-names":false,"suffix":""},{"dropping-particle":"","family":"Wu","given":"Lin","non-dropping-particle":"","parse-names":false,"suffix":""},{"dropping-particle":"","family":"Huang","given":"Lin","non-dropping-particle":"","parse-names":false,"suffix":""},{"dropping-particle":"","family":"Zhang","given":"Yumeng","non-dropping-particle":"","parse-names":false,"suffix":""}],"container-title":"Journal of Strategic Marketing","id":"ITEM-4","issue":"3","issued":{"date-parts":[["2025","4","3"]]},"note":"doi: 10.1080/0965254X.2021.1972440","page":"416-440","publisher":"Routledge","title":"Wield the Power of Omni-channel Retailing Strategy: a Capability and Supply Chain Resilience Perspective","type":"article-journal","volume":"33"},"uris":["http://www.mendeley.com/documents/?uuid=b132ab7c-7ed9-4c41-9dfa-0fa93cf38c5f"]}],"mendeley":{"formattedCitation":"(ONS GOV UK, 2025b; Reuters, 2024b, 2026; Zhang et al., 2025)","plainTextFormattedCitation":"(ONS GOV UK, 2025b; Reuters, 2024b, 2026; Zhang et al., 2025)","previouslyFormattedCitation":"(ONS GOV UK, 2025b; Reuters, 2024b, 2026; Zhang et al., 2025)"},"properties":{"noteIndex":0},"schema":"https://github.com/citation-style-language/schema/raw/master/csl-citation.json"}</w:instrText>
      </w:r>
      <w:r w:rsidR="001A1186" w:rsidRPr="00B75BF1">
        <w:fldChar w:fldCharType="separate"/>
      </w:r>
      <w:r w:rsidR="00FB32A3" w:rsidRPr="00B75BF1">
        <w:rPr>
          <w:noProof/>
        </w:rPr>
        <w:t>(ONS GOV UK, 2025b; Reuters, 2024b, 2026; Zhang et al., 2025)</w:t>
      </w:r>
      <w:r w:rsidR="001A1186" w:rsidRPr="00B75BF1">
        <w:fldChar w:fldCharType="end"/>
      </w:r>
      <w:r w:rsidR="005B0DA7" w:rsidRPr="00B75BF1">
        <w:t xml:space="preserve">. </w:t>
      </w:r>
    </w:p>
    <w:p w14:paraId="60C02034" w14:textId="5BBF9BF1" w:rsidR="005B0DA7" w:rsidRPr="00B75BF1" w:rsidRDefault="005B0DA7" w:rsidP="002D576F">
      <w:pPr>
        <w:pStyle w:val="Heading2"/>
      </w:pPr>
      <w:bookmarkStart w:id="11" w:name="_Toc224049967"/>
      <w:r w:rsidRPr="00B75BF1">
        <w:t>Demand conditions</w:t>
      </w:r>
      <w:bookmarkEnd w:id="11"/>
    </w:p>
    <w:p w14:paraId="181799FA" w14:textId="7B1B824B" w:rsidR="001F50A1" w:rsidRPr="00B75BF1" w:rsidRDefault="001F50A1" w:rsidP="001F50A1">
      <w:pPr>
        <w:spacing w:before="100" w:beforeAutospacing="1" w:after="100" w:afterAutospacing="1" w:line="240" w:lineRule="auto"/>
        <w:rPr>
          <w:rFonts w:ascii="Times New Roman" w:eastAsia="Times New Roman" w:hAnsi="Times New Roman" w:cs="Times New Roman"/>
          <w:szCs w:val="24"/>
          <w:lang w:val="en-US"/>
        </w:rPr>
      </w:pPr>
      <w:r w:rsidRPr="00B75BF1">
        <w:rPr>
          <w:rFonts w:ascii="Times New Roman" w:eastAsia="Times New Roman" w:hAnsi="Times New Roman" w:cs="Times New Roman"/>
          <w:szCs w:val="24"/>
          <w:lang w:val="en-US"/>
        </w:rPr>
        <w:t xml:space="preserve">The UK has good demand conditions related to fast fashion due to the consumer being fashion conscious, digitally integrated and used to the frequent replacement of products. They demand comfort, speedy delivery, easy Internet connection, and ever-changing new designs. The following attributes present the UK as a highly developed and commercially viable market to Zara as a firm with fast-response model, which is meant to seize on the trend-sensitive demand. Speed, </w:t>
      </w:r>
      <w:proofErr w:type="spellStart"/>
      <w:r w:rsidRPr="00B75BF1">
        <w:rPr>
          <w:rFonts w:ascii="Times New Roman" w:eastAsia="Times New Roman" w:hAnsi="Times New Roman" w:cs="Times New Roman"/>
          <w:szCs w:val="24"/>
          <w:lang w:val="en-US"/>
        </w:rPr>
        <w:t>omnichannel</w:t>
      </w:r>
      <w:proofErr w:type="spellEnd"/>
      <w:r w:rsidRPr="00B75BF1">
        <w:rPr>
          <w:rFonts w:ascii="Times New Roman" w:eastAsia="Times New Roman" w:hAnsi="Times New Roman" w:cs="Times New Roman"/>
          <w:szCs w:val="24"/>
          <w:lang w:val="en-US"/>
        </w:rPr>
        <w:t xml:space="preserve"> convenience and keeping close to the shifting tastes of consumers are thus rewarded by the market.</w:t>
      </w:r>
    </w:p>
    <w:p w14:paraId="45A062DA" w14:textId="704DFE23" w:rsidR="005B0DA7" w:rsidRPr="00B75BF1" w:rsidRDefault="001F50A1" w:rsidP="001F50A1">
      <w:pPr>
        <w:spacing w:before="100" w:beforeAutospacing="1" w:after="100" w:afterAutospacing="1" w:line="240" w:lineRule="auto"/>
        <w:rPr>
          <w:rFonts w:ascii="Times New Roman" w:eastAsia="Times New Roman" w:hAnsi="Times New Roman" w:cs="Times New Roman"/>
          <w:szCs w:val="24"/>
          <w:lang w:val="en-US"/>
        </w:rPr>
      </w:pPr>
      <w:r w:rsidRPr="00B75BF1">
        <w:rPr>
          <w:rFonts w:ascii="Times New Roman" w:eastAsia="Times New Roman" w:hAnsi="Times New Roman" w:cs="Times New Roman"/>
          <w:szCs w:val="24"/>
          <w:lang w:val="en-US"/>
        </w:rPr>
        <w:lastRenderedPageBreak/>
        <w:t xml:space="preserve">However, this is a sophisticated requirement that places pressure but not insured benefit. The consumers in the United Kingdom are very price conscious, fast when it comes to brand comparison and are becoming more susceptible to online advertisements and social media fads. Consequently, customer loyalty is less strong and the threat of flying to less expensive or more convenient substitutes is higher as a result of low switching costs. This can be applied particularly in a market where competitors online first can grow rapidly without the physical-store obligations that Zara had. In addition, the issue of sustainability is gaining in significance, and the companies need to strike a balance between affordability, speed, and ethical reputation. In such a way, the UK demand conditions both enable Zara to work in the dynamic and trend-following business and enhance the competition by rewarding the brand that most appropriately responds to the value, convenience, and relevance at any particular time </w:t>
      </w:r>
      <w:r w:rsidR="00B81E54" w:rsidRPr="00B75BF1">
        <w:fldChar w:fldCharType="begin" w:fldLock="1"/>
      </w:r>
      <w:r w:rsidR="009E521B" w:rsidRPr="00B75BF1">
        <w:instrText>ADDIN CSL_CITATION {"citationItems":[{"id":"ITEM-1","itemData":{"URL":"https://www.mckinsey.com/~/media/mckinsey/industries/retail/our insights/state of fashion/2025/the-state-of-fashion-2025-v2.pdf","accessed":{"date-parts":[["2026","3","9"]]},"author":[{"dropping-particle":"","family":"McKinsey &amp; Company","given":"","non-dropping-particle":"","parse-names":false,"suffix":""}],"id":"ITEM-1","issued":{"date-parts":[["2025"]]},"title":"The State of Fashion 2025","type":"webpage"},"uris":["http://www.mendeley.com/documents/?uuid=d867b9a9-5a0e-4d13-9d30-789df3c37e64"]},{"id":"ITEM-2","itemData":{"DOI":"https://doi.org/10.1016/j.spc.2025.02.011","ISSN":"2352-5509","abstract":"Sustainability in the fast fashion industry (FFI) has become crucial due to the sector's substantial environmental and social impacts. As sustainability has started capturing the interest of consumers and policymakers, there has been a heightened expectation for fast fashion companies to prioritise it in their practices. This situation is paradoxical but inevitable for these companies, which rely on an unsustainable business model promoting mindless consumption while also needing to address the growing consumer demand for more conscious and responsible practices. Therefore, understanding the role of sustainability in influencing consumer behaviour within this predominantly consumer-driven industry is vital for developing strategies, fostering sustainable consumption patterns, and ensuring long-term environmental and social benefits. This systematic literature review aims to analyse how existing literature has studied sustainability as a driver influencing consumer behaviour in the FFI. Through the consolidation and critical analysis of 95 scholarly articles, we explore how sustainability influences consumer pre- and post-purchase behaviour in the FFI. By understanding the role sustainability plays in this industry, the review identifies key research trends and gaps, providing actionable recommendations for future researchers, practitioners, and policymakers. Our analysis categorised the drivers of consumer behaviour into four main themes – Marketing Strategies, Individual Influences, Group Influences, and Situational Influences – with individual influences and marketing strategies being the most examined drivers. Key research gaps were identified, including the need for further investigation into male consumer attitudes, generational and cross-cultural differences, and underexplored drivers. The study also recommends a broader application of diverse theoretical frameworks and mixed research methods. Our study provides practical insights for marketers, managers, and policymakers to integrate sustainability into business strategies, develop transparent communication and educational campaigns, and implement targeted regulations to promote sustainable consumption practices.","author":[{"dropping-particle":"","family":"Mathew","given":"Manjitha","non-dropping-particle":"","parse-names":false,"suffix":""},{"dropping-particle":"","family":"Spinelli","given":"Riccardo","non-dropping-particle":"","parse-names":false,"suffix":""}],"container-title":"Sustainable Production and Consumption","id":"ITEM-2","issued":{"date-parts":[["2025"]]},"page":"132-145","title":"Decoding sustainable drivers: A systematic literature review on sustMathew, M., &amp; Spinelli, R. (2025). Decoding sustainable drivers: A systematic literature review on sustainability-induced consumer behaviour in the fast fashion industry. Sustainable Prod","type":"article-journal","volume":"55"},"uris":["http://www.mendeley.com/documents/?uuid=58bec0c6-d4de-4781-beb6-307f6537ceb1"]},{"id":"ITEM-3","itemData":{"DOI":"10.3390/su16135303","ISBN":"2071-1050","abstract":"This study addresses the challenges faced by the fashion industry and its consumers in relation to sustainability and the circular economy in a digital age, relating them to the impacts that this industry triggers, both environmentally and socially. The aim is to understand the relations between environmental concern, fashion consumer awareness and adaptation to the digital evolution, and how these can result in an intention to buy sustainable fashion. The methodology adopted was based on other studies in the area, allowing us to answer the investigation question and, finally, to present some reflections that could mitigate the problems found. This research concisely highlights the limitations of the current linear economy, demonstrating the difficulties in the transition to a more sustainable world. This article is relevant for researchers in the field of fashion brand communication and consumer behaviour, as the results show some theoretical and experimental content for a better development of strategies and practices in the field of sustainable fashion, taking into account the digital evolution.","author":[{"dropping-particle":"","family":"Vassalo","given":"Adriana L","non-dropping-particle":"","parse-names":false,"suffix":""},{"dropping-particle":"","family":"Marques","given":"Célio G","non-dropping-particle":"","parse-names":false,"suffix":""},{"dropping-particle":"","family":"Simões","given":"João T","non-dropping-particle":"","parse-names":false,"suffix":""},{"dropping-particle":"","family":"Fernandes","given":"Maria M","non-dropping-particle":"","parse-names":false,"suffix":""},{"dropping-particle":"","family":"Domingos","given":"Susana","non-dropping-particle":"","parse-names":false,"suffix":""}],"container-title":"Sustainability","id":"ITEM-3","issue":"13","issued":{"date-parts":[["2024"]]},"page":"5303","title":"Sustainability in the Fashion Industry in Relation to Consumption in a Digital Age","type":"article","volume":"16"},"uris":["http://www.mendeley.com/documents/?uuid=f0452b0a-b8bf-48f4-9fea-f7a472e54b1f"]},{"id":"ITEM-4","itemData":{"URL":"https://www.gov.uk/government/news/greenwashing-cma-issues-tailored-guide-for-fashion-brands","accessed":{"date-parts":[["2026","3","9"]]},"author":[{"dropping-particle":"","family":"UK GOV","given":"","non-dropping-particle":"","parse-names":false,"suffix":""}],"id":"ITEM-4","issued":{"date-parts":[["2024"]]},"title":"Greenwashing: CMA issues tailored guide for fashion brands","type":"webpage"},"uris":["http://www.mendeley.com/documents/?uuid=3b40acc5-bf5c-47ed-bca6-5b706f379819"]},{"id":"ITEM-5","itemData":{"URL":"https://www.reuters.com/world/uk/uks-cma-says-top-fashion-retailers-sign-green-claims-undertakings-2024-03-27/","author":[{"dropping-particle":"","family":"Reuters","given":"","non-dropping-particle":"","parse-names":false,"suffix":""}],"id":"ITEM-5","issued":{"date-parts":[["2024"]]},"title":"UK regulator secures ASOS, Boohoo and Asda pledge on green claims","type":"webpage"},"uris":["http://www.mendeley.com/documents/?uuid=b8f75ff3-8e8a-4760-96d5-0e6e3b9ec687"]}],"mendeley":{"formattedCitation":"(Mathew &amp; Spinelli, 2025; McKinsey &amp; Company, 2025; Reuters, 2024d; UK GOV, 2024d; Vassalo et al., 2024)","plainTextFormattedCitation":"(Mathew &amp; Spinelli, 2025; McKinsey &amp; Company, 2025; Reuters, 2024d; UK GOV, 2024d; Vassalo et al., 2024)","previouslyFormattedCitation":"(Mathew &amp; Spinelli, 2025; McKinsey &amp; Company, 2025; Reuters, 2024d; UK GOV, 2024d; Vassalo et al., 2024)"},"properties":{"noteIndex":0},"schema":"https://github.com/citation-style-language/schema/raw/master/csl-citation.json"}</w:instrText>
      </w:r>
      <w:r w:rsidR="00B81E54" w:rsidRPr="00B75BF1">
        <w:fldChar w:fldCharType="separate"/>
      </w:r>
      <w:r w:rsidR="00FB32A3" w:rsidRPr="00B75BF1">
        <w:rPr>
          <w:noProof/>
        </w:rPr>
        <w:t>(Mathew &amp; Spinelli, 2025; McKinsey &amp; Company, 2025; Reuters, 2024d; UK GOV, 2024d; Vassalo et al., 2024)</w:t>
      </w:r>
      <w:r w:rsidR="00B81E54" w:rsidRPr="00B75BF1">
        <w:fldChar w:fldCharType="end"/>
      </w:r>
      <w:r w:rsidR="005B0DA7" w:rsidRPr="00B75BF1">
        <w:t xml:space="preserve">. </w:t>
      </w:r>
    </w:p>
    <w:p w14:paraId="34FD179E" w14:textId="5D8D681B" w:rsidR="005B0DA7" w:rsidRPr="00B75BF1" w:rsidRDefault="005B0DA7" w:rsidP="002D576F">
      <w:pPr>
        <w:pStyle w:val="Heading2"/>
      </w:pPr>
      <w:bookmarkStart w:id="12" w:name="_Toc224049968"/>
      <w:r w:rsidRPr="00B75BF1">
        <w:t>Related and supporting industries</w:t>
      </w:r>
      <w:bookmarkEnd w:id="12"/>
    </w:p>
    <w:p w14:paraId="15211B45" w14:textId="7178DA9D" w:rsidR="001F50A1" w:rsidRPr="00B75BF1" w:rsidRDefault="001F50A1" w:rsidP="001F50A1">
      <w:pPr>
        <w:spacing w:before="100" w:beforeAutospacing="1" w:after="100" w:afterAutospacing="1" w:line="240" w:lineRule="auto"/>
        <w:rPr>
          <w:rFonts w:ascii="Times New Roman" w:eastAsia="Times New Roman" w:hAnsi="Times New Roman" w:cs="Times New Roman"/>
          <w:szCs w:val="24"/>
          <w:lang w:val="en-US"/>
        </w:rPr>
      </w:pPr>
      <w:r w:rsidRPr="00B75BF1">
        <w:rPr>
          <w:rFonts w:ascii="Times New Roman" w:eastAsia="Times New Roman" w:hAnsi="Times New Roman" w:cs="Times New Roman"/>
          <w:szCs w:val="24"/>
          <w:lang w:val="en-US"/>
        </w:rPr>
        <w:t xml:space="preserve">The related and supporting industries of the UK play a significant role in promoting competitiveness of the fast fashion. The advantages that retailers enjoy are well-established third-party logistics companies, developed e-commerce, digital payment, advertising companies, social-media, and creative services, which help in speeding up products to be seen and targeted to consumers. The popularity of London to the fashion media, branding, and the culture of influencers and the promotion of trends and communication with the market also promotes diffusion of trends and communication with the market. In this regard, the UK offers Zara a highly developed service ecosystem that supplements its </w:t>
      </w:r>
      <w:proofErr w:type="spellStart"/>
      <w:r w:rsidRPr="00B75BF1">
        <w:rPr>
          <w:rFonts w:ascii="Times New Roman" w:eastAsia="Times New Roman" w:hAnsi="Times New Roman" w:cs="Times New Roman"/>
          <w:szCs w:val="24"/>
          <w:lang w:val="en-US"/>
        </w:rPr>
        <w:t>omnichannel</w:t>
      </w:r>
      <w:proofErr w:type="spellEnd"/>
      <w:r w:rsidRPr="00B75BF1">
        <w:rPr>
          <w:rFonts w:ascii="Times New Roman" w:eastAsia="Times New Roman" w:hAnsi="Times New Roman" w:cs="Times New Roman"/>
          <w:szCs w:val="24"/>
          <w:lang w:val="en-US"/>
        </w:rPr>
        <w:t xml:space="preserve"> concept and facilitates front-end responsiveness.</w:t>
      </w:r>
    </w:p>
    <w:p w14:paraId="6C7FDABE" w14:textId="09D2A7B7" w:rsidR="005B0DA7" w:rsidRPr="00B75BF1" w:rsidRDefault="001F50A1" w:rsidP="001F50A1">
      <w:pPr>
        <w:spacing w:before="100" w:beforeAutospacing="1" w:after="100" w:afterAutospacing="1" w:line="240" w:lineRule="auto"/>
        <w:rPr>
          <w:rFonts w:ascii="Times New Roman" w:eastAsia="Times New Roman" w:hAnsi="Times New Roman" w:cs="Times New Roman"/>
          <w:szCs w:val="24"/>
          <w:lang w:val="en-US"/>
        </w:rPr>
      </w:pPr>
      <w:r w:rsidRPr="00B75BF1">
        <w:rPr>
          <w:rFonts w:ascii="Times New Roman" w:eastAsia="Times New Roman" w:hAnsi="Times New Roman" w:cs="Times New Roman"/>
          <w:szCs w:val="24"/>
          <w:lang w:val="en-US"/>
        </w:rPr>
        <w:t xml:space="preserve">But these supporting industries do not create barriers to entry among other firms. Due to mass availability of logistics, payments, platform selling, data analytics and online marketing services, newer entrants need not build the whole chain of value internally, to compete. This is particularly critical in fast fashion where digital-first companies can </w:t>
      </w:r>
      <w:proofErr w:type="spellStart"/>
      <w:r w:rsidRPr="00B75BF1">
        <w:rPr>
          <w:rFonts w:ascii="Times New Roman" w:eastAsia="Times New Roman" w:hAnsi="Times New Roman" w:cs="Times New Roman"/>
          <w:szCs w:val="24"/>
          <w:lang w:val="en-US"/>
        </w:rPr>
        <w:t>capitalise</w:t>
      </w:r>
      <w:proofErr w:type="spellEnd"/>
      <w:r w:rsidRPr="00B75BF1">
        <w:rPr>
          <w:rFonts w:ascii="Times New Roman" w:eastAsia="Times New Roman" w:hAnsi="Times New Roman" w:cs="Times New Roman"/>
          <w:szCs w:val="24"/>
          <w:lang w:val="en-US"/>
        </w:rPr>
        <w:t xml:space="preserve"> on outsourced production and third-party fulfilment to enter the market within a short period of time. Thus, the supportive industries of the UK do not just reinforce the position of Zara; they also liberalize the competition. In the case of Zara, it translates to the fact that the national ecosystem enhances the efficiency of operations, still, to gain sustained advantage, the company should be able to integrate these services into a stronger and more disciplined business model than its competitors </w:t>
      </w:r>
      <w:r w:rsidR="000735A1" w:rsidRPr="00B75BF1">
        <w:fldChar w:fldCharType="begin" w:fldLock="1"/>
      </w:r>
      <w:r w:rsidR="00C51973" w:rsidRPr="00B75BF1">
        <w:instrText>ADDIN CSL_CITATION {"citationItems":[{"id":"ITEM-1","itemData":{"DOI":"10.1080/1331677X.2021.1991825","ISSN":"1331-677X","author":[{"dropping-particle":"","family":"Iglesias-Pradas","given":"Santiago","non-dropping-particle":"","parse-names":false,"suffix":""},{"dropping-particle":"","family":"Acquila-Natale","given":"Emiliano","non-dropping-particle":"","parse-names":false,"suffix":""},{"dropping-particle":"","family":"Del-Río-Carazo","given":"Laura","non-dropping-particle":"","parse-names":false,"suffix":""}],"container-title":"Economic Research-Ekonomska Istraživanja","id":"ITEM-1","issue":"1","issued":{"date-parts":[["2022","12","31"]]},"note":"doi: 10.1080/1331677X.2021.1991825","page":"3305-3336","publisher":"Routledge","title":"Omnichannel retailing: a tale of three sectors","type":"article-journal","volume":"35"},"uris":["http://www.mendeley.com/documents/?uuid=d3d397e1-adf9-459b-b3be-22f9ae16ef60"]},{"id":"ITEM-2","itemData":{"DOI":"https://doi.org/10.1016/j.ijpe.2022.108608","ISSN":"0925-5273","abstract":"Many retailers are implementing omnichannel (OC) strategies including buy online, pick up in store (BOPS), buy online, ship from store (BOSS) and buy online, ship to store (STS). We study the impact of mixed fulfillment OC strategies (e.g., BOPS-STS, BOSS-BOPS-STS) on the retailer’s store operations. We build a stylized model where the retailer operates both a physical store and online channels, and faces two segments of customers: fixed-channel customers and OC-type customers. We find that both BOPS-STS and BOSS-BOPS-STS may induce customers to shift fulfillment options for time-insensitive or experience products when pickup hassle cost is low. In addition, both BOPS-STS and BOSS-BOPS-STS can expand the market for time-sensitive or experience products. We show that BOSS-BOPS-STS may increase the retailer’s optimal inventory level for time-sensitive or experience products when in-store hassle cost is high, and will decrease the optimal inventory level for time-insensitive or non-experience products when both pickup and in-store hassle costs are low. These two mixed strategies may increase or reduce the retailer’s profits, depending on whether they drive effects of option shift and market expansion and whether their fixed costs exceed certain thresholds. Finally, we find that different OC strategies interact and their effects on the retailer’s store operations and customers’ channel choices vary across product types.","author":[{"dropping-particle":"","family":"Yang","given":"Lu","non-dropping-particle":"","parse-names":false,"suffix":""},{"dropping-particle":"","family":"Li","given":"Xiangyong","non-dropping-particle":"","parse-names":false,"suffix":""},{"dropping-particle":"","family":"Zhong","given":"Ning","non-dropping-particle":"","parse-names":false,"suffix":""}],"container-title":"International Journal of Production Economics","id":"ITEM-2","issued":{"date-parts":[["2022"]]},"page":"108608","title":"Omnichannel retail operations with mixed fulfillment strategies","type":"article-journal","volume":"254"},"uris":["http://www.mendeley.com/documents/?uuid=fe83eb6e-a0b7-4d68-a305-c8524efd7c9a"]},{"id":"ITEM-3","itemData":{"URL":"https://www.ons.gov.uk/businessindustryandtrade/retailindustry/bulletins/retailsales/december2024","accessed":{"date-parts":[["2026","3","7"]]},"author":[{"dropping-particle":"","family":"ONS GOV UK","given":"","non-dropping-particle":"","parse-names":false,"suffix":""}],"id":"ITEM-3","issued":{"date-parts":[["2025"]]},"title":"Retail sales, Great Britain: December 2024","type":"webpage"},"uris":["http://www.mendeley.com/documents/?uuid=455dc700-edaf-4b2e-85bc-1e43de490d95"]}],"mendeley":{"formattedCitation":"(Iglesias-Pradas et al., 2022; ONS GOV UK, 2025b; Yang et al., 2022)","plainTextFormattedCitation":"(Iglesias-Pradas et al., 2022; ONS GOV UK, 2025b; Yang et al., 2022)","previouslyFormattedCitation":"(Iglesias-Pradas et al., 2022; ONS GOV UK, 2025b; Yang et al., 2022)"},"properties":{"noteIndex":0},"schema":"https://github.com/citation-style-language/schema/raw/master/csl-citation.json"}</w:instrText>
      </w:r>
      <w:r w:rsidR="000735A1" w:rsidRPr="00B75BF1">
        <w:fldChar w:fldCharType="separate"/>
      </w:r>
      <w:r w:rsidR="00C51973" w:rsidRPr="00B75BF1">
        <w:rPr>
          <w:noProof/>
        </w:rPr>
        <w:t>(Iglesias-Pradas et al., 2022; ONS GOV UK, 2025b; Yang et al., 2022)</w:t>
      </w:r>
      <w:r w:rsidR="000735A1" w:rsidRPr="00B75BF1">
        <w:fldChar w:fldCharType="end"/>
      </w:r>
      <w:r w:rsidR="005B0DA7" w:rsidRPr="00B75BF1">
        <w:t xml:space="preserve">. </w:t>
      </w:r>
    </w:p>
    <w:p w14:paraId="7FF79CC3" w14:textId="06EF856A" w:rsidR="005B0DA7" w:rsidRPr="00B75BF1" w:rsidRDefault="005B0DA7" w:rsidP="002D576F">
      <w:pPr>
        <w:pStyle w:val="Heading2"/>
      </w:pPr>
      <w:bookmarkStart w:id="13" w:name="_Toc224049969"/>
      <w:r w:rsidRPr="00B75BF1">
        <w:t>Firm strategy, structure and rivalry</w:t>
      </w:r>
      <w:bookmarkEnd w:id="13"/>
    </w:p>
    <w:p w14:paraId="016A778D" w14:textId="191ECFBD" w:rsidR="001F50A1" w:rsidRPr="00B75BF1" w:rsidRDefault="001F50A1" w:rsidP="001F50A1">
      <w:pPr>
        <w:spacing w:before="100" w:beforeAutospacing="1" w:after="100" w:afterAutospacing="1" w:line="240" w:lineRule="auto"/>
        <w:rPr>
          <w:rFonts w:ascii="Times New Roman" w:eastAsia="Times New Roman" w:hAnsi="Times New Roman" w:cs="Times New Roman"/>
          <w:szCs w:val="24"/>
          <w:lang w:val="en-US"/>
        </w:rPr>
      </w:pPr>
      <w:r w:rsidRPr="00B75BF1">
        <w:rPr>
          <w:rFonts w:ascii="Times New Roman" w:eastAsia="Times New Roman" w:hAnsi="Times New Roman" w:cs="Times New Roman"/>
          <w:szCs w:val="24"/>
          <w:lang w:val="en-US"/>
        </w:rPr>
        <w:t xml:space="preserve">This is the most crucial section of the case of the Diamond in the UK fast fashion. The market is marked with the strong competition of store-based multinationals like Zara and H&amp;M, value-based players like Primark, digital-first players like ASOS and Boohoo and cross-border ultra-fast fashion players like </w:t>
      </w:r>
      <w:proofErr w:type="spellStart"/>
      <w:r w:rsidRPr="00B75BF1">
        <w:rPr>
          <w:rFonts w:ascii="Times New Roman" w:eastAsia="Times New Roman" w:hAnsi="Times New Roman" w:cs="Times New Roman"/>
          <w:szCs w:val="24"/>
          <w:lang w:val="en-US"/>
        </w:rPr>
        <w:t>Shein</w:t>
      </w:r>
      <w:proofErr w:type="spellEnd"/>
      <w:r w:rsidRPr="00B75BF1">
        <w:rPr>
          <w:rFonts w:ascii="Times New Roman" w:eastAsia="Times New Roman" w:hAnsi="Times New Roman" w:cs="Times New Roman"/>
          <w:szCs w:val="24"/>
          <w:lang w:val="en-US"/>
        </w:rPr>
        <w:t>. The competition occurs in the areas of price, velocity, and relevance in style, fulfilment, returns, promotion, and online experience. Under Porters definition, stiff competition may enhance competitiveness in that the firms may be compelled to innovate, increase operational efficiency and respond quickly to their consumer preferences. This is very evident in the UK market.</w:t>
      </w:r>
    </w:p>
    <w:p w14:paraId="5945DADA" w14:textId="791771D2" w:rsidR="005B0DA7" w:rsidRPr="00B75BF1" w:rsidRDefault="001F50A1" w:rsidP="001F50A1">
      <w:pPr>
        <w:spacing w:before="100" w:beforeAutospacing="1" w:after="100" w:afterAutospacing="1" w:line="240" w:lineRule="auto"/>
        <w:rPr>
          <w:rFonts w:ascii="Times New Roman" w:eastAsia="Times New Roman" w:hAnsi="Times New Roman" w:cs="Times New Roman"/>
          <w:szCs w:val="24"/>
          <w:lang w:val="en-US"/>
        </w:rPr>
      </w:pPr>
      <w:r w:rsidRPr="00B75BF1">
        <w:rPr>
          <w:rFonts w:ascii="Times New Roman" w:eastAsia="Times New Roman" w:hAnsi="Times New Roman" w:cs="Times New Roman"/>
          <w:szCs w:val="24"/>
          <w:lang w:val="en-US"/>
        </w:rPr>
        <w:lastRenderedPageBreak/>
        <w:t xml:space="preserve">Meanwhile, the competition is enhanced in this sector by comparatively simple entry. Fast fashion can be more easily penetrated via outsourced production, e-commerce and customer acquisition using social media as compared to other businesses based on resource-intensive fixed investment or regulatory licensing. This implies that the </w:t>
      </w:r>
      <w:proofErr w:type="spellStart"/>
      <w:r w:rsidRPr="00B75BF1">
        <w:rPr>
          <w:rFonts w:ascii="Times New Roman" w:eastAsia="Times New Roman" w:hAnsi="Times New Roman" w:cs="Times New Roman"/>
          <w:szCs w:val="24"/>
          <w:lang w:val="en-US"/>
        </w:rPr>
        <w:t>favourable</w:t>
      </w:r>
      <w:proofErr w:type="spellEnd"/>
      <w:r w:rsidRPr="00B75BF1">
        <w:rPr>
          <w:rFonts w:ascii="Times New Roman" w:eastAsia="Times New Roman" w:hAnsi="Times New Roman" w:cs="Times New Roman"/>
          <w:szCs w:val="24"/>
          <w:lang w:val="en-US"/>
        </w:rPr>
        <w:t xml:space="preserve"> conditions in the UK are not beneficial to the existing firms but rather they generate a very competitive environment where existing firms in the market as well as new entrants can easily compete. In the case of Zara, this makes any benefit without any foundation on market presence less lasting. This leaves the firm to compete based on its specific based company advantages, speed of design-to-shelf, brand loyalty, inventory controls, store feel, and a high level of integration between online and offline mediums. In this example, therefore, Porters Diamond not only demonstrates that the UK is a competitive national environment, but also that this competitiveness increases the competition and that it may be hard to maintain advantages without the active strategic adjustment </w:t>
      </w:r>
      <w:r w:rsidR="000735A1" w:rsidRPr="00B75BF1">
        <w:fldChar w:fldCharType="begin" w:fldLock="1"/>
      </w:r>
      <w:r w:rsidR="005A7E95" w:rsidRPr="00B75BF1">
        <w:instrText>ADDIN CSL_CITATION {"citationItems":[{"id":"ITEM-1","itemData":{"DOI":"10.1080/0965254X.2021.1972440","ISSN":"0965-254X","author":[{"dropping-particle":"","family":"Zhang","given":"Lina","non-dropping-particle":"","parse-names":false,"suffix":""},{"dropping-particle":"","family":"Wu","given":"Lin","non-dropping-particle":"","parse-names":false,"suffix":""},{"dropping-particle":"","family":"Huang","given":"Lin","non-dropping-particle":"","parse-names":false,"suffix":""},{"dropping-particle":"","family":"Zhang","given":"Yumeng","non-dropping-particle":"","parse-names":false,"suffix":""}],"container-title":"Journal of Strategic Marketing","id":"ITEM-1","issue":"3","issued":{"date-parts":[["2025","4","3"]]},"note":"doi: 10.1080/0965254X.2021.1972440","page":"416-440","publisher":"Routledge","title":"Wield the Power of Omni-channel Retailing Strategy: a Capability and Supply Chain Resilience Perspective","type":"article-journal","volume":"33"},"uris":["http://www.mendeley.com/documents/?uuid=b132ab7c-7ed9-4c41-9dfa-0fa93cf38c5f"]},{"id":"ITEM-2","itemData":{"URL":"https://www.mckinsey.com/~/media/mckinsey/industries/retail/our insights/state of fashion/2025/the-state-of-fashion-2025-v2.pdf","accessed":{"date-parts":[["2026","3","9"]]},"author":[{"dropping-particle":"","family":"McKinsey &amp; Company","given":"","non-dropping-particle":"","parse-names":false,"suffix":""}],"id":"ITEM-2","issued":{"date-parts":[["2025"]]},"title":"The State of Fashion 2025","type":"webpage"},"uris":["http://www.mendeley.com/documents/?uuid=d867b9a9-5a0e-4d13-9d30-789df3c37e64"]},{"id":"ITEM-3","itemData":{"URL":"https://www.reuters.com/business/retail-consumer/uk-retail-sales-fall-may-2025-06-20/","accessed":{"date-parts":[["2026","3","9"]]},"author":[{"dropping-particle":"","family":"Milliken","given":"David","non-dropping-particle":"","parse-names":false,"suffix":""}],"id":"ITEM-3","issued":{"date-parts":[["2025"]]},"title":"UK retail sales record biggest monthly drop since 2023","type":"webpage"},"uris":["http://www.mendeley.com/documents/?uuid=55eac691-754b-4614-9415-fccd0f94cf9b"]}],"mendeley":{"formattedCitation":"(McKinsey &amp; Company, 2025; Milliken, 2025; Zhang et al., 2025)","plainTextFormattedCitation":"(McKinsey &amp; Company, 2025; Milliken, 2025; Zhang et al., 2025)","previouslyFormattedCitation":"(McKinsey &amp; Company, 2025; Milliken, 2025; Zhang et al., 2025)"},"properties":{"noteIndex":0},"schema":"https://github.com/citation-style-language/schema/raw/master/csl-citation.json"}</w:instrText>
      </w:r>
      <w:r w:rsidR="000735A1" w:rsidRPr="00B75BF1">
        <w:fldChar w:fldCharType="separate"/>
      </w:r>
      <w:r w:rsidR="005A7E95" w:rsidRPr="00B75BF1">
        <w:rPr>
          <w:noProof/>
        </w:rPr>
        <w:t>(McKinsey &amp; Company, 2025; Milliken, 2025; Zhang et al., 2025)</w:t>
      </w:r>
      <w:r w:rsidR="000735A1" w:rsidRPr="00B75BF1">
        <w:fldChar w:fldCharType="end"/>
      </w:r>
      <w:r w:rsidR="005B0DA7" w:rsidRPr="00B75BF1">
        <w:t xml:space="preserve">. </w:t>
      </w:r>
    </w:p>
    <w:p w14:paraId="67E9BA54" w14:textId="2C8A53EB" w:rsidR="005B0DA7" w:rsidRPr="00B75BF1" w:rsidRDefault="005B0DA7" w:rsidP="002D576F">
      <w:pPr>
        <w:pStyle w:val="Heading2"/>
      </w:pPr>
      <w:bookmarkStart w:id="14" w:name="_Toc224049970"/>
      <w:r w:rsidRPr="00B75BF1">
        <w:t>Role of government and chance</w:t>
      </w:r>
      <w:bookmarkEnd w:id="14"/>
    </w:p>
    <w:p w14:paraId="47AC15D5" w14:textId="76E733AA" w:rsidR="001F50A1" w:rsidRPr="00B75BF1" w:rsidRDefault="001F50A1" w:rsidP="001F50A1">
      <w:pPr>
        <w:spacing w:before="100" w:beforeAutospacing="1" w:after="100" w:afterAutospacing="1" w:line="240" w:lineRule="auto"/>
        <w:rPr>
          <w:rFonts w:ascii="Times New Roman" w:eastAsia="Times New Roman" w:hAnsi="Times New Roman" w:cs="Times New Roman"/>
          <w:szCs w:val="24"/>
          <w:lang w:val="en-US"/>
        </w:rPr>
      </w:pPr>
      <w:r w:rsidRPr="00B75BF1">
        <w:rPr>
          <w:rFonts w:ascii="Times New Roman" w:eastAsia="Times New Roman" w:hAnsi="Times New Roman" w:cs="Times New Roman"/>
          <w:szCs w:val="24"/>
          <w:lang w:val="en-US"/>
        </w:rPr>
        <w:t xml:space="preserve">The competitiveness of the UK fast fashion environment is also affected by the government and chance. </w:t>
      </w:r>
      <w:proofErr w:type="spellStart"/>
      <w:r w:rsidRPr="00B75BF1">
        <w:rPr>
          <w:rFonts w:ascii="Times New Roman" w:eastAsia="Times New Roman" w:hAnsi="Times New Roman" w:cs="Times New Roman"/>
          <w:szCs w:val="24"/>
          <w:lang w:val="en-US"/>
        </w:rPr>
        <w:t>Brexit</w:t>
      </w:r>
      <w:proofErr w:type="spellEnd"/>
      <w:r w:rsidRPr="00B75BF1">
        <w:rPr>
          <w:rFonts w:ascii="Times New Roman" w:eastAsia="Times New Roman" w:hAnsi="Times New Roman" w:cs="Times New Roman"/>
          <w:szCs w:val="24"/>
          <w:lang w:val="en-US"/>
        </w:rPr>
        <w:t xml:space="preserve"> has also added more border formalities and sourcing friction particularly to goods associated with the European supply chain. Input uncertainty and pricing pressure have risen as a result of inflation, shipping disruptions, and expanded supply shocks. Meanwhile, the CMA has provided guidance on environmental claims, increased questioning of sustainability communications and increased demands of supply-chain transparency, which has increased regulatory and reputational pressure. There are also policy changes which affect the cost of </w:t>
      </w:r>
      <w:proofErr w:type="spellStart"/>
      <w:r w:rsidRPr="00B75BF1">
        <w:rPr>
          <w:rFonts w:ascii="Times New Roman" w:eastAsia="Times New Roman" w:hAnsi="Times New Roman" w:cs="Times New Roman"/>
          <w:szCs w:val="24"/>
          <w:lang w:val="en-US"/>
        </w:rPr>
        <w:t>labour</w:t>
      </w:r>
      <w:proofErr w:type="spellEnd"/>
      <w:r w:rsidRPr="00B75BF1">
        <w:rPr>
          <w:rFonts w:ascii="Times New Roman" w:eastAsia="Times New Roman" w:hAnsi="Times New Roman" w:cs="Times New Roman"/>
          <w:szCs w:val="24"/>
          <w:lang w:val="en-US"/>
        </w:rPr>
        <w:t xml:space="preserve"> leading to increase in the cost of operation of the retail model which is </w:t>
      </w:r>
      <w:proofErr w:type="spellStart"/>
      <w:r w:rsidRPr="00B75BF1">
        <w:rPr>
          <w:rFonts w:ascii="Times New Roman" w:eastAsia="Times New Roman" w:hAnsi="Times New Roman" w:cs="Times New Roman"/>
          <w:szCs w:val="24"/>
          <w:lang w:val="en-US"/>
        </w:rPr>
        <w:t>labour</w:t>
      </w:r>
      <w:proofErr w:type="spellEnd"/>
      <w:r w:rsidRPr="00B75BF1">
        <w:rPr>
          <w:rFonts w:ascii="Times New Roman" w:eastAsia="Times New Roman" w:hAnsi="Times New Roman" w:cs="Times New Roman"/>
          <w:szCs w:val="24"/>
          <w:lang w:val="en-US"/>
        </w:rPr>
        <w:t xml:space="preserve"> intensive.</w:t>
      </w:r>
    </w:p>
    <w:p w14:paraId="0C9E2041" w14:textId="1B17B0D2" w:rsidR="005B0DA7" w:rsidRPr="00B75BF1" w:rsidRDefault="001F50A1" w:rsidP="001F50A1">
      <w:pPr>
        <w:spacing w:before="100" w:beforeAutospacing="1" w:after="100" w:afterAutospacing="1" w:line="240" w:lineRule="auto"/>
        <w:rPr>
          <w:rFonts w:ascii="Times New Roman" w:eastAsia="Times New Roman" w:hAnsi="Times New Roman" w:cs="Times New Roman"/>
          <w:szCs w:val="24"/>
          <w:lang w:val="en-US"/>
        </w:rPr>
      </w:pPr>
      <w:r w:rsidRPr="00B75BF1">
        <w:rPr>
          <w:rFonts w:ascii="Times New Roman" w:eastAsia="Times New Roman" w:hAnsi="Times New Roman" w:cs="Times New Roman"/>
          <w:szCs w:val="24"/>
          <w:lang w:val="en-US"/>
        </w:rPr>
        <w:t xml:space="preserve">Such developments never eliminate the attractiveness of the UK but change the foundation of competition. Enlarged and more established companies like Zara could be in a better position than smaller competitors to absorb compliance expenses, reputational risk, and respond to change in regulatory terms. Nevertheless, unexpected events and changes in policies can also open opportunities to agile competitors, particularly those that have more lean digital models or sourcing setups. Differently put, competition in this market is not merely limited by government and chance, but transformed by them. Zara is still benefiting through scale and global experience, although it constantly faces the need to adjust to a more regulated, cost-conscious and publicly </w:t>
      </w:r>
      <w:proofErr w:type="spellStart"/>
      <w:r w:rsidRPr="00B75BF1">
        <w:rPr>
          <w:rFonts w:ascii="Times New Roman" w:eastAsia="Times New Roman" w:hAnsi="Times New Roman" w:cs="Times New Roman"/>
          <w:szCs w:val="24"/>
          <w:lang w:val="en-US"/>
        </w:rPr>
        <w:t>scrutinised</w:t>
      </w:r>
      <w:proofErr w:type="spellEnd"/>
      <w:r w:rsidRPr="00B75BF1">
        <w:rPr>
          <w:rFonts w:ascii="Times New Roman" w:eastAsia="Times New Roman" w:hAnsi="Times New Roman" w:cs="Times New Roman"/>
          <w:szCs w:val="24"/>
          <w:lang w:val="en-US"/>
        </w:rPr>
        <w:t xml:space="preserve"> marketplace </w:t>
      </w:r>
      <w:r w:rsidR="005A7E95" w:rsidRPr="00B75BF1">
        <w:fldChar w:fldCharType="begin" w:fldLock="1"/>
      </w:r>
      <w:r w:rsidR="009E521B" w:rsidRPr="00B75BF1">
        <w:instrText>ADDIN CSL_CITATION {"citationItems":[{"id":"ITEM-1","itemData":{"URL":"https://www.reuters.com/world/uk/uk-industry-fears-disruption-new-post-brexit-border-checks-2024-01-23","accessed":{"date-parts":[["2026","3","9"]]},"author":[{"dropping-particle":"","family":"Davey","given":"James","non-dropping-particle":"","parse-names":false,"suffix":""}],"id":"ITEM-1","issued":{"date-parts":[["2024"]]},"title":"UK industry fears disruption from new post-Brexit border checks","type":"webpage"},"uris":["http://www.mendeley.com/documents/?uuid=eaa0dcab-db5f-44d9-bc20-398c38dbf92b"]},{"id":"ITEM-2","itemData":{"URL":"https://www.reuters.com/world/uk/britain-implements-delayed-third-phase-post-brexit-border-rules-2025-01-31/","accessed":{"date-parts":[["2026","3","9"]]},"author":[{"dropping-particle":"","family":"Davey","given":"James","non-dropping-particle":"","parse-names":false,"suffix":""}],"id":"ITEM-2","issued":{"date-parts":[["2025"]]},"title":"Britain implements delayed third phase of post-Brexit border rules","type":"webpage"},"uris":["http://www.mendeley.com/documents/?uuid=07002119-9f4e-4ed6-871f-4812febbd132"]},{"id":"ITEM-3","itemData":{"URL":"https://www.reuters.com/world/uk/uks-post-brexit-border-arrangements-cost-6-bln-2024-05-19/","accessed":{"date-parts":[["2026","3","9"]]},"author":[{"dropping-particle":"","family":"Reuters","given":"","non-dropping-particle":"","parse-names":false,"suffix":""}],"id":"ITEM-3","issued":{"date-parts":[["2024"]]},"title":"UK's post Brexit border arrangements to cost $6 billion","type":"webpage"},"uris":["http://www.mendeley.com/documents/?uuid=e44d5434-56fe-4d02-a5c3-395bcc1f2604"]},{"id":"ITEM-4","itemData":{"URL":"https://assets.publishing.service.gov.uk/media/66e98492c069f68b7681bc85/Complying_with_consumer_law_when_making_environmental_claims_in_the_fashion_retail_sector.pdf","accessed":{"date-parts":[["2026","3","9"]]},"author":[{"dropping-particle":"","family":"UK GOV","given":"","non-dropping-particle":"","parse-names":false,"suffix":""}],"id":"ITEM-4","issued":{"date-parts":[["0"]]},"title":"Complying with consumer law when making environmental claims in the fashion retail sector","type":"webpage"},"uris":["http://www.mendeley.com/documents/?uuid=ba5c2f0d-3c1e-4dab-8cbc-d714dd12dea6"]},{"id":"ITEM-5","itemData":{"URL":"https://www.gov.uk/government/publications/transparency-in-supply-chains-a-practical-guide/transparency-in-supply-chains-a-practical-guide-accessible","accessed":{"date-parts":[["2026","3","9"]]},"author":[{"dropping-particle":"","family":"UK GOV","given":"","non-dropping-particle":"","parse-names":false,"suffix":""}],"id":"ITEM-5","issued":{"date-parts":[["2025"]]},"title":"Transparency in supply chains: a practical guide (accessible)","type":"webpage"},"uris":["http://www.mendeley.com/documents/?uuid=4ce92ecc-36ea-4bb2-8fdd-c164548d32ec"]}],"mendeley":{"formattedCitation":"(Davey, 2024, 2025; Reuters, 2024c; UK GOV, n.d.-b, 2025b)","plainTextFormattedCitation":"(Davey, 2024, 2025; Reuters, 2024c; UK GOV, n.d.-b, 2025b)","previouslyFormattedCitation":"(Davey, 2024, 2025; Reuters, 2024c; UK GOV, n.d.-b, 2025b)"},"properties":{"noteIndex":0},"schema":"https://github.com/citation-style-language/schema/raw/master/csl-citation.json"}</w:instrText>
      </w:r>
      <w:r w:rsidR="005A7E95" w:rsidRPr="00B75BF1">
        <w:fldChar w:fldCharType="separate"/>
      </w:r>
      <w:r w:rsidR="00FB32A3" w:rsidRPr="00B75BF1">
        <w:rPr>
          <w:noProof/>
        </w:rPr>
        <w:t>(Davey, 2024, 2025; Reuters, 2024c; UK GOV, n.d.-b, 2025b)</w:t>
      </w:r>
      <w:r w:rsidR="005A7E95" w:rsidRPr="00B75BF1">
        <w:fldChar w:fldCharType="end"/>
      </w:r>
      <w:r w:rsidR="005B0DA7" w:rsidRPr="00B75BF1">
        <w:t xml:space="preserve">. </w:t>
      </w:r>
    </w:p>
    <w:p w14:paraId="29481B22" w14:textId="21837AB6" w:rsidR="005B0DA7" w:rsidRPr="00B75BF1" w:rsidRDefault="005B0DA7" w:rsidP="0051010E">
      <w:pPr>
        <w:pStyle w:val="NormalWeb"/>
      </w:pPr>
      <w:r w:rsidRPr="00B75BF1">
        <w:t xml:space="preserve">Overall, Porter’s Diamond suggests that </w:t>
      </w:r>
      <w:r w:rsidR="0051010E" w:rsidRPr="00B75BF1">
        <w:t xml:space="preserve">the UK has good demand conditions, retail sophistication, and service-sector support of fast fashion, but these benefits are getting increasingly counterbalanced by cost, ethical, and regulatory forces </w:t>
      </w:r>
      <w:r w:rsidR="006A44BA" w:rsidRPr="00B75BF1">
        <w:fldChar w:fldCharType="begin" w:fldLock="1"/>
      </w:r>
      <w:r w:rsidR="002E5B33" w:rsidRPr="00B75BF1">
        <w:instrText>ADDIN CSL_CITATION {"citationItems":[{"id":"ITEM-1","itemData":{"URL":"https://ukft.org/industry-footprint-report/","accessed":{"date-parts":[["2026","3","9"]]},"author":[{"dropping-particle":"","family":"UKFT","given":"","non-dropping-particle":"","parse-names":false,"suffix":""}],"id":"ITEM-1","issued":{"date-parts":[["2023"]]},"title":"The UK fashion and textile industry contributes £62bn to the UK economy","type":"webpage"},"uris":["http://www.mendeley.com/documents/?uuid=2388e1e1-b73f-47f4-9483-709699455304"]},{"id":"ITEM-2","itemData":{"URL":"https://www.mckinsey.com/~/media/mckinsey/industries/retail/our insights/state of fashion/2025/the-state-of-fashion-2025-v2.pdf","accessed":{"date-parts":[["2026","3","9"]]},"author":[{"dropping-particle":"","family":"McKinsey &amp; Company","given":"","non-dropping-particle":"","parse-names":false,"suffix":""}],"id":"ITEM-2","issued":{"date-parts":[["2025"]]},"title":"The State of Fashion 2025","type":"webpage"},"uris":["http://www.mendeley.com/documents/?uuid=d867b9a9-5a0e-4d13-9d30-789df3c37e64"]},{"id":"ITEM-3","itemData":{"URL":"https://assets.publishing.service.gov.uk/media/66e98492c069f68b7681bc85/Complying_with_consumer_law_when_making_environmental_claims_in_the_fashion_retail_sector.pdf","accessed":{"date-parts":[["2026","3","9"]]},"author":[{"dropping-particle":"","family":"UK GOV","given":"","non-dropping-particle":"","parse-names":false,"suffix":""}],"id":"ITEM-3","issued":{"date-parts":[["0"]]},"title":"Complying with consumer law when making environmental claims in the fashion retail sector","type":"webpage"},"uris":["http://www.mendeley.com/documents/?uuid=ba5c2f0d-3c1e-4dab-8cbc-d714dd12dea6"]},{"id":"ITEM-4","itemData":{"URL":"https://www.reuters.com/business/world-at-work/uk-retailers-labour-cost-fears-jump-after-reforms-survey-shows-2026-02-19/","accessed":{"date-parts":[["2026","3","9"]]},"author":[{"dropping-particle":"","family":"Reuters","given":"","non-dropping-particle":"","parse-names":false,"suffix":""}],"id":"ITEM-4","issued":{"date-parts":[["2026"]]},"title":"UK retailers' labour cost fears jump after reforms, survey shows","type":"webpage"},"uris":["http://www.mendeley.com/documents/?uuid=3f3ff4fa-5384-4acd-81d0-231763fddafc"]}],"mendeley":{"formattedCitation":"(McKinsey &amp; Company, 2025; Reuters, 2026; UK GOV, n.d.-b; UKFT, 2023b)","plainTextFormattedCitation":"(McKinsey &amp; Company, 2025; Reuters, 2026; UK GOV, n.d.-b; UKFT, 2023b)","previouslyFormattedCitation":"(McKinsey &amp; Company, 2025; Reuters, 2026; UK GOV, n.d.-b; UKFT, 2023b)"},"properties":{"noteIndex":0},"schema":"https://github.com/citation-style-language/schema/raw/master/csl-citation.json"}</w:instrText>
      </w:r>
      <w:r w:rsidR="006A44BA" w:rsidRPr="00B75BF1">
        <w:fldChar w:fldCharType="separate"/>
      </w:r>
      <w:r w:rsidR="001F6CF4" w:rsidRPr="00B75BF1">
        <w:rPr>
          <w:noProof/>
        </w:rPr>
        <w:t>(McKinsey &amp; Company, 2025; Reuters, 2026; UK GOV, n.d.-b; UKFT, 2023b)</w:t>
      </w:r>
      <w:r w:rsidR="006A44BA" w:rsidRPr="00B75BF1">
        <w:fldChar w:fldCharType="end"/>
      </w:r>
      <w:r w:rsidRPr="00B75BF1">
        <w:t xml:space="preserve">. </w:t>
      </w:r>
    </w:p>
    <w:p w14:paraId="33B9A40B" w14:textId="47FD0D82" w:rsidR="000E3651" w:rsidRPr="00B75BF1" w:rsidRDefault="00A16DF2" w:rsidP="00A16DF2">
      <w:pPr>
        <w:pStyle w:val="Heading1"/>
      </w:pPr>
      <w:bookmarkStart w:id="15" w:name="_Toc224049971"/>
      <w:r w:rsidRPr="00B75BF1">
        <w:t>Critical Evaluation of Zara’s Success in the UK</w:t>
      </w:r>
      <w:bookmarkEnd w:id="15"/>
    </w:p>
    <w:p w14:paraId="24F66EFD" w14:textId="023BF5CF" w:rsidR="00A16DF2" w:rsidRPr="00B75BF1" w:rsidRDefault="00A16DF2" w:rsidP="00A16DF2">
      <w:pPr>
        <w:pStyle w:val="Heading2"/>
        <w:rPr>
          <w:rFonts w:ascii="Times New Roman" w:hAnsi="Times New Roman"/>
          <w:sz w:val="36"/>
        </w:rPr>
      </w:pPr>
      <w:bookmarkStart w:id="16" w:name="_Toc224049972"/>
      <w:r w:rsidRPr="00B75BF1">
        <w:t>Zara and its presence in the UK</w:t>
      </w:r>
      <w:bookmarkEnd w:id="16"/>
    </w:p>
    <w:p w14:paraId="1D0CA5F8" w14:textId="1F0308CF" w:rsidR="00A16DF2" w:rsidRPr="00B75BF1" w:rsidRDefault="0051010E" w:rsidP="0051010E">
      <w:pPr>
        <w:pStyle w:val="NormalWeb"/>
      </w:pPr>
      <w:r w:rsidRPr="00B75BF1">
        <w:t xml:space="preserve">Zara is the mother brand of the Inditex, the largest fashion groups in the world. The 2024 reporting of Inditex demonstrates that the business model is based on direct store and online channel control, the high frequency of collection change, centralized design, and strong </w:t>
      </w:r>
      <w:r w:rsidRPr="00B75BF1">
        <w:lastRenderedPageBreak/>
        <w:t xml:space="preserve">integration of merchandising, logistics, and retail. Zara relies on this model, which has become its competitive edge since it can respond with the right product within seconds to the fashion cues and deliver it all over the world. The UK is a strategic country as it is a large country, trend sensitive, and has international visibility. In the case of Zara, success in the UK not only facilitates sales but also brand equity in high-profile European market where omnichannel implementation, inventory turnover, and reputation are important </w:t>
      </w:r>
      <w:r w:rsidR="006B4F71" w:rsidRPr="00B75BF1">
        <w:fldChar w:fldCharType="begin" w:fldLock="1"/>
      </w:r>
      <w:r w:rsidR="009A41F4" w:rsidRPr="00B75BF1">
        <w:instrText>ADDIN CSL_CITATION {"citationItems":[{"id":"ITEM-1","itemData":{"URL":"https://www.inditex.com/itxcomweb/api/media/84135f02-0208-4439-b9c0-b13608fbfeb5/Annualaccountsanddirectorsreport2024consolidated.pdf?t=1742203067340&amp;","accessed":{"date-parts":[["2026","3","7"]]},"author":[{"dropping-particle":"","family":"INDITEX","given":"","non-dropping-particle":"","parse-names":false,"suffix":""}],"id":"ITEM-1","issued":{"date-parts":[["2024"]]},"title":"INDITEX GROUP ANNUAL REPORT 2024","type":"webpage"},"uris":["http://www.mendeley.com/documents/?uuid=48f6dcdc-2f20-4b0e-97a6-3b8c77138d31"]},{"id":"ITEM-2","itemData":{"URL":"https://www.inditex.com/itxcomweb/api/media/16843322-c524-4f36-b84f-133989e4e569/INDITEXFullYear2024Results.pdf?t=1741760450878&amp;","accessed":{"date-parts":[["2026","3","9"]]},"author":[{"dropping-particle":"","family":"INDITEX","given":"","non-dropping-particle":"","parse-names":false,"suffix":""}],"id":"ITEM-2","issued":{"date-parts":[["2025"]]},"title":"FY2024 Results","type":"webpage"},"uris":["http://www.mendeley.com/documents/?uuid=f744aeef-98be-4e34-9977-942334425111"]},{"id":"ITEM-3","itemData":{"URL":"https://www.inditex.com/itxcomweb/aq/en/press/news-detail/6f8d8db5-4d7a-43db-91b9-0c38065aec1e/fy2024-results","accessed":{"date-parts":[["2026","3","9"]]},"author":[{"dropping-particle":"","family":"INDITEX","given":"","non-dropping-particle":"","parse-names":false,"suffix":""}],"id":"ITEM-3","issued":{"date-parts":[["2025"]]},"title":"FY2024 FResults","type":"webpage"},"uris":["http://www.mendeley.com/documents/?uuid=9f0af03e-b9c3-4f9e-bd97-0bb7a0140a45"]}],"mendeley":{"formattedCitation":"(INDITEX, 2024a, 2025b, 2025a)","plainTextFormattedCitation":"(INDITEX, 2024a, 2025b, 2025a)","previouslyFormattedCitation":"(INDITEX, 2024a, 2025b, 2025a)"},"properties":{"noteIndex":0},"schema":"https://github.com/citation-style-language/schema/raw/master/csl-citation.json"}</w:instrText>
      </w:r>
      <w:r w:rsidR="006B4F71" w:rsidRPr="00B75BF1">
        <w:fldChar w:fldCharType="separate"/>
      </w:r>
      <w:r w:rsidR="009A41F4" w:rsidRPr="00B75BF1">
        <w:rPr>
          <w:noProof/>
        </w:rPr>
        <w:t>(INDITEX, 2024a, 2025b, 2025a)</w:t>
      </w:r>
      <w:r w:rsidR="006B4F71" w:rsidRPr="00B75BF1">
        <w:fldChar w:fldCharType="end"/>
      </w:r>
      <w:r w:rsidR="00A16DF2" w:rsidRPr="00B75BF1">
        <w:t xml:space="preserve">. </w:t>
      </w:r>
    </w:p>
    <w:p w14:paraId="0947EE91" w14:textId="6E9C57B3" w:rsidR="00A16DF2" w:rsidRPr="00B75BF1" w:rsidRDefault="00A16DF2" w:rsidP="00A16DF2">
      <w:pPr>
        <w:pStyle w:val="Heading2"/>
      </w:pPr>
      <w:bookmarkStart w:id="17" w:name="_Toc224049973"/>
      <w:r w:rsidRPr="00B75BF1">
        <w:t>Framework for evaluating market attractiveness</w:t>
      </w:r>
      <w:bookmarkEnd w:id="17"/>
    </w:p>
    <w:p w14:paraId="2797F17E" w14:textId="287C4D42" w:rsidR="00A16DF2" w:rsidRPr="00B75BF1" w:rsidRDefault="0051010E" w:rsidP="0051010E">
      <w:pPr>
        <w:pStyle w:val="NormalWeb"/>
      </w:pPr>
      <w:r w:rsidRPr="00B75BF1">
        <w:t xml:space="preserve">The appeal of the UK market to Zara can be evaluated using various frameworks. PESTEL considers political, economic and legal factors that can influence operating costs, demand and compliance, whereas CAGE assists in describing cross-border variations in adaptation, sourcing and customer alignment. Institutional perspective is essential since the performance of Zara hinges on the consumer demand, though, regulatory and reputational elements in the sustainability, labor standards, and product responsibility. These frameworks give an overview of opportunities and limitations in the UK market </w:t>
      </w:r>
      <w:r w:rsidR="006B4F71" w:rsidRPr="00B75BF1">
        <w:fldChar w:fldCharType="begin" w:fldLock="1"/>
      </w:r>
      <w:r w:rsidR="009A41F4" w:rsidRPr="00B75BF1">
        <w:instrText>ADDIN CSL_CITATION {"citationItems":[{"id":"ITEM-1","itemData":{"URL":"https://www.gov.uk/government/news/greenwashing-cma-issues-tailored-guide-for-fashion-brands","accessed":{"date-parts":[["2026","3","9"]]},"author":[{"dropping-particle":"","family":"UK GOV","given":"","non-dropping-particle":"","parse-names":false,"suffix":""}],"id":"ITEM-1","issued":{"date-parts":[["2024"]]},"title":"Greenwashing: CMA issues tailored guide for fashion brands","type":"webpage"},"uris":["http://www.mendeley.com/documents/?uuid=3b40acc5-bf5c-47ed-bca6-5b706f379819"]},{"id":"ITEM-2","itemData":{"URL":"https://www.gov.uk/government/publications/transparency-in-supply-chains-a-practical-guide/transparency-in-supply-chains-a-practical-guide-accessible","accessed":{"date-parts":[["2026","3","9"]]},"author":[{"dropping-particle":"","family":"UK GOV","given":"","non-dropping-particle":"","parse-names":false,"suffix":""}],"id":"ITEM-2","issued":{"date-parts":[["2025"]]},"title":"Transparency in supply chains: a practical guide (accessible)","type":"webpage"},"uris":["http://www.mendeley.com/documents/?uuid=4ce92ecc-36ea-4bb2-8fdd-c164548d32ec"]},{"id":"ITEM-3","itemData":{"DOI":"10.1080/21582041.2025.2604525","ISSN":"2158-2041","author":[{"dropping-particle":"","family":"Casadei","given":"Patrizia","non-dropping-particle":"","parse-names":false,"suffix":""},{"dropping-particle":"","family":"Iammarino","given":"Simona","non-dropping-particle":"","parse-names":false,"suffix":""},{"dropping-particle":"","family":"McCann","given":"Philip","non-dropping-particle":"","parse-names":false,"suffix":""},{"dropping-particle":"","family":"Ortega-Argilés","given":"Raquel","non-dropping-particle":"","parse-names":false,"suffix":""}],"container-title":"Contemporary Social Science","id":"ITEM-3","issued":{"date-parts":[["2026","1","8"]]},"note":"doi: 10.1080/21582041.2025.2604525","page":"1-24","publisher":"Routledge","title":"The ‘cost of undoing Europe’: Brexit and the UK textile and apparel industry","type":"article-journal"},"uris":["http://www.mendeley.com/documents/?uuid=5c702d4f-afb1-462e-8d76-6fc40b14ad62"]}],"mendeley":{"formattedCitation":"(Casadei et al., 2026; UK GOV, 2024d, 2025b)","plainTextFormattedCitation":"(Casadei et al., 2026; UK GOV, 2024d, 2025b)","previouslyFormattedCitation":"(Casadei et al., 2026; UK GOV, 2024d, 2025b)"},"properties":{"noteIndex":0},"schema":"https://github.com/citation-style-language/schema/raw/master/csl-citation.json"}</w:instrText>
      </w:r>
      <w:r w:rsidR="006B4F71" w:rsidRPr="00B75BF1">
        <w:fldChar w:fldCharType="separate"/>
      </w:r>
      <w:r w:rsidR="002E5B33" w:rsidRPr="00B75BF1">
        <w:rPr>
          <w:noProof/>
        </w:rPr>
        <w:t>(Casadei et al., 2026; UK GOV, 2024d, 2025b)</w:t>
      </w:r>
      <w:r w:rsidR="006B4F71" w:rsidRPr="00B75BF1">
        <w:fldChar w:fldCharType="end"/>
      </w:r>
      <w:r w:rsidR="00A16DF2" w:rsidRPr="00B75BF1">
        <w:t xml:space="preserve">. </w:t>
      </w:r>
    </w:p>
    <w:p w14:paraId="0B1826D3" w14:textId="3BF94AF7" w:rsidR="00A16DF2" w:rsidRPr="00B75BF1" w:rsidRDefault="00A16DF2" w:rsidP="00A16DF2">
      <w:pPr>
        <w:pStyle w:val="Heading2"/>
      </w:pPr>
      <w:bookmarkStart w:id="18" w:name="_Toc224049974"/>
      <w:r w:rsidRPr="00B75BF1">
        <w:t>Political factors</w:t>
      </w:r>
      <w:bookmarkEnd w:id="18"/>
    </w:p>
    <w:p w14:paraId="38961B09" w14:textId="0420675B" w:rsidR="00A16DF2" w:rsidRPr="00B75BF1" w:rsidRDefault="0051010E" w:rsidP="0051010E">
      <w:pPr>
        <w:pStyle w:val="NormalWeb"/>
      </w:pPr>
      <w:r w:rsidRPr="00B75BF1">
        <w:t xml:space="preserve">The UK operations of Zara are influenced by the post-Brexit trade and geopolitical risks in sourcing apparel. According to Reuters, businesses were again disrupted by the delayed post-Brexit border controls, and a third stage of the border regime commenced in January 2025, including safety declarations on EU imports. Some customs procedures and uncertainty at the border slows movement and makes planning difficult even with trade agreement tariff avoidance. All these delays undermine the responsiveness of Zara to refresh stock and meet the trends in time </w:t>
      </w:r>
      <w:r w:rsidR="008F691C" w:rsidRPr="00B75BF1">
        <w:fldChar w:fldCharType="begin" w:fldLock="1"/>
      </w:r>
      <w:r w:rsidR="00844FAF" w:rsidRPr="00B75BF1">
        <w:instrText>ADDIN CSL_CITATION {"citationItems":[{"id":"ITEM-1","itemData":{"URL":"https://www.reuters.com/world/uk/uk-industry-fears-disruption-new-post-brexit-border-checks-2024-01-23","accessed":{"date-parts":[["2026","3","9"]]},"author":[{"dropping-particle":"","family":"Davey","given":"James","non-dropping-particle":"","parse-names":false,"suffix":""}],"id":"ITEM-1","issued":{"date-parts":[["2024"]]},"title":"UK industry fears disruption from new post-Brexit border checks","type":"webpage"},"uris":["http://www.mendeley.com/documents/?uuid=eaa0dcab-db5f-44d9-bc20-398c38dbf92b"]},{"id":"ITEM-2","itemData":{"URL":"https://www.reuters.com/world/uk/britain-implements-delayed-third-phase-post-brexit-border-rules-2025-01-31/","accessed":{"date-parts":[["2026","3","9"]]},"author":[{"dropping-particle":"","family":"Davey","given":"James","non-dropping-particle":"","parse-names":false,"suffix":""}],"id":"ITEM-2","issued":{"date-parts":[["2025"]]},"title":"Britain implements delayed third phase of post-Brexit border rules","type":"webpage"},"uris":["http://www.mendeley.com/documents/?uuid=07002119-9f4e-4ed6-871f-4812febbd132"]},{"id":"ITEM-3","itemData":{"URL":"https://ukft.org/voice/brexit/faqs/","accessed":{"date-parts":[["2026","3","9"]]},"author":[{"dropping-particle":"","family":"UKFT","given":"","non-dropping-particle":"","parse-names":false,"suffix":""}],"id":"ITEM-3","issued":{"date-parts":[["2025"]]},"title":"Overview","type":"webpage"},"uris":["http://www.mendeley.com/documents/?uuid=59ee88c5-86a1-4f45-ba4f-439e3e640f1c"]}],"mendeley":{"formattedCitation":"(Davey, 2024, 2025; UKFT, 2025b)","plainTextFormattedCitation":"(Davey, 2024, 2025; UKFT, 2025b)","previouslyFormattedCitation":"(Davey, 2024, 2025; UKFT, 2025b)"},"properties":{"noteIndex":0},"schema":"https://github.com/citation-style-language/schema/raw/master/csl-citation.json"}</w:instrText>
      </w:r>
      <w:r w:rsidR="008F691C" w:rsidRPr="00B75BF1">
        <w:fldChar w:fldCharType="separate"/>
      </w:r>
      <w:r w:rsidR="00844FAF" w:rsidRPr="00B75BF1">
        <w:rPr>
          <w:noProof/>
        </w:rPr>
        <w:t>(Davey, 2024, 2025; UKFT, 2025b)</w:t>
      </w:r>
      <w:r w:rsidR="008F691C" w:rsidRPr="00B75BF1">
        <w:fldChar w:fldCharType="end"/>
      </w:r>
      <w:r w:rsidR="00A16DF2" w:rsidRPr="00B75BF1">
        <w:t xml:space="preserve">. </w:t>
      </w:r>
    </w:p>
    <w:p w14:paraId="7197EC74" w14:textId="3A244254" w:rsidR="00A16DF2" w:rsidRPr="00B75BF1" w:rsidRDefault="0051010E" w:rsidP="00A16DF2">
      <w:pPr>
        <w:pStyle w:val="NormalWeb"/>
      </w:pPr>
      <w:r w:rsidRPr="00B75BF1">
        <w:t xml:space="preserve">There is dependency on imports which exposes. The UK fashion retail business is highly dependent on imported products hence customs friction and shipping delays impact cost and inventory movement. According to the UKFT, a lot of fashion products imported outside the preferential agreements would be subject to the UK Global Tariff rates; and this is why an origin management is crucial. The Inditex also mentions country risk and foreign-currency exposure as a major problem since political instability or trade limitations in sourcing markets decrease flexibility. The pressure of sustainability and labor policies in the public policy is a complication. UK has revised modern slavery advice and concentrated on environmental claims putting more pressure on global supply chains. All these make the UK a complex market: it is a stable and attractive market that has increasing compliance costs, slower inventory turnover, and less sourcing responsiveness </w:t>
      </w:r>
      <w:r w:rsidR="00844FAF" w:rsidRPr="00B75BF1">
        <w:fldChar w:fldCharType="begin" w:fldLock="1"/>
      </w:r>
      <w:r w:rsidR="009A41F4" w:rsidRPr="00B75BF1">
        <w:instrText>ADDIN CSL_CITATION {"citationItems":[{"id":"ITEM-1","itemData":{"URL":"https://ukft.org/voice/brexit/faqs/","accessed":{"date-parts":[["2026","3","9"]]},"author":[{"dropping-particle":"","family":"UKFT","given":"","non-dropping-particle":"","parse-names":false,"suffix":""}],"id":"ITEM-1","issued":{"date-parts":[["2025"]]},"title":"Overview","type":"webpage"},"uris":["http://www.mendeley.com/documents/?uuid=59ee88c5-86a1-4f45-ba4f-439e3e640f1c"]},{"id":"ITEM-2","itemData":{"URL":"https://www.inditex.com/itxcomweb/api/media/84135f02-0208-4439-b9c0-b13608fbfeb5/Annualaccountsanddirectorsreport2024consolidated.pdf?t=1742203067340&amp;","accessed":{"date-parts":[["2026","3","7"]]},"author":[{"dropping-particle":"","family":"INDITEX","given":"","non-dropping-particle":"","parse-names":false,"suffix":""}],"id":"ITEM-2","issued":{"date-parts":[["2024"]]},"title":"INDITEX GROUP ANNUAL REPORT 2024","type":"webpage"},"uris":["http://www.mendeley.com/documents/?uuid=48f6dcdc-2f20-4b0e-97a6-3b8c77138d31"]},{"id":"ITEM-3","itemData":{"URL":"https://www.gov.uk/government/publications/transparency-in-supply-chains-a-practical-guide/transparency-in-supply-chains-a-practical-guide-accessible","accessed":{"date-parts":[["2026","3","9"]]},"author":[{"dropping-particle":"","family":"UK GOV","given":"","non-dropping-particle":"","parse-names":false,"suffix":""}],"id":"ITEM-3","issued":{"date-parts":[["2025"]]},"title":"Transparency in supply chains: a practical guide (accessible)","type":"webpage"},"uris":["http://www.mendeley.com/documents/?uuid=4ce92ecc-36ea-4bb2-8fdd-c164548d32ec"]},{"id":"ITEM-4","itemData":{"URL":"https://www.gov.uk/government/news/greenwashing-cma-issues-tailored-guide-for-fashion-brands","accessed":{"date-parts":[["2026","3","9"]]},"author":[{"dropping-particle":"","family":"UK GOV","given":"","non-dropping-particle":"","parse-names":false,"suffix":""}],"id":"ITEM-4","issued":{"date-parts":[["2024"]]},"title":"Greenwashing: CMA issues tailored guide for fashion brands","type":"webpage"},"uris":["http://www.mendeley.com/documents/?uuid=3b40acc5-bf5c-47ed-bca6-5b706f379819"]}],"mendeley":{"formattedCitation":"(INDITEX, 2024a; UK GOV, 2024d, 2025b; UKFT, 2025b)","plainTextFormattedCitation":"(INDITEX, 2024a; UK GOV, 2024d, 2025b; UKFT, 2025b)","previouslyFormattedCitation":"(INDITEX, 2024a; UK GOV, 2024d, 2025b; UKFT, 2025b)"},"properties":{"noteIndex":0},"schema":"https://github.com/citation-style-language/schema/raw/master/csl-citation.json"}</w:instrText>
      </w:r>
      <w:r w:rsidR="00844FAF" w:rsidRPr="00B75BF1">
        <w:fldChar w:fldCharType="separate"/>
      </w:r>
      <w:r w:rsidR="009A41F4" w:rsidRPr="00B75BF1">
        <w:rPr>
          <w:noProof/>
        </w:rPr>
        <w:t>(INDITEX, 2024a; UK GOV, 2024d, 2025b; UKFT, 2025b)</w:t>
      </w:r>
      <w:r w:rsidR="00844FAF" w:rsidRPr="00B75BF1">
        <w:fldChar w:fldCharType="end"/>
      </w:r>
      <w:r w:rsidR="00A16DF2" w:rsidRPr="00B75BF1">
        <w:t xml:space="preserve">. </w:t>
      </w:r>
    </w:p>
    <w:p w14:paraId="6C570337" w14:textId="796253FE" w:rsidR="00A16DF2" w:rsidRPr="00B75BF1" w:rsidRDefault="00A16DF2" w:rsidP="00A16DF2">
      <w:pPr>
        <w:pStyle w:val="Heading2"/>
      </w:pPr>
      <w:bookmarkStart w:id="19" w:name="_Toc224049975"/>
      <w:r w:rsidRPr="00B75BF1">
        <w:t>Economic factors</w:t>
      </w:r>
      <w:bookmarkEnd w:id="19"/>
    </w:p>
    <w:p w14:paraId="61235688" w14:textId="65F7F763" w:rsidR="00A16DF2" w:rsidRPr="00B75BF1" w:rsidRDefault="00A82E0E" w:rsidP="00A82E0E">
      <w:pPr>
        <w:pStyle w:val="NormalWeb"/>
      </w:pPr>
      <w:r w:rsidRPr="00B75BF1">
        <w:t xml:space="preserve">UK is a country that provides Zara with both size and intensity. It is among the biggest fashion markets in Europe, digital usage is high and customer awareness of trend-based clothes is good. The present-day economic condition is difficult though. The UK CPI inflation, according to ONS, is 3.4% in December 2025 and 3.0% in January 2026, and consumer confidence is negative, though improved slightly. This is important since fashion </w:t>
      </w:r>
      <w:r w:rsidRPr="00B75BF1">
        <w:lastRenderedPageBreak/>
        <w:t xml:space="preserve">expenditure is income sensitive and decisions of the household. Shoppers with limited finances get more promotion-oriented, postponed purchases, and more price-sensitive, undermining Zara pricing power </w:t>
      </w:r>
      <w:r w:rsidR="00C51973" w:rsidRPr="00B75BF1">
        <w:fldChar w:fldCharType="begin" w:fldLock="1"/>
      </w:r>
      <w:r w:rsidR="001635E7" w:rsidRPr="00B75BF1">
        <w:instrText>ADDIN CSL_CITATION {"citationItems":[{"id":"ITEM-1","itemData":{"URL":"https://www.ons.gov.uk/economy/inflationandpriceindices/bulletins/consumerpriceinflation/december2025?","accessed":{"date-parts":[["2026","3","9"]]},"author":[{"dropping-particle":"","family":"ONS GOV UK","given":"","non-dropping-particle":"","parse-names":false,"suffix":""}],"id":"ITEM-1","issued":{"date-parts":[["2025"]]},"title":"Consumer price inflation, UK: December 2025","type":"webpage"},"uris":["http://www.mendeley.com/documents/?uuid=49504a6b-fa2f-4d45-9266-770ee53113a6"]},{"id":"ITEM-2","itemData":{"URL":"https://www.ons.gov.uk/economy/inflationandpriceindices?","accessed":{"date-parts":[["2026","3","9"]]},"author":[{"dropping-particle":"","family":"ONS GOV UK","given":"","non-dropping-particle":"","parse-names":false,"suffix":""}],"id":"ITEM-2","issued":{"date-parts":[["2026"]]},"title":"Inflation and price indices","type":"webpage"},"uris":["http://www.mendeley.com/documents/?uuid=a6c9e5e7-c625-4525-88e0-680a51d5e9a2"]},{"id":"ITEM-3","itemData":{"URL":"https://www.reuters.com/world/uk/uk-consumer-morale-inches-up-despite-economic-worries-gfk-says-2026-01-23/?","accessed":{"date-parts":[["2026","3","9"]]},"author":[{"dropping-particle":"","family":"Abdulla","given":"Suban","non-dropping-particle":"","parse-names":false,"suffix":""}],"id":"ITEM-3","issued":{"date-parts":[["2026"]]},"title":"UK consumer morale inches up despite economic worries, GfK says","type":"webpage"},"uris":["http://www.mendeley.com/documents/?uuid=ab06742f-a9f2-447b-860f-c0a0b4a4b9af"]}],"mendeley":{"formattedCitation":"(Abdulla, 2026; ONS GOV UK, 2025a, 2026)","plainTextFormattedCitation":"(Abdulla, 2026; ONS GOV UK, 2025a, 2026)","previouslyFormattedCitation":"(Abdulla, 2026; ONS GOV UK, 2025a, 2026)"},"properties":{"noteIndex":0},"schema":"https://github.com/citation-style-language/schema/raw/master/csl-citation.json"}</w:instrText>
      </w:r>
      <w:r w:rsidR="00C51973" w:rsidRPr="00B75BF1">
        <w:fldChar w:fldCharType="separate"/>
      </w:r>
      <w:r w:rsidR="003C4DC5" w:rsidRPr="00B75BF1">
        <w:rPr>
          <w:noProof/>
        </w:rPr>
        <w:t>(Abdulla, 2026; ONS GOV UK, 2025a, 2026)</w:t>
      </w:r>
      <w:r w:rsidR="00C51973" w:rsidRPr="00B75BF1">
        <w:fldChar w:fldCharType="end"/>
      </w:r>
      <w:r w:rsidR="00A16DF2" w:rsidRPr="00B75BF1">
        <w:t xml:space="preserve">. </w:t>
      </w:r>
    </w:p>
    <w:p w14:paraId="23BB7B7F" w14:textId="20FBFF5A" w:rsidR="00A16DF2" w:rsidRPr="00B75BF1" w:rsidRDefault="00A82E0E" w:rsidP="00A16DF2">
      <w:pPr>
        <w:pStyle w:val="NormalWeb"/>
      </w:pPr>
      <w:r w:rsidRPr="00B75BF1">
        <w:t xml:space="preserve">The cost-of-living situation in the UK puts Zara in an unfavorable situation. Neither the most affordable, its rivals such as Primark, Shein, and Boohoo are even cheaper, but there is a certain difference in design, quality, and global branding that Zara offers. However, the pressure on prices can create the motivation of middle-income customers to use more affordable options. The fashion analysis at McKinsey indicates that consumers purchase with fast-fashion retailers despite raising sustainability concerns, with value and convenience being critical in influencing the purchasing behavior. This </w:t>
      </w:r>
      <w:proofErr w:type="spellStart"/>
      <w:r w:rsidRPr="00B75BF1">
        <w:t>favours</w:t>
      </w:r>
      <w:proofErr w:type="spellEnd"/>
      <w:r w:rsidRPr="00B75BF1">
        <w:t xml:space="preserve"> companies in a strained economy that can make affordable style worth the price over low-cost players </w:t>
      </w:r>
      <w:r w:rsidR="001635E7" w:rsidRPr="00B75BF1">
        <w:fldChar w:fldCharType="begin" w:fldLock="1"/>
      </w:r>
      <w:r w:rsidR="009A41F4" w:rsidRPr="00B75BF1">
        <w:instrText>ADDIN CSL_CITATION {"citationItems":[{"id":"ITEM-1","itemData":{"DOI":"https://doi.org/10.1016/j.jclepro.2024.144232","ISSN":"0959-6526","abstract":"Climate change and environmental degradation are strongly affecting our lives and the way companies do business. The fashion industry is responsible for huge environmental impacts, from production to disposal. This study aims to systematically review the literature related to sustainable consumer behavior in the fashion industry. Adopting a consumer perspective, the determinants of consumer behavior towards the sustainable fashion solutions existing for each consumption phase (i.e., (pre-)purchase, use, and post-use) are analyzed. 217 articles are included in the review. Most of these studies focus on generic sustainable garments and mainly investigate women's and/or young people's behavior. Results show many determinants of sustainable consumer behavior, which have been divided into factors hindering (barriers) or driving (drivers) it. The main barriers to sustainable consumption are high prices, skepticism, stereotypes, lack of knowledge and availability, and efforts to access product/service. Further, consumers' environmental concerns and awareness seem to play a secondary role in the decision process. Conversely, high-quality, comfortable, and style garments, together with new emerging technologies and services, can positively contribute to sustainable consumption. In addition, social media can help shift toward sustainable consumption practices, favoring the spread of sustainable knowledge and awareness among consumers. A future research agenda and several implications for managers are provided.","author":[{"dropping-particle":"","family":"Schiaroli","given":"Valerio","non-dropping-particle":"","parse-names":false,"suffix":""},{"dropping-particle":"","family":"Fraccascia","given":"Luca","non-dropping-particle":"","parse-names":false,"suffix":""},{"dropping-particle":"","family":"Dangelico","given":"Rosa Maria","non-dropping-particle":"","parse-names":false,"suffix":""}],"container-title":"Journal of Cleaner Production","id":"ITEM-1","issued":{"date-parts":[["2024"]]},"page":"144232","title":"How can consumers behave sustainably in the fashion industry? A systematic literature review of determinants, drivers, and barriers across the consumption phases","type":"article-journal","volume":"483"},"uris":["http://www.mendeley.com/documents/?uuid=fd93893a-d4ec-46f7-8419-2c51f706b667"]},{"id":"ITEM-2","itemData":{"URL":"https://www.gov.uk/government/news/green-claims-cma-secures-landmark-changes-from-asos-boohoo-and-asda","accessed":{"date-parts":[["2026","3","9"]]},"author":[{"dropping-particle":"","family":"UK GOV","given":"","non-dropping-particle":"","parse-names":false,"suffix":""}],"id":"ITEM-2","issued":{"date-parts":[["2024"]]},"title":"Green claims: CMA secures landmark changes from ASOS, Boohoo and Asda","type":"webpage"},"uris":["http://www.mendeley.com/documents/?uuid=28d73aff-79bf-4f34-a11f-010adde842d2"]},{"id":"ITEM-3","itemData":{"URL":"https://www.reuters.com/business/retail-consumer/britains-next-says-worst-structural-shift-online-is-over-2025-03-27/","accessed":{"date-parts":[["2026","3","9"]]},"author":[{"dropping-particle":"","family":"Reuters","given":"","non-dropping-particle":"","parse-names":false,"suffix":""}],"id":"ITEM-3","issued":{"date-parts":[["2025"]]},"title":"Britain's Next says worst of structural shift to online is over","type":"webpage"},"uris":["http://www.mendeley.com/documents/?uuid=b8177ab4-7dfa-4d5f-8a30-b27b5c5f995a"]}],"mendeley":{"formattedCitation":"(Reuters, 2025a; Schiaroli et al., 2024; UK GOV, 2024c)","plainTextFormattedCitation":"(Reuters, 2025a; Schiaroli et al., 2024; UK GOV, 2024c)","previouslyFormattedCitation":"(Reuters, 2025a; Schiaroli et al., 2024; UK GOV, 2024c)"},"properties":{"noteIndex":0},"schema":"https://github.com/citation-style-language/schema/raw/master/csl-citation.json"}</w:instrText>
      </w:r>
      <w:r w:rsidR="001635E7" w:rsidRPr="00B75BF1">
        <w:fldChar w:fldCharType="separate"/>
      </w:r>
      <w:r w:rsidR="002E5B33" w:rsidRPr="00B75BF1">
        <w:rPr>
          <w:noProof/>
        </w:rPr>
        <w:t>(Reuters, 2025a; Schiaroli et al., 2024; UK GOV, 2024c)</w:t>
      </w:r>
      <w:r w:rsidR="001635E7" w:rsidRPr="00B75BF1">
        <w:fldChar w:fldCharType="end"/>
      </w:r>
      <w:r w:rsidR="00A16DF2" w:rsidRPr="00B75BF1">
        <w:t xml:space="preserve">. </w:t>
      </w:r>
    </w:p>
    <w:p w14:paraId="6A7D73AD" w14:textId="2D1403EB" w:rsidR="00A16DF2" w:rsidRPr="00B75BF1" w:rsidRDefault="00EC50F9" w:rsidP="00A16DF2">
      <w:pPr>
        <w:pStyle w:val="NormalWeb"/>
      </w:pPr>
      <w:r w:rsidRPr="00B75BF1">
        <w:t xml:space="preserve">The exchange rate variations introduce the element of uncertainty. Inditex registers in euros, UK in pounds and a lot of sourcing is global hence the sterling volatility will affect performance, importation cost and margin planning. This is very expensive to operate in UK; employers’ taxes, wage increment and cost of renting flag ships are high. These pressures are more applicable to Zara than the competitors that only compete online as the brand is anchored on both the prime stores and online integration. </w:t>
      </w:r>
      <w:r w:rsidR="00A82E0E" w:rsidRPr="00B75BF1">
        <w:t xml:space="preserve">However, the 2024 performance of Inditex focuses on store optimization and digitalization, and hybrid retailing is still worthwhile in a market where online non-food sales are more than a third of total sales. The UK is economical to Zara, yet profitability depends on how it can cope with tightened consumer spending, increased operating expenses, and online competition </w:t>
      </w:r>
      <w:r w:rsidR="00656A80" w:rsidRPr="00B75BF1">
        <w:fldChar w:fldCharType="begin" w:fldLock="1"/>
      </w:r>
      <w:r w:rsidR="001F6CF4" w:rsidRPr="00B75BF1">
        <w:instrText>ADDIN CSL_CITATION {"citationItems":[{"id":"ITEM-1","itemData":{"URL":"https://www.reuters.com/world/uk/uk-retail-could-shed-160000-part-time-jobs-after-employer-tax-increase-says-2025-02-26/","accessed":{"date-parts":[["2026","3","9"]]},"author":[{"dropping-particle":"","family":"Reuters","given":"","non-dropping-particle":"","parse-names":false,"suffix":""}],"id":"ITEM-1","issued":{"date-parts":[["2025"]]},"title":"UK retail could shed 160,000 part-time jobs after employer tax increase, says trade body","type":"webpage"},"uris":["http://www.mendeley.com/documents/?uuid=735e7128-0673-4bc1-95dd-0c04bcfc20b8"]},{"id":"ITEM-2","itemData":{"URL":"https://www.reuters.com/world/uk/uk-prices-rise-retailers-pass-higher-employment-costs-brc-says-2025-03-04/","accessed":{"date-parts":[["2026","3","9"]]},"author":[{"dropping-particle":"","family":"Abdulla","given":"Suban","non-dropping-particle":"","parse-names":false,"suffix":""}],"id":"ITEM-2","issued":{"date-parts":[["2025"]]},"title":"UK prices to rise as retailers pass on higher employment costs, BRC says","type":"webpage"},"uris":["http://www.mendeley.com/documents/?uuid=3d56b757-e4ec-47db-a5b9-4b5b455adcf3"]},{"id":"ITEM-3","itemData":{"URL":"https://www.inditex.com/itxcomweb/us/en/press/news-detail/6f8d8db5-4d7a-43db-91b9-0c38065aec1e/fy2024-results","author":[{"dropping-particle":"","family":"Inditex","given":"","non-dropping-particle":"","parse-names":false,"suffix":""}],"id":"ITEM-3","issued":{"date-parts":[["2024"]]},"title":"FY2024 Results","type":"webpage"},"uris":["http://www.mendeley.com/documents/?uuid=4709e7da-2ca3-49d0-b915-a7a95ae55dd3"]},{"id":"ITEM-4","itemData":{"URL":"https://www.reuters.com/business/retail-consumer/britains-next-says-worst-structural-shift-online-is-over-2025-03-27/","accessed":{"date-parts":[["2026","3","9"]]},"author":[{"dropping-particle":"","family":"Reuters","given":"","non-dropping-particle":"","parse-names":false,"suffix":""}],"id":"ITEM-4","issued":{"date-parts":[["2025"]]},"title":"Britain's Next says worst of structural shift to online is over","type":"webpage"},"uris":["http://www.mendeley.com/documents/?uuid=b8177ab4-7dfa-4d5f-8a30-b27b5c5f995a"]}],"mendeley":{"formattedCitation":"(Abdulla, 2025; Inditex, 2024; Reuters, 2025b, 2025a)","plainTextFormattedCitation":"(Abdulla, 2025; Inditex, 2024; Reuters, 2025b, 2025a)","previouslyFormattedCitation":"(Abdulla, 2025; Inditex, 2024; Reuters, 2025b, 2025a)"},"properties":{"noteIndex":0},"schema":"https://github.com/citation-style-language/schema/raw/master/csl-citation.json"}</w:instrText>
      </w:r>
      <w:r w:rsidR="00656A80" w:rsidRPr="00B75BF1">
        <w:fldChar w:fldCharType="separate"/>
      </w:r>
      <w:r w:rsidR="00656A80" w:rsidRPr="00B75BF1">
        <w:rPr>
          <w:noProof/>
        </w:rPr>
        <w:t>(Abdulla, 2025; Inditex, 2024; Reuters, 2025b, 2025a)</w:t>
      </w:r>
      <w:r w:rsidR="00656A80" w:rsidRPr="00B75BF1">
        <w:fldChar w:fldCharType="end"/>
      </w:r>
      <w:r w:rsidR="00A16DF2" w:rsidRPr="00B75BF1">
        <w:t xml:space="preserve">. </w:t>
      </w:r>
    </w:p>
    <w:p w14:paraId="69CBAB0E" w14:textId="24C07E1B" w:rsidR="00A16DF2" w:rsidRPr="00B75BF1" w:rsidRDefault="00A16DF2" w:rsidP="00A16DF2">
      <w:pPr>
        <w:pStyle w:val="Heading2"/>
      </w:pPr>
      <w:bookmarkStart w:id="20" w:name="_Toc224049976"/>
      <w:r w:rsidRPr="00B75BF1">
        <w:t>Legal and regulatory factors</w:t>
      </w:r>
      <w:bookmarkEnd w:id="20"/>
    </w:p>
    <w:p w14:paraId="456E37EA" w14:textId="68495990" w:rsidR="00A16DF2" w:rsidRPr="00B75BF1" w:rsidRDefault="000C40B4" w:rsidP="000C40B4">
      <w:pPr>
        <w:pStyle w:val="NormalWeb"/>
      </w:pPr>
      <w:r w:rsidRPr="00B75BF1">
        <w:t xml:space="preserve">The UK market is legally challenging but capable of improving trust of compliant firms. Especially the consumer protection regulation applies because Zara will be operating through stores and online. The UK consumer contract laws mandate online customers a 14-day cooling-off period and entitlement to claim refund on defective or misrepresented products. In the case of fashion retailers, this further escalates the costs of reverse-logistics and makes the design of the return policy essential. Also does product safety: the UK guidance on General Product Safety Regulations stipulates that consumer goods distributed in the GB market are safe, and their safety is actively monitored in product categories. Such laws make compliance more expensive, but they enhance the trust of customers in trusted retailers </w:t>
      </w:r>
      <w:r w:rsidR="001F6CF4" w:rsidRPr="00B75BF1">
        <w:fldChar w:fldCharType="begin" w:fldLock="1"/>
      </w:r>
      <w:r w:rsidR="009A41F4" w:rsidRPr="00B75BF1">
        <w:instrText>ADDIN CSL_CITATION {"citationItems":[{"id":"ITEM-1","itemData":{"URL":"https://www.businesscompanion.info/en/quick-guides/consumer-contracts/consumer-contracts-general","accessed":{"date-parts":[["2026","3","9"]]},"author":[{"dropping-particle":"","family":"Business Companion","given":"","non-dropping-particle":"","parse-names":false,"suffix":""}],"id":"ITEM-1","issued":{"date-parts":[["2025"]]},"title":"Consumer contracts: general","type":"webpage"},"uris":["http://www.mendeley.com/documents/?uuid=a1ee0080-0e0c-49a0-8bfe-e196ea6af142"]},{"id":"ITEM-2","itemData":{"URL":"https://www.gov.uk/accepting-returns-and-giving-refunds","accessed":{"date-parts":[["2026","3","9"]]},"author":[{"dropping-particle":"","family":"UK GOV","given":"","non-dropping-particle":"","parse-names":false,"suffix":""}],"id":"ITEM-2","issued":{"date-parts":[["0"]]},"title":"Accepting returns and giving refunds: the law","type":"webpage"},"uris":["http://www.mendeley.com/documents/?uuid=4d872a19-4ef5-4516-adcd-30a05bd17857"]},{"id":"ITEM-3","itemData":{"URL":"https://www.gov.uk/government/publications/general-product-safety-regulations-2005/general-product-safety-regulations-2005-great-britain?","accessed":{"date-parts":[["2026","3","9"]]},"author":[{"dropping-particle":"","family":"UK GOV","given":"","non-dropping-particle":"","parse-names":false,"suffix":""}],"id":"ITEM-3","issued":{"date-parts":[["2024"]]},"title":"General Product Safety Regulations 2005: Great Britain","type":"webpage"},"uris":["http://www.mendeley.com/documents/?uuid=b69b6670-9e2f-40ef-813d-2252c6ad3819"]},{"id":"ITEM-4","itemData":{"URL":"https://www.gov.uk/government/statistics/product-safety-database-annual-reports/product-safety-database-report-2024-to-2025?","accessed":{"date-parts":[["2026","3","9"]]},"author":[{"dropping-particle":"","family":"UK GOV","given":"","non-dropping-particle":"","parse-names":false,"suffix":""}],"id":"ITEM-4","issued":{"date-parts":[["2025"]]},"title":"Product Safety Database report 2024 to 2025","type":"webpage"},"uris":["http://www.mendeley.com/documents/?uuid=03be8864-a8ea-4448-87ba-e4ad4db37b7e"]}],"mendeley":{"formattedCitation":"(Business Companion, 2025; UK GOV, n.d.-a, 2024b, 2025a)","plainTextFormattedCitation":"(Business Companion, 2025; UK GOV, n.d.-a, 2024b, 2025a)","previouslyFormattedCitation":"(Business Companion, 2025; UK GOV, n.d.-a, 2024b, 2025a)"},"properties":{"noteIndex":0},"schema":"https://github.com/citation-style-language/schema/raw/master/csl-citation.json"}</w:instrText>
      </w:r>
      <w:r w:rsidR="001F6CF4" w:rsidRPr="00B75BF1">
        <w:fldChar w:fldCharType="separate"/>
      </w:r>
      <w:r w:rsidR="002E5B33" w:rsidRPr="00B75BF1">
        <w:rPr>
          <w:noProof/>
        </w:rPr>
        <w:t>(Business Companion, 2025; UK GOV, n.d.-a, 2024b, 2025a)</w:t>
      </w:r>
      <w:r w:rsidR="001F6CF4" w:rsidRPr="00B75BF1">
        <w:fldChar w:fldCharType="end"/>
      </w:r>
      <w:r w:rsidR="00A16DF2" w:rsidRPr="00B75BF1">
        <w:t xml:space="preserve">. </w:t>
      </w:r>
    </w:p>
    <w:p w14:paraId="3063E134" w14:textId="418EEB82" w:rsidR="00A16DF2" w:rsidRPr="00B75BF1" w:rsidRDefault="000C40B4" w:rsidP="00A16DF2">
      <w:pPr>
        <w:pStyle w:val="NormalWeb"/>
      </w:pPr>
      <w:r w:rsidRPr="00B75BF1">
        <w:t xml:space="preserve">Other legal risks are advertising and sustainability claims. CMA has given guidance on fashion-specific green claims and imposed amendments by UK retailers of clothing products, a move that indicates that an unclear or exaggerated sustainability claim can have legal and reputational ramifications. This would be essential to Zara because sustainability affects brand review and the fashion brands are put under scrutiny when the claims are not backed up. Accountability in supply-chain is also important. In the Modern Slavery Act, big companies are required to publish annual reports on the risks of modern slavery in their supply chains and businesses. In the case of apparel that is globally sourced, this makes recurrent disclosure expectations. According to the academic literature, ethical sourcing, modern slavery, and global value-chain governance have become critical strategic challenges of fashion brands </w:t>
      </w:r>
      <w:r w:rsidR="002E5B33" w:rsidRPr="00B75BF1">
        <w:fldChar w:fldCharType="begin" w:fldLock="1"/>
      </w:r>
      <w:r w:rsidR="009A41F4" w:rsidRPr="00B75BF1">
        <w:instrText>ADDIN CSL_CITATION {"citationItems":[{"id":"ITEM-1","itemData":{"URL":"https://www.gov.uk/government/news/greenwashing-cma-issues-tailored-guide-for-fashion-brands","accessed":{"date-parts":[["2026","3","9"]]},"author":[{"dropping-particle":"","family":"UK GOV","given":"","non-dropping-particle":"","parse-names":false,"suffix":""}],"id":"ITEM-1","issued":{"date-parts":[["2024"]]},"title":"Greenwashing: CMA issues tailored guide for fashion brands","type":"webpage"},"uris":["http://www.mendeley.com/documents/?uuid=3b40acc5-bf5c-47ed-bca6-5b706f379819"]},{"id":"ITEM-2","itemData":{"URL":"https://www.gov.uk/government/publications/complying-with-consumer-law-when-making-environmental-claims-in-the-fashion-retail-sector?","accessed":{"date-parts":[["2026","3","9"]]},"author":[{"dropping-particle":"","family":"UK GOV","given":"","non-dropping-particle":"","parse-names":false,"suffix":""}],"id":"ITEM-2","issued":{"date-parts":[["2024"]]},"title":"Fashion retail: consumer law when making green claims","type":"webpage"},"uris":["http://www.mendeley.com/documents/?uuid=f0438e3f-a1df-4357-94ed-eaca37de5587"]},{"id":"ITEM-3","itemData":{"URL":"https://www.gov.uk/government/news/green-claims-cma-secures-landmark-changes-from-asos-boohoo-and-asda","accessed":{"date-parts":[["2026","3","9"]]},"author":[{"dropping-particle":"","family":"UK GOV","given":"","non-dropping-particle":"","parse-names":false,"suffix":""}],"id":"ITEM-3","issued":{"date-parts":[["2024"]]},"title":"Green claims: CMA secures landmark changes from ASOS, Boohoo and Asda","type":"webpage"},"uris":["http://www.mendeley.com/documents/?uuid=28d73aff-79bf-4f34-a11f-010adde842d2"]},{"id":"ITEM-4","itemData":{"URL":"https://www.gov.uk/government/publications/transparency-in-supply-chains-a-practical-guide/transparency-in-supply-chains-a-practical-guide-accessible","accessed":{"date-parts":[["2026","3","9"]]},"author":[{"dropping-particle":"","family":"UK GOV","given":"","non-dropping-particle":"","parse-names":false,"suffix":""}],"id":"ITEM-4","issued":{"date-parts":[["2025"]]},"title":"Transparency in supply chains: a practical guide (accessible)","type":"webpage"},"uris":["http://www.mendeley.com/documents/?uuid=4ce92ecc-36ea-4bb2-8fdd-c164548d32ec"]},{"id":"ITEM-5","itemData":{"DOI":"10.1007/s10551-024-05876-9","ISSN":"1573-0697","abstract":"Ethical sourcing is a crucial issue for the fashion industry, which is under intense pressure to build ethical and responsible supply chains. Despite its importance, we know little about how individual employees working in the fashion supply chain view ethical sourcing and the ethical considerations they encounter during their work. We adopted the moral agency theory to address these lacunas and conducted a longitudinal qualitative research study. We collected data from a highly heterogenous sample of employees based in the United Kingdom through open-ended essays in three waves (N1 = 50, N2 = 43, N3 = 30) over 9 months that were analyzed using the grounded theory method. The analysis revealed the following themes: a contemporary outlook on boundaries, external considerations, and three levels of action for ethical considerations: Supplier, organization, and employee (i.e., individual). We offer a revitalized view of ethical sourcing as a concept from a practice perspective and discuss critical ethical issues that affect employees’ moral agency to enact ethical sourcing decisions. Our findings offer insights into avenues to advance theoretical knowledge through a comprehensive framework derived from our results. We also propose significant practical implications to promote the widespread integration of ethical sourcing.","author":[{"dropping-particle":"","family":"Tandon","given":"Anushree","non-dropping-particle":"","parse-names":false,"suffix":""},{"dropping-particle":"","family":"Dhir","given":"Amandeep","non-dropping-particle":"","parse-names":false,"suffix":""},{"dropping-particle":"","family":"Kaur","given":"Puneet","non-dropping-particle":"","parse-names":false,"suffix":""},{"dropping-particle":"","family":"Ogbonnaya","given":"Chidiebere","non-dropping-particle":"","parse-names":false,"suffix":""}],"container-title":"Journal of Business Ethics","id":"ITEM-5","issue":"4","issued":{"date-parts":[["2025"]]},"page":"723-751","title":"Ethical Sourcing and Decision Making in the Fashion Industry: A Longitudinal Qualitative Examination","type":"article-journal","volume":"196"},"uris":["http://www.mendeley.com/documents/?uuid=9bdcc97d-a8e8-46b9-a633-51df668492bb"]}],"mendeley":{"formattedCitation":"(Tandon et al., 2025; UK GOV, 2024d, 2024a, 2024c, 2025b)","plainTextFormattedCitation":"(Tandon et al., 2025; UK GOV, 2024d, 2024a, 2024c, 2025b)","previouslyFormattedCitation":"(Tandon et al., 2025; UK GOV, 2024d, 2024a, 2024c, 2025b)"},"properties":{"noteIndex":0},"schema":"https://github.com/citation-style-language/schema/raw/master/csl-citation.json"}</w:instrText>
      </w:r>
      <w:r w:rsidR="002E5B33" w:rsidRPr="00B75BF1">
        <w:fldChar w:fldCharType="separate"/>
      </w:r>
      <w:r w:rsidR="009A41F4" w:rsidRPr="00B75BF1">
        <w:rPr>
          <w:noProof/>
        </w:rPr>
        <w:t>(Tandon et al., 2025; UK GOV, 2024d, 2024a, 2024c, 2025b)</w:t>
      </w:r>
      <w:r w:rsidR="002E5B33" w:rsidRPr="00B75BF1">
        <w:fldChar w:fldCharType="end"/>
      </w:r>
      <w:r w:rsidR="00A16DF2" w:rsidRPr="00B75BF1">
        <w:t xml:space="preserve">. </w:t>
      </w:r>
    </w:p>
    <w:p w14:paraId="02C34F87" w14:textId="54D173DD" w:rsidR="00A16DF2" w:rsidRPr="00B75BF1" w:rsidRDefault="00A16DF2" w:rsidP="000C40B4">
      <w:pPr>
        <w:pStyle w:val="NormalWeb"/>
      </w:pPr>
      <w:r w:rsidRPr="00B75BF1">
        <w:lastRenderedPageBreak/>
        <w:t xml:space="preserve">Overall, </w:t>
      </w:r>
      <w:r w:rsidR="000C40B4" w:rsidRPr="00B75BF1">
        <w:t xml:space="preserve">these legal compliance requirements increase the compliance costs and reputational risks to Zara in case of governance failure. But they prefer larger companies that have well established systems and records. A company whose controls are credible can leverage regulation into a trust advantage in a market where consumers, regulators and media pay close attention to transparency, </w:t>
      </w:r>
      <w:proofErr w:type="spellStart"/>
      <w:r w:rsidR="000C40B4" w:rsidRPr="00B75BF1">
        <w:t>favour</w:t>
      </w:r>
      <w:proofErr w:type="spellEnd"/>
      <w:r w:rsidR="000C40B4" w:rsidRPr="00B75BF1">
        <w:t xml:space="preserve"> fair play, quality of products and environmental communication </w:t>
      </w:r>
      <w:r w:rsidR="009A41F4" w:rsidRPr="00B75BF1">
        <w:fldChar w:fldCharType="begin" w:fldLock="1"/>
      </w:r>
      <w:r w:rsidR="009A41F4" w:rsidRPr="00B75BF1">
        <w:instrText>ADDIN CSL_CITATION {"citationItems":[{"id":"ITEM-1","itemData":{"URL":"https://greenclaims.campaign.gov.uk/fashion-guide/?","accessed":{"date-parts":[["2026","3","9"]]},"author":[{"dropping-particle":"","family":"UK GOV","given":"","non-dropping-particle":"","parse-names":false,"suffix":""}],"id":"ITEM-1","issued":{"date-parts":[["0"]]},"title":"Green claims in fashion Guide to help businesses follow consumer law","type":"webpage"},"uris":["http://www.mendeley.com/documents/?uuid=1f962d8e-edaa-4cda-a7fc-8b3f102be086"]},{"id":"ITEM-2","itemData":{"URL":"https://www.gov.uk/government/publications/general-product-safety-regulations-2005/general-product-safety-regulations-2005-great-britain?","accessed":{"date-parts":[["2026","3","9"]]},"author":[{"dropping-particle":"","family":"UK GOV","given":"","non-dropping-particle":"","parse-names":false,"suffix":""}],"id":"ITEM-2","issued":{"date-parts":[["2024"]]},"title":"General Product Safety Regulations 2005: Great Britain","type":"webpage"},"uris":["http://www.mendeley.com/documents/?uuid=b69b6670-9e2f-40ef-813d-2252c6ad3819"]},{"id":"ITEM-3","itemData":{"URL":"https://www.gov.uk/government/publications/transparency-in-supply-chains-a-practical-guide/transparency-in-supply-chains-a-practical-guide-accessible","accessed":{"date-parts":[["2026","3","9"]]},"author":[{"dropping-particle":"","family":"UK GOV","given":"","non-dropping-particle":"","parse-names":false,"suffix":""}],"id":"ITEM-3","issued":{"date-parts":[["2025"]]},"title":"Transparency in supply chains: a practical guide (accessible)","type":"webpage"},"uris":["http://www.mendeley.com/documents/?uuid=4ce92ecc-36ea-4bb2-8fdd-c164548d32ec"]}],"mendeley":{"formattedCitation":"(UK GOV, n.d.-c, 2024b, 2025b)","plainTextFormattedCitation":"(UK GOV, n.d.-c, 2024b, 2025b)","previouslyFormattedCitation":"(UK GOV, n.d.-c, 2024b, 2025b)"},"properties":{"noteIndex":0},"schema":"https://github.com/citation-style-language/schema/raw/master/csl-citation.json"}</w:instrText>
      </w:r>
      <w:r w:rsidR="009A41F4" w:rsidRPr="00B75BF1">
        <w:fldChar w:fldCharType="separate"/>
      </w:r>
      <w:r w:rsidR="009A41F4" w:rsidRPr="00B75BF1">
        <w:rPr>
          <w:noProof/>
        </w:rPr>
        <w:t>(UK GOV, n.d.-c, 2024b, 2025b)</w:t>
      </w:r>
      <w:r w:rsidR="009A41F4" w:rsidRPr="00B75BF1">
        <w:fldChar w:fldCharType="end"/>
      </w:r>
      <w:r w:rsidRPr="00B75BF1">
        <w:t xml:space="preserve">. </w:t>
      </w:r>
    </w:p>
    <w:p w14:paraId="7CF1063F" w14:textId="13213B51" w:rsidR="00E16044" w:rsidRPr="00B75BF1" w:rsidRDefault="00E16044" w:rsidP="00E16044">
      <w:pPr>
        <w:pStyle w:val="Heading2"/>
        <w:rPr>
          <w:rFonts w:ascii="Times New Roman" w:hAnsi="Times New Roman"/>
          <w:sz w:val="27"/>
        </w:rPr>
      </w:pPr>
      <w:bookmarkStart w:id="21" w:name="_Toc224049977"/>
      <w:r w:rsidRPr="00B75BF1">
        <w:t>Cultural and social factors</w:t>
      </w:r>
      <w:bookmarkEnd w:id="21"/>
    </w:p>
    <w:p w14:paraId="4589AA8E" w14:textId="44C7DE97" w:rsidR="00E16044" w:rsidRPr="00B75BF1" w:rsidRDefault="00E16044" w:rsidP="001C4118">
      <w:pPr>
        <w:pStyle w:val="NormalWeb"/>
      </w:pPr>
      <w:r w:rsidRPr="00B75BF1">
        <w:t xml:space="preserve">Culturally, </w:t>
      </w:r>
      <w:r w:rsidR="001C4118" w:rsidRPr="00B75BF1">
        <w:t xml:space="preserve">The UK is a </w:t>
      </w:r>
      <w:proofErr w:type="spellStart"/>
      <w:r w:rsidR="001C4118" w:rsidRPr="00B75BF1">
        <w:t>favourable</w:t>
      </w:r>
      <w:proofErr w:type="spellEnd"/>
      <w:r w:rsidR="001C4118" w:rsidRPr="00B75BF1">
        <w:t xml:space="preserve"> yet challenging market to Zara as it is culturally. British customers are very fashionable, exposed to global style indicators, and used to regular product renewal in both physical and online formats. This is the place where fast fashion is flourishing, as trend consciousness is in the air, and the change of seasons is essential, despite the fact that weather changes and social media diminish the fashion calendar. UK is a multicultural nation and it expands style tastes and raises the demand of varied silhouettes, </w:t>
      </w:r>
      <w:proofErr w:type="spellStart"/>
      <w:r w:rsidR="001C4118" w:rsidRPr="00B75BF1">
        <w:t>colour</w:t>
      </w:r>
      <w:proofErr w:type="spellEnd"/>
      <w:r w:rsidR="001C4118" w:rsidRPr="00B75BF1">
        <w:t xml:space="preserve"> range, and occasion wear. These are the conditions that fit into the Zara model of fast design conversion, wide assortment changeover, and globally identifiable but versatile aesthetics. The results of Inditex 2024, in relation to customer experience, product proposition, and store-online integration, correspond to the UK consumer expectations </w:t>
      </w:r>
      <w:r w:rsidR="009A41F4" w:rsidRPr="00B75BF1">
        <w:fldChar w:fldCharType="begin" w:fldLock="1"/>
      </w:r>
      <w:r w:rsidR="00FB32A3" w:rsidRPr="00B75BF1">
        <w:instrText>ADDIN CSL_CITATION {"citationItems":[{"id":"ITEM-1","itemData":{"URL":"https://www.inditex.com/itxcomweb/api/media/84135f02-0208-4439-b9c0-b13608fbfeb5/Annualaccountsanddirectorsreport2024consolidated.pdf?t=1742203067340&amp;","accessed":{"date-parts":[["2026","3","7"]]},"author":[{"dropping-particle":"","family":"INDITEX","given":"","non-dropping-particle":"","parse-names":false,"suffix":""}],"id":"ITEM-1","issued":{"date-parts":[["2024"]]},"title":"INDITEX GROUP ANNUAL REPORT 2024","type":"webpage"},"uris":["http://www.mendeley.com/documents/?uuid=48f6dcdc-2f20-4b0e-97a6-3b8c77138d31"]},{"id":"ITEM-2","itemData":{"URL":"https://www.inditex.com/itxcomweb/bs/en/press/news-detail/37f59f73-4d90-46af-ab50-4dcabcfe013d/interim-nine-month-2024-results","author":[{"dropping-particle":"","family":"INDITEX","given":"","non-dropping-particle":"","parse-names":false,"suffix":""}],"id":"ITEM-2","issued":{"date-parts":[["2024"]]},"title":"Interim Nine Month 2024 Results","type":"webpage"},"uris":["http://www.mendeley.com/documents/?uuid=9637a10a-f994-414f-b7e2-7c0688eaf488"]},{"id":"ITEM-3","itemData":{"URL":"https://www.mckinsey.com/~/media/mckinsey/industries/retail/our insights/state of fashion/2026/the-state-of-fashion-2026-vf.pdf?","accessed":{"date-parts":[["2026","3","9"]]},"author":[{"dropping-particle":"","family":"Mckinsey","given":"","non-dropping-particle":"","parse-names":false,"suffix":""}],"id":"ITEM-3","issued":{"date-parts":[["2026"]]},"title":"The State of Fashion 2026","type":"webpage"},"uris":["http://www.mendeley.com/documents/?uuid=b0043575-4e28-49df-b788-48a842f564a5"]}],"mendeley":{"formattedCitation":"(INDITEX, 2024a, 2024b; Mckinsey, 2026)","plainTextFormattedCitation":"(INDITEX, 2024a, 2024b; Mckinsey, 2026)","previouslyFormattedCitation":"(INDITEX, 2024a, 2024b; Mckinsey, 2026)"},"properties":{"noteIndex":0},"schema":"https://github.com/citation-style-language/schema/raw/master/csl-citation.json"}</w:instrText>
      </w:r>
      <w:r w:rsidR="009A41F4" w:rsidRPr="00B75BF1">
        <w:fldChar w:fldCharType="separate"/>
      </w:r>
      <w:r w:rsidR="009A41F4" w:rsidRPr="00B75BF1">
        <w:rPr>
          <w:noProof/>
        </w:rPr>
        <w:t>(INDITEX, 2024a, 2024b; Mckinsey, 2026)</w:t>
      </w:r>
      <w:r w:rsidR="009A41F4" w:rsidRPr="00B75BF1">
        <w:fldChar w:fldCharType="end"/>
      </w:r>
      <w:r w:rsidRPr="00B75BF1">
        <w:t xml:space="preserve">. </w:t>
      </w:r>
    </w:p>
    <w:p w14:paraId="4D60D33D" w14:textId="744CCE1E" w:rsidR="00E16044" w:rsidRPr="00B75BF1" w:rsidRDefault="001C4118" w:rsidP="00E16044">
      <w:pPr>
        <w:pStyle w:val="NormalWeb"/>
      </w:pPr>
      <w:r w:rsidRPr="00B75BF1">
        <w:t xml:space="preserve">Social media makes trends more viral and reduces the period of inspiration and purchase. It has been noted that influencers in fashion, social-media influence is still shaping purchase intentions, and online influence is now significant to sustainability fashion communication. This reinforces the concept of regular novelty, visual merchandising, and online marketing at Zara. Nevertheless, these media also increase the competition of such super-fast competitors as Shein and compel Zara to remain visible, relevant, and responsive. Omnichannel capability has turned into a cultural requirement among the UK consumers as they expect frictionless browsing, delivery, returns, and channel switching </w:t>
      </w:r>
      <w:r w:rsidR="00FB32A3" w:rsidRPr="00B75BF1">
        <w:fldChar w:fldCharType="begin" w:fldLock="1"/>
      </w:r>
      <w:r w:rsidR="00FB32A3" w:rsidRPr="00B75BF1">
        <w:instrText>ADDIN CSL_CITATION {"citationItems":[{"id":"ITEM-1","itemData":{"DOI":"10.1108/JFMM-11-2022-0253","ISSN":"1361-2026","abstract":"The purpose of this study is to examine the impact of fashion influencer measures on consumers' purchase intentions and the mediation of attitudes to understand the phenomenon of influencer marketing in the backdrop of the fashion industry.The present study employs a conceptual model based on extended theory of planned behaviour (TPB) with added perceived trust. Data were collected from 341 participants from different regions of the country and analysed using direct path analysis and mediation technique.The study found that attitudes toward fashion influencers are positively influenced by perceived trust, subjective norms and perceived behavioural control. However, perceived behavioural control is not directly related to purchasing intents in the research model. The results confirmed that attitudes have a positive association with purchase intentions both directly and indirectly (partially mediation).The study advocates market practitioners and advertisers to acknowledge the increasing importance of influencer marketing and the promotion of their fashion offerings in the setting of emerging fashion industry.The present study adds crucial value to enhance the understanding of fashion influencer marketing in the Indian context. This research offers several insights into the continually growing knowledge domain of influencer marketing by predicting the direct relationships with purchase intents and the mediation of attitudes.","author":[{"dropping-particle":"","family":"Tiwari","given":"Archana","non-dropping-particle":"","parse-names":false,"suffix":""},{"dropping-particle":"","family":"Kumar","given":"Audhesh","non-dropping-particle":"","parse-names":false,"suffix":""},{"dropping-particle":"","family":"Kant","given":"Rishi","non-dropping-particle":"","parse-names":false,"suffix":""},{"dropping-particle":"","family":"Jaiswal","given":"Deepak","non-dropping-particle":"","parse-names":false,"suffix":""}],"container-title":"Journal of Fashion Marketing and Management","id":"ITEM-1","issue":"2","issued":{"date-parts":[["2023","6","27"]]},"page":"209-225","title":"Impact of fashion influencers on consumers' purchase intentions: theory of planned behaviour and mediation of attitude","type":"article-journal","volume":"28"},"uris":["http://www.mendeley.com/documents/?uuid=f24e530a-0ced-41a2-827b-590b1f6851c4"]},{"id":"ITEM-2","itemData":{"DOI":"10.1080/20932685.2023.2237978","ISSN":"2093-2685","author":[{"dropping-particle":"","family":"Vladimirova","given":"K","non-dropping-particle":"","parse-names":false,"suffix":""},{"dropping-particle":"","family":"Henninger","given":"C E","non-dropping-particle":"","parse-names":false,"suffix":""},{"dropping-particle":"","family":"Alosaimi","given":"S I","non-dropping-particle":"","parse-names":false,"suffix":""},{"dropping-particle":"","family":"Brydges","given":"T","non-dropping-particle":"","parse-names":false,"suffix":""},{"dropping-particle":"","family":"Choopani","given":"H","non-dropping-particle":"","parse-names":false,"suffix":""},{"dropping-particle":"","family":"Hanlon","given":"M","non-dropping-particle":"","parse-names":false,"suffix":""},{"dropping-particle":"","family":"Iran","given":"S","non-dropping-particle":"","parse-names":false,"suffix":""},{"dropping-particle":"","family":"McCormick","given":"H","non-dropping-particle":"","parse-names":false,"suffix":""},{"dropping-particle":"","family":"Zhou","given":"S","non-dropping-particle":"","parse-names":false,"suffix":""}],"container-title":"Journal of Global Fashion Marketing","id":"ITEM-2","issue":"2","issued":{"date-parts":[["2024","4","2"]]},"note":"doi: 10.1080/20932685.2023.2237978","page":"181-202","publisher":"Routledge","title":"Exploring the influence of social media on sustainable fashion consumption: A systematic literature review and future research agenda","type":"article-journal","volume":"15"},"uris":["http://www.mendeley.com/documents/?uuid=3e001a28-be40-43fc-98bf-d1798c0e6f3f"]},{"id":"ITEM-3","itemData":{"URL":"https://www.mckinsey.com/industries/consumer-packaged-goods/our-insights/state-of-consumer-2024","accessed":{"date-parts":[["2026","3","9"]]},"author":[{"dropping-particle":"","family":"McKinsey &amp; Company","given":"","non-dropping-particle":"","parse-names":false,"suffix":""}],"id":"ITEM-3","issued":{"date-parts":[["2024"]]},"title":"State of the Consumer 2024: What’s now and what’s next","type":"webpage"},"uris":["http://www.mendeley.com/documents/?uuid=d0954d9c-8805-47cb-b87c-3bd5dcad260e"]}],"mendeley":{"formattedCitation":"(McKinsey &amp; Company, 2024; Tiwari et al., 2023; Vladimirova et al., 2024)","plainTextFormattedCitation":"(McKinsey &amp; Company, 2024; Tiwari et al., 2023; Vladimirova et al., 2024)","previouslyFormattedCitation":"(McKinsey &amp; Company, 2024; Tiwari et al., 2023; Vladimirova et al., 2024)"},"properties":{"noteIndex":0},"schema":"https://github.com/citation-style-language/schema/raw/master/csl-citation.json"}</w:instrText>
      </w:r>
      <w:r w:rsidR="00FB32A3" w:rsidRPr="00B75BF1">
        <w:fldChar w:fldCharType="separate"/>
      </w:r>
      <w:r w:rsidR="00FB32A3" w:rsidRPr="00B75BF1">
        <w:rPr>
          <w:noProof/>
        </w:rPr>
        <w:t>(McKinsey &amp; Company, 2024; Tiwari et al., 2023; Vladimirova et al., 2024)</w:t>
      </w:r>
      <w:r w:rsidR="00FB32A3" w:rsidRPr="00B75BF1">
        <w:fldChar w:fldCharType="end"/>
      </w:r>
      <w:r w:rsidR="00E16044" w:rsidRPr="00B75BF1">
        <w:t xml:space="preserve">. </w:t>
      </w:r>
    </w:p>
    <w:p w14:paraId="1694BA35" w14:textId="1CF69991" w:rsidR="00E16044" w:rsidRPr="00B75BF1" w:rsidRDefault="001C4118" w:rsidP="00E16044">
      <w:pPr>
        <w:pStyle w:val="NormalWeb"/>
      </w:pPr>
      <w:r w:rsidRPr="00B75BF1">
        <w:t xml:space="preserve">Zara faces social and cultural trends. A move towards sustainability, ethical consumption and questioning of overproduction, in spite of the inconsistent consumer behavior, poses a challenge to legitimacy. According to current studies, sustainability is gaining relevance in fast-fashion purchases, yet low prices tend to take precedence over morality. In the case of Zara, the trend-driven, high-turnover concept is attractive, yet it can be easily criticized when people or activists consider its style speed to be incompatible with responsible consumption. The UK is open to new fashion and omnichannel convenience, which benefits Zara although he has to balance the desirability and ethical credibility </w:t>
      </w:r>
      <w:r w:rsidR="00FB32A3" w:rsidRPr="00B75BF1">
        <w:fldChar w:fldCharType="begin" w:fldLock="1"/>
      </w:r>
      <w:r w:rsidR="00FB32A3" w:rsidRPr="00B75BF1">
        <w:instrText>ADDIN CSL_CITATION {"citationItems":[{"id":"ITEM-1","itemData":{"DOI":"https://doi.org/10.1016/j.spc.2025.02.011","ISSN":"2352-5509","abstract":"Sustainability in the fast fashion industry (FFI) has become crucial due to the sector's substantial environmental and social impacts. As sustainability has started capturing the interest of consumers and policymakers, there has been a heightened expectation for fast fashion companies to prioritise it in their practices. This situation is paradoxical but inevitable for these companies, which rely on an unsustainable business model promoting mindless consumption while also needing to address the growing consumer demand for more conscious and responsible practices. Therefore, understanding the role of sustainability in influencing consumer behaviour within this predominantly consumer-driven industry is vital for developing strategies, fostering sustainable consumption patterns, and ensuring long-term environmental and social benefits. This systematic literature review aims to analyse how existing literature has studied sustainability as a driver influencing consumer behaviour in the FFI. Through the consolidation and critical analysis of 95 scholarly articles, we explore how sustainability influences consumer pre- and post-purchase behaviour in the FFI. By understanding the role sustainability plays in this industry, the review identifies key research trends and gaps, providing actionable recommendations for future researchers, practitioners, and policymakers. Our analysis categorised the drivers of consumer behaviour into four main themes – Marketing Strategies, Individual Influences, Group Influences, and Situational Influences – with individual influences and marketing strategies being the most examined drivers. Key research gaps were identified, including the need for further investigation into male consumer attitudes, generational and cross-cultural differences, and underexplored drivers. The study also recommends a broader application of diverse theoretical frameworks and mixed research methods. Our study provides practical insights for marketers, managers, and policymakers to integrate sustainability into business strategies, develop transparent communication and educational campaigns, and implement targeted regulations to promote sustainable consumption practices.","author":[{"dropping-particle":"","family":"Mathew","given":"Manjitha","non-dropping-particle":"","parse-names":false,"suffix":""},{"dropping-particle":"","family":"Spinelli","given":"Riccardo","non-dropping-particle":"","parse-names":false,"suffix":""}],"container-title":"Sustainable Production and Consumption","id":"ITEM-1","issued":{"date-parts":[["2025"]]},"page":"132-145","title":"Decoding sustainable drivers: A systematic literature review on sustMathew, M., &amp; Spinelli, R. (2025). Decoding sustainable drivers: A systematic literature review on sustainability-induced consumer behaviour in the fast fashion industry. Sustainable Prod","type":"article-journal","volume":"55"},"uris":["http://www.mendeley.com/documents/?uuid=58bec0c6-d4de-4781-beb6-307f6537ceb1"]},{"id":"ITEM-2","itemData":{"URL":"https://www.mckinsey.com/~/media/mckinsey/industries/retail/our insights/state of fashion/2026/the-state-of-fashion-2026-vf.pdf?","accessed":{"date-parts":[["2026","3","9"]]},"author":[{"dropping-particle":"","family":"Mckinsey","given":"","non-dropping-particle":"","parse-names":false,"suffix":""}],"id":"ITEM-2","issued":{"date-parts":[["2026"]]},"title":"The State of Fashion 2026","type":"webpage"},"uris":["http://www.mendeley.com/documents/?uuid=b0043575-4e28-49df-b788-48a842f564a5"]},{"id":"ITEM-3","itemData":{"URL":"https://www.inditex.com/itxcomweb/api/media/84135f02-0208-4439-b9c0-b13608fbfeb5/Annualaccountsanddirectorsreport2024consolidated.pdf?t=1742203067340&amp;","accessed":{"date-parts":[["2026","3","7"]]},"author":[{"dropping-particle":"","family":"INDITEX","given":"","non-dropping-particle":"","parse-names":false,"suffix":""}],"id":"ITEM-3","issued":{"date-parts":[["2024"]]},"title":"INDITEX GROUP ANNUAL REPORT 2024","type":"webpage"},"uris":["http://www.mendeley.com/documents/?uuid=48f6dcdc-2f20-4b0e-97a6-3b8c77138d31"]}],"mendeley":{"formattedCitation":"(INDITEX, 2024a; Mathew &amp; Spinelli, 2025; Mckinsey, 2026)","plainTextFormattedCitation":"(INDITEX, 2024a; Mathew &amp; Spinelli, 2025; Mckinsey, 2026)","previouslyFormattedCitation":"(INDITEX, 2024a; Mathew &amp; Spinelli, 2025; Mckinsey, 2026)"},"properties":{"noteIndex":0},"schema":"https://github.com/citation-style-language/schema/raw/master/csl-citation.json"}</w:instrText>
      </w:r>
      <w:r w:rsidR="00FB32A3" w:rsidRPr="00B75BF1">
        <w:fldChar w:fldCharType="separate"/>
      </w:r>
      <w:r w:rsidR="00FB32A3" w:rsidRPr="00B75BF1">
        <w:rPr>
          <w:noProof/>
        </w:rPr>
        <w:t>(INDITEX, 2024a; Mathew &amp; Spinelli, 2025; Mckinsey, 2026)</w:t>
      </w:r>
      <w:r w:rsidR="00FB32A3" w:rsidRPr="00B75BF1">
        <w:fldChar w:fldCharType="end"/>
      </w:r>
      <w:r w:rsidR="00E16044" w:rsidRPr="00B75BF1">
        <w:t xml:space="preserve">. </w:t>
      </w:r>
    </w:p>
    <w:p w14:paraId="62B83E12" w14:textId="2364F9E3" w:rsidR="00E16044" w:rsidRPr="00B75BF1" w:rsidRDefault="00E16044" w:rsidP="00E16044">
      <w:pPr>
        <w:pStyle w:val="Heading2"/>
      </w:pPr>
      <w:bookmarkStart w:id="22" w:name="_Toc224049978"/>
      <w:r w:rsidRPr="00B75BF1">
        <w:t>Zara’s competitive position in the UK market</w:t>
      </w:r>
      <w:bookmarkEnd w:id="22"/>
    </w:p>
    <w:p w14:paraId="513228EE" w14:textId="2F02D7B7" w:rsidR="00E16044" w:rsidRPr="00B75BF1" w:rsidRDefault="001C4118" w:rsidP="001C4118">
      <w:pPr>
        <w:pStyle w:val="NormalWeb"/>
      </w:pPr>
      <w:r w:rsidRPr="00B75BF1">
        <w:t xml:space="preserve">Zara has a good but strained footing in the UK fast fashion market. Compared to Primark, Zara has a low price strength but high design-based appeal, global brand image, and fashion credibility. The strength of Primark is the bold value pricing, and Zara is competing on the low price fashion and is more curated and contemporary and premium adjacent. In comparison to Shein and Boohoo, Zara is more physical, better-branded, and integrated store-plus-online, however, it is disrupted by their cheaper prices, social-commerce focus, and </w:t>
      </w:r>
      <w:r w:rsidRPr="00B75BF1">
        <w:lastRenderedPageBreak/>
        <w:t xml:space="preserve">faster digital experimentation. The intensity of online value segment was reported by Reuters as Boohoo was still under pressure by low-cost Chinese competitors </w:t>
      </w:r>
      <w:r w:rsidR="00FB32A3" w:rsidRPr="00B75BF1">
        <w:fldChar w:fldCharType="begin" w:fldLock="1"/>
      </w:r>
      <w:r w:rsidR="009E521B" w:rsidRPr="00B75BF1">
        <w:instrText>ADDIN CSL_CITATION {"citationItems":[{"id":"ITEM-1","itemData":{"URL":"https://www.inditex.com/itxcomweb/bs/en/press/news-detail/37f59f73-4d90-46af-ab50-4dcabcfe013d/interim-nine-month-2024-results","author":[{"dropping-particle":"","family":"INDITEX","given":"","non-dropping-particle":"","parse-names":false,"suffix":""}],"id":"ITEM-1","issued":{"date-parts":[["2024"]]},"title":"Interim Nine Month 2024 Results","type":"webpage"},"uris":["http://www.mendeley.com/documents/?uuid=9637a10a-f994-414f-b7e2-7c0688eaf488"]},{"id":"ITEM-2","itemData":{"URL":"https://www.inditex.com/itxcomweb/api/media/84135f02-0208-4439-b9c0-b13608fbfeb5/Annualaccountsanddirectorsreport2024consolidated.pdf?t=1742203067340&amp;","accessed":{"date-parts":[["2026","3","7"]]},"author":[{"dropping-particle":"","family":"INDITEX","given":"","non-dropping-particle":"","parse-names":false,"suffix":""}],"id":"ITEM-2","issued":{"date-parts":[["2024"]]},"title":"INDITEX GROUP ANNUAL REPORT 2024","type":"webpage"},"uris":["http://www.mendeley.com/documents/?uuid=48f6dcdc-2f20-4b0e-97a6-3b8c77138d31"]},{"id":"ITEM-3","itemData":{"URL":"Boohoo H1 profit falls on reduced consumer spending, investment costs","accessed":{"date-parts":[["2026","3","9"]]},"author":[{"dropping-particle":"","family":"Reuters","given":"","non-dropping-particle":"","parse-names":false,"suffix":""}],"id":"ITEM-3","issued":{"date-parts":[["2024"]]},"title":"Boohoo H1 profit falls on reduced consumer spending, investment costs","type":"webpage"},"uris":["http://www.mendeley.com/documents/?uuid=6442bec4-dea2-4842-abbc-44c6cbc0e3d0"]}],"mendeley":{"formattedCitation":"(INDITEX, 2024b, 2024a; Reuters, 2024a)","plainTextFormattedCitation":"(INDITEX, 2024b, 2024a; Reuters, 2024a)","previouslyFormattedCitation":"(INDITEX, 2024b, 2024a; Reuters, 2024a)"},"properties":{"noteIndex":0},"schema":"https://github.com/citation-style-language/schema/raw/master/csl-citation.json"}</w:instrText>
      </w:r>
      <w:r w:rsidR="00FB32A3" w:rsidRPr="00B75BF1">
        <w:fldChar w:fldCharType="separate"/>
      </w:r>
      <w:r w:rsidR="00FB32A3" w:rsidRPr="00B75BF1">
        <w:rPr>
          <w:noProof/>
        </w:rPr>
        <w:t>(INDITEX, 2024b, 2024a; Reuters, 2024a)</w:t>
      </w:r>
      <w:r w:rsidR="00FB32A3" w:rsidRPr="00B75BF1">
        <w:fldChar w:fldCharType="end"/>
      </w:r>
      <w:r w:rsidR="00E16044" w:rsidRPr="00B75BF1">
        <w:t xml:space="preserve">. </w:t>
      </w:r>
    </w:p>
    <w:p w14:paraId="0C591DFD" w14:textId="6FAD94EA" w:rsidR="00E16044" w:rsidRPr="00B75BF1" w:rsidRDefault="001C4118" w:rsidP="00E16044">
      <w:pPr>
        <w:pStyle w:val="NormalWeb"/>
      </w:pPr>
      <w:r w:rsidRPr="00B75BF1">
        <w:t xml:space="preserve">Zara is more near and precise in comparison to H&amp;M. H &amp; M is a large competitor with extensive assortment coverage and rising sustainability message, yet Zara has the advantage in </w:t>
      </w:r>
      <w:proofErr w:type="spellStart"/>
      <w:r w:rsidRPr="00B75BF1">
        <w:t>fashionability</w:t>
      </w:r>
      <w:proofErr w:type="spellEnd"/>
      <w:r w:rsidRPr="00B75BF1">
        <w:t xml:space="preserve"> and product desirability. Compared to Next, Zara is more stylish and globally unique, whereas </w:t>
      </w:r>
      <w:proofErr w:type="gramStart"/>
      <w:r w:rsidRPr="00B75BF1">
        <w:t>Next</w:t>
      </w:r>
      <w:proofErr w:type="gramEnd"/>
      <w:r w:rsidRPr="00B75BF1">
        <w:t xml:space="preserve"> has a greater mainstream, robust online presence, and focused omnichannel design, which is highly specific to UK-customers. Next has the business model of being the online retailer of choice of clothing, beauty and home </w:t>
      </w:r>
      <w:r w:rsidR="009E521B" w:rsidRPr="00B75BF1">
        <w:fldChar w:fldCharType="begin" w:fldLock="1"/>
      </w:r>
      <w:r w:rsidR="009E521B" w:rsidRPr="00B75BF1">
        <w:instrText>ADDIN CSL_CITATION {"citationItems":[{"id":"ITEM-1","itemData":{"URL":"https://www.reuters.com/business/retail-consumer/hm-must-raise-bar-counter-fierce-fast-fashion-competition-says-ceo-2025-01-30/?","accessed":{"date-parts":[["2026","3","9"]]},"author":[{"dropping-particle":"","family":"Reid","given":"Helen","non-dropping-particle":"","parse-names":false,"suffix":""}],"id":"ITEM-1","issued":{"date-parts":[["2025"]]},"title":"H&amp;M must raise the bar to counter fierce fast-fashion competition, says CEO","type":"webpage"},"uris":["http://www.mendeley.com/documents/?uuid=8dd71ff7-b470-4259-8956-d974a5f178f2"]},{"id":"ITEM-2","itemData":{"URL":"https://hmgroup.com/wp-content/uploads/2025/01/H-M-Hennes-Mauritz-AB-Full-year-report-2024.pdf","accessed":{"date-parts":[["2026","3","9"]]},"author":[{"dropping-particle":"","family":"H&amp;M Group","given":"","non-dropping-particle":"","parse-names":false,"suffix":""}],"id":"ITEM-2","issued":{"date-parts":[["2024"]]},"title":"H&amp;M Group Q4","type":"webpage"},"uris":["http://www.mendeley.com/documents/?uuid=792f7cb5-c18d-4ac3-bdbe-22372e6c8998"]}],"mendeley":{"formattedCitation":"(H&amp;M Group, 2024; Reid, 2025)","plainTextFormattedCitation":"(H&amp;M Group, 2024; Reid, 2025)","previouslyFormattedCitation":"(H&amp;M Group, 2024; Reid, 2025)"},"properties":{"noteIndex":0},"schema":"https://github.com/citation-style-language/schema/raw/master/csl-citation.json"}</w:instrText>
      </w:r>
      <w:r w:rsidR="009E521B" w:rsidRPr="00B75BF1">
        <w:fldChar w:fldCharType="separate"/>
      </w:r>
      <w:r w:rsidR="009E521B" w:rsidRPr="00B75BF1">
        <w:rPr>
          <w:noProof/>
        </w:rPr>
        <w:t>(H&amp;M Group, 2024; Reid, 2025)</w:t>
      </w:r>
      <w:r w:rsidR="009E521B" w:rsidRPr="00B75BF1">
        <w:fldChar w:fldCharType="end"/>
      </w:r>
      <w:r w:rsidR="00E16044" w:rsidRPr="00B75BF1">
        <w:t xml:space="preserve">. </w:t>
      </w:r>
    </w:p>
    <w:p w14:paraId="51E0191F" w14:textId="5AC63380" w:rsidR="00E16044" w:rsidRPr="00B75BF1" w:rsidRDefault="001C4118" w:rsidP="00E16044">
      <w:pPr>
        <w:pStyle w:val="NormalWeb"/>
      </w:pPr>
      <w:r w:rsidRPr="00B75BF1">
        <w:t xml:space="preserve">Zara has a differentiated middle position. It is superior to low-cost competitors in branding, store experience and freshness of products curated but not low enough to conquer strictly value-driven demand. It is trendier than Next and more fashionable than H&amp;M, but vulnerable to digital upheaval by online-first rivals and sustainability criticism since it continues to use high turnover. Its physical stores are still an advantage in terms of visibility and customer trust, yet the brand suffers increased fixed expenses compared to some online-only competitors. Zara competitively advantages are in place but it has to remain quicker, more appealing and trusted than its rivals who are both attacking at the value and digital ends of the market </w:t>
      </w:r>
      <w:r w:rsidR="009E521B" w:rsidRPr="00B75BF1">
        <w:fldChar w:fldCharType="begin" w:fldLock="1"/>
      </w:r>
      <w:r w:rsidR="009E521B" w:rsidRPr="00B75BF1">
        <w:instrText>ADDIN CSL_CITATION {"citationItems":[{"id":"ITEM-1","itemData":{"URL":"https://www.inditex.com/itxcomweb/api/media/84135f02-0208-4439-b9c0-b13608fbfeb5/Annualaccountsanddirectorsreport2024consolidated.pdf?t=1742203067340&amp;","accessed":{"date-parts":[["2026","3","7"]]},"author":[{"dropping-particle":"","family":"INDITEX","given":"","non-dropping-particle":"","parse-names":false,"suffix":""}],"id":"ITEM-1","issued":{"date-parts":[["2024"]]},"title":"INDITEX GROUP ANNUAL REPORT 2024","type":"webpage"},"uris":["http://www.mendeley.com/documents/?uuid=48f6dcdc-2f20-4b0e-97a6-3b8c77138d31"]},{"id":"ITEM-2","itemData":{"URL":"https://www.inditex.com/itxcomweb/bs/en/press/news-detail/37f59f73-4d90-46af-ab50-4dcabcfe013d/interim-nine-month-2024-results","author":[{"dropping-particle":"","family":"INDITEX","given":"","non-dropping-particle":"","parse-names":false,"suffix":""}],"id":"ITEM-2","issued":{"date-parts":[["2024"]]},"title":"Interim Nine Month 2024 Results","type":"webpage"},"uris":["http://www.mendeley.com/documents/?uuid=9637a10a-f994-414f-b7e2-7c0688eaf488"]},{"id":"ITEM-3","itemData":{"URL":"https://www.reuters.com/business/retail-consumer/hm-must-raise-bar-counter-fierce-fast-fashion-competition-says-ceo-2025-01-30/?","accessed":{"date-parts":[["2026","3","9"]]},"author":[{"dropping-particle":"","family":"Reid","given":"Helen","non-dropping-particle":"","parse-names":false,"suffix":""}],"id":"ITEM-3","issued":{"date-parts":[["2025"]]},"title":"H&amp;M must raise the bar to counter fierce fast-fashion competition, says CEO","type":"webpage"},"uris":["http://www.mendeley.com/documents/?uuid=8dd71ff7-b470-4259-8956-d974a5f178f2"]}],"mendeley":{"formattedCitation":"(INDITEX, 2024a, 2024b; Reid, 2025)","plainTextFormattedCitation":"(INDITEX, 2024a, 2024b; Reid, 2025)","previouslyFormattedCitation":"(INDITEX, 2024a, 2024b; Reid, 2025)"},"properties":{"noteIndex":0},"schema":"https://github.com/citation-style-language/schema/raw/master/csl-citation.json"}</w:instrText>
      </w:r>
      <w:r w:rsidR="009E521B" w:rsidRPr="00B75BF1">
        <w:fldChar w:fldCharType="separate"/>
      </w:r>
      <w:r w:rsidR="009E521B" w:rsidRPr="00B75BF1">
        <w:rPr>
          <w:noProof/>
        </w:rPr>
        <w:t>(INDITEX, 2024a, 2024b; Reid, 2025)</w:t>
      </w:r>
      <w:r w:rsidR="009E521B" w:rsidRPr="00B75BF1">
        <w:fldChar w:fldCharType="end"/>
      </w:r>
      <w:r w:rsidR="00E16044" w:rsidRPr="00B75BF1">
        <w:t xml:space="preserve">. </w:t>
      </w:r>
    </w:p>
    <w:p w14:paraId="1D30AC88" w14:textId="49BAD0F4" w:rsidR="00E16044" w:rsidRPr="00B75BF1" w:rsidRDefault="00E16044" w:rsidP="00E16044">
      <w:pPr>
        <w:pStyle w:val="Heading2"/>
      </w:pPr>
      <w:bookmarkStart w:id="23" w:name="_Toc224049979"/>
      <w:r w:rsidRPr="00B75BF1">
        <w:t>Overall judgement on Zara’s likely success</w:t>
      </w:r>
      <w:bookmarkEnd w:id="23"/>
    </w:p>
    <w:p w14:paraId="6F5790F4" w14:textId="34108CDD" w:rsidR="00E16044" w:rsidRPr="00B75BF1" w:rsidRDefault="00E16044" w:rsidP="001C4118">
      <w:pPr>
        <w:pStyle w:val="NormalWeb"/>
      </w:pPr>
      <w:r w:rsidRPr="00B75BF1">
        <w:t xml:space="preserve">Overall, </w:t>
      </w:r>
      <w:r w:rsidR="001C4118" w:rsidRPr="00B75BF1">
        <w:t>UK is a good market to test Zara, as it is a good mix of scale, fashion-consciousness, digital-</w:t>
      </w:r>
      <w:proofErr w:type="spellStart"/>
      <w:r w:rsidR="001C4118" w:rsidRPr="00B75BF1">
        <w:t>maximacy</w:t>
      </w:r>
      <w:proofErr w:type="spellEnd"/>
      <w:r w:rsidR="001C4118" w:rsidRPr="00B75BF1">
        <w:t xml:space="preserve">, and consumer culture that rewards frequent newness. The brand, freshness of products and the integrated store-and-online model of Zara satisfy these conditions. Inditex 2024 performance indicates the further investment in the customer experience, </w:t>
      </w:r>
      <w:proofErr w:type="spellStart"/>
      <w:r w:rsidR="001C4118" w:rsidRPr="00B75BF1">
        <w:t>digitalisation</w:t>
      </w:r>
      <w:proofErr w:type="spellEnd"/>
      <w:r w:rsidR="001C4118" w:rsidRPr="00B75BF1">
        <w:t xml:space="preserve">, and sustainability, which are core competencies in the UK market. This provides Zara with a plausible foundation of success into the future </w:t>
      </w:r>
      <w:r w:rsidR="009E521B" w:rsidRPr="00B75BF1">
        <w:fldChar w:fldCharType="begin" w:fldLock="1"/>
      </w:r>
      <w:r w:rsidR="009E521B" w:rsidRPr="00B75BF1">
        <w:instrText>ADDIN CSL_CITATION {"citationItems":[{"id":"ITEM-1","itemData":{"URL":"https://www.inditex.com/itxcomweb/api/media/84135f02-0208-4439-b9c0-b13608fbfeb5/Annualaccountsanddirectorsreport2024consolidated.pdf?t=1742203067340&amp;","accessed":{"date-parts":[["2026","3","7"]]},"author":[{"dropping-particle":"","family":"INDITEX","given":"","non-dropping-particle":"","parse-names":false,"suffix":""}],"id":"ITEM-1","issued":{"date-parts":[["2024"]]},"title":"INDITEX GROUP ANNUAL REPORT 2024","type":"webpage"},"uris":["http://www.mendeley.com/documents/?uuid=48f6dcdc-2f20-4b0e-97a6-3b8c77138d31"]},{"id":"ITEM-2","itemData":{"URL":"https://www.inditex.com/itxcomweb/bs/en/press/news-detail/37f59f73-4d90-46af-ab50-4dcabcfe013d/interim-nine-month-2024-results","author":[{"dropping-particle":"","family":"INDITEX","given":"","non-dropping-particle":"","parse-names":false,"suffix":""}],"id":"ITEM-2","issued":{"date-parts":[["2024"]]},"title":"Interim Nine Month 2024 Results","type":"webpage"},"uris":["http://www.mendeley.com/documents/?uuid=9637a10a-f994-414f-b7e2-7c0688eaf488"]}],"mendeley":{"formattedCitation":"(INDITEX, 2024a, 2024b)","plainTextFormattedCitation":"(INDITEX, 2024a, 2024b)","previouslyFormattedCitation":"(INDITEX, 2024a, 2024b)"},"properties":{"noteIndex":0},"schema":"https://github.com/citation-style-language/schema/raw/master/csl-citation.json"}</w:instrText>
      </w:r>
      <w:r w:rsidR="009E521B" w:rsidRPr="00B75BF1">
        <w:fldChar w:fldCharType="separate"/>
      </w:r>
      <w:r w:rsidR="009E521B" w:rsidRPr="00B75BF1">
        <w:rPr>
          <w:noProof/>
        </w:rPr>
        <w:t>(INDITEX, 2024a, 2024b)</w:t>
      </w:r>
      <w:r w:rsidR="009E521B" w:rsidRPr="00B75BF1">
        <w:fldChar w:fldCharType="end"/>
      </w:r>
      <w:r w:rsidRPr="00B75BF1">
        <w:t xml:space="preserve">. </w:t>
      </w:r>
    </w:p>
    <w:p w14:paraId="0D60DFA6" w14:textId="171ED231" w:rsidR="00E16044" w:rsidRPr="00B75BF1" w:rsidRDefault="00E16044" w:rsidP="001C4118">
      <w:pPr>
        <w:pStyle w:val="NormalWeb"/>
      </w:pPr>
      <w:r w:rsidRPr="00B75BF1">
        <w:t xml:space="preserve">However, </w:t>
      </w:r>
      <w:r w:rsidR="001C4118" w:rsidRPr="00B75BF1">
        <w:t xml:space="preserve">Zara will not be guaranteed a success. The key threats are ongoing price war with Primark, Shein, and Boohoo; intense omnichannel rivalry with Next and H&amp;M; and increased attention to sustainability, sourcing, and fast fashion. Economic pressure is also significant since Zara is not a deep-discount player or a high-end brand; it is mid-range where consumers trade down for the price or seek a better value warrant to pay more. The positioning of Zara is appealing and vulnerable </w:t>
      </w:r>
      <w:r w:rsidR="009E521B" w:rsidRPr="00B75BF1">
        <w:fldChar w:fldCharType="begin" w:fldLock="1"/>
      </w:r>
      <w:r w:rsidR="009E521B" w:rsidRPr="00B75BF1">
        <w:instrText>ADDIN CSL_CITATION {"citationItems":[{"id":"ITEM-1","itemData":{"URL":"Boohoo H1 profit falls on reduced consumer spending, investment costs","accessed":{"date-parts":[["2026","3","9"]]},"author":[{"dropping-particle":"","family":"Reuters","given":"","non-dropping-particle":"","parse-names":false,"suffix":""}],"id":"ITEM-1","issued":{"date-parts":[["2024"]]},"title":"Boohoo H1 profit falls on reduced consumer spending, investment costs","type":"webpage"},"uris":["http://www.mendeley.com/documents/?uuid=6442bec4-dea2-4842-abbc-44c6cbc0e3d0"]},{"id":"ITEM-2","itemData":{"URL":"https://www.reuters.com/business/retail-consumer/hm-must-raise-bar-counter-fierce-fast-fashion-competition-says-ceo-2025-01-30/?","accessed":{"date-parts":[["2026","3","9"]]},"author":[{"dropping-particle":"","family":"Reid","given":"Helen","non-dropping-particle":"","parse-names":false,"suffix":""}],"id":"ITEM-2","issued":{"date-parts":[["2025"]]},"title":"H&amp;M must raise the bar to counter fierce fast-fashion competition, says CEO","type":"webpage"},"uris":["http://www.mendeley.com/documents/?uuid=8dd71ff7-b470-4259-8956-d974a5f178f2"]}],"mendeley":{"formattedCitation":"(Reid, 2025; Reuters, 2024a)","plainTextFormattedCitation":"(Reid, 2025; Reuters, 2024a)","previouslyFormattedCitation":"(Reid, 2025; Reuters, 2024a)"},"properties":{"noteIndex":0},"schema":"https://github.com/citation-style-language/schema/raw/master/csl-citation.json"}</w:instrText>
      </w:r>
      <w:r w:rsidR="009E521B" w:rsidRPr="00B75BF1">
        <w:fldChar w:fldCharType="separate"/>
      </w:r>
      <w:r w:rsidR="009E521B" w:rsidRPr="00B75BF1">
        <w:rPr>
          <w:noProof/>
        </w:rPr>
        <w:t>(Reid, 2025; Reuters, 2024a)</w:t>
      </w:r>
      <w:r w:rsidR="009E521B" w:rsidRPr="00B75BF1">
        <w:fldChar w:fldCharType="end"/>
      </w:r>
      <w:r w:rsidRPr="00B75BF1">
        <w:t xml:space="preserve">. </w:t>
      </w:r>
    </w:p>
    <w:p w14:paraId="58709249" w14:textId="78E175D6" w:rsidR="00E16044" w:rsidRPr="00B75BF1" w:rsidRDefault="00E16044" w:rsidP="001C4118">
      <w:pPr>
        <w:pStyle w:val="NormalWeb"/>
      </w:pPr>
      <w:r w:rsidRPr="00B75BF1">
        <w:t xml:space="preserve">On balance, </w:t>
      </w:r>
      <w:r w:rsidR="001C4118" w:rsidRPr="00B75BF1">
        <w:t xml:space="preserve">Zara can continue to succeed in the UK, although it must enhance five areas: responsiveness to consumer trends, responsible sourcing and believable sustainability communications, unremitting digitalization, price discipline to protect margins, and sensitivity to local market tastes. When Zara can manage them, it will not be one of the weaker foreign fast-fashion players in the UK, but one among them </w:t>
      </w:r>
      <w:r w:rsidR="009E521B" w:rsidRPr="00B75BF1">
        <w:fldChar w:fldCharType="begin" w:fldLock="1"/>
      </w:r>
      <w:r w:rsidR="00ED19B4" w:rsidRPr="00B75BF1">
        <w:instrText>ADDIN CSL_CITATION {"citationItems":[{"id":"ITEM-1","itemData":{"URL":"https://www.inditex.com/itxcomweb/api/media/84135f02-0208-4439-b9c0-b13608fbfeb5/Annualaccountsanddirectorsreport2024consolidated.pdf?t=1742203067340&amp;","accessed":{"date-parts":[["2026","3","7"]]},"author":[{"dropping-particle":"","family":"INDITEX","given":"","non-dropping-particle":"","parse-names":false,"suffix":""}],"id":"ITEM-1","issued":{"date-parts":[["2024"]]},"title":"INDITEX GROUP ANNUAL REPORT 2024","type":"webpage"},"uris":["http://www.mendeley.com/documents/?uuid=48f6dcdc-2f20-4b0e-97a6-3b8c77138d31"]},{"id":"ITEM-2","itemData":{"URL":"https://www.inditex.com/itxcomweb/bs/en/press/news-detail/37f59f73-4d90-46af-ab50-4dcabcfe013d/interim-nine-month-2024-results","author":[{"dropping-particle":"","family":"INDITEX","given":"","non-dropping-particle":"","parse-names":false,"suffix":""}],"id":"ITEM-2","issued":{"date-parts":[["2024"]]},"title":"Interim Nine Month 2024 Results","type":"webpage"},"uris":["http://www.mendeley.com/documents/?uuid=9637a10a-f994-414f-b7e2-7c0688eaf488"]},{"id":"ITEM-3","itemData":{"DOI":"https://doi.org/10.1016/j.spc.2025.02.011","ISSN":"2352-5509","abstract":"Sustainability in the fast fashion industry (FFI) has become crucial due to the sector's substantial environmental and social impacts. As sustainability has started capturing the interest of consumers and policymakers, there has been a heightened expectation for fast fashion companies to prioritise it in their practices. This situation is paradoxical but inevitable for these companies, which rely on an unsustainable business model promoting mindless consumption while also needing to address the growing consumer demand for more conscious and responsible practices. Therefore, understanding the role of sustainability in influencing consumer behaviour within this predominantly consumer-driven industry is vital for developing strategies, fostering sustainable consumption patterns, and ensuring long-term environmental and social benefits. This systematic literature review aims to analyse how existing literature has studied sustainability as a driver influencing consumer behaviour in the FFI. Through the consolidation and critical analysis of 95 scholarly articles, we explore how sustainability influences consumer pre- and post-purchase behaviour in the FFI. By understanding the role sustainability plays in this industry, the review identifies key research trends and gaps, providing actionable recommendations for future researchers, practitioners, and policymakers. Our analysis categorised the drivers of consumer behaviour into four main themes – Marketing Strategies, Individual Influences, Group Influences, and Situational Influences – with individual influences and marketing strategies being the most examined drivers. Key research gaps were identified, including the need for further investigation into male consumer attitudes, generational and cross-cultural differences, and underexplored drivers. The study also recommends a broader application of diverse theoretical frameworks and mixed research methods. Our study provides practical insights for marketers, managers, and policymakers to integrate sustainability into business strategies, develop transparent communication and educational campaigns, and implement targeted regulations to promote sustainable consumption practices.","author":[{"dropping-particle":"","family":"Mathew","given":"Manjitha","non-dropping-particle":"","parse-names":false,"suffix":""},{"dropping-particle":"","family":"Spinelli","given":"Riccardo","non-dropping-particle":"","parse-names":false,"suffix":""}],"container-title":"Sustainable Production and Consumption","id":"ITEM-3","issued":{"date-parts":[["2025"]]},"page":"132-145","title":"Decoding sustainable drivers: A systematic literature review on sustMathew, M., &amp; Spinelli, R. (2025). Decoding sustainable drivers: A systematic literature review on sustainability-induced consumer behaviour in the fast fashion industry. Sustainable Prod","type":"article-journal","volume":"55"},"uris":["http://www.mendeley.com/documents/?uuid=58bec0c6-d4de-4781-beb6-307f6537ceb1"]},{"id":"ITEM-4","itemData":{"URL":"https://www.mckinsey.com/industries/consumer-packaged-goods/our-insights/state-of-consumer-2024","accessed":{"date-parts":[["2026","3","9"]]},"author":[{"dropping-particle":"","family":"McKinsey &amp; Company","given":"","non-dropping-particle":"","parse-names":false,"suffix":""}],"id":"ITEM-4","issued":{"date-parts":[["2024"]]},"title":"State of the Consumer 2024: What’s now and what’s next","type":"webpage"},"uris":["http://www.mendeley.com/documents/?uuid=d0954d9c-8805-47cb-b87c-3bd5dcad260e"]}],"mendeley":{"formattedCitation":"(INDITEX, 2024a, 2024b; Mathew &amp; Spinelli, 2025; McKinsey &amp; Company, 2024)","plainTextFormattedCitation":"(INDITEX, 2024a, 2024b; Mathew &amp; Spinelli, 2025; McKinsey &amp; Company, 2024)","previouslyFormattedCitation":"(INDITEX, 2024a, 2024b; Mathew &amp; Spinelli, 2025; McKinsey &amp; Company, 2024)"},"properties":{"noteIndex":0},"schema":"https://github.com/citation-style-language/schema/raw/master/csl-citation.json"}</w:instrText>
      </w:r>
      <w:r w:rsidR="009E521B" w:rsidRPr="00B75BF1">
        <w:fldChar w:fldCharType="separate"/>
      </w:r>
      <w:r w:rsidR="00ED19B4" w:rsidRPr="00B75BF1">
        <w:rPr>
          <w:noProof/>
        </w:rPr>
        <w:t>(INDITEX, 2024a, 2024b; Mathew &amp; Spinelli, 2025; McKinsey &amp; Company, 2024)</w:t>
      </w:r>
      <w:r w:rsidR="009E521B" w:rsidRPr="00B75BF1">
        <w:fldChar w:fldCharType="end"/>
      </w:r>
      <w:r w:rsidRPr="00B75BF1">
        <w:t xml:space="preserve">. </w:t>
      </w:r>
    </w:p>
    <w:p w14:paraId="6BC6911B" w14:textId="41EF45EF" w:rsidR="00E16044" w:rsidRPr="00B75BF1" w:rsidRDefault="00D50988" w:rsidP="00D50988">
      <w:pPr>
        <w:pStyle w:val="Heading1"/>
      </w:pPr>
      <w:bookmarkStart w:id="24" w:name="_Toc224049980"/>
      <w:r w:rsidRPr="00B75BF1">
        <w:t>Conclusion</w:t>
      </w:r>
      <w:bookmarkEnd w:id="24"/>
      <w:r w:rsidRPr="00B75BF1">
        <w:tab/>
      </w:r>
    </w:p>
    <w:p w14:paraId="30A37E13" w14:textId="58167EF0" w:rsidR="00756D46" w:rsidRPr="00B75BF1" w:rsidRDefault="00756D46" w:rsidP="00756D46">
      <w:pPr>
        <w:pStyle w:val="NormalWeb"/>
      </w:pPr>
      <w:r w:rsidRPr="00B75BF1">
        <w:t xml:space="preserve">The high consumer demand, high digital adoption, trends diffusion, and the omnichannel retail atmosphere that values speed, accessibility, and product turnover make the UK fast </w:t>
      </w:r>
      <w:r w:rsidRPr="00B75BF1">
        <w:lastRenderedPageBreak/>
        <w:t>fashion industry an important industry. It belongs to the UK fashion and textile industry, which injects PS62 billion into the GDP and 1.3 million jobs, making it economically significant. Meanwhile, it is an industry that is influenced by price-sensitive customers, online competition, and growing sustainability and sourcing scrutiny.</w:t>
      </w:r>
    </w:p>
    <w:p w14:paraId="1E0311CE" w14:textId="77777777" w:rsidR="00EC50F9" w:rsidRPr="00B75BF1" w:rsidRDefault="00756D46" w:rsidP="00EC50F9">
      <w:pPr>
        <w:pStyle w:val="NormalWeb"/>
      </w:pPr>
      <w:r w:rsidRPr="00B75BF1">
        <w:t xml:space="preserve">According to Porters Diamond, the UK has good national conditions of fast fashion competitiveness. High retail infrastructure, logistics, digital maturity, and high-level consumer demand all contribute to the rapid inventory turnover and omnichannel selling. The industry is empowered by related sectors such as marketing, payments and e-commerce services. </w:t>
      </w:r>
      <w:r w:rsidR="00EC50F9" w:rsidRPr="00B75BF1">
        <w:t>However, these strengths are at the cost of high operating cost, cut-throat competition and trade friction as well as heightened ethical and regulatory pressures. The UK is a good entry point to the market and not smooth sailing environment to continue enjoying a competitive edge.</w:t>
      </w:r>
    </w:p>
    <w:p w14:paraId="0E0FE28D" w14:textId="76CEC29B" w:rsidR="00044DB5" w:rsidRPr="00B75BF1" w:rsidRDefault="00EC50F9" w:rsidP="00EC50F9">
      <w:pPr>
        <w:pStyle w:val="NormalWeb"/>
      </w:pPr>
      <w:r w:rsidRPr="00B75BF1">
        <w:t xml:space="preserve">The UK is attractive and competitive in the case of Zara. It possesses high-fashion sensibility, good store-internet or online integration, and a consumer base that is conscious of fashionable items that are selling fast as its opportunities. But Zara has clear weaknesses: between ultra-low-price rivals and digitally aggressive players, and increasing sustainability demands and supply-chain accountability to reputational risk. </w:t>
      </w:r>
      <w:r w:rsidR="00756D46" w:rsidRPr="00B75BF1">
        <w:t>All in all, Zara has a high chance to remain successful in the UK, yet it has to remain flexible, digitally connected, price-disciplined, and responsible in its sourcing. Its success in the long term is pegged on providing good fashion at the trust, convenience, and responsiveness to the local market</w:t>
      </w:r>
      <w:r w:rsidR="00D50988" w:rsidRPr="00B75BF1">
        <w:t xml:space="preserve">. </w:t>
      </w:r>
      <w:r w:rsidR="00044DB5" w:rsidRPr="00B75BF1">
        <w:br w:type="page"/>
      </w:r>
    </w:p>
    <w:p w14:paraId="3632478A" w14:textId="0D853457" w:rsidR="00D50988" w:rsidRPr="00B75BF1" w:rsidRDefault="00F013D8" w:rsidP="00F013D8">
      <w:pPr>
        <w:pStyle w:val="Heading1"/>
        <w:numPr>
          <w:ilvl w:val="0"/>
          <w:numId w:val="0"/>
        </w:numPr>
        <w:ind w:left="432" w:hanging="432"/>
      </w:pPr>
      <w:bookmarkStart w:id="25" w:name="_Toc224049981"/>
      <w:r w:rsidRPr="00B75BF1">
        <w:lastRenderedPageBreak/>
        <w:t>Section 2: REFLECTIVE ACCOUNT</w:t>
      </w:r>
      <w:bookmarkEnd w:id="25"/>
    </w:p>
    <w:p w14:paraId="155467B2" w14:textId="4193C1F8" w:rsidR="00986572" w:rsidRPr="00B75BF1" w:rsidRDefault="00986572" w:rsidP="00986572">
      <w:pPr>
        <w:pStyle w:val="Heading1"/>
        <w:rPr>
          <w:rFonts w:ascii="Times New Roman" w:hAnsi="Times New Roman"/>
          <w:sz w:val="36"/>
        </w:rPr>
      </w:pPr>
      <w:bookmarkStart w:id="26" w:name="_Toc224049982"/>
      <w:r w:rsidRPr="00B75BF1">
        <w:t>Reflective Account Using Gibbs Cycle</w:t>
      </w:r>
      <w:bookmarkEnd w:id="26"/>
    </w:p>
    <w:p w14:paraId="621ADFBE" w14:textId="76A1D63C" w:rsidR="00986572" w:rsidRPr="00B75BF1" w:rsidRDefault="00986572" w:rsidP="00986572">
      <w:pPr>
        <w:pStyle w:val="Heading2"/>
      </w:pPr>
      <w:bookmarkStart w:id="27" w:name="_Toc224049983"/>
      <w:r w:rsidRPr="00B75BF1">
        <w:t>Description</w:t>
      </w:r>
      <w:bookmarkEnd w:id="27"/>
    </w:p>
    <w:p w14:paraId="3C067230" w14:textId="563131FF" w:rsidR="00986572" w:rsidRPr="00B75BF1" w:rsidRDefault="00986572" w:rsidP="00044DB5">
      <w:pPr>
        <w:pStyle w:val="NormalWeb"/>
      </w:pPr>
      <w:r w:rsidRPr="00B75BF1">
        <w:t xml:space="preserve">I </w:t>
      </w:r>
      <w:r w:rsidR="00044DB5" w:rsidRPr="00B75BF1">
        <w:t xml:space="preserve">chose UK fast fashion industry as it responded to the assessment brief and presented a good evidence base through academic, industry and company sources. The UK is a big, digitally developed, and competitive fashion market that would be good to study the competitiveness of a nation and the performance of a firm. Zara has been selected as the flagship brand of Inditex, with a global scale, high turnover rate, integrated store-and-online model, and one that is perfect to study how a foreign multinational functions in the UK. I collected peer-reviewed journal articles on fast fashion, omnichannel retailing, sustainability, and consumer behavior and combined them with company reports, industry data in the UK, and policy sources. The report was organized into two phases, firstly, the industry-level analysis under the Porters Diamond, and secondly, Zara-specific analysis under PESTEL and cultural/institutional prism. This framework shifted the wide market situation to the narrow score of firm success </w:t>
      </w:r>
      <w:r w:rsidR="00ED19B4" w:rsidRPr="00B75BF1">
        <w:fldChar w:fldCharType="begin" w:fldLock="1"/>
      </w:r>
      <w:r w:rsidR="00ED19B4" w:rsidRPr="00B75BF1">
        <w:instrText>ADDIN CSL_CITATION {"citationItems":[{"id":"ITEM-1","itemData":{"DOI":"https://doi.org/10.1016/j.spc.2025.02.011","ISSN":"2352-5509","abstract":"Sustainability in the fast fashion industry (FFI) has become crucial due to the sector's substantial environmental and social impacts. As sustainability has started capturing the interest of consumers and policymakers, there has been a heightened expectation for fast fashion companies to prioritise it in their practices. This situation is paradoxical but inevitable for these companies, which rely on an unsustainable business model promoting mindless consumption while also needing to address the growing consumer demand for more conscious and responsible practices. Therefore, understanding the role of sustainability in influencing consumer behaviour within this predominantly consumer-driven industry is vital for developing strategies, fostering sustainable consumption patterns, and ensuring long-term environmental and social benefits. This systematic literature review aims to analyse how existing literature has studied sustainability as a driver influencing consumer behaviour in the FFI. Through the consolidation and critical analysis of 95 scholarly articles, we explore how sustainability influences consumer pre- and post-purchase behaviour in the FFI. By understanding the role sustainability plays in this industry, the review identifies key research trends and gaps, providing actionable recommendations for future researchers, practitioners, and policymakers. Our analysis categorised the drivers of consumer behaviour into four main themes – Marketing Strategies, Individual Influences, Group Influences, and Situational Influences – with individual influences and marketing strategies being the most examined drivers. Key research gaps were identified, including the need for further investigation into male consumer attitudes, generational and cross-cultural differences, and underexplored drivers. The study also recommends a broader application of diverse theoretical frameworks and mixed research methods. Our study provides practical insights for marketers, managers, and policymakers to integrate sustainability into business strategies, develop transparent communication and educational campaigns, and implement targeted regulations to promote sustainable consumption practices.","author":[{"dropping-particle":"","family":"Mathew","given":"Manjitha","non-dropping-particle":"","parse-names":false,"suffix":""},{"dropping-particle":"","family":"Spinelli","given":"Riccardo","non-dropping-particle":"","parse-names":false,"suffix":""}],"container-title":"Sustainable Production and Consumption","id":"ITEM-1","issued":{"date-parts":[["2025"]]},"page":"132-145","title":"Decoding sustainable drivers: A systematic literature review on sustMathew, M., &amp; Spinelli, R. (2025). Decoding sustainable drivers: A systematic literature review on sustainability-induced consumer behaviour in the fast fashion industry. Sustainable Prod","type":"article-journal","volume":"55"},"uris":["http://www.mendeley.com/documents/?uuid=58bec0c6-d4de-4781-beb6-307f6537ceb1"]},{"id":"ITEM-2","itemData":{"DOI":"https://doi.org/10.1016/j.jbusres.2023.114197","ISSN":"0148-2963","abstract":"In the digital platform era, omni-channel marketing is widely adopted. The efficiency of marketing investment will affect the revenues and profits of the firms. On one hand, the firms endeavour to adjust their marketing strategies to maximize their profits; on the other hand, the retailer and manufacturer have their own risk preferences, which will affect their decision making in omni-channel marketing strategies. We address these emerging issues by conducting a theoretical mean-risk analysis. We find that the optimal online marketing investment is not always larger than the offline counterpart, even when the online ads’ influence is large. We uncover that the integrated omni-channel marketing effect is a critical factor which affects the expected profits derived from both channels. Furthermore, we extend the analysis by considering the risk preferences of the retailer and manufacturer as well as demand uncertainty and correlation. Important managerial insights are generated.","author":[{"dropping-particle":"","family":"Cai","given":"Ya-Jun","non-dropping-particle":"","parse-names":false,"suffix":""},{"dropping-particle":"","family":"Choi","given":"Tsan-Ming","non-dropping-particle":"","parse-names":false,"suffix":""}],"container-title":"Journal of Business Research","id":"ITEM-2","issued":{"date-parts":[["2023"]]},"page":"114197","title":"Omni-channel marketing strategy in the digital platform era","type":"article-journal","volume":"168"},"uris":["http://www.mendeley.com/documents/?uuid=4f45c496-58f8-4ef8-b16c-423cd2a03c44"]},{"id":"ITEM-3","itemData":{"DOI":"https://doi.org/10.1016/j.tsc.2024.101599","ISSN":"1871-1871","abstract":"The article reviews different interventions to teach critical reading and proposes a tested two-stage critical reading model, starting from identifying the author's purposes to responding to the text. In the stage of identifying the author's purposes, students need to analyse the text and connect the text to its context. In the stage of responding to the text, students need to evaluate the author's message. After a teaching experiment carried out with undergraduate students (n = 39), a vast majority of the participants (94.87%) believed that the model helped them to practise fundamental reading skills, such as predicting, identifying the main idea, arguments and evidence, to construct their critical thinking by reflecting, understanding different perspectives and building their own arguments. From students’ suggestions, the model is revised to make it more interactive and dynamic by applying the double-entry note technique and repetitive reading in groups with discussion to exchange viewpoints and interpretation.","author":[{"dropping-particle":"","family":"Hà","given":"Tú Anh","non-dropping-particle":"","parse-names":false,"suffix":""},{"dropping-particle":"","family":"Huertas-Abril","given":"Cristina A","non-dropping-particle":"","parse-names":false,"suffix":""}],"container-title":"Thinking Skills and Creativity","id":"ITEM-3","issued":{"date-parts":[["2024"]]},"page":"101599","title":"Teaching critical reading in higher education: A literature review and pedagogical framework proposal","type":"article-journal","volume":"53"},"uris":["http://www.mendeley.com/documents/?uuid=6a6f0d31-6ceb-40dd-9f07-8d7c5690e035"]},{"id":"ITEM-4","itemData":{"DOI":"https://doi.org/10.1016/j.tsc.2022.101028","ISSN":"1871-1871","abstract":"It is believed that together with critical thinking, critical reading has emerged as a fundamental skill that university graduates are expected to possess in an increasingly modern and digitally connected world (Bråten &amp; Braasch, 2017). With the advancement of technology, young adults have been increasingly submerged in a sea of information available at their fingertips. Hence, they must learn how to select, analyze, evaluate, and assess the information they encounter in their academic or professional lives (Siemens, 2004). However, it is observed that critical reading skills in higher education seem to be neglected in the research field compared to an interest in critical thinking studies. This study systematically evaluates 75 papers published between 2001 and 2021 and indexed in the Web of Science and Education Resources Information Center (ERIC) databases. The findings indicate that scholars in Turkey and the United States place a higher premium on critical research than researchers in other parts of the world. Most papers focus on investigating feasible approaches to develop critical reading skills amongst undergraduates and proposing critical reading pedagogy in higher education institutions. However, there has been a deficiency in research of critical reading in STEM education, especially in the Asian tertiary context. This study highlights the significance of conducting additional in-depth research into the effects of integrating critical reading classrooms and teaching-and-learning activities into STEM education, as well as the impact of using science topics with the goal of cultivating this crucial skill for young people's academic and professional development in the era of the digital revolution. Moreover, research on a conceptual framework to develop critical reading abilities amongst Asian undergraduates could be considered as a potential topic for novice researchers.","author":[{"dropping-particle":"","family":"Van","given":"Le Ha","non-dropping-particle":"","parse-names":false,"suffix":""},{"dropping-particle":"","family":"Li","given":"Chong Su","non-dropping-particle":"","parse-names":false,"suffix":""},{"dropping-particle":"","family":"Wan","given":"Roselind","non-dropping-particle":"","parse-names":false,"suffix":""}],"container-title":"Thinking Skills and Creativity","id":"ITEM-4","issued":{"date-parts":[["2022"]]},"page":"101028","title":"Critical reading in higher education: A systematic review","type":"article-journal","volume":"44"},"uris":["http://www.mendeley.com/documents/?uuid=b5736336-1b4a-4dea-bb00-4d4840582cda"]}],"mendeley":{"formattedCitation":"(Cai &amp; Choi, 2023; Hà &amp; Huertas-Abril, 2024; Mathew &amp; Spinelli, 2025; Van et al., 2022)","plainTextFormattedCitation":"(Cai &amp; Choi, 2023; Hà &amp; Huertas-Abril, 2024; Mathew &amp; Spinelli, 2025; Van et al., 2022)","previouslyFormattedCitation":"(Cai &amp; Choi, 2023; Hà &amp; Huertas-Abril, 2024; Mathew &amp; Spinelli, 2025; Van et al., 2022)"},"properties":{"noteIndex":0},"schema":"https://github.com/citation-style-language/schema/raw/master/csl-citation.json"}</w:instrText>
      </w:r>
      <w:r w:rsidR="00ED19B4" w:rsidRPr="00B75BF1">
        <w:fldChar w:fldCharType="separate"/>
      </w:r>
      <w:r w:rsidR="00ED19B4" w:rsidRPr="00B75BF1">
        <w:rPr>
          <w:noProof/>
        </w:rPr>
        <w:t>(Cai &amp; Choi, 2023; Hà &amp; Huertas-Abril, 2024; Mathew &amp; Spinelli, 2025; Van et al., 2022)</w:t>
      </w:r>
      <w:r w:rsidR="00ED19B4" w:rsidRPr="00B75BF1">
        <w:fldChar w:fldCharType="end"/>
      </w:r>
      <w:r w:rsidRPr="00B75BF1">
        <w:t xml:space="preserve">. </w:t>
      </w:r>
    </w:p>
    <w:p w14:paraId="5E576012" w14:textId="3736D4B3" w:rsidR="00986572" w:rsidRPr="00B75BF1" w:rsidRDefault="00986572" w:rsidP="00986572">
      <w:pPr>
        <w:pStyle w:val="Heading2"/>
      </w:pPr>
      <w:bookmarkStart w:id="28" w:name="_Toc224049984"/>
      <w:r w:rsidRPr="00B75BF1">
        <w:t>Feelings</w:t>
      </w:r>
      <w:bookmarkEnd w:id="28"/>
    </w:p>
    <w:p w14:paraId="590D7B10" w14:textId="4964E1BF" w:rsidR="00986572" w:rsidRPr="00B75BF1" w:rsidRDefault="00044DB5" w:rsidP="00044DB5">
      <w:pPr>
        <w:pStyle w:val="NormalWeb"/>
      </w:pPr>
      <w:r w:rsidRPr="00B75BF1">
        <w:t xml:space="preserve">I was confident since Zara and UK fast fashion market appeared to be familiar, but I was aware that familiarity might result in oversimplification. My biggest confusion was how to make fast fashion narrow and not make it be a whole conversation on the whole clothing industry. Another issue that I had was balancing theory with existing market evidence. Though these frameworks such as Porters Diamond, PESTEL and cultural analysis made it rather organized, I was aware that I could not just fit them at a postgraduate level. It was necessary to make the report analytical, evidence-based and specific to the UK context, not generic. According to reflective practice literature, effective reflection entails investigating uncertainty, judgment, and decision-making, and not merely describing done tasks </w:t>
      </w:r>
      <w:r w:rsidR="00ED19B4" w:rsidRPr="00B75BF1">
        <w:fldChar w:fldCharType="begin" w:fldLock="1"/>
      </w:r>
      <w:r w:rsidR="00ED19B4" w:rsidRPr="00B75BF1">
        <w:instrText>ADDIN CSL_CITATION {"citationItems":[{"id":"ITEM-1","itemData":{"ISSN":"0729-4360","author":[{"dropping-particle":"","family":"Harvey","given":"Marina","non-dropping-particle":"","parse-names":false,"suffix":""},{"dropping-particle":"","family":"Walkerden","given":"Greg","non-dropping-particle":"","parse-names":false,"suffix":""},{"dropping-particle":"","family":"Semple","given":"A","non-dropping-particle":"","parse-names":false,"suffix":""},{"dropping-particle":"","family":"McLachlan","given":"Kathryn","non-dropping-particle":"","parse-names":false,"suffix":""},{"dropping-particle":"","family":"Lloyd","given":"Kate","non-dropping-particle":"","parse-names":false,"suffix":""},{"dropping-particle":"","family":"Bosanquet","given":"Agnes","non-dropping-particle":"","parse-names":false,"suffix":""}],"container-title":"Higher Education Research &amp; Development","id":"ITEM-1","issued":{"date-parts":[["2025"]]},"page":"1-9","publisher":"Taylor &amp; Francis","title":"Reflecting on reflective practice: issues, possibilities and guidance principles","type":"article-journal"},"uris":["http://www.mendeley.com/documents/?uuid=573e3804-ac1c-4919-b699-d49a7251b59a"]},{"id":"ITEM-2","itemData":{"DOI":"https://doi.org/10.1016/j.ijme.2021.100531","ISSN":"1472-8117","abstract":"Developing critical thinking is an important goal in higher education and, more importantly, in business education. Yet, it is uncertain to what extent assessment influences students' critical thinking development and enhancement. This paper presents data from a study that applied a framework we developed to identify evidence of students’ ability to think critically and whether students face challenges at applying critical thinking. A sample of 100, 2000-word group reports from a masters business analysis subject were evaluated using a critical thinking assessment rubric. We followed this with a content analysis of 49 reports using our developed framework to identify the demonstration of critical thinking dispositions and abilities. The findings from both analyses indicate a difference between student reports on how critical thinking is demonstrated. Most importantly, our developed framework provides a novel way to analyse student reports that inform whether they demonstrate the specific components of critical thinking dispositions and abilities. The evaluation using our established framework enables us to offer practical suggestions that university instructors can use to address the issues and challenges raised that hinder critical thinking acquisition via assessment practice in business education.","author":[{"dropping-particle":"","family":"Calma","given":"Angelito","non-dropping-particle":"","parse-names":false,"suffix":""},{"dropping-particle":"","family":"Cotronei-Baird","given":"Valeria","non-dropping-particle":"","parse-names":false,"suffix":""}],"container-title":"The International Journal of Management Education","id":"ITEM-2","issue":"3","issued":{"date-parts":[["2021"]]},"page":"100531","title":"Assessing critical thinking in business education: Key issues and practical solutions","type":"article-journal","volume":"19"},"uris":["http://www.mendeley.com/documents/?uuid=ed849a71-2a11-4858-b13d-dcb2a3a18f59"]},{"id":"ITEM-3","itemData":{"DOI":"10.1080/02564602.2024.2390290","ISSN":"0256-4602","author":[{"dropping-particle":"","family":"Kumar","given":"Mamidala Jagadesh","non-dropping-particle":"","parse-names":false,"suffix":""}],"container-title":"IETE Technical Review","id":"ITEM-3","issue":"5","issued":{"date-parts":[["2024","9","2"]]},"note":"doi: 10.1080/02564602.2024.2390290","page":"509-510","publisher":"Taylor &amp; Francis","title":"The Imperative of Critical Thinking in Higher Education","type":"article-journal","volume":"41"},"uris":["http://www.mendeley.com/documents/?uuid=299548e6-6242-4fca-9600-5c2596b92fca"]},{"id":"ITEM-4","itemData":{"DOI":"10.1080/14623943.2024.2309883","ISSN":"1462-3943","author":[{"dropping-particle":"","family":"Coutts","given":"Rosanne","non-dropping-particle":"","parse-names":false,"suffix":""},{"dropping-particle":"","family":"Irwin","given":"P","non-dropping-particle":"","parse-names":false,"suffix":""},{"dropping-particle":"","family":"Vecchio","given":"L","non-dropping-particle":"Del","parse-names":false,"suffix":""}],"container-title":"Reflective Practice","id":"ITEM-4","issue":"2","issued":{"date-parts":[["2024","3","3"]]},"note":"doi: 10.1080/14623943.2024.2309883","page":"251-266","publisher":"Routledge","title":"A reflective practice learning experience with higher education exercise physiology students","type":"article-journal","volume":"25"},"uris":["http://www.mendeley.com/documents/?uuid=08bc3005-6fb9-4e4d-91e4-c9348159add7"]}],"mendeley":{"formattedCitation":"(Calma &amp; Cotronei-Baird, 2021; Coutts et al., 2024; Harvey et al., 2025; Kumar, 2024)","plainTextFormattedCitation":"(Calma &amp; Cotronei-Baird, 2021; Coutts et al., 2024; Harvey et al., 2025; Kumar, 2024)","previouslyFormattedCitation":"(Calma &amp; Cotronei-Baird, 2021; Coutts et al., 2024; Harvey et al., 2025; Kumar, 2024)"},"properties":{"noteIndex":0},"schema":"https://github.com/citation-style-language/schema/raw/master/csl-citation.json"}</w:instrText>
      </w:r>
      <w:r w:rsidR="00ED19B4" w:rsidRPr="00B75BF1">
        <w:fldChar w:fldCharType="separate"/>
      </w:r>
      <w:r w:rsidR="00ED19B4" w:rsidRPr="00B75BF1">
        <w:rPr>
          <w:noProof/>
        </w:rPr>
        <w:t>(Calma &amp; Cotronei-Baird, 2021; Coutts et al., 2024; Harvey et al., 2025; Kumar, 2024)</w:t>
      </w:r>
      <w:r w:rsidR="00ED19B4" w:rsidRPr="00B75BF1">
        <w:fldChar w:fldCharType="end"/>
      </w:r>
      <w:r w:rsidR="00986572" w:rsidRPr="00B75BF1">
        <w:t xml:space="preserve">. </w:t>
      </w:r>
    </w:p>
    <w:p w14:paraId="7536FD8F" w14:textId="42DA6E7B" w:rsidR="00986572" w:rsidRPr="00B75BF1" w:rsidRDefault="00986572" w:rsidP="00986572">
      <w:pPr>
        <w:pStyle w:val="Heading2"/>
      </w:pPr>
      <w:bookmarkStart w:id="29" w:name="_Toc224049985"/>
      <w:r w:rsidRPr="00B75BF1">
        <w:t>Evaluation</w:t>
      </w:r>
      <w:bookmarkEnd w:id="29"/>
    </w:p>
    <w:p w14:paraId="59AA549A" w14:textId="59DD2413" w:rsidR="00986572" w:rsidRPr="00B75BF1" w:rsidRDefault="00044DB5" w:rsidP="00044DB5">
      <w:pPr>
        <w:pStyle w:val="NormalWeb"/>
      </w:pPr>
      <w:r w:rsidRPr="00B75BF1">
        <w:t xml:space="preserve">A number of elements of the investigation procedure were effective. The analysis was also deeper with a combination of academic literature, market and company evidence. The report was based on the present realities, which were supported by journal articles to explain sustainability tensions, omnichannel behavior, and critical reading. The comparison of Zara with Primark, H&amp;M, Shein, Boohoo, and Next confirmed that Zara is a value-led and design-led competitor. As demonstrated by policy material and commercial sources, the attraction to the market is defined by the expectations of the institutions in terms of green claims, labor standards, and transparency </w:t>
      </w:r>
      <w:r w:rsidR="00ED19B4" w:rsidRPr="00B75BF1">
        <w:fldChar w:fldCharType="begin" w:fldLock="1"/>
      </w:r>
      <w:r w:rsidR="000724CE" w:rsidRPr="00B75BF1">
        <w:instrText>ADDIN CSL_CITATION {"citationItems":[{"id":"ITEM-1","itemData":{"DOI":"https://doi.org/10.1016/j.spc.2025.02.011","ISSN":"2352-5509","abstract":"Sustainability in the fast fashion industry (FFI) has become crucial due to the sector's substantial environmental and social impacts. As sustainability has started capturing the interest of consumers and policymakers, there has been a heightened expectation for fast fashion companies to prioritise it in their practices. This situation is paradoxical but inevitable for these companies, which rely on an unsustainable business model promoting mindless consumption while also needing to address the growing consumer demand for more conscious and responsible practices. Therefore, understanding the role of sustainability in influencing consumer behaviour within this predominantly consumer-driven industry is vital for developing strategies, fostering sustainable consumption patterns, and ensuring long-term environmental and social benefits. This systematic literature review aims to analyse how existing literature has studied sustainability as a driver influencing consumer behaviour in the FFI. Through the consolidation and critical analysis of 95 scholarly articles, we explore how sustainability influences consumer pre- and post-purchase behaviour in the FFI. By understanding the role sustainability plays in this industry, the review identifies key research trends and gaps, providing actionable recommendations for future researchers, practitioners, and policymakers. Our analysis categorised the drivers of consumer behaviour into four main themes – Marketing Strategies, Individual Influences, Group Influences, and Situational Influences – with individual influences and marketing strategies being the most examined drivers. Key research gaps were identified, including the need for further investigation into male consumer attitudes, generational and cross-cultural differences, and underexplored drivers. The study also recommends a broader application of diverse theoretical frameworks and mixed research methods. Our study provides practical insights for marketers, managers, and policymakers to integrate sustainability into business strategies, develop transparent communication and educational campaigns, and implement targeted regulations to promote sustainable consumption practices.","author":[{"dropping-particle":"","family":"Mathew","given":"Manjitha","non-dropping-particle":"","parse-names":false,"suffix":""},{"dropping-particle":"","family":"Spinelli","given":"Riccardo","non-dropping-particle":"","parse-names":false,"suffix":""}],"container-title":"Sustainable Production and Consumption","id":"ITEM-1","issued":{"date-parts":[["2025"]]},"page":"132-145","title":"Decoding sustainable drivers: A systematic literature review on sustMathew, M., &amp; Spinelli, R. (2025). Decoding sustainable drivers: A systematic literature review on sustainability-induced consumer behaviour in the fast fashion industry. Sustainable Prod","type":"article-journal","volume":"55"},"uris":["http://www.mendeley.com/documents/?uuid=58bec0c6-d4de-4781-beb6-307f6537ceb1"]},{"id":"ITEM-2","itemData":{"DOI":"10.1108/JFMM-08-2022-0182","ISSN":"1361-2026","abstract":"While today's customer steadily adapts to various modes of shopping, their beliefs around fluency through each shopping channel, and personal factors such as income level, can impact their intention to patronage or purchase from omnichannel department stores. Hence, this study analysed the customers of omnichannel fashion department stores, using perceived fluency and income as indirect factors that help understand customers' patronage intention and purchase intention.The overarching framework for this research is the theory of reasoned action, in which patronage and purchase intentions represent the specific likelihood-of-performance behaviours. A Seemingly Unrelated Regression model was empirically used to analyse the relationships between generational cohorts, income, and perceived channel fluency and the behaviours that lead to patronage intention and purchase intention. Researchers conducted a survey among 552 omnichannel fashion department store consumers to examine today's retail environment.The results of this study suggest that (1) consumers between the ages of 50 and 69 years, including older Generation X and younger Baby Boomers, who earn between $60,000 and $79,999 in annual salary show a significantly positive relationship with both patronage and purchase intentions through perceived fluency and (2) consumers between the ages of 38 and 49 years, including older Millennials and younger Generation X, who earn between $80,000 and $99,999 in annual salary show a significantly positive relationship with purchase intention through perceived fluencyThis study analyses correlations between a generational cohort, perceived fluency as moderated by income and the relationship between these variables and customers' patronage and purchase intentions, which has not been studied before.","author":[{"dropping-particle":"","family":"Meredith Robertson","given":"Cydni","non-dropping-particle":"","parse-names":false,"suffix":""},{"dropping-particle":"","family":"Kopot","given":"Caroline","non-dropping-particle":"","parse-names":false,"suffix":""}],"container-title":"Journal of Fashion Marketing and Management","id":"ITEM-2","issue":"3","issued":{"date-parts":[["2023","10","16"]]},"page":"525-545","title":"Who still shops at omnichannel fashion department stores? An analysis of generational cohorts and intent to purchase","type":"article-journal","volume":"28"},"uris":["http://www.mendeley.com/documents/?uuid=f7674fc4-438b-4cc0-a6ec-9f96d37cec1a"]},{"id":"ITEM-3","itemData":{"DOI":"https://doi.org/10.1016/j.jjimei.2024.100257","ISSN":"2667-0968","abstract":"This study investigates the influence of Omnichannel-Retailing (OCR) on customer-retention (CR) for Generation Z (Gen Z) in the nascent Industry 5.0 era. Employing a survey with South Asian respondents, the research explores their experiences with retailer-provided omnichannel services. A novel model examines the relationships between OCR, customer-satisfaction (CS), CR, and customer-engagement (CE). Additionally, the model investigates the moderating role of Man-Machine-Collaboration (MMC) on the OCR-CR association. Process macro analysis is employed to assess mediation and moderation effects. The findings reveal positive associations between OCR and both CR and CE. Interestingly, CS does not mediate the OCR-CR relationship, suggesting a more nuanced effect of OCR on retention. However, CE emerges as a significant mediator. Furthermore, the moderating role of MMC is confirmed. This research holds novelty by examining the early stages of Industry 5.0 and its potential disruption of marketing practices, particularly for CR strategies targeting Gen Z in South Asia.","author":[{"dropping-particle":"","family":"Choubey","given":"Vardhan","non-dropping-particle":"","parse-names":false,"suffix":""},{"dropping-particle":"","family":"Gautam","given":"Ayush","non-dropping-particle":"","parse-names":false,"suffix":""}],"container-title":"International Journal of Information Management Data Insights","id":"ITEM-3","issue":"2","issued":{"date-parts":[["2024"]]},"page":"100257","title":"Evaluating omni channel retailing in the emergence of industry 5.0: A perspective of South Asian generation Z","type":"article-journal","volume":"4"},"uris":["http://www.mendeley.com/documents/?uuid=83d0bedc-14e9-4b13-96f7-fa35ee4ecdb9"]},{"id":"ITEM-4","itemData":{"DOI":"https://doi.org/10.1016/j.tsc.2024.101599","ISSN":"1871-1871","abstract":"The article reviews different interventions to teach critical reading and proposes a tested two-stage critical reading model, starting from identifying the author's purposes to responding to the text. In the stage of identifying the author's purposes, students need to analyse the text and connect the text to its context. In the stage of responding to the text, students need to evaluate the author's message. After a teaching experiment carried out with undergraduate students (n = 39), a vast majority of the participants (94.87%) believed that the model helped them to practise fundamental reading skills, such as predicting, identifying the main idea, arguments and evidence, to construct their critical thinking by reflecting, understanding different perspectives and building their own arguments. From students’ suggestions, the model is revised to make it more interactive and dynamic by applying the double-entry note technique and repetitive reading in groups with discussion to exchange viewpoints and interpretation.","author":[{"dropping-particle":"","family":"Hà","given":"Tú Anh","non-dropping-particle":"","parse-names":false,"suffix":""},{"dropping-particle":"","family":"Huertas-Abril","given":"Cristina A","non-dropping-particle":"","parse-names":false,"suffix":""}],"container-title":"Thinking Skills and Creativity","id":"ITEM-4","issued":{"date-parts":[["2024"]]},"page":"101599","title":"Teaching critical reading in higher education: A literature review and pedagogical framework proposal","type":"article-journal","volume":"53"},"uris":["http://www.mendeley.com/documents/?uuid=6a6f0d31-6ceb-40dd-9f07-8d7c5690e035"]}],"mendeley":{"formattedCitation":"(Choubey &amp; Gautam, 2024; Hà &amp; Huertas-Abril, 2024; Mathew &amp; Spinelli, 2025; Meredith Robertson &amp; Kopot, 2023)","plainTextFormattedCitation":"(Choubey &amp; Gautam, 2024; Hà &amp; Huertas-Abril, 2024; Mathew &amp; Spinelli, 2025; Meredith Robertson &amp; Kopot, 2023)","previouslyFormattedCitation":"(Choubey &amp; Gautam, 2024; Hà &amp; Huertas-Abril, 2024; Mathew &amp; Spinelli, 2025; Meredith Robertson &amp; Kopot, 2023)"},"properties":{"noteIndex":0},"schema":"https://github.com/citation-style-language/schema/raw/master/csl-citation.json"}</w:instrText>
      </w:r>
      <w:r w:rsidR="00ED19B4" w:rsidRPr="00B75BF1">
        <w:fldChar w:fldCharType="separate"/>
      </w:r>
      <w:r w:rsidR="000724CE" w:rsidRPr="00B75BF1">
        <w:rPr>
          <w:noProof/>
        </w:rPr>
        <w:t>(Choubey &amp; Gautam, 2024; Hà &amp; Huertas-Abril, 2024; Mathew &amp; Spinelli, 2025; Meredith Robertson &amp; Kopot, 2023)</w:t>
      </w:r>
      <w:r w:rsidR="00ED19B4" w:rsidRPr="00B75BF1">
        <w:fldChar w:fldCharType="end"/>
      </w:r>
      <w:r w:rsidR="00986572" w:rsidRPr="00B75BF1">
        <w:t xml:space="preserve">. </w:t>
      </w:r>
    </w:p>
    <w:p w14:paraId="767C894F" w14:textId="24EDC174" w:rsidR="00986572" w:rsidRPr="00B75BF1" w:rsidRDefault="00986572" w:rsidP="00044DB5">
      <w:pPr>
        <w:pStyle w:val="NormalWeb"/>
      </w:pPr>
      <w:r w:rsidRPr="00B75BF1">
        <w:t xml:space="preserve">However, </w:t>
      </w:r>
      <w:r w:rsidR="00044DB5" w:rsidRPr="00B75BF1">
        <w:t xml:space="preserve">there are sections that were not as successful. The initial reports were overly descriptive of the fashion market in the UK and not judgmental with regard to competitiveness. The data on fashion retail, apparel, and fast fashion overlapped, so it was difficult to manage the category boundaries. It was not easy to separate industry-wide </w:t>
      </w:r>
      <w:r w:rsidR="00044DB5" w:rsidRPr="00B75BF1">
        <w:lastRenderedPageBreak/>
        <w:t xml:space="preserve">pressure, such as sustainability scrutiny, with Zara-specific strategic concerns. This necessitated the reduction of evidence and closer scrutiny of the real support of each source. Critical reading research contributed to my realization that more powerful analysis can be performed by knowing author purpose, context, and limitations </w:t>
      </w:r>
      <w:r w:rsidR="000724CE" w:rsidRPr="00B75BF1">
        <w:fldChar w:fldCharType="begin" w:fldLock="1"/>
      </w:r>
      <w:r w:rsidR="000724CE" w:rsidRPr="00B75BF1">
        <w:instrText>ADDIN CSL_CITATION {"citationItems":[{"id":"ITEM-1","itemData":{"DOI":"https://doi.org/10.1016/j.tsc.2022.101028","ISSN":"1871-1871","abstract":"It is believed that together with critical thinking, critical reading has emerged as a fundamental skill that university graduates are expected to possess in an increasingly modern and digitally connected world (Bråten &amp; Braasch, 2017). With the advancement of technology, young adults have been increasingly submerged in a sea of information available at their fingertips. Hence, they must learn how to select, analyze, evaluate, and assess the information they encounter in their academic or professional lives (Siemens, 2004). However, it is observed that critical reading skills in higher education seem to be neglected in the research field compared to an interest in critical thinking studies. This study systematically evaluates 75 papers published between 2001 and 2021 and indexed in the Web of Science and Education Resources Information Center (ERIC) databases. The findings indicate that scholars in Turkey and the United States place a higher premium on critical research than researchers in other parts of the world. Most papers focus on investigating feasible approaches to develop critical reading skills amongst undergraduates and proposing critical reading pedagogy in higher education institutions. However, there has been a deficiency in research of critical reading in STEM education, especially in the Asian tertiary context. This study highlights the significance of conducting additional in-depth research into the effects of integrating critical reading classrooms and teaching-and-learning activities into STEM education, as well as the impact of using science topics with the goal of cultivating this crucial skill for young people's academic and professional development in the era of the digital revolution. Moreover, research on a conceptual framework to develop critical reading abilities amongst Asian undergraduates could be considered as a potential topic for novice researchers.","author":[{"dropping-particle":"","family":"Van","given":"Le Ha","non-dropping-particle":"","parse-names":false,"suffix":""},{"dropping-particle":"","family":"Li","given":"Chong Su","non-dropping-particle":"","parse-names":false,"suffix":""},{"dropping-particle":"","family":"Wan","given":"Roselind","non-dropping-particle":"","parse-names":false,"suffix":""}],"container-title":"Thinking Skills and Creativity","id":"ITEM-1","issued":{"date-parts":[["2022"]]},"page":"101028","title":"Critical reading in higher education: A systematic review","type":"article-journal","volume":"44"},"uris":["http://www.mendeley.com/documents/?uuid=b5736336-1b4a-4dea-bb00-4d4840582cda"]},{"id":"ITEM-2","itemData":{"DOI":"https://doi.org/10.1016/j.tsc.2024.101599","ISSN":"1871-1871","abstract":"The article reviews different interventions to teach critical reading and proposes a tested two-stage critical reading model, starting from identifying the author's purposes to responding to the text. In the stage of identifying the author's purposes, students need to analyse the text and connect the text to its context. In the stage of responding to the text, students need to evaluate the author's message. After a teaching experiment carried out with undergraduate students (n = 39), a vast majority of the participants (94.87%) believed that the model helped them to practise fundamental reading skills, such as predicting, identifying the main idea, arguments and evidence, to construct their critical thinking by reflecting, understanding different perspectives and building their own arguments. From students’ suggestions, the model is revised to make it more interactive and dynamic by applying the double-entry note technique and repetitive reading in groups with discussion to exchange viewpoints and interpretation.","author":[{"dropping-particle":"","family":"Hà","given":"Tú Anh","non-dropping-particle":"","parse-names":false,"suffix":""},{"dropping-particle":"","family":"Huertas-Abril","given":"Cristina A","non-dropping-particle":"","parse-names":false,"suffix":""}],"container-title":"Thinking Skills and Creativity","id":"ITEM-2","issued":{"date-parts":[["2024"]]},"page":"101599","title":"Teaching critical reading in higher education: A literature review and pedagogical framework proposal","type":"article-journal","volume":"53"},"uris":["http://www.mendeley.com/documents/?uuid=6a6f0d31-6ceb-40dd-9f07-8d7c5690e035"]},{"id":"ITEM-3","itemData":{"DOI":"10.1080/2331186X.2024.2326732","ISSN":"null","author":[{"dropping-particle":"Van","family":"Le","given":"Ha","non-dropping-particle":"","parse-names":false,"suffix":""},{"dropping-particle":"","family":"Nguyen","given":"Thi Ai Duyen","non-dropping-particle":"","parse-names":false,"suffix":""},{"dropping-particle":"","family":"Le","given":"Dinh Hieu Ngan","non-dropping-particle":"","parse-names":false,"suffix":""},{"dropping-particle":"","family":"Nguyen","given":"Phuong Uyen","non-dropping-particle":"","parse-names":false,"suffix":""},{"dropping-particle":"","family":"Nguyen","given":"Thi Thien An","non-dropping-particle":"","parse-names":false,"suffix":""}],"container-title":"Cogent Education","id":"ITEM-3","issue":"1","issued":{"date-parts":[["2024","12","31"]]},"note":"doi: 10.1080/2331186X.2024.2326732","page":"2326732","publisher":"Cogent OA","title":"Unveiling critical reading strategies and challenges: a mixed-methods study among English major students in a Vietnamese higher education institution","type":"article-journal","volume":"11"},"uris":["http://www.mendeley.com/documents/?uuid=3189425f-866c-459e-820c-10648cfd0127"]}],"mendeley":{"formattedCitation":"(Hà &amp; Huertas-Abril, 2024; Le et al., 2024; Van et al., 2022)","plainTextFormattedCitation":"(Hà &amp; Huertas-Abril, 2024; Le et al., 2024; Van et al., 2022)","previouslyFormattedCitation":"(Hà &amp; Huertas-Abril, 2024; Le et al., 2024; Van et al., 2022)"},"properties":{"noteIndex":0},"schema":"https://github.com/citation-style-language/schema/raw/master/csl-citation.json"}</w:instrText>
      </w:r>
      <w:r w:rsidR="000724CE" w:rsidRPr="00B75BF1">
        <w:fldChar w:fldCharType="separate"/>
      </w:r>
      <w:r w:rsidR="000724CE" w:rsidRPr="00B75BF1">
        <w:rPr>
          <w:noProof/>
        </w:rPr>
        <w:t>(Hà &amp; Huertas-Abril, 2024; Le et al., 2024; Van et al., 2022)</w:t>
      </w:r>
      <w:r w:rsidR="000724CE" w:rsidRPr="00B75BF1">
        <w:fldChar w:fldCharType="end"/>
      </w:r>
      <w:r w:rsidRPr="00B75BF1">
        <w:t xml:space="preserve">. </w:t>
      </w:r>
    </w:p>
    <w:p w14:paraId="22AC9516" w14:textId="1ECABD4F" w:rsidR="00986572" w:rsidRPr="00B75BF1" w:rsidRDefault="00986572" w:rsidP="00986572">
      <w:pPr>
        <w:pStyle w:val="Heading2"/>
      </w:pPr>
      <w:bookmarkStart w:id="30" w:name="_Toc224049986"/>
      <w:r w:rsidRPr="00B75BF1">
        <w:t>Analysis</w:t>
      </w:r>
      <w:bookmarkEnd w:id="30"/>
    </w:p>
    <w:p w14:paraId="51E02A5C" w14:textId="7B8A4537" w:rsidR="00986572" w:rsidRPr="00B75BF1" w:rsidRDefault="00044DB5" w:rsidP="00044DB5">
      <w:pPr>
        <w:pStyle w:val="NormalWeb"/>
      </w:pPr>
      <w:r w:rsidRPr="00B75BF1">
        <w:t xml:space="preserve">The greatest learning experience was the way the Diamond by Porter shifted the report to the description and analysis of national competitiveness. In the absence of the Diamond, I could have enumerated market facts such as size of consumers or competition. The framework rather compelled me to reflect on how the settings of the UK </w:t>
      </w:r>
      <w:proofErr w:type="spellStart"/>
      <w:r w:rsidRPr="00B75BF1">
        <w:t>favour</w:t>
      </w:r>
      <w:proofErr w:type="spellEnd"/>
      <w:r w:rsidRPr="00B75BF1">
        <w:t xml:space="preserve"> fast fashion advantage based on factor settings, sophistication of demand, supportive industries, and competition. Put differently, this transition to explanation is symptomatic of critical thinking </w:t>
      </w:r>
      <w:r w:rsidR="000724CE" w:rsidRPr="00B75BF1">
        <w:fldChar w:fldCharType="begin" w:fldLock="1"/>
      </w:r>
      <w:r w:rsidR="000724CE" w:rsidRPr="00B75BF1">
        <w:instrText>ADDIN CSL_CITATION {"citationItems":[{"id":"ITEM-1","itemData":{"DOI":"https://doi.org/10.1016/j.tsc.2022.101028","ISSN":"1871-1871","abstract":"It is believed that together with critical thinking, critical reading has emerged as a fundamental skill that university graduates are expected to possess in an increasingly modern and digitally connected world (Bråten &amp; Braasch, 2017). With the advancement of technology, young adults have been increasingly submerged in a sea of information available at their fingertips. Hence, they must learn how to select, analyze, evaluate, and assess the information they encounter in their academic or professional lives (Siemens, 2004). However, it is observed that critical reading skills in higher education seem to be neglected in the research field compared to an interest in critical thinking studies. This study systematically evaluates 75 papers published between 2001 and 2021 and indexed in the Web of Science and Education Resources Information Center (ERIC) databases. The findings indicate that scholars in Turkey and the United States place a higher premium on critical research than researchers in other parts of the world. Most papers focus on investigating feasible approaches to develop critical reading skills amongst undergraduates and proposing critical reading pedagogy in higher education institutions. However, there has been a deficiency in research of critical reading in STEM education, especially in the Asian tertiary context. This study highlights the significance of conducting additional in-depth research into the effects of integrating critical reading classrooms and teaching-and-learning activities into STEM education, as well as the impact of using science topics with the goal of cultivating this crucial skill for young people's academic and professional development in the era of the digital revolution. Moreover, research on a conceptual framework to develop critical reading abilities amongst Asian undergraduates could be considered as a potential topic for novice researchers.","author":[{"dropping-particle":"","family":"Van","given":"Le Ha","non-dropping-particle":"","parse-names":false,"suffix":""},{"dropping-particle":"","family":"Li","given":"Chong Su","non-dropping-particle":"","parse-names":false,"suffix":""},{"dropping-particle":"","family":"Wan","given":"Roselind","non-dropping-particle":"","parse-names":false,"suffix":""}],"container-title":"Thinking Skills and Creativity","id":"ITEM-1","issued":{"date-parts":[["2022"]]},"page":"101028","title":"Critical reading in higher education: A systematic review","type":"article-journal","volume":"44"},"uris":["http://www.mendeley.com/documents/?uuid=b5736336-1b4a-4dea-bb00-4d4840582cda"]},{"id":"ITEM-2","itemData":{"DOI":"https://doi.org/10.1016/j.ijme.2021.100531","ISSN":"1472-8117","abstract":"Developing critical thinking is an important goal in higher education and, more importantly, in business education. Yet, it is uncertain to what extent assessment influences students' critical thinking development and enhancement. This paper presents data from a study that applied a framework we developed to identify evidence of students’ ability to think critically and whether students face challenges at applying critical thinking. A sample of 100, 2000-word group reports from a masters business analysis subject were evaluated using a critical thinking assessment rubric. We followed this with a content analysis of 49 reports using our developed framework to identify the demonstration of critical thinking dispositions and abilities. The findings from both analyses indicate a difference between student reports on how critical thinking is demonstrated. Most importantly, our developed framework provides a novel way to analyse student reports that inform whether they demonstrate the specific components of critical thinking dispositions and abilities. The evaluation using our established framework enables us to offer practical suggestions that university instructors can use to address the issues and challenges raised that hinder critical thinking acquisition via assessment practice in business education.","author":[{"dropping-particle":"","family":"Calma","given":"Angelito","non-dropping-particle":"","parse-names":false,"suffix":""},{"dropping-particle":"","family":"Cotronei-Baird","given":"Valeria","non-dropping-particle":"","parse-names":false,"suffix":""}],"container-title":"The International Journal of Management Education","id":"ITEM-2","issue":"3","issued":{"date-parts":[["2021"]]},"page":"100531","title":"Assessing critical thinking in business education: Key issues and practical solutions","type":"article-journal","volume":"19"},"uris":["http://www.mendeley.com/documents/?uuid=ed849a71-2a11-4858-b13d-dcb2a3a18f59"]},{"id":"ITEM-3","itemData":{"DOI":"10.1080/02564602.2024.2390290","ISSN":"0256-4602","author":[{"dropping-particle":"","family":"Kumar","given":"Mamidala Jagadesh","non-dropping-particle":"","parse-names":false,"suffix":""}],"container-title":"IETE Technical Review","id":"ITEM-3","issue":"5","issued":{"date-parts":[["2024","9","2"]]},"note":"doi: 10.1080/02564602.2024.2390290","page":"509-510","publisher":"Taylor &amp; Francis","title":"The Imperative of Critical Thinking in Higher Education","type":"article-journal","volume":"41"},"uris":["http://www.mendeley.com/documents/?uuid=299548e6-6242-4fca-9600-5c2596b92fca"]}],"mendeley":{"formattedCitation":"(Calma &amp; Cotronei-Baird, 2021; Kumar, 2024; Van et al., 2022)","plainTextFormattedCitation":"(Calma &amp; Cotronei-Baird, 2021; Kumar, 2024; Van et al., 2022)","previouslyFormattedCitation":"(Calma &amp; Cotronei-Baird, 2021; Kumar, 2024; Van et al., 2022)"},"properties":{"noteIndex":0},"schema":"https://github.com/citation-style-language/schema/raw/master/csl-citation.json"}</w:instrText>
      </w:r>
      <w:r w:rsidR="000724CE" w:rsidRPr="00B75BF1">
        <w:fldChar w:fldCharType="separate"/>
      </w:r>
      <w:r w:rsidR="000724CE" w:rsidRPr="00B75BF1">
        <w:rPr>
          <w:noProof/>
        </w:rPr>
        <w:t>(Calma &amp; Cotronei-Baird, 2021; Kumar, 2024; Van et al., 2022)</w:t>
      </w:r>
      <w:r w:rsidR="000724CE" w:rsidRPr="00B75BF1">
        <w:fldChar w:fldCharType="end"/>
      </w:r>
      <w:r w:rsidR="00986572" w:rsidRPr="00B75BF1">
        <w:t xml:space="preserve">. </w:t>
      </w:r>
    </w:p>
    <w:p w14:paraId="1FC5DC32" w14:textId="6B7A4CD8" w:rsidR="00986572" w:rsidRPr="00B75BF1" w:rsidRDefault="00044DB5" w:rsidP="00986572">
      <w:pPr>
        <w:pStyle w:val="NormalWeb"/>
      </w:pPr>
      <w:r w:rsidRPr="00B75BF1">
        <w:t xml:space="preserve">PESTEL and cultural analysis enhanced the Zara section by analyzing mechanisms that impact the firm. Political and legal commentary was used to identify the effects of Brexit-related tensions, scrutiny of supply-chains, and green-claims regulations on speed, cost, and reputation. The economic analysis explained why Zara is in the squeezed-middle category: it is advances in designs more than their rivals but it is also more vulnerable to value attack than their others. The cultural analysis provided the way UK fashion awareness, social media impacts, and omnichannel demands favor Zara, and emerging sustainability issues threaten it. Adoption of various frameworks enhanced level of analysis since it emphasized various aspects of the market </w:t>
      </w:r>
      <w:r w:rsidR="000724CE" w:rsidRPr="00B75BF1">
        <w:fldChar w:fldCharType="begin" w:fldLock="1"/>
      </w:r>
      <w:r w:rsidR="000724CE" w:rsidRPr="00B75BF1">
        <w:instrText>ADDIN CSL_CITATION {"citationItems":[{"id":"ITEM-1","itemData":{"DOI":"https://doi.org/10.1016/j.spc.2025.02.011","ISSN":"2352-5509","abstract":"Sustainability in the fast fashion industry (FFI) has become crucial due to the sector's substantial environmental and social impacts. As sustainability has started capturing the interest of consumers and policymakers, there has been a heightened expectation for fast fashion companies to prioritise it in their practices. This situation is paradoxical but inevitable for these companies, which rely on an unsustainable business model promoting mindless consumption while also needing to address the growing consumer demand for more conscious and responsible practices. Therefore, understanding the role of sustainability in influencing consumer behaviour within this predominantly consumer-driven industry is vital for developing strategies, fostering sustainable consumption patterns, and ensuring long-term environmental and social benefits. This systematic literature review aims to analyse how existing literature has studied sustainability as a driver influencing consumer behaviour in the FFI. Through the consolidation and critical analysis of 95 scholarly articles, we explore how sustainability influences consumer pre- and post-purchase behaviour in the FFI. By understanding the role sustainability plays in this industry, the review identifies key research trends and gaps, providing actionable recommendations for future researchers, practitioners, and policymakers. Our analysis categorised the drivers of consumer behaviour into four main themes – Marketing Strategies, Individual Influences, Group Influences, and Situational Influences – with individual influences and marketing strategies being the most examined drivers. Key research gaps were identified, including the need for further investigation into male consumer attitudes, generational and cross-cultural differences, and underexplored drivers. The study also recommends a broader application of diverse theoretical frameworks and mixed research methods. Our study provides practical insights for marketers, managers, and policymakers to integrate sustainability into business strategies, develop transparent communication and educational campaigns, and implement targeted regulations to promote sustainable consumption practices.","author":[{"dropping-particle":"","family":"Mathew","given":"Manjitha","non-dropping-particle":"","parse-names":false,"suffix":""},{"dropping-particle":"","family":"Spinelli","given":"Riccardo","non-dropping-particle":"","parse-names":false,"suffix":""}],"container-title":"Sustainable Production and Consumption","id":"ITEM-1","issued":{"date-parts":[["2025"]]},"page":"132-145","title":"Decoding sustainable drivers: A systematic literature review on sustMathew, M., &amp; Spinelli, R. (2025). Decoding sustainable drivers: A systematic literature review on sustainability-induced consumer behaviour in the fast fashion industry. Sustainable Prod","type":"article-journal","volume":"55"},"uris":["http://www.mendeley.com/documents/?uuid=58bec0c6-d4de-4781-beb6-307f6537ceb1"]},{"id":"ITEM-2","itemData":{"DOI":"https://doi.org/10.1016/j.jbusres.2023.114197","ISSN":"0148-2963","abstract":"In the digital platform era, omni-channel marketing is widely adopted. The efficiency of marketing investment will affect the revenues and profits of the firms. On one hand, the firms endeavour to adjust their marketing strategies to maximize their profits; on the other hand, the retailer and manufacturer have their own risk preferences, which will affect their decision making in omni-channel marketing strategies. We address these emerging issues by conducting a theoretical mean-risk analysis. We find that the optimal online marketing investment is not always larger than the offline counterpart, even when the online ads’ influence is large. We uncover that the integrated omni-channel marketing effect is a critical factor which affects the expected profits derived from both channels. Furthermore, we extend the analysis by considering the risk preferences of the retailer and manufacturer as well as demand uncertainty and correlation. Important managerial insights are generated.","author":[{"dropping-particle":"","family":"Cai","given":"Ya-Jun","non-dropping-particle":"","parse-names":false,"suffix":""},{"dropping-particle":"","family":"Choi","given":"Tsan-Ming","non-dropping-particle":"","parse-names":false,"suffix":""}],"container-title":"Journal of Business Research","id":"ITEM-2","issued":{"date-parts":[["2023"]]},"page":"114197","title":"Omni-channel marketing strategy in the digital platform era","type":"article-journal","volume":"168"},"uris":["http://www.mendeley.com/documents/?uuid=4f45c496-58f8-4ef8-b16c-423cd2a03c44"]},{"id":"ITEM-3","itemData":{"DOI":"https://doi.org/10.1016/j.jjimei.2024.100257","ISSN":"2667-0968","abstract":"This study investigates the influence of Omnichannel-Retailing (OCR) on customer-retention (CR) for Generation Z (Gen Z) in the nascent Industry 5.0 era. Employing a survey with South Asian respondents, the research explores their experiences with retailer-provided omnichannel services. A novel model examines the relationships between OCR, customer-satisfaction (CS), CR, and customer-engagement (CE). Additionally, the model investigates the moderating role of Man-Machine-Collaboration (MMC) on the OCR-CR association. Process macro analysis is employed to assess mediation and moderation effects. The findings reveal positive associations between OCR and both CR and CE. Interestingly, CS does not mediate the OCR-CR relationship, suggesting a more nuanced effect of OCR on retention. However, CE emerges as a significant mediator. Furthermore, the moderating role of MMC is confirmed. This research holds novelty by examining the early stages of Industry 5.0 and its potential disruption of marketing practices, particularly for CR strategies targeting Gen Z in South Asia.","author":[{"dropping-particle":"","family":"Choubey","given":"Vardhan","non-dropping-particle":"","parse-names":false,"suffix":""},{"dropping-particle":"","family":"Gautam","given":"Ayush","non-dropping-particle":"","parse-names":false,"suffix":""}],"container-title":"International Journal of Information Management Data Insights","id":"ITEM-3","issue":"2","issued":{"date-parts":[["2024"]]},"page":"100257","title":"Evaluating omni channel retailing in the emergence of industry 5.0: A perspective of South Asian generation Z","type":"article-journal","volume":"4"},"uris":["http://www.mendeley.com/documents/?uuid=83d0bedc-14e9-4b13-96f7-fa35ee4ecdb9"]},{"id":"ITEM-4","itemData":{"DOI":"10.1080/20932685.2023.2237978","ISSN":"2093-2685","author":[{"dropping-particle":"","family":"Vladimirova","given":"K","non-dropping-particle":"","parse-names":false,"suffix":""},{"dropping-particle":"","family":"Henninger","given":"C E","non-dropping-particle":"","parse-names":false,"suffix":""},{"dropping-particle":"","family":"Alosaimi","given":"S I","non-dropping-particle":"","parse-names":false,"suffix":""},{"dropping-particle":"","family":"Brydges","given":"T","non-dropping-particle":"","parse-names":false,"suffix":""},{"dropping-particle":"","family":"Choopani","given":"H","non-dropping-particle":"","parse-names":false,"suffix":""},{"dropping-particle":"","family":"Hanlon","given":"M","non-dropping-particle":"","parse-names":false,"suffix":""},{"dropping-particle":"","family":"Iran","given":"S","non-dropping-particle":"","parse-names":false,"suffix":""},{"dropping-particle":"","family":"McCormick","given":"H","non-dropping-particle":"","parse-names":false,"suffix":""},{"dropping-particle":"","family":"Zhou","given":"S","non-dropping-particle":"","parse-names":false,"suffix":""}],"container-title":"Journal of Global Fashion Marketing","id":"ITEM-4","issue":"2","issued":{"date-parts":[["2024","4","2"]]},"note":"doi: 10.1080/20932685.2023.2237978","page":"181-202","publisher":"Routledge","title":"Exploring the influence of social media on sustainable fashion consumption: A systematic literature review and future research agenda","type":"article-journal","volume":"15"},"uris":["http://www.mendeley.com/documents/?uuid=3e001a28-be40-43fc-98bf-d1798c0e6f3f"]}],"mendeley":{"formattedCitation":"(Cai &amp; Choi, 2023; Choubey &amp; Gautam, 2024; Mathew &amp; Spinelli, 2025; Vladimirova et al., 2024)","plainTextFormattedCitation":"(Cai &amp; Choi, 2023; Choubey &amp; Gautam, 2024; Mathew &amp; Spinelli, 2025; Vladimirova et al., 2024)","previouslyFormattedCitation":"(Cai &amp; Choi, 2023; Choubey &amp; Gautam, 2024; Mathew &amp; Spinelli, 2025)"},"properties":{"noteIndex":0},"schema":"https://github.com/citation-style-language/schema/raw/master/csl-citation.json"}</w:instrText>
      </w:r>
      <w:r w:rsidR="000724CE" w:rsidRPr="00B75BF1">
        <w:fldChar w:fldCharType="separate"/>
      </w:r>
      <w:r w:rsidR="000724CE" w:rsidRPr="00B75BF1">
        <w:rPr>
          <w:noProof/>
        </w:rPr>
        <w:t>(Cai &amp; Choi, 2023; Choubey &amp; Gautam, 2024; Mathew &amp; Spinelli, 2025; Vladimirova et al., 2024)</w:t>
      </w:r>
      <w:r w:rsidR="000724CE" w:rsidRPr="00B75BF1">
        <w:fldChar w:fldCharType="end"/>
      </w:r>
      <w:r w:rsidR="00986572" w:rsidRPr="00B75BF1">
        <w:t xml:space="preserve">. </w:t>
      </w:r>
    </w:p>
    <w:p w14:paraId="049D3CAA" w14:textId="35297A76" w:rsidR="00986572" w:rsidRPr="00B75BF1" w:rsidRDefault="00044DB5" w:rsidP="00986572">
      <w:pPr>
        <w:pStyle w:val="NormalWeb"/>
      </w:pPr>
      <w:r w:rsidRPr="00B75BF1">
        <w:t>Critical reading also made me better in my judgment when the evidence looked very inconsistent. There were also sources that indicated sustainability was taking a more central role on fashion decisions, whereas other sources revealed that consumers were still focused on price and convenience. I perceived this to be a market tension that was realistic. Likewise, omnichannel research and company report indicated that physical retail is not obsolete, and hence it is important why the physical presence of Zara is an asset. This was a lesson that Level 7 international business analysis entails the balancing of evidence, identification of competing pressures, and the reasoned judgments based on theory and existing data</w:t>
      </w:r>
      <w:r w:rsidR="00986572" w:rsidRPr="00B75BF1">
        <w:t xml:space="preserve">. </w:t>
      </w:r>
    </w:p>
    <w:p w14:paraId="1F2CF8B6" w14:textId="68265416" w:rsidR="00986572" w:rsidRPr="00B75BF1" w:rsidRDefault="00986572" w:rsidP="00986572">
      <w:pPr>
        <w:pStyle w:val="Heading2"/>
      </w:pPr>
      <w:bookmarkStart w:id="31" w:name="_Toc224049987"/>
      <w:r w:rsidRPr="00B75BF1">
        <w:t>Conclusion</w:t>
      </w:r>
      <w:bookmarkEnd w:id="31"/>
    </w:p>
    <w:p w14:paraId="1B4E2560" w14:textId="0904B2D2" w:rsidR="00986572" w:rsidRPr="00B75BF1" w:rsidRDefault="00044DB5" w:rsidP="00986572">
      <w:pPr>
        <w:pStyle w:val="NormalWeb"/>
      </w:pPr>
      <w:r w:rsidRPr="00B75BF1">
        <w:t xml:space="preserve">This report helped me realize that effective international business analysis requires discipline in selecting sources, critical reading and framework application. Quality of research will be enhanced when peer-reviewed literature explains, and not merely provides a company with evidence. Theory is the most useful when it enhances judgment: the Diamond of national competitiveness revealed by Porter, the PESTEL and cultural analysis made clear the opportunities and threats of the firm at the firm level at Zara. To judge market attractiveness, one needs a balance, whereas a large and dynamic market may be costly, contested, and ethically </w:t>
      </w:r>
      <w:proofErr w:type="spellStart"/>
      <w:r w:rsidRPr="00B75BF1">
        <w:t>pressureful</w:t>
      </w:r>
      <w:proofErr w:type="spellEnd"/>
      <w:r w:rsidRPr="00B75BF1">
        <w:t>. This realization reinforced my knowledge about postgraduate analysis being an evaluation and not description</w:t>
      </w:r>
      <w:r w:rsidR="00986572" w:rsidRPr="00B75BF1">
        <w:t xml:space="preserve">. </w:t>
      </w:r>
    </w:p>
    <w:p w14:paraId="1FFCA3C0" w14:textId="47F84F05" w:rsidR="00986572" w:rsidRPr="00B75BF1" w:rsidRDefault="00986572" w:rsidP="00986572">
      <w:pPr>
        <w:pStyle w:val="Heading2"/>
      </w:pPr>
      <w:bookmarkStart w:id="32" w:name="_Toc224049988"/>
      <w:r w:rsidRPr="00B75BF1">
        <w:lastRenderedPageBreak/>
        <w:t>Action Plan</w:t>
      </w:r>
      <w:bookmarkEnd w:id="32"/>
    </w:p>
    <w:p w14:paraId="6EA62EF6" w14:textId="77777777" w:rsidR="00044DB5" w:rsidRPr="00B75BF1" w:rsidRDefault="00044DB5" w:rsidP="00044DB5">
      <w:pPr>
        <w:pStyle w:val="NormalWeb"/>
      </w:pPr>
      <w:r w:rsidRPr="00B75BF1">
        <w:t>To improve my process in the future, I will make five improvements:</w:t>
      </w:r>
    </w:p>
    <w:p w14:paraId="4627B23B" w14:textId="32C6E8FB" w:rsidR="00044DB5" w:rsidRPr="00B75BF1" w:rsidRDefault="00044DB5" w:rsidP="00044DB5">
      <w:pPr>
        <w:pStyle w:val="NormalWeb"/>
        <w:numPr>
          <w:ilvl w:val="0"/>
          <w:numId w:val="11"/>
        </w:numPr>
      </w:pPr>
      <w:r w:rsidRPr="00B75BF1">
        <w:t>Filter the sources beforehand, and isolate the peer-reviewed literature, industry reports and policy documents initially.</w:t>
      </w:r>
    </w:p>
    <w:p w14:paraId="5BEA5D11" w14:textId="77777777" w:rsidR="00044DB5" w:rsidRPr="00B75BF1" w:rsidRDefault="00044DB5" w:rsidP="00044DB5">
      <w:pPr>
        <w:pStyle w:val="NormalWeb"/>
        <w:numPr>
          <w:ilvl w:val="0"/>
          <w:numId w:val="11"/>
        </w:numPr>
      </w:pPr>
      <w:r w:rsidRPr="00B75BF1">
        <w:t>Begin with additional journal articles and then resort to commercial sources which will ensure a better conceptual foundation.</w:t>
      </w:r>
    </w:p>
    <w:p w14:paraId="4E38F555" w14:textId="77777777" w:rsidR="00044DB5" w:rsidRPr="00B75BF1" w:rsidRDefault="00044DB5" w:rsidP="00044DB5">
      <w:pPr>
        <w:pStyle w:val="NormalWeb"/>
        <w:numPr>
          <w:ilvl w:val="0"/>
          <w:numId w:val="11"/>
        </w:numPr>
      </w:pPr>
      <w:r w:rsidRPr="00B75BF1">
        <w:t>Minimize the descriptive writing by transforming notes into analytical questions that are associated with every framework.</w:t>
      </w:r>
    </w:p>
    <w:p w14:paraId="007F9478" w14:textId="77777777" w:rsidR="00044DB5" w:rsidRPr="00B75BF1" w:rsidRDefault="00044DB5" w:rsidP="00044DB5">
      <w:pPr>
        <w:pStyle w:val="NormalWeb"/>
        <w:numPr>
          <w:ilvl w:val="0"/>
          <w:numId w:val="11"/>
        </w:numPr>
      </w:pPr>
      <w:r w:rsidRPr="00B75BF1">
        <w:t>Incorporate theory at an earlier stage of drafting, rather than incorporating models at a later stage of drafting.</w:t>
      </w:r>
    </w:p>
    <w:p w14:paraId="4A359491" w14:textId="4C6CFFB8" w:rsidR="00F013D8" w:rsidRPr="00B75BF1" w:rsidRDefault="00044DB5" w:rsidP="00044DB5">
      <w:pPr>
        <w:pStyle w:val="NormalWeb"/>
      </w:pPr>
      <w:r w:rsidRPr="00B75BF1">
        <w:t>Critically compare evidence based on what each source measures, what its limitations are and how well it supports industry/firm level claims. According to studies of reflective practice, structured reflection enhances judgment and performance thus I consider reflective practice as a way of coming out with better analysis at the start</w:t>
      </w:r>
      <w:r w:rsidR="00986572" w:rsidRPr="00B75BF1">
        <w:t xml:space="preserve">. </w:t>
      </w:r>
    </w:p>
    <w:tbl>
      <w:tblPr>
        <w:tblW w:w="9500" w:type="dxa"/>
        <w:tblLook w:val="04A0" w:firstRow="1" w:lastRow="0" w:firstColumn="1" w:lastColumn="0" w:noHBand="0" w:noVBand="1"/>
      </w:tblPr>
      <w:tblGrid>
        <w:gridCol w:w="1468"/>
        <w:gridCol w:w="2371"/>
        <w:gridCol w:w="3395"/>
        <w:gridCol w:w="2266"/>
      </w:tblGrid>
      <w:tr w:rsidR="001158AB" w:rsidRPr="00B75BF1" w14:paraId="54448205" w14:textId="77777777" w:rsidTr="001158AB">
        <w:trPr>
          <w:trHeight w:val="90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87DF1AF" w14:textId="77777777" w:rsidR="001158AB" w:rsidRPr="00B75BF1" w:rsidRDefault="001158AB" w:rsidP="001158AB">
            <w:pPr>
              <w:spacing w:after="0" w:line="240" w:lineRule="auto"/>
              <w:jc w:val="center"/>
              <w:rPr>
                <w:rFonts w:ascii="Calibri" w:eastAsia="Times New Roman" w:hAnsi="Calibri" w:cs="Calibri"/>
                <w:b/>
                <w:bCs/>
                <w:color w:val="000000"/>
                <w:sz w:val="22"/>
                <w:lang w:val="en-US"/>
              </w:rPr>
            </w:pPr>
            <w:r w:rsidRPr="00B75BF1">
              <w:rPr>
                <w:rFonts w:ascii="Calibri" w:eastAsia="Times New Roman" w:hAnsi="Calibri" w:cs="Calibri"/>
                <w:b/>
                <w:bCs/>
                <w:color w:val="000000"/>
                <w:sz w:val="22"/>
                <w:lang w:val="en-US"/>
              </w:rPr>
              <w:t>Area for Improvement</w:t>
            </w:r>
          </w:p>
        </w:tc>
        <w:tc>
          <w:tcPr>
            <w:tcW w:w="2420" w:type="dxa"/>
            <w:tcBorders>
              <w:top w:val="single" w:sz="4" w:space="0" w:color="auto"/>
              <w:left w:val="nil"/>
              <w:bottom w:val="single" w:sz="4" w:space="0" w:color="auto"/>
              <w:right w:val="single" w:sz="4" w:space="0" w:color="auto"/>
            </w:tcBorders>
            <w:shd w:val="clear" w:color="auto" w:fill="auto"/>
            <w:vAlign w:val="center"/>
            <w:hideMark/>
          </w:tcPr>
          <w:p w14:paraId="42ADBF95" w14:textId="77777777" w:rsidR="001158AB" w:rsidRPr="00B75BF1" w:rsidRDefault="001158AB" w:rsidP="001158AB">
            <w:pPr>
              <w:spacing w:after="0" w:line="240" w:lineRule="auto"/>
              <w:jc w:val="center"/>
              <w:rPr>
                <w:rFonts w:ascii="Calibri" w:eastAsia="Times New Roman" w:hAnsi="Calibri" w:cs="Calibri"/>
                <w:b/>
                <w:bCs/>
                <w:color w:val="000000"/>
                <w:sz w:val="22"/>
                <w:lang w:val="en-US"/>
              </w:rPr>
            </w:pPr>
            <w:r w:rsidRPr="00B75BF1">
              <w:rPr>
                <w:rFonts w:ascii="Calibri" w:eastAsia="Times New Roman" w:hAnsi="Calibri" w:cs="Calibri"/>
                <w:b/>
                <w:bCs/>
                <w:color w:val="000000"/>
                <w:sz w:val="22"/>
                <w:lang w:val="en-US"/>
              </w:rPr>
              <w:t>Identified Issue</w:t>
            </w:r>
          </w:p>
        </w:tc>
        <w:tc>
          <w:tcPr>
            <w:tcW w:w="3480" w:type="dxa"/>
            <w:tcBorders>
              <w:top w:val="single" w:sz="4" w:space="0" w:color="auto"/>
              <w:left w:val="nil"/>
              <w:bottom w:val="single" w:sz="4" w:space="0" w:color="auto"/>
              <w:right w:val="single" w:sz="4" w:space="0" w:color="auto"/>
            </w:tcBorders>
            <w:shd w:val="clear" w:color="auto" w:fill="auto"/>
            <w:vAlign w:val="center"/>
            <w:hideMark/>
          </w:tcPr>
          <w:p w14:paraId="1E9B9E62" w14:textId="77777777" w:rsidR="001158AB" w:rsidRPr="00B75BF1" w:rsidRDefault="001158AB" w:rsidP="001158AB">
            <w:pPr>
              <w:spacing w:after="0" w:line="240" w:lineRule="auto"/>
              <w:jc w:val="center"/>
              <w:rPr>
                <w:rFonts w:ascii="Calibri" w:eastAsia="Times New Roman" w:hAnsi="Calibri" w:cs="Calibri"/>
                <w:b/>
                <w:bCs/>
                <w:color w:val="000000"/>
                <w:sz w:val="22"/>
                <w:lang w:val="en-US"/>
              </w:rPr>
            </w:pPr>
            <w:r w:rsidRPr="00B75BF1">
              <w:rPr>
                <w:rFonts w:ascii="Calibri" w:eastAsia="Times New Roman" w:hAnsi="Calibri" w:cs="Calibri"/>
                <w:b/>
                <w:bCs/>
                <w:color w:val="000000"/>
                <w:sz w:val="22"/>
                <w:lang w:val="en-US"/>
              </w:rPr>
              <w:t>Action I Will Take</w:t>
            </w:r>
          </w:p>
        </w:tc>
        <w:tc>
          <w:tcPr>
            <w:tcW w:w="2300" w:type="dxa"/>
            <w:tcBorders>
              <w:top w:val="single" w:sz="4" w:space="0" w:color="auto"/>
              <w:left w:val="nil"/>
              <w:bottom w:val="single" w:sz="4" w:space="0" w:color="auto"/>
              <w:right w:val="single" w:sz="4" w:space="0" w:color="auto"/>
            </w:tcBorders>
            <w:shd w:val="clear" w:color="auto" w:fill="auto"/>
            <w:vAlign w:val="center"/>
            <w:hideMark/>
          </w:tcPr>
          <w:p w14:paraId="5317D49E" w14:textId="77777777" w:rsidR="001158AB" w:rsidRPr="00B75BF1" w:rsidRDefault="001158AB" w:rsidP="001158AB">
            <w:pPr>
              <w:spacing w:after="0" w:line="240" w:lineRule="auto"/>
              <w:jc w:val="center"/>
              <w:rPr>
                <w:rFonts w:ascii="Calibri" w:eastAsia="Times New Roman" w:hAnsi="Calibri" w:cs="Calibri"/>
                <w:b/>
                <w:bCs/>
                <w:color w:val="000000"/>
                <w:sz w:val="22"/>
                <w:lang w:val="en-US"/>
              </w:rPr>
            </w:pPr>
            <w:r w:rsidRPr="00B75BF1">
              <w:rPr>
                <w:rFonts w:ascii="Calibri" w:eastAsia="Times New Roman" w:hAnsi="Calibri" w:cs="Calibri"/>
                <w:b/>
                <w:bCs/>
                <w:color w:val="000000"/>
                <w:sz w:val="22"/>
                <w:lang w:val="en-US"/>
              </w:rPr>
              <w:t>Expected Benefit</w:t>
            </w:r>
          </w:p>
        </w:tc>
      </w:tr>
      <w:tr w:rsidR="001158AB" w:rsidRPr="00B75BF1" w14:paraId="0E6582FD" w14:textId="77777777" w:rsidTr="001158AB">
        <w:trPr>
          <w:trHeight w:val="150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633CE4BD"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Source selection</w:t>
            </w:r>
          </w:p>
        </w:tc>
        <w:tc>
          <w:tcPr>
            <w:tcW w:w="2420" w:type="dxa"/>
            <w:tcBorders>
              <w:top w:val="nil"/>
              <w:left w:val="nil"/>
              <w:bottom w:val="single" w:sz="4" w:space="0" w:color="auto"/>
              <w:right w:val="single" w:sz="4" w:space="0" w:color="auto"/>
            </w:tcBorders>
            <w:shd w:val="clear" w:color="auto" w:fill="auto"/>
            <w:vAlign w:val="center"/>
            <w:hideMark/>
          </w:tcPr>
          <w:p w14:paraId="32200838"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My early research included too many mixed sources, which made the analysis less focused.</w:t>
            </w:r>
          </w:p>
        </w:tc>
        <w:tc>
          <w:tcPr>
            <w:tcW w:w="3480" w:type="dxa"/>
            <w:tcBorders>
              <w:top w:val="nil"/>
              <w:left w:val="nil"/>
              <w:bottom w:val="single" w:sz="4" w:space="0" w:color="auto"/>
              <w:right w:val="single" w:sz="4" w:space="0" w:color="auto"/>
            </w:tcBorders>
            <w:shd w:val="clear" w:color="auto" w:fill="auto"/>
            <w:vAlign w:val="center"/>
            <w:hideMark/>
          </w:tcPr>
          <w:p w14:paraId="11E812DB"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I will separate peer-reviewed articles, industry reports and policy sources at the start of the research process.</w:t>
            </w:r>
          </w:p>
        </w:tc>
        <w:tc>
          <w:tcPr>
            <w:tcW w:w="2300" w:type="dxa"/>
            <w:tcBorders>
              <w:top w:val="nil"/>
              <w:left w:val="nil"/>
              <w:bottom w:val="single" w:sz="4" w:space="0" w:color="auto"/>
              <w:right w:val="single" w:sz="4" w:space="0" w:color="auto"/>
            </w:tcBorders>
            <w:shd w:val="clear" w:color="auto" w:fill="auto"/>
            <w:vAlign w:val="center"/>
            <w:hideMark/>
          </w:tcPr>
          <w:p w14:paraId="0F280C1E"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 xml:space="preserve">This will improve source quality, </w:t>
            </w:r>
            <w:proofErr w:type="spellStart"/>
            <w:r w:rsidRPr="00B75BF1">
              <w:rPr>
                <w:rFonts w:ascii="Calibri" w:eastAsia="Times New Roman" w:hAnsi="Calibri" w:cs="Calibri"/>
                <w:color w:val="000000"/>
                <w:sz w:val="22"/>
                <w:lang w:val="en-US"/>
              </w:rPr>
              <w:t>organisation</w:t>
            </w:r>
            <w:proofErr w:type="spellEnd"/>
            <w:r w:rsidRPr="00B75BF1">
              <w:rPr>
                <w:rFonts w:ascii="Calibri" w:eastAsia="Times New Roman" w:hAnsi="Calibri" w:cs="Calibri"/>
                <w:color w:val="000000"/>
                <w:sz w:val="22"/>
                <w:lang w:val="en-US"/>
              </w:rPr>
              <w:t xml:space="preserve"> and relevance.</w:t>
            </w:r>
          </w:p>
        </w:tc>
      </w:tr>
      <w:tr w:rsidR="001158AB" w:rsidRPr="00B75BF1" w14:paraId="6E778A19" w14:textId="77777777" w:rsidTr="001158AB">
        <w:trPr>
          <w:trHeight w:val="120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675EDE34"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Use of academic literature</w:t>
            </w:r>
          </w:p>
        </w:tc>
        <w:tc>
          <w:tcPr>
            <w:tcW w:w="2420" w:type="dxa"/>
            <w:tcBorders>
              <w:top w:val="nil"/>
              <w:left w:val="nil"/>
              <w:bottom w:val="single" w:sz="4" w:space="0" w:color="auto"/>
              <w:right w:val="single" w:sz="4" w:space="0" w:color="auto"/>
            </w:tcBorders>
            <w:shd w:val="clear" w:color="auto" w:fill="auto"/>
            <w:vAlign w:val="center"/>
            <w:hideMark/>
          </w:tcPr>
          <w:p w14:paraId="3D7F56DE"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I relied on market and company evidence too early before building a strong theoretical base.</w:t>
            </w:r>
          </w:p>
        </w:tc>
        <w:tc>
          <w:tcPr>
            <w:tcW w:w="3480" w:type="dxa"/>
            <w:tcBorders>
              <w:top w:val="nil"/>
              <w:left w:val="nil"/>
              <w:bottom w:val="single" w:sz="4" w:space="0" w:color="auto"/>
              <w:right w:val="single" w:sz="4" w:space="0" w:color="auto"/>
            </w:tcBorders>
            <w:shd w:val="clear" w:color="auto" w:fill="auto"/>
            <w:vAlign w:val="center"/>
            <w:hideMark/>
          </w:tcPr>
          <w:p w14:paraId="593464A7"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I will begin future assignments with more peer-reviewed journal reading before moving to commercial and company sources.</w:t>
            </w:r>
          </w:p>
        </w:tc>
        <w:tc>
          <w:tcPr>
            <w:tcW w:w="2300" w:type="dxa"/>
            <w:tcBorders>
              <w:top w:val="nil"/>
              <w:left w:val="nil"/>
              <w:bottom w:val="single" w:sz="4" w:space="0" w:color="auto"/>
              <w:right w:val="single" w:sz="4" w:space="0" w:color="auto"/>
            </w:tcBorders>
            <w:shd w:val="clear" w:color="auto" w:fill="auto"/>
            <w:vAlign w:val="center"/>
            <w:hideMark/>
          </w:tcPr>
          <w:p w14:paraId="4A064AFC"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This will strengthen academic depth and improve critical discussion.</w:t>
            </w:r>
          </w:p>
        </w:tc>
      </w:tr>
      <w:tr w:rsidR="001158AB" w:rsidRPr="00B75BF1" w14:paraId="7E85B15E" w14:textId="77777777" w:rsidTr="001158AB">
        <w:trPr>
          <w:trHeight w:val="120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7AF9D824"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Descriptive writing</w:t>
            </w:r>
          </w:p>
        </w:tc>
        <w:tc>
          <w:tcPr>
            <w:tcW w:w="2420" w:type="dxa"/>
            <w:tcBorders>
              <w:top w:val="nil"/>
              <w:left w:val="nil"/>
              <w:bottom w:val="single" w:sz="4" w:space="0" w:color="auto"/>
              <w:right w:val="single" w:sz="4" w:space="0" w:color="auto"/>
            </w:tcBorders>
            <w:shd w:val="clear" w:color="auto" w:fill="auto"/>
            <w:vAlign w:val="center"/>
            <w:hideMark/>
          </w:tcPr>
          <w:p w14:paraId="5DE5CF0B"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Some early sections were too descriptive rather than analytical.</w:t>
            </w:r>
          </w:p>
        </w:tc>
        <w:tc>
          <w:tcPr>
            <w:tcW w:w="3480" w:type="dxa"/>
            <w:tcBorders>
              <w:top w:val="nil"/>
              <w:left w:val="nil"/>
              <w:bottom w:val="single" w:sz="4" w:space="0" w:color="auto"/>
              <w:right w:val="single" w:sz="4" w:space="0" w:color="auto"/>
            </w:tcBorders>
            <w:shd w:val="clear" w:color="auto" w:fill="auto"/>
            <w:vAlign w:val="center"/>
            <w:hideMark/>
          </w:tcPr>
          <w:p w14:paraId="5444BD79"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I will turn notes into analytical questions linked to each section and framework before drafting.</w:t>
            </w:r>
          </w:p>
        </w:tc>
        <w:tc>
          <w:tcPr>
            <w:tcW w:w="2300" w:type="dxa"/>
            <w:tcBorders>
              <w:top w:val="nil"/>
              <w:left w:val="nil"/>
              <w:bottom w:val="single" w:sz="4" w:space="0" w:color="auto"/>
              <w:right w:val="single" w:sz="4" w:space="0" w:color="auto"/>
            </w:tcBorders>
            <w:shd w:val="clear" w:color="auto" w:fill="auto"/>
            <w:vAlign w:val="center"/>
            <w:hideMark/>
          </w:tcPr>
          <w:p w14:paraId="6C25BB0C"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This will help me write more critically and avoid unnecessary description.</w:t>
            </w:r>
          </w:p>
        </w:tc>
      </w:tr>
      <w:tr w:rsidR="001158AB" w:rsidRPr="00B75BF1" w14:paraId="5461F59D" w14:textId="77777777" w:rsidTr="001158AB">
        <w:trPr>
          <w:trHeight w:val="150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69F266A5"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Integration of theory</w:t>
            </w:r>
          </w:p>
        </w:tc>
        <w:tc>
          <w:tcPr>
            <w:tcW w:w="2420" w:type="dxa"/>
            <w:tcBorders>
              <w:top w:val="nil"/>
              <w:left w:val="nil"/>
              <w:bottom w:val="single" w:sz="4" w:space="0" w:color="auto"/>
              <w:right w:val="single" w:sz="4" w:space="0" w:color="auto"/>
            </w:tcBorders>
            <w:shd w:val="clear" w:color="auto" w:fill="auto"/>
            <w:vAlign w:val="center"/>
            <w:hideMark/>
          </w:tcPr>
          <w:p w14:paraId="1358BFC1"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Theory was sometimes applied after gathering evidence rather than guiding the research from the start.</w:t>
            </w:r>
          </w:p>
        </w:tc>
        <w:tc>
          <w:tcPr>
            <w:tcW w:w="3480" w:type="dxa"/>
            <w:tcBorders>
              <w:top w:val="nil"/>
              <w:left w:val="nil"/>
              <w:bottom w:val="single" w:sz="4" w:space="0" w:color="auto"/>
              <w:right w:val="single" w:sz="4" w:space="0" w:color="auto"/>
            </w:tcBorders>
            <w:shd w:val="clear" w:color="auto" w:fill="auto"/>
            <w:vAlign w:val="center"/>
            <w:hideMark/>
          </w:tcPr>
          <w:p w14:paraId="4EC11399"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 xml:space="preserve">I will map key frameworks, such as Porter’s Diamond or PESTEL, before drafting and </w:t>
            </w:r>
            <w:proofErr w:type="spellStart"/>
            <w:r w:rsidRPr="00B75BF1">
              <w:rPr>
                <w:rFonts w:ascii="Calibri" w:eastAsia="Times New Roman" w:hAnsi="Calibri" w:cs="Calibri"/>
                <w:color w:val="000000"/>
                <w:sz w:val="22"/>
                <w:lang w:val="en-US"/>
              </w:rPr>
              <w:t>organise</w:t>
            </w:r>
            <w:proofErr w:type="spellEnd"/>
            <w:r w:rsidRPr="00B75BF1">
              <w:rPr>
                <w:rFonts w:ascii="Calibri" w:eastAsia="Times New Roman" w:hAnsi="Calibri" w:cs="Calibri"/>
                <w:color w:val="000000"/>
                <w:sz w:val="22"/>
                <w:lang w:val="en-US"/>
              </w:rPr>
              <w:t xml:space="preserve"> evidence under each heading.</w:t>
            </w:r>
          </w:p>
        </w:tc>
        <w:tc>
          <w:tcPr>
            <w:tcW w:w="2300" w:type="dxa"/>
            <w:tcBorders>
              <w:top w:val="nil"/>
              <w:left w:val="nil"/>
              <w:bottom w:val="single" w:sz="4" w:space="0" w:color="auto"/>
              <w:right w:val="single" w:sz="4" w:space="0" w:color="auto"/>
            </w:tcBorders>
            <w:shd w:val="clear" w:color="auto" w:fill="auto"/>
            <w:vAlign w:val="center"/>
            <w:hideMark/>
          </w:tcPr>
          <w:p w14:paraId="6019AF2B"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This will create stronger structure and clearer theory application.</w:t>
            </w:r>
          </w:p>
        </w:tc>
      </w:tr>
      <w:tr w:rsidR="001158AB" w:rsidRPr="00B75BF1" w14:paraId="68F85256" w14:textId="77777777" w:rsidTr="001158AB">
        <w:trPr>
          <w:trHeight w:val="150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4D185E94"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Critical comparison of evidence</w:t>
            </w:r>
          </w:p>
        </w:tc>
        <w:tc>
          <w:tcPr>
            <w:tcW w:w="2420" w:type="dxa"/>
            <w:tcBorders>
              <w:top w:val="nil"/>
              <w:left w:val="nil"/>
              <w:bottom w:val="single" w:sz="4" w:space="0" w:color="auto"/>
              <w:right w:val="single" w:sz="4" w:space="0" w:color="auto"/>
            </w:tcBorders>
            <w:shd w:val="clear" w:color="auto" w:fill="auto"/>
            <w:vAlign w:val="center"/>
            <w:hideMark/>
          </w:tcPr>
          <w:p w14:paraId="3AF125BD"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I found it difficult to distinguish industry-wide issues from Zara-specific issues.</w:t>
            </w:r>
          </w:p>
        </w:tc>
        <w:tc>
          <w:tcPr>
            <w:tcW w:w="3480" w:type="dxa"/>
            <w:tcBorders>
              <w:top w:val="nil"/>
              <w:left w:val="nil"/>
              <w:bottom w:val="single" w:sz="4" w:space="0" w:color="auto"/>
              <w:right w:val="single" w:sz="4" w:space="0" w:color="auto"/>
            </w:tcBorders>
            <w:shd w:val="clear" w:color="auto" w:fill="auto"/>
            <w:vAlign w:val="center"/>
            <w:hideMark/>
          </w:tcPr>
          <w:p w14:paraId="5041928F"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I will compare sources more carefully by checking what each source measures, its limits, and whether it supports industry-level or firm-level claims.</w:t>
            </w:r>
          </w:p>
        </w:tc>
        <w:tc>
          <w:tcPr>
            <w:tcW w:w="2300" w:type="dxa"/>
            <w:tcBorders>
              <w:top w:val="nil"/>
              <w:left w:val="nil"/>
              <w:bottom w:val="single" w:sz="4" w:space="0" w:color="auto"/>
              <w:right w:val="single" w:sz="4" w:space="0" w:color="auto"/>
            </w:tcBorders>
            <w:shd w:val="clear" w:color="auto" w:fill="auto"/>
            <w:vAlign w:val="center"/>
            <w:hideMark/>
          </w:tcPr>
          <w:p w14:paraId="7EA05C0D"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This will improve judgement, precision and Level 7 critical evaluation.</w:t>
            </w:r>
          </w:p>
        </w:tc>
      </w:tr>
      <w:tr w:rsidR="001158AB" w:rsidRPr="00B75BF1" w14:paraId="269CD181" w14:textId="77777777" w:rsidTr="001158AB">
        <w:trPr>
          <w:trHeight w:val="120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197B9193"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lastRenderedPageBreak/>
              <w:t>Reflective learning</w:t>
            </w:r>
          </w:p>
        </w:tc>
        <w:tc>
          <w:tcPr>
            <w:tcW w:w="2420" w:type="dxa"/>
            <w:tcBorders>
              <w:top w:val="nil"/>
              <w:left w:val="nil"/>
              <w:bottom w:val="single" w:sz="4" w:space="0" w:color="auto"/>
              <w:right w:val="single" w:sz="4" w:space="0" w:color="auto"/>
            </w:tcBorders>
            <w:shd w:val="clear" w:color="auto" w:fill="auto"/>
            <w:vAlign w:val="center"/>
            <w:hideMark/>
          </w:tcPr>
          <w:p w14:paraId="348C7032"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Reflection was treated more as an end-stage task than as part of the research process.</w:t>
            </w:r>
          </w:p>
        </w:tc>
        <w:tc>
          <w:tcPr>
            <w:tcW w:w="3480" w:type="dxa"/>
            <w:tcBorders>
              <w:top w:val="nil"/>
              <w:left w:val="nil"/>
              <w:bottom w:val="single" w:sz="4" w:space="0" w:color="auto"/>
              <w:right w:val="single" w:sz="4" w:space="0" w:color="auto"/>
            </w:tcBorders>
            <w:shd w:val="clear" w:color="auto" w:fill="auto"/>
            <w:vAlign w:val="center"/>
            <w:hideMark/>
          </w:tcPr>
          <w:p w14:paraId="0AB9060F"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I will use reflection throughout the assignment by reviewing what is working, what is unclear and what needs refinement at each stage.</w:t>
            </w:r>
          </w:p>
        </w:tc>
        <w:tc>
          <w:tcPr>
            <w:tcW w:w="2300" w:type="dxa"/>
            <w:tcBorders>
              <w:top w:val="nil"/>
              <w:left w:val="nil"/>
              <w:bottom w:val="single" w:sz="4" w:space="0" w:color="auto"/>
              <w:right w:val="single" w:sz="4" w:space="0" w:color="auto"/>
            </w:tcBorders>
            <w:shd w:val="clear" w:color="auto" w:fill="auto"/>
            <w:vAlign w:val="center"/>
            <w:hideMark/>
          </w:tcPr>
          <w:p w14:paraId="772A2365" w14:textId="77777777" w:rsidR="001158AB" w:rsidRPr="00B75BF1" w:rsidRDefault="001158AB" w:rsidP="001158AB">
            <w:pPr>
              <w:spacing w:after="0" w:line="240" w:lineRule="auto"/>
              <w:rPr>
                <w:rFonts w:ascii="Calibri" w:eastAsia="Times New Roman" w:hAnsi="Calibri" w:cs="Calibri"/>
                <w:color w:val="000000"/>
                <w:sz w:val="22"/>
                <w:lang w:val="en-US"/>
              </w:rPr>
            </w:pPr>
            <w:r w:rsidRPr="00B75BF1">
              <w:rPr>
                <w:rFonts w:ascii="Calibri" w:eastAsia="Times New Roman" w:hAnsi="Calibri" w:cs="Calibri"/>
                <w:color w:val="000000"/>
                <w:sz w:val="22"/>
                <w:lang w:val="en-US"/>
              </w:rPr>
              <w:t>This will improve my decision-making and overall research effectiveness.</w:t>
            </w:r>
          </w:p>
        </w:tc>
      </w:tr>
    </w:tbl>
    <w:p w14:paraId="1E75AE05" w14:textId="30678437" w:rsidR="004273AF" w:rsidRPr="00B75BF1" w:rsidRDefault="004273AF" w:rsidP="00A16DF2">
      <w:pPr>
        <w:pStyle w:val="NormalWeb"/>
      </w:pPr>
    </w:p>
    <w:p w14:paraId="0DCA05D8" w14:textId="77777777" w:rsidR="00C2747D" w:rsidRPr="00B75BF1" w:rsidRDefault="00C2747D">
      <w:pPr>
        <w:rPr>
          <w:rFonts w:ascii="Times New Roman" w:eastAsia="Times New Roman" w:hAnsi="Times New Roman" w:cs="Times New Roman"/>
          <w:szCs w:val="24"/>
          <w:lang w:val="en-US"/>
        </w:rPr>
      </w:pPr>
      <w:r w:rsidRPr="00B75BF1">
        <w:br w:type="page"/>
      </w:r>
    </w:p>
    <w:p w14:paraId="0E47F3D9" w14:textId="091F3893" w:rsidR="00C2747D" w:rsidRPr="00B75BF1" w:rsidRDefault="00C2747D" w:rsidP="00C2747D">
      <w:pPr>
        <w:pStyle w:val="Heading1"/>
      </w:pPr>
      <w:bookmarkStart w:id="33" w:name="_Toc224049989"/>
      <w:r w:rsidRPr="00B75BF1">
        <w:lastRenderedPageBreak/>
        <w:t>Reflection:</w:t>
      </w:r>
      <w:bookmarkEnd w:id="33"/>
    </w:p>
    <w:p w14:paraId="2C7A6EA5" w14:textId="6C0AD931" w:rsidR="000724CE" w:rsidRPr="00B75BF1" w:rsidRDefault="00B64D62"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fldChar w:fldCharType="begin" w:fldLock="1"/>
      </w:r>
      <w:r w:rsidRPr="00B75BF1">
        <w:instrText xml:space="preserve">ADDIN Mendeley Bibliography CSL_BIBLIOGRAPHY </w:instrText>
      </w:r>
      <w:r w:rsidRPr="00B75BF1">
        <w:fldChar w:fldCharType="separate"/>
      </w:r>
      <w:r w:rsidR="000724CE" w:rsidRPr="00B75BF1">
        <w:rPr>
          <w:rFonts w:ascii="Times New Roman" w:hAnsi="Times New Roman" w:cs="Times New Roman"/>
          <w:noProof/>
          <w:szCs w:val="24"/>
        </w:rPr>
        <w:t xml:space="preserve">Abdulla, S. (2025). </w:t>
      </w:r>
      <w:r w:rsidR="000724CE" w:rsidRPr="00B75BF1">
        <w:rPr>
          <w:rFonts w:ascii="Times New Roman" w:hAnsi="Times New Roman" w:cs="Times New Roman"/>
          <w:i/>
          <w:iCs/>
          <w:noProof/>
          <w:szCs w:val="24"/>
        </w:rPr>
        <w:t>UK prices to rise as retailers pass on higher employment costs, BRC says</w:t>
      </w:r>
      <w:r w:rsidR="000724CE" w:rsidRPr="00B75BF1">
        <w:rPr>
          <w:rFonts w:ascii="Times New Roman" w:hAnsi="Times New Roman" w:cs="Times New Roman"/>
          <w:noProof/>
          <w:szCs w:val="24"/>
        </w:rPr>
        <w:t>. https://www.reuters.com/world/uk/uk-prices-rise-retailers-pass-higher-employment-costs-brc-says-2025-03-04/</w:t>
      </w:r>
    </w:p>
    <w:p w14:paraId="6FF371E1"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Abdulla, S. (2026). </w:t>
      </w:r>
      <w:r w:rsidRPr="00B75BF1">
        <w:rPr>
          <w:rFonts w:ascii="Times New Roman" w:hAnsi="Times New Roman" w:cs="Times New Roman"/>
          <w:i/>
          <w:iCs/>
          <w:noProof/>
          <w:szCs w:val="24"/>
        </w:rPr>
        <w:t>UK consumer morale inches up despite economic worries, GfK says</w:t>
      </w:r>
      <w:r w:rsidRPr="00B75BF1">
        <w:rPr>
          <w:rFonts w:ascii="Times New Roman" w:hAnsi="Times New Roman" w:cs="Times New Roman"/>
          <w:noProof/>
          <w:szCs w:val="24"/>
        </w:rPr>
        <w:t>. https://www.reuters.com/world/uk/uk-consumer-morale-inches-up-despite-economic-worries-gfk-says-2026-01-23/?</w:t>
      </w:r>
    </w:p>
    <w:p w14:paraId="6964AF95"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ABF. (2024). </w:t>
      </w:r>
      <w:r w:rsidRPr="00B75BF1">
        <w:rPr>
          <w:rFonts w:ascii="Times New Roman" w:hAnsi="Times New Roman" w:cs="Times New Roman"/>
          <w:i/>
          <w:iCs/>
          <w:noProof/>
          <w:szCs w:val="24"/>
        </w:rPr>
        <w:t>Associated British Foods plc</w:t>
      </w:r>
      <w:r w:rsidRPr="00B75BF1">
        <w:rPr>
          <w:rFonts w:ascii="Times New Roman" w:hAnsi="Times New Roman" w:cs="Times New Roman"/>
          <w:noProof/>
          <w:szCs w:val="24"/>
        </w:rPr>
        <w:t>. https://www.abf.co.uk/content/dam/abf/corporate/ar-assets-2024/pdfs/abf-annual-report-2024.pdf.downloadasset.pdf</w:t>
      </w:r>
    </w:p>
    <w:p w14:paraId="56B0E83B"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Arimany Serrat, N., Arribas-Ibar, M., &amp; Erdoğan, G. (2025). Fast Fashion Sector: Business Models, Supply Chains, and European Sustainability Standards. In </w:t>
      </w:r>
      <w:r w:rsidRPr="00B75BF1">
        <w:rPr>
          <w:rFonts w:ascii="Times New Roman" w:hAnsi="Times New Roman" w:cs="Times New Roman"/>
          <w:i/>
          <w:iCs/>
          <w:noProof/>
          <w:szCs w:val="24"/>
        </w:rPr>
        <w:t>Systems</w:t>
      </w:r>
      <w:r w:rsidRPr="00B75BF1">
        <w:rPr>
          <w:rFonts w:ascii="Times New Roman" w:hAnsi="Times New Roman" w:cs="Times New Roman"/>
          <w:noProof/>
          <w:szCs w:val="24"/>
        </w:rPr>
        <w:t xml:space="preserve"> (Vol. 13, Issue 6, p. 405). https://doi.org/10.3390/systems13060405</w:t>
      </w:r>
    </w:p>
    <w:p w14:paraId="5BC9F7FF"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ASOS. (2024). </w:t>
      </w:r>
      <w:r w:rsidRPr="00B75BF1">
        <w:rPr>
          <w:rFonts w:ascii="Times New Roman" w:hAnsi="Times New Roman" w:cs="Times New Roman"/>
          <w:i/>
          <w:iCs/>
          <w:noProof/>
          <w:szCs w:val="24"/>
        </w:rPr>
        <w:t>ASOS Annual Report 2024</w:t>
      </w:r>
      <w:r w:rsidRPr="00B75BF1">
        <w:rPr>
          <w:rFonts w:ascii="Times New Roman" w:hAnsi="Times New Roman" w:cs="Times New Roman"/>
          <w:noProof/>
          <w:szCs w:val="24"/>
        </w:rPr>
        <w:t>. https://www.asosplc.com/media/xvajuhhu/asos_annual_report_2024.pdf</w:t>
      </w:r>
    </w:p>
    <w:p w14:paraId="6E3BE64C"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Baena, V. (2024). The shift from fast fashion to socially and sustainable fast fashion: The pivotal role of ethical consideration of consumer intentions to purchase Zara. </w:t>
      </w:r>
      <w:r w:rsidRPr="00B75BF1">
        <w:rPr>
          <w:rFonts w:ascii="Times New Roman" w:hAnsi="Times New Roman" w:cs="Times New Roman"/>
          <w:i/>
          <w:iCs/>
          <w:noProof/>
          <w:szCs w:val="24"/>
        </w:rPr>
        <w:t>Corporate Social Responsibility and Environmental Management</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31</w:t>
      </w:r>
      <w:r w:rsidRPr="00B75BF1">
        <w:rPr>
          <w:rFonts w:ascii="Times New Roman" w:hAnsi="Times New Roman" w:cs="Times New Roman"/>
          <w:noProof/>
          <w:szCs w:val="24"/>
        </w:rPr>
        <w:t>(5), 4315–4328.</w:t>
      </w:r>
    </w:p>
    <w:p w14:paraId="0AFEEAB2"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BOF. (2025). </w:t>
      </w:r>
      <w:r w:rsidRPr="00B75BF1">
        <w:rPr>
          <w:rFonts w:ascii="Times New Roman" w:hAnsi="Times New Roman" w:cs="Times New Roman"/>
          <w:i/>
          <w:iCs/>
          <w:noProof/>
          <w:szCs w:val="24"/>
        </w:rPr>
        <w:t>Consumers Want Brands to Prove They’re Worth It</w:t>
      </w:r>
      <w:r w:rsidRPr="00B75BF1">
        <w:rPr>
          <w:rFonts w:ascii="Times New Roman" w:hAnsi="Times New Roman" w:cs="Times New Roman"/>
          <w:noProof/>
          <w:szCs w:val="24"/>
        </w:rPr>
        <w:t>.</w:t>
      </w:r>
    </w:p>
    <w:p w14:paraId="707E7685"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Boohoo group plc. (2024). </w:t>
      </w:r>
      <w:r w:rsidRPr="00B75BF1">
        <w:rPr>
          <w:rFonts w:ascii="Times New Roman" w:hAnsi="Times New Roman" w:cs="Times New Roman"/>
          <w:i/>
          <w:iCs/>
          <w:noProof/>
          <w:szCs w:val="24"/>
        </w:rPr>
        <w:t>ANNUAL REPORT AND FINANCIAL STATEMENTS REGISTERED NUMBER 114397</w:t>
      </w:r>
      <w:r w:rsidRPr="00B75BF1">
        <w:rPr>
          <w:rFonts w:ascii="Times New Roman" w:hAnsi="Times New Roman" w:cs="Times New Roman"/>
          <w:noProof/>
          <w:szCs w:val="24"/>
        </w:rPr>
        <w:t>. https://www.debenhamsgroup.com/files/results-centre/2024/boohoo-group-plc-annual-report-and-financial-statements-2024-v3.pdf</w:t>
      </w:r>
    </w:p>
    <w:p w14:paraId="3E95AD93"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Business Companion. (2025). </w:t>
      </w:r>
      <w:r w:rsidRPr="00B75BF1">
        <w:rPr>
          <w:rFonts w:ascii="Times New Roman" w:hAnsi="Times New Roman" w:cs="Times New Roman"/>
          <w:i/>
          <w:iCs/>
          <w:noProof/>
          <w:szCs w:val="24"/>
        </w:rPr>
        <w:t>Consumer contracts: general</w:t>
      </w:r>
      <w:r w:rsidRPr="00B75BF1">
        <w:rPr>
          <w:rFonts w:ascii="Times New Roman" w:hAnsi="Times New Roman" w:cs="Times New Roman"/>
          <w:noProof/>
          <w:szCs w:val="24"/>
        </w:rPr>
        <w:t>. https://www.businesscompanion.info/en/quick-guides/consumer-contracts/consumer-contracts-general</w:t>
      </w:r>
    </w:p>
    <w:p w14:paraId="0F30B18E"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Cai, Y.-J., &amp; Choi, T.-M. (2023). Omni-channel marketing strategy in the digital platform era. </w:t>
      </w:r>
      <w:r w:rsidRPr="00B75BF1">
        <w:rPr>
          <w:rFonts w:ascii="Times New Roman" w:hAnsi="Times New Roman" w:cs="Times New Roman"/>
          <w:i/>
          <w:iCs/>
          <w:noProof/>
          <w:szCs w:val="24"/>
        </w:rPr>
        <w:t>Journal of Business Research</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168</w:t>
      </w:r>
      <w:r w:rsidRPr="00B75BF1">
        <w:rPr>
          <w:rFonts w:ascii="Times New Roman" w:hAnsi="Times New Roman" w:cs="Times New Roman"/>
          <w:noProof/>
          <w:szCs w:val="24"/>
        </w:rPr>
        <w:t>, 114197. https://doi.org/https://doi.org/10.1016/j.jbusres.2023.114197</w:t>
      </w:r>
    </w:p>
    <w:p w14:paraId="5A183D32"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Calma, A., &amp; Cotronei-Baird, V. (2021). Assessing critical thinking in business education: Key issues and practical solutions. </w:t>
      </w:r>
      <w:r w:rsidRPr="00B75BF1">
        <w:rPr>
          <w:rFonts w:ascii="Times New Roman" w:hAnsi="Times New Roman" w:cs="Times New Roman"/>
          <w:i/>
          <w:iCs/>
          <w:noProof/>
          <w:szCs w:val="24"/>
        </w:rPr>
        <w:t>The International Journal of Management Education</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19</w:t>
      </w:r>
      <w:r w:rsidRPr="00B75BF1">
        <w:rPr>
          <w:rFonts w:ascii="Times New Roman" w:hAnsi="Times New Roman" w:cs="Times New Roman"/>
          <w:noProof/>
          <w:szCs w:val="24"/>
        </w:rPr>
        <w:t>(3), 100531. https://doi.org/https://doi.org/10.1016/j.ijme.2021.100531</w:t>
      </w:r>
    </w:p>
    <w:p w14:paraId="6EF0923C"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Casadei, P., Iammarino, S., McCann, P., &amp; Ortega-Argilés, R. (2026). The ‘cost of undoing Europe’: Brexit and the UK textile and apparel industry. </w:t>
      </w:r>
      <w:r w:rsidRPr="00B75BF1">
        <w:rPr>
          <w:rFonts w:ascii="Times New Roman" w:hAnsi="Times New Roman" w:cs="Times New Roman"/>
          <w:i/>
          <w:iCs/>
          <w:noProof/>
          <w:szCs w:val="24"/>
        </w:rPr>
        <w:t>Contemporary Social Science</w:t>
      </w:r>
      <w:r w:rsidRPr="00B75BF1">
        <w:rPr>
          <w:rFonts w:ascii="Times New Roman" w:hAnsi="Times New Roman" w:cs="Times New Roman"/>
          <w:noProof/>
          <w:szCs w:val="24"/>
        </w:rPr>
        <w:t>, 1–24. https://doi.org/10.1080/21582041.2025.2604525</w:t>
      </w:r>
    </w:p>
    <w:p w14:paraId="1E26F74B"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Choubey, V., &amp; Gautam, A. (2024). Evaluating omni channel retailing in the emergence of industry 5.0: A perspective of South Asian generation Z. </w:t>
      </w:r>
      <w:r w:rsidRPr="00B75BF1">
        <w:rPr>
          <w:rFonts w:ascii="Times New Roman" w:hAnsi="Times New Roman" w:cs="Times New Roman"/>
          <w:i/>
          <w:iCs/>
          <w:noProof/>
          <w:szCs w:val="24"/>
        </w:rPr>
        <w:t>International Journal of Information Management Data Insights</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4</w:t>
      </w:r>
      <w:r w:rsidRPr="00B75BF1">
        <w:rPr>
          <w:rFonts w:ascii="Times New Roman" w:hAnsi="Times New Roman" w:cs="Times New Roman"/>
          <w:noProof/>
          <w:szCs w:val="24"/>
        </w:rPr>
        <w:t>(2), 100257. https://doi.org/https://doi.org/10.1016/j.jjimei.2024.100257</w:t>
      </w:r>
    </w:p>
    <w:p w14:paraId="57E9B683"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Coutts, R., Irwin, P., &amp; Del Vecchio, L. (2024). A reflective practice learning experience with higher education exercise physiology students. </w:t>
      </w:r>
      <w:r w:rsidRPr="00B75BF1">
        <w:rPr>
          <w:rFonts w:ascii="Times New Roman" w:hAnsi="Times New Roman" w:cs="Times New Roman"/>
          <w:i/>
          <w:iCs/>
          <w:noProof/>
          <w:szCs w:val="24"/>
        </w:rPr>
        <w:t>Reflective Practice</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25</w:t>
      </w:r>
      <w:r w:rsidRPr="00B75BF1">
        <w:rPr>
          <w:rFonts w:ascii="Times New Roman" w:hAnsi="Times New Roman" w:cs="Times New Roman"/>
          <w:noProof/>
          <w:szCs w:val="24"/>
        </w:rPr>
        <w:t>(2), 251–266. https://doi.org/10.1080/14623943.2024.2309883</w:t>
      </w:r>
    </w:p>
    <w:p w14:paraId="3C0B9742"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Davey, J. (2024). </w:t>
      </w:r>
      <w:r w:rsidRPr="00B75BF1">
        <w:rPr>
          <w:rFonts w:ascii="Times New Roman" w:hAnsi="Times New Roman" w:cs="Times New Roman"/>
          <w:i/>
          <w:iCs/>
          <w:noProof/>
          <w:szCs w:val="24"/>
        </w:rPr>
        <w:t>UK industry fears disruption from new post-Brexit border checks</w:t>
      </w:r>
      <w:r w:rsidRPr="00B75BF1">
        <w:rPr>
          <w:rFonts w:ascii="Times New Roman" w:hAnsi="Times New Roman" w:cs="Times New Roman"/>
          <w:noProof/>
          <w:szCs w:val="24"/>
        </w:rPr>
        <w:t>. https://www.reuters.com/world/uk/uk-industry-fears-disruption-new-post-brexit-border-checks-2024-01-23</w:t>
      </w:r>
    </w:p>
    <w:p w14:paraId="23B68663"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lastRenderedPageBreak/>
        <w:t xml:space="preserve">Davey, J. (2025). </w:t>
      </w:r>
      <w:r w:rsidRPr="00B75BF1">
        <w:rPr>
          <w:rFonts w:ascii="Times New Roman" w:hAnsi="Times New Roman" w:cs="Times New Roman"/>
          <w:i/>
          <w:iCs/>
          <w:noProof/>
          <w:szCs w:val="24"/>
        </w:rPr>
        <w:t>Britain implements delayed third phase of post-Brexit border rules</w:t>
      </w:r>
      <w:r w:rsidRPr="00B75BF1">
        <w:rPr>
          <w:rFonts w:ascii="Times New Roman" w:hAnsi="Times New Roman" w:cs="Times New Roman"/>
          <w:noProof/>
          <w:szCs w:val="24"/>
        </w:rPr>
        <w:t>. https://www.reuters.com/world/uk/britain-implements-delayed-third-phase-post-brexit-border-rules-2025-01-31/</w:t>
      </w:r>
    </w:p>
    <w:p w14:paraId="2C4E3B6A"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Fashion United. (2023). </w:t>
      </w:r>
      <w:r w:rsidRPr="00B75BF1">
        <w:rPr>
          <w:rFonts w:ascii="Times New Roman" w:hAnsi="Times New Roman" w:cs="Times New Roman"/>
          <w:i/>
          <w:iCs/>
          <w:noProof/>
          <w:szCs w:val="24"/>
        </w:rPr>
        <w:t>Statistics</w:t>
      </w:r>
      <w:r w:rsidRPr="00B75BF1">
        <w:rPr>
          <w:rFonts w:ascii="Times New Roman" w:hAnsi="Times New Roman" w:cs="Times New Roman"/>
          <w:noProof/>
          <w:szCs w:val="24"/>
        </w:rPr>
        <w:t>. https://fashionunited.uk/statistics/uk-fashion-industry-statistics</w:t>
      </w:r>
    </w:p>
    <w:p w14:paraId="504A14DE"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H&amp;M Group. (2024). </w:t>
      </w:r>
      <w:r w:rsidRPr="00B75BF1">
        <w:rPr>
          <w:rFonts w:ascii="Times New Roman" w:hAnsi="Times New Roman" w:cs="Times New Roman"/>
          <w:i/>
          <w:iCs/>
          <w:noProof/>
          <w:szCs w:val="24"/>
        </w:rPr>
        <w:t>H&amp;M Group Q4</w:t>
      </w:r>
      <w:r w:rsidRPr="00B75BF1">
        <w:rPr>
          <w:rFonts w:ascii="Times New Roman" w:hAnsi="Times New Roman" w:cs="Times New Roman"/>
          <w:noProof/>
          <w:szCs w:val="24"/>
        </w:rPr>
        <w:t>. https://hmgroup.com/wp-content/uploads/2025/01/H-M-Hennes-Mauritz-AB-Full-year-report-2024.pdf</w:t>
      </w:r>
    </w:p>
    <w:p w14:paraId="450F6DCD"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H&amp;M Group. (2025). </w:t>
      </w:r>
      <w:r w:rsidRPr="00B75BF1">
        <w:rPr>
          <w:rFonts w:ascii="Times New Roman" w:hAnsi="Times New Roman" w:cs="Times New Roman"/>
          <w:i/>
          <w:iCs/>
          <w:noProof/>
          <w:szCs w:val="24"/>
        </w:rPr>
        <w:t>H&amp;M Report ANNUAL &amp; SUSTAINABILITY REPORT</w:t>
      </w:r>
      <w:r w:rsidRPr="00B75BF1">
        <w:rPr>
          <w:rFonts w:ascii="Times New Roman" w:hAnsi="Times New Roman" w:cs="Times New Roman"/>
          <w:noProof/>
          <w:szCs w:val="24"/>
        </w:rPr>
        <w:t>. http://hmgroup.com/wp-content/uploads/2025/03/HM-Group-Annual-and-sustainability-report-2024.pdf</w:t>
      </w:r>
    </w:p>
    <w:p w14:paraId="7BF4338D"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Hà, T. A., &amp; Huertas-Abril, C. A. (2024). Teaching critical reading in higher education: A literature review and pedagogical framework proposal. </w:t>
      </w:r>
      <w:r w:rsidRPr="00B75BF1">
        <w:rPr>
          <w:rFonts w:ascii="Times New Roman" w:hAnsi="Times New Roman" w:cs="Times New Roman"/>
          <w:i/>
          <w:iCs/>
          <w:noProof/>
          <w:szCs w:val="24"/>
        </w:rPr>
        <w:t>Thinking Skills and Creativity</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53</w:t>
      </w:r>
      <w:r w:rsidRPr="00B75BF1">
        <w:rPr>
          <w:rFonts w:ascii="Times New Roman" w:hAnsi="Times New Roman" w:cs="Times New Roman"/>
          <w:noProof/>
          <w:szCs w:val="24"/>
        </w:rPr>
        <w:t>, 101599. https://doi.org/https://doi.org/10.1016/j.tsc.2024.101599</w:t>
      </w:r>
    </w:p>
    <w:p w14:paraId="626A9F82"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Harvey, M., Walkerden, G., Semple, A., McLachlan, K., Lloyd, K., &amp; Bosanquet, A. (2025). Reflecting on reflective practice: issues, possibilities and guidance principles. </w:t>
      </w:r>
      <w:r w:rsidRPr="00B75BF1">
        <w:rPr>
          <w:rFonts w:ascii="Times New Roman" w:hAnsi="Times New Roman" w:cs="Times New Roman"/>
          <w:i/>
          <w:iCs/>
          <w:noProof/>
          <w:szCs w:val="24"/>
        </w:rPr>
        <w:t>Higher Education Research &amp; Development</w:t>
      </w:r>
      <w:r w:rsidRPr="00B75BF1">
        <w:rPr>
          <w:rFonts w:ascii="Times New Roman" w:hAnsi="Times New Roman" w:cs="Times New Roman"/>
          <w:noProof/>
          <w:szCs w:val="24"/>
        </w:rPr>
        <w:t>, 1–9.</w:t>
      </w:r>
    </w:p>
    <w:p w14:paraId="2F761EA9"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Iglesias-Pradas, S., Acquila-Natale, E., &amp; Del-Río-Carazo, L. (2022). Omnichannel retailing: a tale of three sectors. </w:t>
      </w:r>
      <w:r w:rsidRPr="00B75BF1">
        <w:rPr>
          <w:rFonts w:ascii="Times New Roman" w:hAnsi="Times New Roman" w:cs="Times New Roman"/>
          <w:i/>
          <w:iCs/>
          <w:noProof/>
          <w:szCs w:val="24"/>
        </w:rPr>
        <w:t>Economic Research-Ekonomska Istraživanja</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35</w:t>
      </w:r>
      <w:r w:rsidRPr="00B75BF1">
        <w:rPr>
          <w:rFonts w:ascii="Times New Roman" w:hAnsi="Times New Roman" w:cs="Times New Roman"/>
          <w:noProof/>
          <w:szCs w:val="24"/>
        </w:rPr>
        <w:t>(1), 3305–3336. https://doi.org/10.1080/1331677X.2021.1991825</w:t>
      </w:r>
    </w:p>
    <w:p w14:paraId="61830A77"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Inditex. (2024). </w:t>
      </w:r>
      <w:r w:rsidRPr="00B75BF1">
        <w:rPr>
          <w:rFonts w:ascii="Times New Roman" w:hAnsi="Times New Roman" w:cs="Times New Roman"/>
          <w:i/>
          <w:iCs/>
          <w:noProof/>
          <w:szCs w:val="24"/>
        </w:rPr>
        <w:t>FY2024 Results</w:t>
      </w:r>
      <w:r w:rsidRPr="00B75BF1">
        <w:rPr>
          <w:rFonts w:ascii="Times New Roman" w:hAnsi="Times New Roman" w:cs="Times New Roman"/>
          <w:noProof/>
          <w:szCs w:val="24"/>
        </w:rPr>
        <w:t>. https://www.inditex.com/itxcomweb/us/en/press/news-detail/6f8d8db5-4d7a-43db-91b9-0c38065aec1e/fy2024-results</w:t>
      </w:r>
    </w:p>
    <w:p w14:paraId="7B356599"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INDITEX. (2024a). </w:t>
      </w:r>
      <w:r w:rsidRPr="00B75BF1">
        <w:rPr>
          <w:rFonts w:ascii="Times New Roman" w:hAnsi="Times New Roman" w:cs="Times New Roman"/>
          <w:i/>
          <w:iCs/>
          <w:noProof/>
          <w:szCs w:val="24"/>
        </w:rPr>
        <w:t>INDITEX GROUP ANNUAL REPORT 2024</w:t>
      </w:r>
      <w:r w:rsidRPr="00B75BF1">
        <w:rPr>
          <w:rFonts w:ascii="Times New Roman" w:hAnsi="Times New Roman" w:cs="Times New Roman"/>
          <w:noProof/>
          <w:szCs w:val="24"/>
        </w:rPr>
        <w:t>. https://www.inditex.com/itxcomweb/api/media/84135f02-0208-4439-b9c0-b13608fbfeb5/Annualaccountsanddirectorsreport2024consolidated.pdf?t=1742203067340&amp;</w:t>
      </w:r>
    </w:p>
    <w:p w14:paraId="4A878DC6"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INDITEX. (2024b). </w:t>
      </w:r>
      <w:r w:rsidRPr="00B75BF1">
        <w:rPr>
          <w:rFonts w:ascii="Times New Roman" w:hAnsi="Times New Roman" w:cs="Times New Roman"/>
          <w:i/>
          <w:iCs/>
          <w:noProof/>
          <w:szCs w:val="24"/>
        </w:rPr>
        <w:t>Interim Nine Month 2024 Results</w:t>
      </w:r>
      <w:r w:rsidRPr="00B75BF1">
        <w:rPr>
          <w:rFonts w:ascii="Times New Roman" w:hAnsi="Times New Roman" w:cs="Times New Roman"/>
          <w:noProof/>
          <w:szCs w:val="24"/>
        </w:rPr>
        <w:t>. https://www.inditex.com/itxcomweb/bs/en/press/news-detail/37f59f73-4d90-46af-ab50-4dcabcfe013d/interim-nine-month-2024-results</w:t>
      </w:r>
    </w:p>
    <w:p w14:paraId="4D56D40C"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INDITEX. (2025a). </w:t>
      </w:r>
      <w:r w:rsidRPr="00B75BF1">
        <w:rPr>
          <w:rFonts w:ascii="Times New Roman" w:hAnsi="Times New Roman" w:cs="Times New Roman"/>
          <w:i/>
          <w:iCs/>
          <w:noProof/>
          <w:szCs w:val="24"/>
        </w:rPr>
        <w:t>FY2024 FResults</w:t>
      </w:r>
      <w:r w:rsidRPr="00B75BF1">
        <w:rPr>
          <w:rFonts w:ascii="Times New Roman" w:hAnsi="Times New Roman" w:cs="Times New Roman"/>
          <w:noProof/>
          <w:szCs w:val="24"/>
        </w:rPr>
        <w:t>. https://www.inditex.com/itxcomweb/aq/en/press/news-detail/6f8d8db5-4d7a-43db-91b9-0c38065aec1e/fy2024-results</w:t>
      </w:r>
    </w:p>
    <w:p w14:paraId="1711B883"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INDITEX. (2025b). </w:t>
      </w:r>
      <w:r w:rsidRPr="00B75BF1">
        <w:rPr>
          <w:rFonts w:ascii="Times New Roman" w:hAnsi="Times New Roman" w:cs="Times New Roman"/>
          <w:i/>
          <w:iCs/>
          <w:noProof/>
          <w:szCs w:val="24"/>
        </w:rPr>
        <w:t>FY2024 Results</w:t>
      </w:r>
      <w:r w:rsidRPr="00B75BF1">
        <w:rPr>
          <w:rFonts w:ascii="Times New Roman" w:hAnsi="Times New Roman" w:cs="Times New Roman"/>
          <w:noProof/>
          <w:szCs w:val="24"/>
        </w:rPr>
        <w:t>. https://www.inditex.com/itxcomweb/api/media/16843322-c524-4f36-b84f-133989e4e569/INDITEXFullYear2024Results.pdf?t=1741760450878&amp;</w:t>
      </w:r>
    </w:p>
    <w:p w14:paraId="1DE03F80"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INDITEX 2024. (2024). </w:t>
      </w:r>
      <w:r w:rsidRPr="00B75BF1">
        <w:rPr>
          <w:rFonts w:ascii="Times New Roman" w:hAnsi="Times New Roman" w:cs="Times New Roman"/>
          <w:i/>
          <w:iCs/>
          <w:noProof/>
          <w:szCs w:val="24"/>
        </w:rPr>
        <w:t>INDITEX GROUP ANNUAL REPORT 2024</w:t>
      </w:r>
      <w:r w:rsidRPr="00B75BF1">
        <w:rPr>
          <w:rFonts w:ascii="Times New Roman" w:hAnsi="Times New Roman" w:cs="Times New Roman"/>
          <w:noProof/>
          <w:szCs w:val="24"/>
        </w:rPr>
        <w:t>. https://www.inditex.com/itxcomweb/api/media/604197b9-50de-4f4f-ab84-c1e379cb3fd0/Inditex_Group_Annual_Report_2024.pdf?t=1741989136588&amp;</w:t>
      </w:r>
    </w:p>
    <w:p w14:paraId="3EF0D709"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Jones, P. (2025). Sustainability and the UK’s Leading Clothing Retailers. </w:t>
      </w:r>
      <w:r w:rsidRPr="00B75BF1">
        <w:rPr>
          <w:rFonts w:ascii="Times New Roman" w:hAnsi="Times New Roman" w:cs="Times New Roman"/>
          <w:i/>
          <w:iCs/>
          <w:noProof/>
          <w:szCs w:val="24"/>
        </w:rPr>
        <w:t>Athens Journal of Business and Economics</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11</w:t>
      </w:r>
      <w:r w:rsidRPr="00B75BF1">
        <w:rPr>
          <w:rFonts w:ascii="Times New Roman" w:hAnsi="Times New Roman" w:cs="Times New Roman"/>
          <w:noProof/>
          <w:szCs w:val="24"/>
        </w:rPr>
        <w:t>(1), 9–24.</w:t>
      </w:r>
    </w:p>
    <w:p w14:paraId="38763D53"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Kollewe, J. (2024). </w:t>
      </w:r>
      <w:r w:rsidRPr="00B75BF1">
        <w:rPr>
          <w:rFonts w:ascii="Times New Roman" w:hAnsi="Times New Roman" w:cs="Times New Roman"/>
          <w:i/>
          <w:iCs/>
          <w:noProof/>
          <w:szCs w:val="24"/>
        </w:rPr>
        <w:t>Asos slides to huge loss but insists it sees ‘green shoots.’</w:t>
      </w:r>
      <w:r w:rsidRPr="00B75BF1">
        <w:rPr>
          <w:rFonts w:ascii="Times New Roman" w:hAnsi="Times New Roman" w:cs="Times New Roman"/>
          <w:noProof/>
          <w:szCs w:val="24"/>
        </w:rPr>
        <w:t xml:space="preserve"> https://www.theguardian.com/business/2024/nov/05/asos-loss-cost-of-living-stock-discount</w:t>
      </w:r>
    </w:p>
    <w:p w14:paraId="2B1B76D0"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Kumar, M. J. (2024). The Imperative of Critical Thinking in Higher Education. </w:t>
      </w:r>
      <w:r w:rsidRPr="00B75BF1">
        <w:rPr>
          <w:rFonts w:ascii="Times New Roman" w:hAnsi="Times New Roman" w:cs="Times New Roman"/>
          <w:i/>
          <w:iCs/>
          <w:noProof/>
          <w:szCs w:val="24"/>
        </w:rPr>
        <w:t>IETE Technical Review</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41</w:t>
      </w:r>
      <w:r w:rsidRPr="00B75BF1">
        <w:rPr>
          <w:rFonts w:ascii="Times New Roman" w:hAnsi="Times New Roman" w:cs="Times New Roman"/>
          <w:noProof/>
          <w:szCs w:val="24"/>
        </w:rPr>
        <w:t>(5), 509–510. https://doi.org/10.1080/02564602.2024.2390290</w:t>
      </w:r>
    </w:p>
    <w:p w14:paraId="57A9E559"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lastRenderedPageBreak/>
        <w:t xml:space="preserve">Le, H. Van, Nguyen, T. A. D., Le, D. H. N., Nguyen, P. U., &amp; Nguyen, T. T. A. (2024). Unveiling critical reading strategies and challenges: a mixed-methods study among English major students in a Vietnamese higher education institution. </w:t>
      </w:r>
      <w:r w:rsidRPr="00B75BF1">
        <w:rPr>
          <w:rFonts w:ascii="Times New Roman" w:hAnsi="Times New Roman" w:cs="Times New Roman"/>
          <w:i/>
          <w:iCs/>
          <w:noProof/>
          <w:szCs w:val="24"/>
        </w:rPr>
        <w:t>Cogent Education</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11</w:t>
      </w:r>
      <w:r w:rsidRPr="00B75BF1">
        <w:rPr>
          <w:rFonts w:ascii="Times New Roman" w:hAnsi="Times New Roman" w:cs="Times New Roman"/>
          <w:noProof/>
          <w:szCs w:val="24"/>
        </w:rPr>
        <w:t>(1), 2326732. https://doi.org/10.1080/2331186X.2024.2326732</w:t>
      </w:r>
    </w:p>
    <w:p w14:paraId="2BD074BB"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Marriott, J., Bektaş, T., Leung, E. K. H., &amp; Lyons, A. (2025). The billion-pound question in fashion E-commerce: Investigating the anatomy of returns. </w:t>
      </w:r>
      <w:r w:rsidRPr="00B75BF1">
        <w:rPr>
          <w:rFonts w:ascii="Times New Roman" w:hAnsi="Times New Roman" w:cs="Times New Roman"/>
          <w:i/>
          <w:iCs/>
          <w:noProof/>
          <w:szCs w:val="24"/>
        </w:rPr>
        <w:t>Transportation Research Part E: Logistics and Transportation Review</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194</w:t>
      </w:r>
      <w:r w:rsidRPr="00B75BF1">
        <w:rPr>
          <w:rFonts w:ascii="Times New Roman" w:hAnsi="Times New Roman" w:cs="Times New Roman"/>
          <w:noProof/>
          <w:szCs w:val="24"/>
        </w:rPr>
        <w:t>, 103904. https://doi.org/https://doi.org/10.1016/j.tre.2024.103904</w:t>
      </w:r>
    </w:p>
    <w:p w14:paraId="771AE4E6"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Mathew, M., &amp; Spinelli, R. (2025). Decoding sustainable drivers: A systematic literature review on sustMathew, M., &amp; Spinelli, R. (2025). Decoding sustainable drivers: A systematic literature review on sustainability-induced consumer behaviour in the fast fashion industry. Sustainable Prod. </w:t>
      </w:r>
      <w:r w:rsidRPr="00B75BF1">
        <w:rPr>
          <w:rFonts w:ascii="Times New Roman" w:hAnsi="Times New Roman" w:cs="Times New Roman"/>
          <w:i/>
          <w:iCs/>
          <w:noProof/>
          <w:szCs w:val="24"/>
        </w:rPr>
        <w:t>Sustainable Production and Consumption</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55</w:t>
      </w:r>
      <w:r w:rsidRPr="00B75BF1">
        <w:rPr>
          <w:rFonts w:ascii="Times New Roman" w:hAnsi="Times New Roman" w:cs="Times New Roman"/>
          <w:noProof/>
          <w:szCs w:val="24"/>
        </w:rPr>
        <w:t>, 132–145. https://doi.org/https://doi.org/10.1016/j.spc.2025.02.011</w:t>
      </w:r>
    </w:p>
    <w:p w14:paraId="5DCC49E2"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Mckinsey. (2026). </w:t>
      </w:r>
      <w:r w:rsidRPr="00B75BF1">
        <w:rPr>
          <w:rFonts w:ascii="Times New Roman" w:hAnsi="Times New Roman" w:cs="Times New Roman"/>
          <w:i/>
          <w:iCs/>
          <w:noProof/>
          <w:szCs w:val="24"/>
        </w:rPr>
        <w:t>The State of Fashion 2026</w:t>
      </w:r>
      <w:r w:rsidRPr="00B75BF1">
        <w:rPr>
          <w:rFonts w:ascii="Times New Roman" w:hAnsi="Times New Roman" w:cs="Times New Roman"/>
          <w:noProof/>
          <w:szCs w:val="24"/>
        </w:rPr>
        <w:t>. https://www.mckinsey.com/~/media/mckinsey/industries/retail/our insights/state of fashion/2026/the-state-of-fashion-2026-vf.pdf?</w:t>
      </w:r>
    </w:p>
    <w:p w14:paraId="013B4689"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McKinsey &amp; Company. (2024). </w:t>
      </w:r>
      <w:r w:rsidRPr="00B75BF1">
        <w:rPr>
          <w:rFonts w:ascii="Times New Roman" w:hAnsi="Times New Roman" w:cs="Times New Roman"/>
          <w:i/>
          <w:iCs/>
          <w:noProof/>
          <w:szCs w:val="24"/>
        </w:rPr>
        <w:t>State of the Consumer 2024: What’s now and what’s next</w:t>
      </w:r>
      <w:r w:rsidRPr="00B75BF1">
        <w:rPr>
          <w:rFonts w:ascii="Times New Roman" w:hAnsi="Times New Roman" w:cs="Times New Roman"/>
          <w:noProof/>
          <w:szCs w:val="24"/>
        </w:rPr>
        <w:t>. https://www.mckinsey.com/industries/consumer-packaged-goods/our-insights/state-of-consumer-2024</w:t>
      </w:r>
    </w:p>
    <w:p w14:paraId="5A0DAAAB"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McKinsey &amp; Company. (2025). </w:t>
      </w:r>
      <w:r w:rsidRPr="00B75BF1">
        <w:rPr>
          <w:rFonts w:ascii="Times New Roman" w:hAnsi="Times New Roman" w:cs="Times New Roman"/>
          <w:i/>
          <w:iCs/>
          <w:noProof/>
          <w:szCs w:val="24"/>
        </w:rPr>
        <w:t>The State of Fashion 2025</w:t>
      </w:r>
      <w:r w:rsidRPr="00B75BF1">
        <w:rPr>
          <w:rFonts w:ascii="Times New Roman" w:hAnsi="Times New Roman" w:cs="Times New Roman"/>
          <w:noProof/>
          <w:szCs w:val="24"/>
        </w:rPr>
        <w:t>. https://www.mckinsey.com/~/media/mckinsey/industries/retail/our insights/state of fashion/2025/the-state-of-fashion-2025-v2.pdf</w:t>
      </w:r>
    </w:p>
    <w:p w14:paraId="5959451A"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Meredith Robertson, C., &amp; Kopot, C. (2023). Who still shops at omnichannel fashion department stores? An analysis of generational cohorts and intent to purchase. </w:t>
      </w:r>
      <w:r w:rsidRPr="00B75BF1">
        <w:rPr>
          <w:rFonts w:ascii="Times New Roman" w:hAnsi="Times New Roman" w:cs="Times New Roman"/>
          <w:i/>
          <w:iCs/>
          <w:noProof/>
          <w:szCs w:val="24"/>
        </w:rPr>
        <w:t>Journal of Fashion Marketing and Management</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28</w:t>
      </w:r>
      <w:r w:rsidRPr="00B75BF1">
        <w:rPr>
          <w:rFonts w:ascii="Times New Roman" w:hAnsi="Times New Roman" w:cs="Times New Roman"/>
          <w:noProof/>
          <w:szCs w:val="24"/>
        </w:rPr>
        <w:t>(3), 525–545. https://doi.org/10.1108/JFMM-08-2022-0182</w:t>
      </w:r>
    </w:p>
    <w:p w14:paraId="50BCD9B9"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Milliken, D. (2025). </w:t>
      </w:r>
      <w:r w:rsidRPr="00B75BF1">
        <w:rPr>
          <w:rFonts w:ascii="Times New Roman" w:hAnsi="Times New Roman" w:cs="Times New Roman"/>
          <w:i/>
          <w:iCs/>
          <w:noProof/>
          <w:szCs w:val="24"/>
        </w:rPr>
        <w:t>UK retail sales record biggest monthly drop since 2023</w:t>
      </w:r>
      <w:r w:rsidRPr="00B75BF1">
        <w:rPr>
          <w:rFonts w:ascii="Times New Roman" w:hAnsi="Times New Roman" w:cs="Times New Roman"/>
          <w:noProof/>
          <w:szCs w:val="24"/>
        </w:rPr>
        <w:t>. https://www.reuters.com/business/retail-consumer/uk-retail-sales-fall-may-2025-06-20/</w:t>
      </w:r>
    </w:p>
    <w:p w14:paraId="77F981E5"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Miranda, J., &amp; Roldan, A. (2023). </w:t>
      </w:r>
      <w:r w:rsidRPr="00B75BF1">
        <w:rPr>
          <w:rFonts w:ascii="Times New Roman" w:hAnsi="Times New Roman" w:cs="Times New Roman"/>
          <w:i/>
          <w:iCs/>
          <w:noProof/>
          <w:szCs w:val="24"/>
        </w:rPr>
        <w:t>Fast Fashion</w:t>
      </w:r>
      <w:r w:rsidRPr="00B75BF1">
        <w:rPr>
          <w:rFonts w:ascii="Times New Roman" w:hAnsi="Times New Roman" w:cs="Times New Roman"/>
          <w:noProof/>
          <w:szCs w:val="24"/>
        </w:rPr>
        <w:t xml:space="preserve"> (pp. 266–285). https://doi.org/10.4324/9780429295607-18</w:t>
      </w:r>
    </w:p>
    <w:p w14:paraId="39F9196A"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Next plc. (2025). </w:t>
      </w:r>
      <w:r w:rsidRPr="00B75BF1">
        <w:rPr>
          <w:rFonts w:ascii="Times New Roman" w:hAnsi="Times New Roman" w:cs="Times New Roman"/>
          <w:i/>
          <w:iCs/>
          <w:noProof/>
          <w:szCs w:val="24"/>
        </w:rPr>
        <w:t>NEXT</w:t>
      </w:r>
      <w:r w:rsidRPr="00B75BF1">
        <w:rPr>
          <w:rFonts w:ascii="Times New Roman" w:hAnsi="Times New Roman" w:cs="Times New Roman"/>
          <w:noProof/>
          <w:szCs w:val="24"/>
        </w:rPr>
        <w:t>. https://www.nextplc.co.uk/~/media/Files/N/next-plc-v4/about-next/annual-report-and-accounts-jan-2025.pdf</w:t>
      </w:r>
    </w:p>
    <w:p w14:paraId="2450CEA7"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Office for National Statistics. (2021). </w:t>
      </w:r>
      <w:r w:rsidRPr="00B75BF1">
        <w:rPr>
          <w:rFonts w:ascii="Times New Roman" w:hAnsi="Times New Roman" w:cs="Times New Roman"/>
          <w:i/>
          <w:iCs/>
          <w:noProof/>
          <w:szCs w:val="24"/>
        </w:rPr>
        <w:t>Internet sales as a percentage of total retail sales (ratio) (%25)</w:t>
      </w:r>
      <w:r w:rsidRPr="00B75BF1">
        <w:rPr>
          <w:rFonts w:ascii="Times New Roman" w:hAnsi="Times New Roman" w:cs="Times New Roman"/>
          <w:noProof/>
          <w:szCs w:val="24"/>
        </w:rPr>
        <w:t>. https://www.ons.gov.uk/businessindustryandtrade/retailindustry/timeseries/j4mc/drsi</w:t>
      </w:r>
    </w:p>
    <w:p w14:paraId="4B1499A9"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ONS GOV UK. (2025a). </w:t>
      </w:r>
      <w:r w:rsidRPr="00B75BF1">
        <w:rPr>
          <w:rFonts w:ascii="Times New Roman" w:hAnsi="Times New Roman" w:cs="Times New Roman"/>
          <w:i/>
          <w:iCs/>
          <w:noProof/>
          <w:szCs w:val="24"/>
        </w:rPr>
        <w:t>Consumer price inflation, UK: December 2025</w:t>
      </w:r>
      <w:r w:rsidRPr="00B75BF1">
        <w:rPr>
          <w:rFonts w:ascii="Times New Roman" w:hAnsi="Times New Roman" w:cs="Times New Roman"/>
          <w:noProof/>
          <w:szCs w:val="24"/>
        </w:rPr>
        <w:t>. https://www.ons.gov.uk/economy/inflationandpriceindices/bulletins/consumerpriceinflation/december2025?</w:t>
      </w:r>
    </w:p>
    <w:p w14:paraId="7057BCB0"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ONS GOV UK. (2025b). </w:t>
      </w:r>
      <w:r w:rsidRPr="00B75BF1">
        <w:rPr>
          <w:rFonts w:ascii="Times New Roman" w:hAnsi="Times New Roman" w:cs="Times New Roman"/>
          <w:i/>
          <w:iCs/>
          <w:noProof/>
          <w:szCs w:val="24"/>
        </w:rPr>
        <w:t>Retail sales, Great Britain: December 2024</w:t>
      </w:r>
      <w:r w:rsidRPr="00B75BF1">
        <w:rPr>
          <w:rFonts w:ascii="Times New Roman" w:hAnsi="Times New Roman" w:cs="Times New Roman"/>
          <w:noProof/>
          <w:szCs w:val="24"/>
        </w:rPr>
        <w:t>. https://www.ons.gov.uk/businessindustryandtrade/retailindustry/bulletins/retailsales/december2024</w:t>
      </w:r>
    </w:p>
    <w:p w14:paraId="70EE9309"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ONS GOV UK. (2026). </w:t>
      </w:r>
      <w:r w:rsidRPr="00B75BF1">
        <w:rPr>
          <w:rFonts w:ascii="Times New Roman" w:hAnsi="Times New Roman" w:cs="Times New Roman"/>
          <w:i/>
          <w:iCs/>
          <w:noProof/>
          <w:szCs w:val="24"/>
        </w:rPr>
        <w:t>Inflation and price indices</w:t>
      </w:r>
      <w:r w:rsidRPr="00B75BF1">
        <w:rPr>
          <w:rFonts w:ascii="Times New Roman" w:hAnsi="Times New Roman" w:cs="Times New Roman"/>
          <w:noProof/>
          <w:szCs w:val="24"/>
        </w:rPr>
        <w:t>. https://www.ons.gov.uk/economy/inflationandpriceindices?</w:t>
      </w:r>
    </w:p>
    <w:p w14:paraId="0B8BBE14"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Reid, H. (2025). </w:t>
      </w:r>
      <w:r w:rsidRPr="00B75BF1">
        <w:rPr>
          <w:rFonts w:ascii="Times New Roman" w:hAnsi="Times New Roman" w:cs="Times New Roman"/>
          <w:i/>
          <w:iCs/>
          <w:noProof/>
          <w:szCs w:val="24"/>
        </w:rPr>
        <w:t>H&amp;M must raise the bar to counter fierce fast-fashion competition, says CEO</w:t>
      </w:r>
      <w:r w:rsidRPr="00B75BF1">
        <w:rPr>
          <w:rFonts w:ascii="Times New Roman" w:hAnsi="Times New Roman" w:cs="Times New Roman"/>
          <w:noProof/>
          <w:szCs w:val="24"/>
        </w:rPr>
        <w:t>. https://www.reuters.com/business/retail-consumer/hm-must-raise-bar-counter-</w:t>
      </w:r>
      <w:r w:rsidRPr="00B75BF1">
        <w:rPr>
          <w:rFonts w:ascii="Times New Roman" w:hAnsi="Times New Roman" w:cs="Times New Roman"/>
          <w:noProof/>
          <w:szCs w:val="24"/>
        </w:rPr>
        <w:lastRenderedPageBreak/>
        <w:t>fierce-fast-fashion-competition-says-ceo-2025-01-30/?</w:t>
      </w:r>
    </w:p>
    <w:p w14:paraId="0B07B7D9"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Reuters. (2024a). </w:t>
      </w:r>
      <w:r w:rsidRPr="00B75BF1">
        <w:rPr>
          <w:rFonts w:ascii="Times New Roman" w:hAnsi="Times New Roman" w:cs="Times New Roman"/>
          <w:i/>
          <w:iCs/>
          <w:noProof/>
          <w:szCs w:val="24"/>
        </w:rPr>
        <w:t>Boohoo H1 profit falls on reduced consumer spending, investment costs</w:t>
      </w:r>
      <w:r w:rsidRPr="00B75BF1">
        <w:rPr>
          <w:rFonts w:ascii="Times New Roman" w:hAnsi="Times New Roman" w:cs="Times New Roman"/>
          <w:noProof/>
          <w:szCs w:val="24"/>
        </w:rPr>
        <w:t>. Boohoo H1 profit falls on reduced consumer spending, investment costs</w:t>
      </w:r>
    </w:p>
    <w:p w14:paraId="4224A43F"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Reuters. (2024b). </w:t>
      </w:r>
      <w:r w:rsidRPr="00B75BF1">
        <w:rPr>
          <w:rFonts w:ascii="Times New Roman" w:hAnsi="Times New Roman" w:cs="Times New Roman"/>
          <w:i/>
          <w:iCs/>
          <w:noProof/>
          <w:szCs w:val="24"/>
        </w:rPr>
        <w:t>FACTBOX UK firms flag over $1.4 bln in labour costs from increase in national insurance, wages</w:t>
      </w:r>
      <w:r w:rsidRPr="00B75BF1">
        <w:rPr>
          <w:rFonts w:ascii="Times New Roman" w:hAnsi="Times New Roman" w:cs="Times New Roman"/>
          <w:noProof/>
          <w:szCs w:val="24"/>
        </w:rPr>
        <w:t>. https://www.reuters.com/world/uk/uk-firms-flag-hundreds-millions-costs-nic-wage-hike-post-budget-2024-11-08/</w:t>
      </w:r>
    </w:p>
    <w:p w14:paraId="12BDE95E"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Reuters. (2024c). </w:t>
      </w:r>
      <w:r w:rsidRPr="00B75BF1">
        <w:rPr>
          <w:rFonts w:ascii="Times New Roman" w:hAnsi="Times New Roman" w:cs="Times New Roman"/>
          <w:i/>
          <w:iCs/>
          <w:noProof/>
          <w:szCs w:val="24"/>
        </w:rPr>
        <w:t>UK’s post Brexit border arrangements to cost $6 billion</w:t>
      </w:r>
      <w:r w:rsidRPr="00B75BF1">
        <w:rPr>
          <w:rFonts w:ascii="Times New Roman" w:hAnsi="Times New Roman" w:cs="Times New Roman"/>
          <w:noProof/>
          <w:szCs w:val="24"/>
        </w:rPr>
        <w:t>. https://www.reuters.com/world/uk/uks-post-brexit-border-arrangements-cost-6-bln-2024-05-19/</w:t>
      </w:r>
    </w:p>
    <w:p w14:paraId="1AAE84E1"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Reuters. (2024d). </w:t>
      </w:r>
      <w:r w:rsidRPr="00B75BF1">
        <w:rPr>
          <w:rFonts w:ascii="Times New Roman" w:hAnsi="Times New Roman" w:cs="Times New Roman"/>
          <w:i/>
          <w:iCs/>
          <w:noProof/>
          <w:szCs w:val="24"/>
        </w:rPr>
        <w:t>UK regulator secures ASOS, Boohoo and Asda pledge on green claims</w:t>
      </w:r>
      <w:r w:rsidRPr="00B75BF1">
        <w:rPr>
          <w:rFonts w:ascii="Times New Roman" w:hAnsi="Times New Roman" w:cs="Times New Roman"/>
          <w:noProof/>
          <w:szCs w:val="24"/>
        </w:rPr>
        <w:t>. https://www.reuters.com/world/uk/uks-cma-says-top-fashion-retailers-sign-green-claims-undertakings-2024-03-27/</w:t>
      </w:r>
    </w:p>
    <w:p w14:paraId="342C7B63"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Reuters. (2025a). </w:t>
      </w:r>
      <w:r w:rsidRPr="00B75BF1">
        <w:rPr>
          <w:rFonts w:ascii="Times New Roman" w:hAnsi="Times New Roman" w:cs="Times New Roman"/>
          <w:i/>
          <w:iCs/>
          <w:noProof/>
          <w:szCs w:val="24"/>
        </w:rPr>
        <w:t>Britain’s Next says worst of structural shift to online is over</w:t>
      </w:r>
      <w:r w:rsidRPr="00B75BF1">
        <w:rPr>
          <w:rFonts w:ascii="Times New Roman" w:hAnsi="Times New Roman" w:cs="Times New Roman"/>
          <w:noProof/>
          <w:szCs w:val="24"/>
        </w:rPr>
        <w:t>. https://www.reuters.com/business/retail-consumer/britains-next-says-worst-structural-shift-online-is-over-2025-03-27/</w:t>
      </w:r>
    </w:p>
    <w:p w14:paraId="29866207"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Reuters. (2025b). </w:t>
      </w:r>
      <w:r w:rsidRPr="00B75BF1">
        <w:rPr>
          <w:rFonts w:ascii="Times New Roman" w:hAnsi="Times New Roman" w:cs="Times New Roman"/>
          <w:i/>
          <w:iCs/>
          <w:noProof/>
          <w:szCs w:val="24"/>
        </w:rPr>
        <w:t>UK retail could shed 160,000 part-time jobs after employer tax increase, says trade body</w:t>
      </w:r>
      <w:r w:rsidRPr="00B75BF1">
        <w:rPr>
          <w:rFonts w:ascii="Times New Roman" w:hAnsi="Times New Roman" w:cs="Times New Roman"/>
          <w:noProof/>
          <w:szCs w:val="24"/>
        </w:rPr>
        <w:t>. https://www.reuters.com/world/uk/uk-retail-could-shed-160000-part-time-jobs-after-employer-tax-increase-says-2025-02-26/</w:t>
      </w:r>
    </w:p>
    <w:p w14:paraId="236B70F3"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Reuters. (2026). </w:t>
      </w:r>
      <w:r w:rsidRPr="00B75BF1">
        <w:rPr>
          <w:rFonts w:ascii="Times New Roman" w:hAnsi="Times New Roman" w:cs="Times New Roman"/>
          <w:i/>
          <w:iCs/>
          <w:noProof/>
          <w:szCs w:val="24"/>
        </w:rPr>
        <w:t>UK retailers’ labour cost fears jump after reforms, survey shows</w:t>
      </w:r>
      <w:r w:rsidRPr="00B75BF1">
        <w:rPr>
          <w:rFonts w:ascii="Times New Roman" w:hAnsi="Times New Roman" w:cs="Times New Roman"/>
          <w:noProof/>
          <w:szCs w:val="24"/>
        </w:rPr>
        <w:t>. https://www.reuters.com/business/world-at-work/uk-retailers-labour-cost-fears-jump-after-reforms-survey-shows-2026-02-19/</w:t>
      </w:r>
    </w:p>
    <w:p w14:paraId="6BD8DBEA"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Sarah Butler. (2024a). </w:t>
      </w:r>
      <w:r w:rsidRPr="00B75BF1">
        <w:rPr>
          <w:rFonts w:ascii="Times New Roman" w:hAnsi="Times New Roman" w:cs="Times New Roman"/>
          <w:i/>
          <w:iCs/>
          <w:noProof/>
          <w:szCs w:val="24"/>
        </w:rPr>
        <w:t>Boohoo dives into debt as losses soar to £160m and sales slump</w:t>
      </w:r>
      <w:r w:rsidRPr="00B75BF1">
        <w:rPr>
          <w:rFonts w:ascii="Times New Roman" w:hAnsi="Times New Roman" w:cs="Times New Roman"/>
          <w:noProof/>
          <w:szCs w:val="24"/>
        </w:rPr>
        <w:t>. https://www.theguardian.com/business/article/2024/may/08/boohoo-dives-into-debt-as-losses-soar-and-sales-slump</w:t>
      </w:r>
    </w:p>
    <w:p w14:paraId="79797E57"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Sarah Butler. (2024b). </w:t>
      </w:r>
      <w:r w:rsidRPr="00B75BF1">
        <w:rPr>
          <w:rFonts w:ascii="Times New Roman" w:hAnsi="Times New Roman" w:cs="Times New Roman"/>
          <w:i/>
          <w:iCs/>
          <w:noProof/>
          <w:szCs w:val="24"/>
        </w:rPr>
        <w:t>Shein doubles profits in UK after sales leap 40% to £1.5bn</w:t>
      </w:r>
      <w:r w:rsidRPr="00B75BF1">
        <w:rPr>
          <w:rFonts w:ascii="Times New Roman" w:hAnsi="Times New Roman" w:cs="Times New Roman"/>
          <w:noProof/>
          <w:szCs w:val="24"/>
        </w:rPr>
        <w:t>. https://www.theguardian.com/business/2024/oct/08/shein-doubles-profits-uk-sales-ipo-fashion-retailer-boohoo-asos</w:t>
      </w:r>
    </w:p>
    <w:p w14:paraId="44F0C3D2"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Schiaroli, V., Fraccascia, L., &amp; Dangelico, R. M. (2024). How can consumers behave sustainably in the fashion industry? A systematic literature review of determinants, drivers, and barriers across the consumption phases. </w:t>
      </w:r>
      <w:r w:rsidRPr="00B75BF1">
        <w:rPr>
          <w:rFonts w:ascii="Times New Roman" w:hAnsi="Times New Roman" w:cs="Times New Roman"/>
          <w:i/>
          <w:iCs/>
          <w:noProof/>
          <w:szCs w:val="24"/>
        </w:rPr>
        <w:t>Journal of Cleaner Production</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483</w:t>
      </w:r>
      <w:r w:rsidRPr="00B75BF1">
        <w:rPr>
          <w:rFonts w:ascii="Times New Roman" w:hAnsi="Times New Roman" w:cs="Times New Roman"/>
          <w:noProof/>
          <w:szCs w:val="24"/>
        </w:rPr>
        <w:t>, 144232. https://doi.org/https://doi.org/10.1016/j.jclepro.2024.144232</w:t>
      </w:r>
    </w:p>
    <w:p w14:paraId="63951EA3"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Tandon, A., Dhir, A., Kaur, P., &amp; Ogbonnaya, C. (2025). Ethical Sourcing and Decision Making in the Fashion Industry: A Longitudinal Qualitative Examination. </w:t>
      </w:r>
      <w:r w:rsidRPr="00B75BF1">
        <w:rPr>
          <w:rFonts w:ascii="Times New Roman" w:hAnsi="Times New Roman" w:cs="Times New Roman"/>
          <w:i/>
          <w:iCs/>
          <w:noProof/>
          <w:szCs w:val="24"/>
        </w:rPr>
        <w:t>Journal of Business Ethics</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196</w:t>
      </w:r>
      <w:r w:rsidRPr="00B75BF1">
        <w:rPr>
          <w:rFonts w:ascii="Times New Roman" w:hAnsi="Times New Roman" w:cs="Times New Roman"/>
          <w:noProof/>
          <w:szCs w:val="24"/>
        </w:rPr>
        <w:t>(4), 723–751. https://doi.org/10.1007/s10551-024-05876-9</w:t>
      </w:r>
    </w:p>
    <w:p w14:paraId="6AC53AC3"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Tiwari, A., Kumar, A., Kant, R., &amp; Jaiswal, D. (2023). Impact of fashion influencers on consumers’ purchase intentions: theory of planned behaviour and mediation of attitude. </w:t>
      </w:r>
      <w:r w:rsidRPr="00B75BF1">
        <w:rPr>
          <w:rFonts w:ascii="Times New Roman" w:hAnsi="Times New Roman" w:cs="Times New Roman"/>
          <w:i/>
          <w:iCs/>
          <w:noProof/>
          <w:szCs w:val="24"/>
        </w:rPr>
        <w:t>Journal of Fashion Marketing and Management</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28</w:t>
      </w:r>
      <w:r w:rsidRPr="00B75BF1">
        <w:rPr>
          <w:rFonts w:ascii="Times New Roman" w:hAnsi="Times New Roman" w:cs="Times New Roman"/>
          <w:noProof/>
          <w:szCs w:val="24"/>
        </w:rPr>
        <w:t>(2), 209–225. https://doi.org/10.1108/JFMM-11-2022-0253</w:t>
      </w:r>
    </w:p>
    <w:p w14:paraId="2B6C4C18"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UK GOV. (n.d.-a). </w:t>
      </w:r>
      <w:r w:rsidRPr="00B75BF1">
        <w:rPr>
          <w:rFonts w:ascii="Times New Roman" w:hAnsi="Times New Roman" w:cs="Times New Roman"/>
          <w:i/>
          <w:iCs/>
          <w:noProof/>
          <w:szCs w:val="24"/>
        </w:rPr>
        <w:t>Accepting returns and giving refunds: the law</w:t>
      </w:r>
      <w:r w:rsidRPr="00B75BF1">
        <w:rPr>
          <w:rFonts w:ascii="Times New Roman" w:hAnsi="Times New Roman" w:cs="Times New Roman"/>
          <w:noProof/>
          <w:szCs w:val="24"/>
        </w:rPr>
        <w:t>. Retrieved March 9, 2026, from https://www.gov.uk/accepting-returns-and-giving-refunds</w:t>
      </w:r>
    </w:p>
    <w:p w14:paraId="74AFF4EE"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UK GOV. (n.d.-b). </w:t>
      </w:r>
      <w:r w:rsidRPr="00B75BF1">
        <w:rPr>
          <w:rFonts w:ascii="Times New Roman" w:hAnsi="Times New Roman" w:cs="Times New Roman"/>
          <w:i/>
          <w:iCs/>
          <w:noProof/>
          <w:szCs w:val="24"/>
        </w:rPr>
        <w:t>Complying with consumer law when making environmental claims in the fashion retail sector</w:t>
      </w:r>
      <w:r w:rsidRPr="00B75BF1">
        <w:rPr>
          <w:rFonts w:ascii="Times New Roman" w:hAnsi="Times New Roman" w:cs="Times New Roman"/>
          <w:noProof/>
          <w:szCs w:val="24"/>
        </w:rPr>
        <w:t>. Retrieved March 9, 2026, from https://assets.publishing.service.gov.uk/media/66e98492c069f68b7681bc85/Complying_with_consumer_law_when_making_environmental_claims_in_the_fashion_retail_sector.pdf</w:t>
      </w:r>
    </w:p>
    <w:p w14:paraId="1D5441DA"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lastRenderedPageBreak/>
        <w:t xml:space="preserve">UK GOV. (n.d.-c). </w:t>
      </w:r>
      <w:r w:rsidRPr="00B75BF1">
        <w:rPr>
          <w:rFonts w:ascii="Times New Roman" w:hAnsi="Times New Roman" w:cs="Times New Roman"/>
          <w:i/>
          <w:iCs/>
          <w:noProof/>
          <w:szCs w:val="24"/>
        </w:rPr>
        <w:t>Green claims in fashion Guide to help businesses follow consumer law</w:t>
      </w:r>
      <w:r w:rsidRPr="00B75BF1">
        <w:rPr>
          <w:rFonts w:ascii="Times New Roman" w:hAnsi="Times New Roman" w:cs="Times New Roman"/>
          <w:noProof/>
          <w:szCs w:val="24"/>
        </w:rPr>
        <w:t>. Retrieved March 9, 2026, from https://greenclaims.campaign.gov.uk/fashion-guide/?</w:t>
      </w:r>
    </w:p>
    <w:p w14:paraId="446F178B"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UK GOV. (2024a). </w:t>
      </w:r>
      <w:r w:rsidRPr="00B75BF1">
        <w:rPr>
          <w:rFonts w:ascii="Times New Roman" w:hAnsi="Times New Roman" w:cs="Times New Roman"/>
          <w:i/>
          <w:iCs/>
          <w:noProof/>
          <w:szCs w:val="24"/>
        </w:rPr>
        <w:t>Fashion retail: consumer law when making green claims</w:t>
      </w:r>
      <w:r w:rsidRPr="00B75BF1">
        <w:rPr>
          <w:rFonts w:ascii="Times New Roman" w:hAnsi="Times New Roman" w:cs="Times New Roman"/>
          <w:noProof/>
          <w:szCs w:val="24"/>
        </w:rPr>
        <w:t>. https://www.gov.uk/government/publications/complying-with-consumer-law-when-making-environmental-claims-in-the-fashion-retail-sector?</w:t>
      </w:r>
    </w:p>
    <w:p w14:paraId="74E7170B"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UK GOV. (2024b). </w:t>
      </w:r>
      <w:r w:rsidRPr="00B75BF1">
        <w:rPr>
          <w:rFonts w:ascii="Times New Roman" w:hAnsi="Times New Roman" w:cs="Times New Roman"/>
          <w:i/>
          <w:iCs/>
          <w:noProof/>
          <w:szCs w:val="24"/>
        </w:rPr>
        <w:t>General Product Safety Regulations 2005: Great Britain</w:t>
      </w:r>
      <w:r w:rsidRPr="00B75BF1">
        <w:rPr>
          <w:rFonts w:ascii="Times New Roman" w:hAnsi="Times New Roman" w:cs="Times New Roman"/>
          <w:noProof/>
          <w:szCs w:val="24"/>
        </w:rPr>
        <w:t>. https://www.gov.uk/government/publications/general-product-safety-regulations-2005/general-product-safety-regulations-2005-great-britain?</w:t>
      </w:r>
    </w:p>
    <w:p w14:paraId="606C023F"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UK GOV. (2024c). </w:t>
      </w:r>
      <w:r w:rsidRPr="00B75BF1">
        <w:rPr>
          <w:rFonts w:ascii="Times New Roman" w:hAnsi="Times New Roman" w:cs="Times New Roman"/>
          <w:i/>
          <w:iCs/>
          <w:noProof/>
          <w:szCs w:val="24"/>
        </w:rPr>
        <w:t>Green claims: CMA secures landmark changes from ASOS, Boohoo and Asda</w:t>
      </w:r>
      <w:r w:rsidRPr="00B75BF1">
        <w:rPr>
          <w:rFonts w:ascii="Times New Roman" w:hAnsi="Times New Roman" w:cs="Times New Roman"/>
          <w:noProof/>
          <w:szCs w:val="24"/>
        </w:rPr>
        <w:t>. https://www.gov.uk/government/news/green-claims-cma-secures-landmark-changes-from-asos-boohoo-and-asda</w:t>
      </w:r>
    </w:p>
    <w:p w14:paraId="2A9F1177"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UK GOV. (2024d). </w:t>
      </w:r>
      <w:r w:rsidRPr="00B75BF1">
        <w:rPr>
          <w:rFonts w:ascii="Times New Roman" w:hAnsi="Times New Roman" w:cs="Times New Roman"/>
          <w:i/>
          <w:iCs/>
          <w:noProof/>
          <w:szCs w:val="24"/>
        </w:rPr>
        <w:t>Greenwashing: CMA issues tailored guide for fashion brands</w:t>
      </w:r>
      <w:r w:rsidRPr="00B75BF1">
        <w:rPr>
          <w:rFonts w:ascii="Times New Roman" w:hAnsi="Times New Roman" w:cs="Times New Roman"/>
          <w:noProof/>
          <w:szCs w:val="24"/>
        </w:rPr>
        <w:t>. https://www.gov.uk/government/news/greenwashing-cma-issues-tailored-guide-for-fashion-brands</w:t>
      </w:r>
    </w:p>
    <w:p w14:paraId="336DCF42"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UK GOV. (2025a). </w:t>
      </w:r>
      <w:r w:rsidRPr="00B75BF1">
        <w:rPr>
          <w:rFonts w:ascii="Times New Roman" w:hAnsi="Times New Roman" w:cs="Times New Roman"/>
          <w:i/>
          <w:iCs/>
          <w:noProof/>
          <w:szCs w:val="24"/>
        </w:rPr>
        <w:t>Product Safety Database report 2024 to 2025</w:t>
      </w:r>
      <w:r w:rsidRPr="00B75BF1">
        <w:rPr>
          <w:rFonts w:ascii="Times New Roman" w:hAnsi="Times New Roman" w:cs="Times New Roman"/>
          <w:noProof/>
          <w:szCs w:val="24"/>
        </w:rPr>
        <w:t>. https://www.gov.uk/government/statistics/product-safety-database-annual-reports/product-safety-database-report-2024-to-2025?</w:t>
      </w:r>
    </w:p>
    <w:p w14:paraId="16B4E654"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UK GOV. (2025b). </w:t>
      </w:r>
      <w:r w:rsidRPr="00B75BF1">
        <w:rPr>
          <w:rFonts w:ascii="Times New Roman" w:hAnsi="Times New Roman" w:cs="Times New Roman"/>
          <w:i/>
          <w:iCs/>
          <w:noProof/>
          <w:szCs w:val="24"/>
        </w:rPr>
        <w:t>Transparency in supply chains: a practical guide (accessible)</w:t>
      </w:r>
      <w:r w:rsidRPr="00B75BF1">
        <w:rPr>
          <w:rFonts w:ascii="Times New Roman" w:hAnsi="Times New Roman" w:cs="Times New Roman"/>
          <w:noProof/>
          <w:szCs w:val="24"/>
        </w:rPr>
        <w:t>. https://www.gov.uk/government/publications/transparency-in-supply-chains-a-practical-guide/transparency-in-supply-chains-a-practical-guide-accessible</w:t>
      </w:r>
    </w:p>
    <w:p w14:paraId="34F4E5B4"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UKFT. (2023a). </w:t>
      </w:r>
      <w:r w:rsidRPr="00B75BF1">
        <w:rPr>
          <w:rFonts w:ascii="Times New Roman" w:hAnsi="Times New Roman" w:cs="Times New Roman"/>
          <w:i/>
          <w:iCs/>
          <w:noProof/>
          <w:szCs w:val="24"/>
        </w:rPr>
        <w:t>The Fashion &amp; Textile Industry’s Footprint in the UK</w:t>
      </w:r>
      <w:r w:rsidRPr="00B75BF1">
        <w:rPr>
          <w:rFonts w:ascii="Times New Roman" w:hAnsi="Times New Roman" w:cs="Times New Roman"/>
          <w:noProof/>
          <w:szCs w:val="24"/>
        </w:rPr>
        <w:t>. https://ukft.org/wp-content/uploads/2026/01/OE-Report-executive-summary-4.pdf</w:t>
      </w:r>
    </w:p>
    <w:p w14:paraId="321D0548"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UKFT. (2023b). </w:t>
      </w:r>
      <w:r w:rsidRPr="00B75BF1">
        <w:rPr>
          <w:rFonts w:ascii="Times New Roman" w:hAnsi="Times New Roman" w:cs="Times New Roman"/>
          <w:i/>
          <w:iCs/>
          <w:noProof/>
          <w:szCs w:val="24"/>
        </w:rPr>
        <w:t>The UK fashion and textile industry contributes £62bn to the UK economy</w:t>
      </w:r>
      <w:r w:rsidRPr="00B75BF1">
        <w:rPr>
          <w:rFonts w:ascii="Times New Roman" w:hAnsi="Times New Roman" w:cs="Times New Roman"/>
          <w:noProof/>
          <w:szCs w:val="24"/>
        </w:rPr>
        <w:t>. https://ukft.org/industry-footprint-report/</w:t>
      </w:r>
    </w:p>
    <w:p w14:paraId="1E605B4C"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UKFT. (2025a). </w:t>
      </w:r>
      <w:r w:rsidRPr="00B75BF1">
        <w:rPr>
          <w:rFonts w:ascii="Times New Roman" w:hAnsi="Times New Roman" w:cs="Times New Roman"/>
          <w:i/>
          <w:iCs/>
          <w:noProof/>
          <w:szCs w:val="24"/>
        </w:rPr>
        <w:t>About the UK fashion and textiles industry</w:t>
      </w:r>
      <w:r w:rsidRPr="00B75BF1">
        <w:rPr>
          <w:rFonts w:ascii="Times New Roman" w:hAnsi="Times New Roman" w:cs="Times New Roman"/>
          <w:noProof/>
          <w:szCs w:val="24"/>
        </w:rPr>
        <w:t>. https://ukft.org/industry-reports-and-stats/</w:t>
      </w:r>
    </w:p>
    <w:p w14:paraId="719B38AA"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UKFT. (2025b). </w:t>
      </w:r>
      <w:r w:rsidRPr="00B75BF1">
        <w:rPr>
          <w:rFonts w:ascii="Times New Roman" w:hAnsi="Times New Roman" w:cs="Times New Roman"/>
          <w:i/>
          <w:iCs/>
          <w:noProof/>
          <w:szCs w:val="24"/>
        </w:rPr>
        <w:t>Overview</w:t>
      </w:r>
      <w:r w:rsidRPr="00B75BF1">
        <w:rPr>
          <w:rFonts w:ascii="Times New Roman" w:hAnsi="Times New Roman" w:cs="Times New Roman"/>
          <w:noProof/>
          <w:szCs w:val="24"/>
        </w:rPr>
        <w:t>. https://ukft.org/voice/brexit/faqs/</w:t>
      </w:r>
    </w:p>
    <w:p w14:paraId="6AD9CB97"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Van, L. H., Li, C. S., &amp; Wan, R. (2022). Critical reading in higher education: A systematic review. </w:t>
      </w:r>
      <w:r w:rsidRPr="00B75BF1">
        <w:rPr>
          <w:rFonts w:ascii="Times New Roman" w:hAnsi="Times New Roman" w:cs="Times New Roman"/>
          <w:i/>
          <w:iCs/>
          <w:noProof/>
          <w:szCs w:val="24"/>
        </w:rPr>
        <w:t>Thinking Skills and Creativity</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44</w:t>
      </w:r>
      <w:r w:rsidRPr="00B75BF1">
        <w:rPr>
          <w:rFonts w:ascii="Times New Roman" w:hAnsi="Times New Roman" w:cs="Times New Roman"/>
          <w:noProof/>
          <w:szCs w:val="24"/>
        </w:rPr>
        <w:t>, 101028. https://doi.org/https://doi.org/10.1016/j.tsc.2022.101028</w:t>
      </w:r>
    </w:p>
    <w:p w14:paraId="4064472F"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Vassalo, A. L., Marques, C. G., Simões, J. T., Fernandes, M. M., &amp; Domingos, S. (2024). Sustainability in the Fashion Industry in Relation to Consumption in a Digital Age. In </w:t>
      </w:r>
      <w:r w:rsidRPr="00B75BF1">
        <w:rPr>
          <w:rFonts w:ascii="Times New Roman" w:hAnsi="Times New Roman" w:cs="Times New Roman"/>
          <w:i/>
          <w:iCs/>
          <w:noProof/>
          <w:szCs w:val="24"/>
        </w:rPr>
        <w:t>Sustainability</w:t>
      </w:r>
      <w:r w:rsidRPr="00B75BF1">
        <w:rPr>
          <w:rFonts w:ascii="Times New Roman" w:hAnsi="Times New Roman" w:cs="Times New Roman"/>
          <w:noProof/>
          <w:szCs w:val="24"/>
        </w:rPr>
        <w:t xml:space="preserve"> (Vol. 16, Issue 13, p. 5303). https://doi.org/10.3390/su16135303</w:t>
      </w:r>
    </w:p>
    <w:p w14:paraId="620B9C21"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Vladimirova, K., Henninger, C. E., Alosaimi, S. I., Brydges, T., Choopani, H., Hanlon, M., Iran, S., McCormick, H., &amp; Zhou, S. (2024). Exploring the influence of social media on sustainable fashion consumption: A systematic literature review and future research agenda. </w:t>
      </w:r>
      <w:r w:rsidRPr="00B75BF1">
        <w:rPr>
          <w:rFonts w:ascii="Times New Roman" w:hAnsi="Times New Roman" w:cs="Times New Roman"/>
          <w:i/>
          <w:iCs/>
          <w:noProof/>
          <w:szCs w:val="24"/>
        </w:rPr>
        <w:t>Journal of Global Fashion Marketing</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15</w:t>
      </w:r>
      <w:r w:rsidRPr="00B75BF1">
        <w:rPr>
          <w:rFonts w:ascii="Times New Roman" w:hAnsi="Times New Roman" w:cs="Times New Roman"/>
          <w:noProof/>
          <w:szCs w:val="24"/>
        </w:rPr>
        <w:t>(2), 181–202. https://doi.org/10.1080/20932685.2023.2237978</w:t>
      </w:r>
    </w:p>
    <w:p w14:paraId="727197D2"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B75BF1">
        <w:rPr>
          <w:rFonts w:ascii="Times New Roman" w:hAnsi="Times New Roman" w:cs="Times New Roman"/>
          <w:noProof/>
          <w:szCs w:val="24"/>
        </w:rPr>
        <w:t xml:space="preserve">Yang, L., Li, X., &amp; Zhong, N. (2022). Omnichannel retail operations with mixed fulfillment strategies. </w:t>
      </w:r>
      <w:r w:rsidRPr="00B75BF1">
        <w:rPr>
          <w:rFonts w:ascii="Times New Roman" w:hAnsi="Times New Roman" w:cs="Times New Roman"/>
          <w:i/>
          <w:iCs/>
          <w:noProof/>
          <w:szCs w:val="24"/>
        </w:rPr>
        <w:t>International Journal of Production Economics</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254</w:t>
      </w:r>
      <w:r w:rsidRPr="00B75BF1">
        <w:rPr>
          <w:rFonts w:ascii="Times New Roman" w:hAnsi="Times New Roman" w:cs="Times New Roman"/>
          <w:noProof/>
          <w:szCs w:val="24"/>
        </w:rPr>
        <w:t>, 108608. https://doi.org/https://doi.org/10.1016/j.ijpe.2022.108608</w:t>
      </w:r>
    </w:p>
    <w:p w14:paraId="0ADA3A78" w14:textId="77777777" w:rsidR="000724CE" w:rsidRPr="00B75BF1" w:rsidRDefault="000724CE" w:rsidP="000724CE">
      <w:pPr>
        <w:widowControl w:val="0"/>
        <w:autoSpaceDE w:val="0"/>
        <w:autoSpaceDN w:val="0"/>
        <w:adjustRightInd w:val="0"/>
        <w:spacing w:before="100" w:after="100" w:line="240" w:lineRule="auto"/>
        <w:ind w:left="480" w:hanging="480"/>
        <w:rPr>
          <w:rFonts w:ascii="Times New Roman" w:hAnsi="Times New Roman" w:cs="Times New Roman"/>
          <w:noProof/>
        </w:rPr>
      </w:pPr>
      <w:r w:rsidRPr="00B75BF1">
        <w:rPr>
          <w:rFonts w:ascii="Times New Roman" w:hAnsi="Times New Roman" w:cs="Times New Roman"/>
          <w:noProof/>
          <w:szCs w:val="24"/>
        </w:rPr>
        <w:t xml:space="preserve">Zhang, L., Wu, L., Huang, L., &amp; Zhang, Y. (2025). Wield the Power of Omni-channel Retailing Strategy: a Capability and Supply Chain Resilience Perspective. </w:t>
      </w:r>
      <w:r w:rsidRPr="00B75BF1">
        <w:rPr>
          <w:rFonts w:ascii="Times New Roman" w:hAnsi="Times New Roman" w:cs="Times New Roman"/>
          <w:i/>
          <w:iCs/>
          <w:noProof/>
          <w:szCs w:val="24"/>
        </w:rPr>
        <w:t>Journal of Strategic Marketing</w:t>
      </w:r>
      <w:r w:rsidRPr="00B75BF1">
        <w:rPr>
          <w:rFonts w:ascii="Times New Roman" w:hAnsi="Times New Roman" w:cs="Times New Roman"/>
          <w:noProof/>
          <w:szCs w:val="24"/>
        </w:rPr>
        <w:t xml:space="preserve">, </w:t>
      </w:r>
      <w:r w:rsidRPr="00B75BF1">
        <w:rPr>
          <w:rFonts w:ascii="Times New Roman" w:hAnsi="Times New Roman" w:cs="Times New Roman"/>
          <w:i/>
          <w:iCs/>
          <w:noProof/>
          <w:szCs w:val="24"/>
        </w:rPr>
        <w:t>33</w:t>
      </w:r>
      <w:r w:rsidRPr="00B75BF1">
        <w:rPr>
          <w:rFonts w:ascii="Times New Roman" w:hAnsi="Times New Roman" w:cs="Times New Roman"/>
          <w:noProof/>
          <w:szCs w:val="24"/>
        </w:rPr>
        <w:t>(3), 416–440. https://doi.org/10.1080/0965254X.2021.1972440</w:t>
      </w:r>
    </w:p>
    <w:p w14:paraId="6118BC6C" w14:textId="22AFD35E" w:rsidR="00A16DF2" w:rsidRPr="000E3651" w:rsidRDefault="00B64D62" w:rsidP="00EC50F9">
      <w:pPr>
        <w:pStyle w:val="NormalWeb"/>
      </w:pPr>
      <w:r w:rsidRPr="00B75BF1">
        <w:lastRenderedPageBreak/>
        <w:fldChar w:fldCharType="end"/>
      </w:r>
    </w:p>
    <w:sectPr w:rsidR="00A16DF2" w:rsidRPr="000E3651" w:rsidSect="00B64D62">
      <w:head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AD2E15C" w14:textId="77777777" w:rsidR="00925838" w:rsidRDefault="00925838" w:rsidP="00FB52B4">
      <w:pPr>
        <w:spacing w:after="0" w:line="240" w:lineRule="auto"/>
      </w:pPr>
      <w:r>
        <w:separator/>
      </w:r>
    </w:p>
  </w:endnote>
  <w:endnote w:type="continuationSeparator" w:id="0">
    <w:p w14:paraId="34587686" w14:textId="77777777" w:rsidR="00925838" w:rsidRDefault="00925838" w:rsidP="00FB52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926A2E" w14:textId="77777777" w:rsidR="00925838" w:rsidRDefault="00925838" w:rsidP="00FB52B4">
      <w:pPr>
        <w:spacing w:after="0" w:line="240" w:lineRule="auto"/>
      </w:pPr>
      <w:r>
        <w:separator/>
      </w:r>
    </w:p>
  </w:footnote>
  <w:footnote w:type="continuationSeparator" w:id="0">
    <w:p w14:paraId="773E9D83" w14:textId="77777777" w:rsidR="00925838" w:rsidRDefault="00925838" w:rsidP="00FB52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5EB853" w14:textId="7B06CB65" w:rsidR="00FB52B4" w:rsidRDefault="00FB52B4">
    <w:pPr>
      <w:pStyle w:val="Header"/>
    </w:pPr>
    <w:r w:rsidRPr="00A406E5">
      <w:rPr>
        <w:rFonts w:ascii="Arial" w:hAnsi="Arial" w:cs="Arial"/>
        <w:noProof/>
        <w:lang w:val="en-US"/>
      </w:rPr>
      <w:drawing>
        <wp:anchor distT="0" distB="0" distL="114300" distR="114300" simplePos="0" relativeHeight="251659264" behindDoc="0" locked="0" layoutInCell="1" allowOverlap="1" wp14:anchorId="4EB5DD2C" wp14:editId="1824B46C">
          <wp:simplePos x="0" y="0"/>
          <wp:positionH relativeFrom="column">
            <wp:posOffset>-276225</wp:posOffset>
          </wp:positionH>
          <wp:positionV relativeFrom="paragraph">
            <wp:posOffset>-295275</wp:posOffset>
          </wp:positionV>
          <wp:extent cx="1343025" cy="51435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343025" cy="51435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6C4D05"/>
    <w:multiLevelType w:val="multilevel"/>
    <w:tmpl w:val="3788CF28"/>
    <w:lvl w:ilvl="0">
      <w:start w:val="1"/>
      <w:numFmt w:val="decimal"/>
      <w:lvlText w:val="%1"/>
      <w:lvlJc w:val="left"/>
      <w:pPr>
        <w:ind w:left="432" w:hanging="432"/>
      </w:pPr>
    </w:lvl>
    <w:lvl w:ilvl="1">
      <w:start w:val="1"/>
      <w:numFmt w:val="decimal"/>
      <w:lvlText w:val="%1.%2"/>
      <w:lvlJc w:val="left"/>
      <w:pPr>
        <w:ind w:left="576" w:hanging="576"/>
      </w:pPr>
      <w:rPr>
        <w:sz w:val="28"/>
        <w:szCs w:val="22"/>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CB6521A"/>
    <w:multiLevelType w:val="multilevel"/>
    <w:tmpl w:val="54DABE6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13E448F3"/>
    <w:multiLevelType w:val="hybridMultilevel"/>
    <w:tmpl w:val="BAE80E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E2D39D2"/>
    <w:multiLevelType w:val="multilevel"/>
    <w:tmpl w:val="BF0C9F2A"/>
    <w:lvl w:ilvl="0">
      <w:start w:val="1"/>
      <w:numFmt w:val="decimal"/>
      <w:lvlText w:val="%1"/>
      <w:lvlJc w:val="left"/>
      <w:pPr>
        <w:ind w:left="432" w:hanging="432"/>
      </w:pPr>
      <w:rPr>
        <w:sz w:val="32"/>
        <w:szCs w:val="32"/>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BF28FC"/>
    <w:multiLevelType w:val="multilevel"/>
    <w:tmpl w:val="F02459EC"/>
    <w:lvl w:ilvl="0">
      <w:start w:val="1"/>
      <w:numFmt w:val="decimal"/>
      <w:pStyle w:val="Heading1"/>
      <w:lvlText w:val="%1"/>
      <w:lvlJc w:val="left"/>
      <w:pPr>
        <w:ind w:left="432" w:hanging="432"/>
      </w:pPr>
    </w:lvl>
    <w:lvl w:ilvl="1">
      <w:start w:val="1"/>
      <w:numFmt w:val="decimal"/>
      <w:pStyle w:val="Heading2"/>
      <w:lvlText w:val="%1.%2"/>
      <w:lvlJc w:val="left"/>
      <w:pPr>
        <w:ind w:left="576" w:hanging="576"/>
      </w:pPr>
      <w:rPr>
        <w:sz w:val="28"/>
        <w:szCs w:val="22"/>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3"/>
  </w:num>
  <w:num w:numId="2">
    <w:abstractNumId w:val="3"/>
  </w:num>
  <w:num w:numId="3">
    <w:abstractNumId w:val="3"/>
  </w:num>
  <w:num w:numId="4">
    <w:abstractNumId w:val="1"/>
  </w:num>
  <w:num w:numId="5">
    <w:abstractNumId w:val="3"/>
  </w:num>
  <w:num w:numId="6">
    <w:abstractNumId w:val="0"/>
  </w:num>
  <w:num w:numId="7">
    <w:abstractNumId w:val="0"/>
  </w:num>
  <w:num w:numId="8">
    <w:abstractNumId w:val="5"/>
  </w:num>
  <w:num w:numId="9">
    <w:abstractNumId w:val="0"/>
  </w:num>
  <w:num w:numId="10">
    <w:abstractNumId w:val="0"/>
  </w:num>
  <w:num w:numId="11">
    <w:abstractNumId w:val="2"/>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3651"/>
    <w:rsid w:val="00037391"/>
    <w:rsid w:val="00044DB5"/>
    <w:rsid w:val="000506C0"/>
    <w:rsid w:val="000724CE"/>
    <w:rsid w:val="000735A1"/>
    <w:rsid w:val="00085282"/>
    <w:rsid w:val="000A555B"/>
    <w:rsid w:val="000C40B4"/>
    <w:rsid w:val="000E3651"/>
    <w:rsid w:val="001158AB"/>
    <w:rsid w:val="001247A3"/>
    <w:rsid w:val="00141914"/>
    <w:rsid w:val="00142496"/>
    <w:rsid w:val="00145B67"/>
    <w:rsid w:val="001635E7"/>
    <w:rsid w:val="001A1186"/>
    <w:rsid w:val="001C159E"/>
    <w:rsid w:val="001C3DFB"/>
    <w:rsid w:val="001C4118"/>
    <w:rsid w:val="001F50A1"/>
    <w:rsid w:val="001F6CF4"/>
    <w:rsid w:val="002A095A"/>
    <w:rsid w:val="002D576F"/>
    <w:rsid w:val="002E5B33"/>
    <w:rsid w:val="003216E9"/>
    <w:rsid w:val="0033570C"/>
    <w:rsid w:val="003C4DC5"/>
    <w:rsid w:val="00412DD3"/>
    <w:rsid w:val="004273AF"/>
    <w:rsid w:val="00451D2C"/>
    <w:rsid w:val="00464AA9"/>
    <w:rsid w:val="005002A2"/>
    <w:rsid w:val="0051010E"/>
    <w:rsid w:val="00555CAB"/>
    <w:rsid w:val="005A527D"/>
    <w:rsid w:val="005A7E95"/>
    <w:rsid w:val="005B0DA7"/>
    <w:rsid w:val="00640314"/>
    <w:rsid w:val="00656A80"/>
    <w:rsid w:val="00664FF3"/>
    <w:rsid w:val="006774BB"/>
    <w:rsid w:val="006A44BA"/>
    <w:rsid w:val="006B4F71"/>
    <w:rsid w:val="007108F2"/>
    <w:rsid w:val="00736897"/>
    <w:rsid w:val="00740997"/>
    <w:rsid w:val="00756D46"/>
    <w:rsid w:val="00772241"/>
    <w:rsid w:val="00822DA6"/>
    <w:rsid w:val="00844FAF"/>
    <w:rsid w:val="008A096F"/>
    <w:rsid w:val="008C597E"/>
    <w:rsid w:val="008F691C"/>
    <w:rsid w:val="00925838"/>
    <w:rsid w:val="00925BD5"/>
    <w:rsid w:val="00932E16"/>
    <w:rsid w:val="00964ABE"/>
    <w:rsid w:val="00986572"/>
    <w:rsid w:val="009A41F4"/>
    <w:rsid w:val="009E521B"/>
    <w:rsid w:val="00A16DF2"/>
    <w:rsid w:val="00A175BA"/>
    <w:rsid w:val="00A8145B"/>
    <w:rsid w:val="00A82E0E"/>
    <w:rsid w:val="00AE53D2"/>
    <w:rsid w:val="00B64D62"/>
    <w:rsid w:val="00B75BF1"/>
    <w:rsid w:val="00B81E54"/>
    <w:rsid w:val="00B8574B"/>
    <w:rsid w:val="00BA2F26"/>
    <w:rsid w:val="00C03DCB"/>
    <w:rsid w:val="00C215C7"/>
    <w:rsid w:val="00C2747D"/>
    <w:rsid w:val="00C50C9E"/>
    <w:rsid w:val="00C51973"/>
    <w:rsid w:val="00C87C0A"/>
    <w:rsid w:val="00CC243E"/>
    <w:rsid w:val="00CD4E8C"/>
    <w:rsid w:val="00D26756"/>
    <w:rsid w:val="00D46C2F"/>
    <w:rsid w:val="00D50988"/>
    <w:rsid w:val="00D75670"/>
    <w:rsid w:val="00D82FF6"/>
    <w:rsid w:val="00DC5BF8"/>
    <w:rsid w:val="00DE0A02"/>
    <w:rsid w:val="00E16044"/>
    <w:rsid w:val="00E57C79"/>
    <w:rsid w:val="00EA0D1E"/>
    <w:rsid w:val="00EB1607"/>
    <w:rsid w:val="00EC50F9"/>
    <w:rsid w:val="00ED19B4"/>
    <w:rsid w:val="00F013D8"/>
    <w:rsid w:val="00F45BFD"/>
    <w:rsid w:val="00F9050C"/>
    <w:rsid w:val="00FB32A3"/>
    <w:rsid w:val="00FB52B4"/>
    <w:rsid w:val="00FF6E1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42FF9"/>
  <w15:chartTrackingRefBased/>
  <w15:docId w15:val="{4BEA51A3-5CED-439F-8759-1E21722F3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02A2"/>
    <w:rPr>
      <w:rFonts w:asciiTheme="majorBidi" w:hAnsiTheme="majorBidi"/>
      <w:sz w:val="24"/>
      <w:lang w:val="en-IN"/>
    </w:rPr>
  </w:style>
  <w:style w:type="paragraph" w:styleId="Heading1">
    <w:name w:val="heading 1"/>
    <w:basedOn w:val="Normal"/>
    <w:next w:val="Normal"/>
    <w:link w:val="Heading1Char"/>
    <w:autoRedefine/>
    <w:uiPriority w:val="9"/>
    <w:qFormat/>
    <w:rsid w:val="000506C0"/>
    <w:pPr>
      <w:keepNext/>
      <w:keepLines/>
      <w:numPr>
        <w:numId w:val="8"/>
      </w:numPr>
      <w:spacing w:before="240" w:after="0"/>
      <w:jc w:val="both"/>
      <w:outlineLvl w:val="0"/>
    </w:pPr>
    <w:rPr>
      <w:rFonts w:eastAsiaTheme="majorEastAsia" w:cs="Times New Roman"/>
      <w:b/>
      <w:bCs/>
      <w:color w:val="000000" w:themeColor="text1"/>
      <w:sz w:val="32"/>
      <w:szCs w:val="24"/>
      <w:lang w:val="en-US"/>
    </w:rPr>
  </w:style>
  <w:style w:type="paragraph" w:styleId="Heading2">
    <w:name w:val="heading 2"/>
    <w:basedOn w:val="Normal"/>
    <w:next w:val="Normal"/>
    <w:link w:val="Heading2Char"/>
    <w:autoRedefine/>
    <w:uiPriority w:val="9"/>
    <w:unhideWhenUsed/>
    <w:qFormat/>
    <w:rsid w:val="000506C0"/>
    <w:pPr>
      <w:keepNext/>
      <w:keepLines/>
      <w:numPr>
        <w:ilvl w:val="1"/>
        <w:numId w:val="8"/>
      </w:numPr>
      <w:spacing w:before="40" w:after="0"/>
      <w:jc w:val="both"/>
      <w:outlineLvl w:val="1"/>
    </w:pPr>
    <w:rPr>
      <w:rFonts w:eastAsiaTheme="majorEastAsia" w:cstheme="majorBidi"/>
      <w:b/>
      <w:color w:val="000000" w:themeColor="text1"/>
      <w:sz w:val="28"/>
      <w:szCs w:val="26"/>
      <w:lang w:val="en-US"/>
    </w:rPr>
  </w:style>
  <w:style w:type="paragraph" w:styleId="Heading3">
    <w:name w:val="heading 3"/>
    <w:basedOn w:val="Normal"/>
    <w:next w:val="Normal"/>
    <w:link w:val="Heading3Char"/>
    <w:autoRedefine/>
    <w:uiPriority w:val="9"/>
    <w:unhideWhenUsed/>
    <w:qFormat/>
    <w:rsid w:val="005002A2"/>
    <w:pPr>
      <w:keepNext/>
      <w:keepLines/>
      <w:numPr>
        <w:ilvl w:val="2"/>
        <w:numId w:val="8"/>
      </w:numPr>
      <w:spacing w:before="40" w:after="0"/>
      <w:outlineLvl w:val="2"/>
    </w:pPr>
    <w:rPr>
      <w:rFonts w:eastAsiaTheme="majorEastAsia" w:cs="Segoe UI Emoji"/>
      <w:b/>
      <w:szCs w:val="24"/>
    </w:rPr>
  </w:style>
  <w:style w:type="paragraph" w:styleId="Heading4">
    <w:name w:val="heading 4"/>
    <w:basedOn w:val="Normal"/>
    <w:next w:val="Normal"/>
    <w:link w:val="Heading4Char"/>
    <w:uiPriority w:val="9"/>
    <w:semiHidden/>
    <w:unhideWhenUsed/>
    <w:qFormat/>
    <w:rsid w:val="005B0DA7"/>
    <w:pPr>
      <w:keepNext/>
      <w:keepLines/>
      <w:numPr>
        <w:ilvl w:val="3"/>
        <w:numId w:val="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B0DA7"/>
    <w:pPr>
      <w:keepNext/>
      <w:keepLines/>
      <w:numPr>
        <w:ilvl w:val="4"/>
        <w:numId w:val="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B0DA7"/>
    <w:pPr>
      <w:keepNext/>
      <w:keepLines/>
      <w:numPr>
        <w:ilvl w:val="5"/>
        <w:numId w:val="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B0DA7"/>
    <w:pPr>
      <w:keepNext/>
      <w:keepLines/>
      <w:numPr>
        <w:ilvl w:val="6"/>
        <w:numId w:val="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B0DA7"/>
    <w:pPr>
      <w:keepNext/>
      <w:keepLines/>
      <w:numPr>
        <w:ilvl w:val="7"/>
        <w:numId w:val="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B0DA7"/>
    <w:pPr>
      <w:keepNext/>
      <w:keepLines/>
      <w:numPr>
        <w:ilvl w:val="8"/>
        <w:numId w:val="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6C0"/>
    <w:rPr>
      <w:rFonts w:asciiTheme="majorBidi" w:eastAsiaTheme="majorEastAsia" w:hAnsiTheme="majorBidi" w:cs="Times New Roman"/>
      <w:b/>
      <w:bCs/>
      <w:color w:val="000000" w:themeColor="text1"/>
      <w:sz w:val="32"/>
      <w:szCs w:val="24"/>
    </w:rPr>
  </w:style>
  <w:style w:type="character" w:customStyle="1" w:styleId="Heading2Char">
    <w:name w:val="Heading 2 Char"/>
    <w:basedOn w:val="DefaultParagraphFont"/>
    <w:link w:val="Heading2"/>
    <w:uiPriority w:val="9"/>
    <w:rsid w:val="000506C0"/>
    <w:rPr>
      <w:rFonts w:asciiTheme="majorBidi" w:eastAsiaTheme="majorEastAsia" w:hAnsiTheme="majorBidi" w:cstheme="majorBidi"/>
      <w:b/>
      <w:color w:val="000000" w:themeColor="text1"/>
      <w:sz w:val="28"/>
      <w:szCs w:val="26"/>
    </w:rPr>
  </w:style>
  <w:style w:type="character" w:customStyle="1" w:styleId="Heading3Char">
    <w:name w:val="Heading 3 Char"/>
    <w:basedOn w:val="DefaultParagraphFont"/>
    <w:link w:val="Heading3"/>
    <w:uiPriority w:val="9"/>
    <w:rsid w:val="005002A2"/>
    <w:rPr>
      <w:rFonts w:asciiTheme="majorBidi" w:eastAsiaTheme="majorEastAsia" w:hAnsiTheme="majorBidi" w:cs="Segoe UI Emoji"/>
      <w:b/>
      <w:sz w:val="24"/>
      <w:szCs w:val="24"/>
      <w:lang w:val="en-IN"/>
    </w:rPr>
  </w:style>
  <w:style w:type="paragraph" w:styleId="NormalWeb">
    <w:name w:val="Normal (Web)"/>
    <w:basedOn w:val="Normal"/>
    <w:uiPriority w:val="99"/>
    <w:unhideWhenUsed/>
    <w:rsid w:val="00D75670"/>
    <w:pPr>
      <w:spacing w:before="100" w:beforeAutospacing="1" w:after="100" w:afterAutospacing="1" w:line="240" w:lineRule="auto"/>
    </w:pPr>
    <w:rPr>
      <w:rFonts w:ascii="Times New Roman" w:eastAsia="Times New Roman" w:hAnsi="Times New Roman" w:cs="Times New Roman"/>
      <w:szCs w:val="24"/>
      <w:lang w:val="en-US"/>
    </w:rPr>
  </w:style>
  <w:style w:type="character" w:styleId="Emphasis">
    <w:name w:val="Emphasis"/>
    <w:basedOn w:val="DefaultParagraphFont"/>
    <w:uiPriority w:val="20"/>
    <w:qFormat/>
    <w:rsid w:val="00D75670"/>
    <w:rPr>
      <w:i/>
      <w:iCs/>
    </w:rPr>
  </w:style>
  <w:style w:type="character" w:styleId="Strong">
    <w:name w:val="Strong"/>
    <w:basedOn w:val="DefaultParagraphFont"/>
    <w:uiPriority w:val="22"/>
    <w:qFormat/>
    <w:rsid w:val="00D75670"/>
    <w:rPr>
      <w:b/>
      <w:bCs/>
    </w:rPr>
  </w:style>
  <w:style w:type="character" w:customStyle="1" w:styleId="Heading4Char">
    <w:name w:val="Heading 4 Char"/>
    <w:basedOn w:val="DefaultParagraphFont"/>
    <w:link w:val="Heading4"/>
    <w:uiPriority w:val="9"/>
    <w:semiHidden/>
    <w:rsid w:val="005B0DA7"/>
    <w:rPr>
      <w:rFonts w:asciiTheme="majorHAnsi" w:eastAsiaTheme="majorEastAsia" w:hAnsiTheme="majorHAnsi" w:cstheme="majorBidi"/>
      <w:i/>
      <w:iCs/>
      <w:color w:val="2F5496" w:themeColor="accent1" w:themeShade="BF"/>
      <w:sz w:val="24"/>
      <w:lang w:val="en-IN"/>
    </w:rPr>
  </w:style>
  <w:style w:type="character" w:customStyle="1" w:styleId="Heading5Char">
    <w:name w:val="Heading 5 Char"/>
    <w:basedOn w:val="DefaultParagraphFont"/>
    <w:link w:val="Heading5"/>
    <w:uiPriority w:val="9"/>
    <w:semiHidden/>
    <w:rsid w:val="005B0DA7"/>
    <w:rPr>
      <w:rFonts w:asciiTheme="majorHAnsi" w:eastAsiaTheme="majorEastAsia" w:hAnsiTheme="majorHAnsi" w:cstheme="majorBidi"/>
      <w:color w:val="2F5496" w:themeColor="accent1" w:themeShade="BF"/>
      <w:sz w:val="24"/>
      <w:lang w:val="en-IN"/>
    </w:rPr>
  </w:style>
  <w:style w:type="character" w:customStyle="1" w:styleId="Heading6Char">
    <w:name w:val="Heading 6 Char"/>
    <w:basedOn w:val="DefaultParagraphFont"/>
    <w:link w:val="Heading6"/>
    <w:uiPriority w:val="9"/>
    <w:semiHidden/>
    <w:rsid w:val="005B0DA7"/>
    <w:rPr>
      <w:rFonts w:asciiTheme="majorHAnsi" w:eastAsiaTheme="majorEastAsia" w:hAnsiTheme="majorHAnsi" w:cstheme="majorBidi"/>
      <w:color w:val="1F3763" w:themeColor="accent1" w:themeShade="7F"/>
      <w:sz w:val="24"/>
      <w:lang w:val="en-IN"/>
    </w:rPr>
  </w:style>
  <w:style w:type="character" w:customStyle="1" w:styleId="Heading7Char">
    <w:name w:val="Heading 7 Char"/>
    <w:basedOn w:val="DefaultParagraphFont"/>
    <w:link w:val="Heading7"/>
    <w:uiPriority w:val="9"/>
    <w:semiHidden/>
    <w:rsid w:val="005B0DA7"/>
    <w:rPr>
      <w:rFonts w:asciiTheme="majorHAnsi" w:eastAsiaTheme="majorEastAsia" w:hAnsiTheme="majorHAnsi" w:cstheme="majorBidi"/>
      <w:i/>
      <w:iCs/>
      <w:color w:val="1F3763" w:themeColor="accent1" w:themeShade="7F"/>
      <w:sz w:val="24"/>
      <w:lang w:val="en-IN"/>
    </w:rPr>
  </w:style>
  <w:style w:type="character" w:customStyle="1" w:styleId="Heading8Char">
    <w:name w:val="Heading 8 Char"/>
    <w:basedOn w:val="DefaultParagraphFont"/>
    <w:link w:val="Heading8"/>
    <w:uiPriority w:val="9"/>
    <w:semiHidden/>
    <w:rsid w:val="005B0DA7"/>
    <w:rPr>
      <w:rFonts w:asciiTheme="majorHAnsi" w:eastAsiaTheme="majorEastAsia" w:hAnsiTheme="majorHAnsi" w:cstheme="majorBidi"/>
      <w:color w:val="272727" w:themeColor="text1" w:themeTint="D8"/>
      <w:sz w:val="21"/>
      <w:szCs w:val="21"/>
      <w:lang w:val="en-IN"/>
    </w:rPr>
  </w:style>
  <w:style w:type="character" w:customStyle="1" w:styleId="Heading9Char">
    <w:name w:val="Heading 9 Char"/>
    <w:basedOn w:val="DefaultParagraphFont"/>
    <w:link w:val="Heading9"/>
    <w:uiPriority w:val="9"/>
    <w:semiHidden/>
    <w:rsid w:val="005B0DA7"/>
    <w:rPr>
      <w:rFonts w:asciiTheme="majorHAnsi" w:eastAsiaTheme="majorEastAsia" w:hAnsiTheme="majorHAnsi" w:cstheme="majorBidi"/>
      <w:i/>
      <w:iCs/>
      <w:color w:val="272727" w:themeColor="text1" w:themeTint="D8"/>
      <w:sz w:val="21"/>
      <w:szCs w:val="21"/>
      <w:lang w:val="en-IN"/>
    </w:rPr>
  </w:style>
  <w:style w:type="paragraph" w:styleId="TOCHeading">
    <w:name w:val="TOC Heading"/>
    <w:basedOn w:val="Heading1"/>
    <w:next w:val="Normal"/>
    <w:uiPriority w:val="39"/>
    <w:unhideWhenUsed/>
    <w:qFormat/>
    <w:rsid w:val="00FF6E1E"/>
    <w:pPr>
      <w:numPr>
        <w:numId w:val="0"/>
      </w:numPr>
      <w:jc w:val="left"/>
      <w:outlineLvl w:val="9"/>
    </w:pPr>
    <w:rPr>
      <w:rFonts w:asciiTheme="majorHAnsi" w:hAnsiTheme="majorHAnsi" w:cstheme="majorBidi"/>
      <w:b w:val="0"/>
      <w:bCs w:val="0"/>
      <w:color w:val="2F5496" w:themeColor="accent1" w:themeShade="BF"/>
      <w:szCs w:val="32"/>
    </w:rPr>
  </w:style>
  <w:style w:type="paragraph" w:styleId="TOC1">
    <w:name w:val="toc 1"/>
    <w:basedOn w:val="Normal"/>
    <w:next w:val="Normal"/>
    <w:autoRedefine/>
    <w:uiPriority w:val="39"/>
    <w:unhideWhenUsed/>
    <w:rsid w:val="00FF6E1E"/>
    <w:pPr>
      <w:spacing w:after="100"/>
    </w:pPr>
  </w:style>
  <w:style w:type="paragraph" w:styleId="TOC2">
    <w:name w:val="toc 2"/>
    <w:basedOn w:val="Normal"/>
    <w:next w:val="Normal"/>
    <w:autoRedefine/>
    <w:uiPriority w:val="39"/>
    <w:unhideWhenUsed/>
    <w:rsid w:val="00FF6E1E"/>
    <w:pPr>
      <w:spacing w:after="100"/>
      <w:ind w:left="240"/>
    </w:pPr>
  </w:style>
  <w:style w:type="character" w:styleId="Hyperlink">
    <w:name w:val="Hyperlink"/>
    <w:basedOn w:val="DefaultParagraphFont"/>
    <w:uiPriority w:val="99"/>
    <w:unhideWhenUsed/>
    <w:rsid w:val="00FF6E1E"/>
    <w:rPr>
      <w:color w:val="0563C1" w:themeColor="hyperlink"/>
      <w:u w:val="single"/>
    </w:rPr>
  </w:style>
  <w:style w:type="paragraph" w:styleId="Header">
    <w:name w:val="header"/>
    <w:basedOn w:val="Normal"/>
    <w:link w:val="HeaderChar"/>
    <w:uiPriority w:val="99"/>
    <w:unhideWhenUsed/>
    <w:rsid w:val="00FB52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52B4"/>
    <w:rPr>
      <w:rFonts w:asciiTheme="majorBidi" w:hAnsiTheme="majorBidi"/>
      <w:sz w:val="24"/>
      <w:lang w:val="en-IN"/>
    </w:rPr>
  </w:style>
  <w:style w:type="paragraph" w:styleId="Footer">
    <w:name w:val="footer"/>
    <w:basedOn w:val="Normal"/>
    <w:link w:val="FooterChar"/>
    <w:uiPriority w:val="99"/>
    <w:unhideWhenUsed/>
    <w:rsid w:val="00FB52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52B4"/>
    <w:rPr>
      <w:rFonts w:asciiTheme="majorBidi" w:hAnsiTheme="majorBidi"/>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130628">
      <w:bodyDiv w:val="1"/>
      <w:marLeft w:val="0"/>
      <w:marRight w:val="0"/>
      <w:marTop w:val="0"/>
      <w:marBottom w:val="0"/>
      <w:divBdr>
        <w:top w:val="none" w:sz="0" w:space="0" w:color="auto"/>
        <w:left w:val="none" w:sz="0" w:space="0" w:color="auto"/>
        <w:bottom w:val="none" w:sz="0" w:space="0" w:color="auto"/>
        <w:right w:val="none" w:sz="0" w:space="0" w:color="auto"/>
      </w:divBdr>
    </w:div>
    <w:div w:id="122385358">
      <w:bodyDiv w:val="1"/>
      <w:marLeft w:val="0"/>
      <w:marRight w:val="0"/>
      <w:marTop w:val="0"/>
      <w:marBottom w:val="0"/>
      <w:divBdr>
        <w:top w:val="none" w:sz="0" w:space="0" w:color="auto"/>
        <w:left w:val="none" w:sz="0" w:space="0" w:color="auto"/>
        <w:bottom w:val="none" w:sz="0" w:space="0" w:color="auto"/>
        <w:right w:val="none" w:sz="0" w:space="0" w:color="auto"/>
      </w:divBdr>
      <w:divsChild>
        <w:div w:id="1921987301">
          <w:marLeft w:val="0"/>
          <w:marRight w:val="0"/>
          <w:marTop w:val="0"/>
          <w:marBottom w:val="0"/>
          <w:divBdr>
            <w:top w:val="none" w:sz="0" w:space="0" w:color="auto"/>
            <w:left w:val="none" w:sz="0" w:space="0" w:color="auto"/>
            <w:bottom w:val="none" w:sz="0" w:space="0" w:color="auto"/>
            <w:right w:val="none" w:sz="0" w:space="0" w:color="auto"/>
          </w:divBdr>
          <w:divsChild>
            <w:div w:id="342244139">
              <w:marLeft w:val="0"/>
              <w:marRight w:val="0"/>
              <w:marTop w:val="0"/>
              <w:marBottom w:val="0"/>
              <w:divBdr>
                <w:top w:val="none" w:sz="0" w:space="0" w:color="auto"/>
                <w:left w:val="none" w:sz="0" w:space="0" w:color="auto"/>
                <w:bottom w:val="none" w:sz="0" w:space="0" w:color="auto"/>
                <w:right w:val="none" w:sz="0" w:space="0" w:color="auto"/>
              </w:divBdr>
              <w:divsChild>
                <w:div w:id="333070161">
                  <w:marLeft w:val="0"/>
                  <w:marRight w:val="0"/>
                  <w:marTop w:val="0"/>
                  <w:marBottom w:val="0"/>
                  <w:divBdr>
                    <w:top w:val="none" w:sz="0" w:space="0" w:color="auto"/>
                    <w:left w:val="none" w:sz="0" w:space="0" w:color="auto"/>
                    <w:bottom w:val="none" w:sz="0" w:space="0" w:color="auto"/>
                    <w:right w:val="none" w:sz="0" w:space="0" w:color="auto"/>
                  </w:divBdr>
                  <w:divsChild>
                    <w:div w:id="102114504">
                      <w:marLeft w:val="0"/>
                      <w:marRight w:val="0"/>
                      <w:marTop w:val="0"/>
                      <w:marBottom w:val="0"/>
                      <w:divBdr>
                        <w:top w:val="none" w:sz="0" w:space="0" w:color="auto"/>
                        <w:left w:val="none" w:sz="0" w:space="0" w:color="auto"/>
                        <w:bottom w:val="none" w:sz="0" w:space="0" w:color="auto"/>
                        <w:right w:val="none" w:sz="0" w:space="0" w:color="auto"/>
                      </w:divBdr>
                      <w:divsChild>
                        <w:div w:id="212621375">
                          <w:marLeft w:val="0"/>
                          <w:marRight w:val="0"/>
                          <w:marTop w:val="0"/>
                          <w:marBottom w:val="0"/>
                          <w:divBdr>
                            <w:top w:val="none" w:sz="0" w:space="0" w:color="auto"/>
                            <w:left w:val="none" w:sz="0" w:space="0" w:color="auto"/>
                            <w:bottom w:val="none" w:sz="0" w:space="0" w:color="auto"/>
                            <w:right w:val="none" w:sz="0" w:space="0" w:color="auto"/>
                          </w:divBdr>
                          <w:divsChild>
                            <w:div w:id="337999597">
                              <w:marLeft w:val="0"/>
                              <w:marRight w:val="0"/>
                              <w:marTop w:val="0"/>
                              <w:marBottom w:val="0"/>
                              <w:divBdr>
                                <w:top w:val="none" w:sz="0" w:space="0" w:color="auto"/>
                                <w:left w:val="none" w:sz="0" w:space="0" w:color="auto"/>
                                <w:bottom w:val="none" w:sz="0" w:space="0" w:color="auto"/>
                                <w:right w:val="none" w:sz="0" w:space="0" w:color="auto"/>
                              </w:divBdr>
                              <w:divsChild>
                                <w:div w:id="152832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71668963">
      <w:bodyDiv w:val="1"/>
      <w:marLeft w:val="0"/>
      <w:marRight w:val="0"/>
      <w:marTop w:val="0"/>
      <w:marBottom w:val="0"/>
      <w:divBdr>
        <w:top w:val="none" w:sz="0" w:space="0" w:color="auto"/>
        <w:left w:val="none" w:sz="0" w:space="0" w:color="auto"/>
        <w:bottom w:val="none" w:sz="0" w:space="0" w:color="auto"/>
        <w:right w:val="none" w:sz="0" w:space="0" w:color="auto"/>
      </w:divBdr>
      <w:divsChild>
        <w:div w:id="1366952164">
          <w:marLeft w:val="0"/>
          <w:marRight w:val="0"/>
          <w:marTop w:val="0"/>
          <w:marBottom w:val="0"/>
          <w:divBdr>
            <w:top w:val="none" w:sz="0" w:space="0" w:color="auto"/>
            <w:left w:val="none" w:sz="0" w:space="0" w:color="auto"/>
            <w:bottom w:val="none" w:sz="0" w:space="0" w:color="auto"/>
            <w:right w:val="none" w:sz="0" w:space="0" w:color="auto"/>
          </w:divBdr>
          <w:divsChild>
            <w:div w:id="301926152">
              <w:marLeft w:val="0"/>
              <w:marRight w:val="0"/>
              <w:marTop w:val="0"/>
              <w:marBottom w:val="0"/>
              <w:divBdr>
                <w:top w:val="none" w:sz="0" w:space="0" w:color="auto"/>
                <w:left w:val="none" w:sz="0" w:space="0" w:color="auto"/>
                <w:bottom w:val="none" w:sz="0" w:space="0" w:color="auto"/>
                <w:right w:val="none" w:sz="0" w:space="0" w:color="auto"/>
              </w:divBdr>
              <w:divsChild>
                <w:div w:id="293759311">
                  <w:marLeft w:val="0"/>
                  <w:marRight w:val="0"/>
                  <w:marTop w:val="0"/>
                  <w:marBottom w:val="0"/>
                  <w:divBdr>
                    <w:top w:val="none" w:sz="0" w:space="0" w:color="auto"/>
                    <w:left w:val="none" w:sz="0" w:space="0" w:color="auto"/>
                    <w:bottom w:val="none" w:sz="0" w:space="0" w:color="auto"/>
                    <w:right w:val="none" w:sz="0" w:space="0" w:color="auto"/>
                  </w:divBdr>
                  <w:divsChild>
                    <w:div w:id="1615790134">
                      <w:marLeft w:val="0"/>
                      <w:marRight w:val="0"/>
                      <w:marTop w:val="0"/>
                      <w:marBottom w:val="0"/>
                      <w:divBdr>
                        <w:top w:val="none" w:sz="0" w:space="0" w:color="auto"/>
                        <w:left w:val="none" w:sz="0" w:space="0" w:color="auto"/>
                        <w:bottom w:val="none" w:sz="0" w:space="0" w:color="auto"/>
                        <w:right w:val="none" w:sz="0" w:space="0" w:color="auto"/>
                      </w:divBdr>
                      <w:divsChild>
                        <w:div w:id="350880927">
                          <w:marLeft w:val="0"/>
                          <w:marRight w:val="0"/>
                          <w:marTop w:val="0"/>
                          <w:marBottom w:val="0"/>
                          <w:divBdr>
                            <w:top w:val="none" w:sz="0" w:space="0" w:color="auto"/>
                            <w:left w:val="none" w:sz="0" w:space="0" w:color="auto"/>
                            <w:bottom w:val="none" w:sz="0" w:space="0" w:color="auto"/>
                            <w:right w:val="none" w:sz="0" w:space="0" w:color="auto"/>
                          </w:divBdr>
                          <w:divsChild>
                            <w:div w:id="607005506">
                              <w:marLeft w:val="0"/>
                              <w:marRight w:val="0"/>
                              <w:marTop w:val="0"/>
                              <w:marBottom w:val="0"/>
                              <w:divBdr>
                                <w:top w:val="none" w:sz="0" w:space="0" w:color="auto"/>
                                <w:left w:val="none" w:sz="0" w:space="0" w:color="auto"/>
                                <w:bottom w:val="none" w:sz="0" w:space="0" w:color="auto"/>
                                <w:right w:val="none" w:sz="0" w:space="0" w:color="auto"/>
                              </w:divBdr>
                              <w:divsChild>
                                <w:div w:id="1177962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3200348">
      <w:bodyDiv w:val="1"/>
      <w:marLeft w:val="0"/>
      <w:marRight w:val="0"/>
      <w:marTop w:val="0"/>
      <w:marBottom w:val="0"/>
      <w:divBdr>
        <w:top w:val="none" w:sz="0" w:space="0" w:color="auto"/>
        <w:left w:val="none" w:sz="0" w:space="0" w:color="auto"/>
        <w:bottom w:val="none" w:sz="0" w:space="0" w:color="auto"/>
        <w:right w:val="none" w:sz="0" w:space="0" w:color="auto"/>
      </w:divBdr>
    </w:div>
    <w:div w:id="1034884605">
      <w:bodyDiv w:val="1"/>
      <w:marLeft w:val="0"/>
      <w:marRight w:val="0"/>
      <w:marTop w:val="0"/>
      <w:marBottom w:val="0"/>
      <w:divBdr>
        <w:top w:val="none" w:sz="0" w:space="0" w:color="auto"/>
        <w:left w:val="none" w:sz="0" w:space="0" w:color="auto"/>
        <w:bottom w:val="none" w:sz="0" w:space="0" w:color="auto"/>
        <w:right w:val="none" w:sz="0" w:space="0" w:color="auto"/>
      </w:divBdr>
    </w:div>
    <w:div w:id="1096290126">
      <w:bodyDiv w:val="1"/>
      <w:marLeft w:val="0"/>
      <w:marRight w:val="0"/>
      <w:marTop w:val="0"/>
      <w:marBottom w:val="0"/>
      <w:divBdr>
        <w:top w:val="none" w:sz="0" w:space="0" w:color="auto"/>
        <w:left w:val="none" w:sz="0" w:space="0" w:color="auto"/>
        <w:bottom w:val="none" w:sz="0" w:space="0" w:color="auto"/>
        <w:right w:val="none" w:sz="0" w:space="0" w:color="auto"/>
      </w:divBdr>
    </w:div>
    <w:div w:id="1459639852">
      <w:bodyDiv w:val="1"/>
      <w:marLeft w:val="0"/>
      <w:marRight w:val="0"/>
      <w:marTop w:val="0"/>
      <w:marBottom w:val="0"/>
      <w:divBdr>
        <w:top w:val="none" w:sz="0" w:space="0" w:color="auto"/>
        <w:left w:val="none" w:sz="0" w:space="0" w:color="auto"/>
        <w:bottom w:val="none" w:sz="0" w:space="0" w:color="auto"/>
        <w:right w:val="none" w:sz="0" w:space="0" w:color="auto"/>
      </w:divBdr>
      <w:divsChild>
        <w:div w:id="26956087">
          <w:marLeft w:val="0"/>
          <w:marRight w:val="0"/>
          <w:marTop w:val="0"/>
          <w:marBottom w:val="0"/>
          <w:divBdr>
            <w:top w:val="none" w:sz="0" w:space="0" w:color="auto"/>
            <w:left w:val="none" w:sz="0" w:space="0" w:color="auto"/>
            <w:bottom w:val="none" w:sz="0" w:space="0" w:color="auto"/>
            <w:right w:val="none" w:sz="0" w:space="0" w:color="auto"/>
          </w:divBdr>
          <w:divsChild>
            <w:div w:id="1893616742">
              <w:marLeft w:val="0"/>
              <w:marRight w:val="0"/>
              <w:marTop w:val="0"/>
              <w:marBottom w:val="0"/>
              <w:divBdr>
                <w:top w:val="none" w:sz="0" w:space="0" w:color="auto"/>
                <w:left w:val="none" w:sz="0" w:space="0" w:color="auto"/>
                <w:bottom w:val="none" w:sz="0" w:space="0" w:color="auto"/>
                <w:right w:val="none" w:sz="0" w:space="0" w:color="auto"/>
              </w:divBdr>
              <w:divsChild>
                <w:div w:id="177700746">
                  <w:marLeft w:val="0"/>
                  <w:marRight w:val="0"/>
                  <w:marTop w:val="0"/>
                  <w:marBottom w:val="0"/>
                  <w:divBdr>
                    <w:top w:val="none" w:sz="0" w:space="0" w:color="auto"/>
                    <w:left w:val="none" w:sz="0" w:space="0" w:color="auto"/>
                    <w:bottom w:val="none" w:sz="0" w:space="0" w:color="auto"/>
                    <w:right w:val="none" w:sz="0" w:space="0" w:color="auto"/>
                  </w:divBdr>
                  <w:divsChild>
                    <w:div w:id="1200972797">
                      <w:marLeft w:val="0"/>
                      <w:marRight w:val="0"/>
                      <w:marTop w:val="0"/>
                      <w:marBottom w:val="0"/>
                      <w:divBdr>
                        <w:top w:val="none" w:sz="0" w:space="0" w:color="auto"/>
                        <w:left w:val="none" w:sz="0" w:space="0" w:color="auto"/>
                        <w:bottom w:val="none" w:sz="0" w:space="0" w:color="auto"/>
                        <w:right w:val="none" w:sz="0" w:space="0" w:color="auto"/>
                      </w:divBdr>
                      <w:divsChild>
                        <w:div w:id="1407336961">
                          <w:marLeft w:val="0"/>
                          <w:marRight w:val="0"/>
                          <w:marTop w:val="0"/>
                          <w:marBottom w:val="0"/>
                          <w:divBdr>
                            <w:top w:val="none" w:sz="0" w:space="0" w:color="auto"/>
                            <w:left w:val="none" w:sz="0" w:space="0" w:color="auto"/>
                            <w:bottom w:val="none" w:sz="0" w:space="0" w:color="auto"/>
                            <w:right w:val="none" w:sz="0" w:space="0" w:color="auto"/>
                          </w:divBdr>
                          <w:divsChild>
                            <w:div w:id="1458182905">
                              <w:marLeft w:val="0"/>
                              <w:marRight w:val="0"/>
                              <w:marTop w:val="0"/>
                              <w:marBottom w:val="0"/>
                              <w:divBdr>
                                <w:top w:val="none" w:sz="0" w:space="0" w:color="auto"/>
                                <w:left w:val="none" w:sz="0" w:space="0" w:color="auto"/>
                                <w:bottom w:val="none" w:sz="0" w:space="0" w:color="auto"/>
                                <w:right w:val="none" w:sz="0" w:space="0" w:color="auto"/>
                              </w:divBdr>
                              <w:divsChild>
                                <w:div w:id="1612123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6387456">
      <w:bodyDiv w:val="1"/>
      <w:marLeft w:val="0"/>
      <w:marRight w:val="0"/>
      <w:marTop w:val="0"/>
      <w:marBottom w:val="0"/>
      <w:divBdr>
        <w:top w:val="none" w:sz="0" w:space="0" w:color="auto"/>
        <w:left w:val="none" w:sz="0" w:space="0" w:color="auto"/>
        <w:bottom w:val="none" w:sz="0" w:space="0" w:color="auto"/>
        <w:right w:val="none" w:sz="0" w:space="0" w:color="auto"/>
      </w:divBdr>
      <w:divsChild>
        <w:div w:id="320889842">
          <w:marLeft w:val="0"/>
          <w:marRight w:val="0"/>
          <w:marTop w:val="0"/>
          <w:marBottom w:val="0"/>
          <w:divBdr>
            <w:top w:val="none" w:sz="0" w:space="0" w:color="auto"/>
            <w:left w:val="none" w:sz="0" w:space="0" w:color="auto"/>
            <w:bottom w:val="none" w:sz="0" w:space="0" w:color="auto"/>
            <w:right w:val="none" w:sz="0" w:space="0" w:color="auto"/>
          </w:divBdr>
          <w:divsChild>
            <w:div w:id="1269194576">
              <w:marLeft w:val="0"/>
              <w:marRight w:val="0"/>
              <w:marTop w:val="0"/>
              <w:marBottom w:val="0"/>
              <w:divBdr>
                <w:top w:val="none" w:sz="0" w:space="0" w:color="auto"/>
                <w:left w:val="none" w:sz="0" w:space="0" w:color="auto"/>
                <w:bottom w:val="none" w:sz="0" w:space="0" w:color="auto"/>
                <w:right w:val="none" w:sz="0" w:space="0" w:color="auto"/>
              </w:divBdr>
              <w:divsChild>
                <w:div w:id="601306905">
                  <w:marLeft w:val="0"/>
                  <w:marRight w:val="0"/>
                  <w:marTop w:val="0"/>
                  <w:marBottom w:val="0"/>
                  <w:divBdr>
                    <w:top w:val="none" w:sz="0" w:space="0" w:color="auto"/>
                    <w:left w:val="none" w:sz="0" w:space="0" w:color="auto"/>
                    <w:bottom w:val="none" w:sz="0" w:space="0" w:color="auto"/>
                    <w:right w:val="none" w:sz="0" w:space="0" w:color="auto"/>
                  </w:divBdr>
                  <w:divsChild>
                    <w:div w:id="870189381">
                      <w:marLeft w:val="0"/>
                      <w:marRight w:val="0"/>
                      <w:marTop w:val="0"/>
                      <w:marBottom w:val="0"/>
                      <w:divBdr>
                        <w:top w:val="none" w:sz="0" w:space="0" w:color="auto"/>
                        <w:left w:val="none" w:sz="0" w:space="0" w:color="auto"/>
                        <w:bottom w:val="none" w:sz="0" w:space="0" w:color="auto"/>
                        <w:right w:val="none" w:sz="0" w:space="0" w:color="auto"/>
                      </w:divBdr>
                      <w:divsChild>
                        <w:div w:id="158205040">
                          <w:marLeft w:val="0"/>
                          <w:marRight w:val="0"/>
                          <w:marTop w:val="0"/>
                          <w:marBottom w:val="0"/>
                          <w:divBdr>
                            <w:top w:val="none" w:sz="0" w:space="0" w:color="auto"/>
                            <w:left w:val="none" w:sz="0" w:space="0" w:color="auto"/>
                            <w:bottom w:val="none" w:sz="0" w:space="0" w:color="auto"/>
                            <w:right w:val="none" w:sz="0" w:space="0" w:color="auto"/>
                          </w:divBdr>
                          <w:divsChild>
                            <w:div w:id="1485320489">
                              <w:marLeft w:val="0"/>
                              <w:marRight w:val="0"/>
                              <w:marTop w:val="0"/>
                              <w:marBottom w:val="0"/>
                              <w:divBdr>
                                <w:top w:val="none" w:sz="0" w:space="0" w:color="auto"/>
                                <w:left w:val="none" w:sz="0" w:space="0" w:color="auto"/>
                                <w:bottom w:val="none" w:sz="0" w:space="0" w:color="auto"/>
                                <w:right w:val="none" w:sz="0" w:space="0" w:color="auto"/>
                              </w:divBdr>
                              <w:divsChild>
                                <w:div w:id="170598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1038894">
      <w:bodyDiv w:val="1"/>
      <w:marLeft w:val="0"/>
      <w:marRight w:val="0"/>
      <w:marTop w:val="0"/>
      <w:marBottom w:val="0"/>
      <w:divBdr>
        <w:top w:val="none" w:sz="0" w:space="0" w:color="auto"/>
        <w:left w:val="none" w:sz="0" w:space="0" w:color="auto"/>
        <w:bottom w:val="none" w:sz="0" w:space="0" w:color="auto"/>
        <w:right w:val="none" w:sz="0" w:space="0" w:color="auto"/>
      </w:divBdr>
    </w:div>
    <w:div w:id="1778938214">
      <w:bodyDiv w:val="1"/>
      <w:marLeft w:val="0"/>
      <w:marRight w:val="0"/>
      <w:marTop w:val="0"/>
      <w:marBottom w:val="0"/>
      <w:divBdr>
        <w:top w:val="none" w:sz="0" w:space="0" w:color="auto"/>
        <w:left w:val="none" w:sz="0" w:space="0" w:color="auto"/>
        <w:bottom w:val="none" w:sz="0" w:space="0" w:color="auto"/>
        <w:right w:val="none" w:sz="0" w:space="0" w:color="auto"/>
      </w:divBdr>
    </w:div>
    <w:div w:id="1812286710">
      <w:bodyDiv w:val="1"/>
      <w:marLeft w:val="0"/>
      <w:marRight w:val="0"/>
      <w:marTop w:val="0"/>
      <w:marBottom w:val="0"/>
      <w:divBdr>
        <w:top w:val="none" w:sz="0" w:space="0" w:color="auto"/>
        <w:left w:val="none" w:sz="0" w:space="0" w:color="auto"/>
        <w:bottom w:val="none" w:sz="0" w:space="0" w:color="auto"/>
        <w:right w:val="none" w:sz="0" w:space="0" w:color="auto"/>
      </w:divBdr>
    </w:div>
    <w:div w:id="2047675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1BFF1E-EAF6-466D-8792-98A69A949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480</TotalTime>
  <Pages>22</Pages>
  <Words>32270</Words>
  <Characters>183940</Characters>
  <Application>Microsoft Office Word</Application>
  <DocSecurity>0</DocSecurity>
  <Lines>1532</Lines>
  <Paragraphs>431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Umer Munir</dc:creator>
  <cp:keywords/>
  <dc:description/>
  <cp:lastModifiedBy>Hp</cp:lastModifiedBy>
  <cp:revision>44</cp:revision>
  <dcterms:created xsi:type="dcterms:W3CDTF">2026-03-09T06:42:00Z</dcterms:created>
  <dcterms:modified xsi:type="dcterms:W3CDTF">2026-03-16T13:20:00Z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c7702850-12c1-33f4-bc5b-7b34f53ea880</vt:lpwstr>
  </property>
  <property fmtid="{D5CDD505-2E9C-101B-9397-08002B2CF9AE}" pid="4" name="Mendeley Citation Style_1">
    <vt:lpwstr>http://www.zotero.org/styles/apa</vt:lpwstr>
  </property>
  <property fmtid="{D5CDD505-2E9C-101B-9397-08002B2CF9AE}" pid="5" name="Mendeley Recent Style Id 0_1">
    <vt:lpwstr>http://www.zotero.org/styles/apa</vt:lpwstr>
  </property>
  <property fmtid="{D5CDD505-2E9C-101B-9397-08002B2CF9AE}" pid="6" name="Mendeley Recent Style Name 0_1">
    <vt:lpwstr>American Psychological Association 7th edition</vt:lpwstr>
  </property>
  <property fmtid="{D5CDD505-2E9C-101B-9397-08002B2CF9AE}" pid="7" name="Mendeley Recent Style Id 1_1">
    <vt:lpwstr>http://www.zotero.org/styles/american-sociological-association</vt:lpwstr>
  </property>
  <property fmtid="{D5CDD505-2E9C-101B-9397-08002B2CF9AE}" pid="8" name="Mendeley Recent Style Name 1_1">
    <vt:lpwstr>American Sociological Association 6th/7th edition</vt:lpwstr>
  </property>
  <property fmtid="{D5CDD505-2E9C-101B-9397-08002B2CF9AE}" pid="9" name="Mendeley Recent Style Id 2_1">
    <vt:lpwstr>http://www.zotero.org/styles/harvard-cite-them-right</vt:lpwstr>
  </property>
  <property fmtid="{D5CDD505-2E9C-101B-9397-08002B2CF9AE}" pid="10" name="Mendeley Recent Style Name 2_1">
    <vt:lpwstr>Cite Them Right 12th edition - Harvard</vt:lpwstr>
  </property>
  <property fmtid="{D5CDD505-2E9C-101B-9397-08002B2CF9AE}" pid="11" name="Mendeley Recent Style Id 3_1">
    <vt:lpwstr>http://www.zotero.org/styles/harvard1</vt:lpwstr>
  </property>
  <property fmtid="{D5CDD505-2E9C-101B-9397-08002B2CF9AE}" pid="12" name="Mendeley Recent Style Name 3_1">
    <vt:lpwstr>Harvard reference format 1 (deprecated)</vt:lpwstr>
  </property>
  <property fmtid="{D5CDD505-2E9C-101B-9397-08002B2CF9AE}" pid="13" name="Mendeley Recent Style Id 4_1">
    <vt:lpwstr>http://www.zotero.org/styles/modern-humanities-research-association</vt:lpwstr>
  </property>
  <property fmtid="{D5CDD505-2E9C-101B-9397-08002B2CF9AE}" pid="14" name="Mendeley Recent Style Name 4_1">
    <vt:lpwstr>Modern Humanities Research Association, 4th edition (note with bibliography)</vt:lpwstr>
  </property>
  <property fmtid="{D5CDD505-2E9C-101B-9397-08002B2CF9AE}" pid="15" name="Mendeley Recent Style Id 5_1">
    <vt:lpwstr>http://www.zotero.org/styles/modern-language-association</vt:lpwstr>
  </property>
  <property fmtid="{D5CDD505-2E9C-101B-9397-08002B2CF9AE}" pid="16" name="Mendeley Recent Style Name 5_1">
    <vt:lpwstr>Modern Language Association 9th edition</vt:lpwstr>
  </property>
  <property fmtid="{D5CDD505-2E9C-101B-9397-08002B2CF9AE}" pid="17" name="Mendeley Recent Style Id 6_1">
    <vt:lpwstr>http://www.zotero.org/styles/nature</vt:lpwstr>
  </property>
  <property fmtid="{D5CDD505-2E9C-101B-9397-08002B2CF9AE}" pid="18" name="Mendeley Recent Style Name 6_1">
    <vt:lpwstr>Nature</vt:lpwstr>
  </property>
  <property fmtid="{D5CDD505-2E9C-101B-9397-08002B2CF9AE}" pid="19" name="Mendeley Recent Style Id 7_1">
    <vt:lpwstr>http://www.zotero.org/styles/oscola</vt:lpwstr>
  </property>
  <property fmtid="{D5CDD505-2E9C-101B-9397-08002B2CF9AE}" pid="20" name="Mendeley Recent Style Name 7_1">
    <vt:lpwstr>OSCOLA (Oxford University Standard for Citation of Legal Authorities)</vt:lpwstr>
  </property>
  <property fmtid="{D5CDD505-2E9C-101B-9397-08002B2CF9AE}" pid="21" name="Mendeley Recent Style Id 8_1">
    <vt:lpwstr>http://www.zotero.org/styles/oscola-journal-abbreviations</vt:lpwstr>
  </property>
  <property fmtid="{D5CDD505-2E9C-101B-9397-08002B2CF9AE}" pid="22" name="Mendeley Recent Style Name 8_1">
    <vt:lpwstr>OSCOLA (Oxford University Standard for Citation of Legal Authorities, with journal abbreviations)</vt:lpwstr>
  </property>
  <property fmtid="{D5CDD505-2E9C-101B-9397-08002B2CF9AE}" pid="23" name="Mendeley Recent Style Id 9_1">
    <vt:lpwstr>http://www.zotero.org/styles/vancouver</vt:lpwstr>
  </property>
  <property fmtid="{D5CDD505-2E9C-101B-9397-08002B2CF9AE}" pid="24" name="Mendeley Recent Style Name 9_1">
    <vt:lpwstr>Vancouver</vt:lpwstr>
  </property>
</Properties>
</file>