
<file path=[Content_Types].xml><?xml version="1.0" encoding="utf-8"?>
<Types xmlns="http://schemas.openxmlformats.org/package/2006/content-types">
  <Default Extension="xml" ContentType="application/xml"/>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266703D">
      <w:pPr>
        <w:jc w:val="center"/>
      </w:pPr>
      <w:r>
        <w:drawing>
          <wp:inline distT="0" distB="0" distL="114300" distR="114300">
            <wp:extent cx="3373755" cy="1349375"/>
            <wp:effectExtent l="0" t="0" r="171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3373755" cy="1349375"/>
                    </a:xfrm>
                    <a:prstGeom prst="rect">
                      <a:avLst/>
                    </a:prstGeom>
                  </pic:spPr>
                </pic:pic>
              </a:graphicData>
            </a:graphic>
          </wp:inline>
        </w:drawing>
      </w:r>
    </w:p>
    <w:p w14:paraId="5B07DAF8"/>
    <w:p w14:paraId="30878082"/>
    <w:p w14:paraId="27AB3041">
      <w:pPr>
        <w:spacing w:after="120" w:line="360" w:lineRule="auto"/>
        <w:jc w:val="center"/>
        <w:rPr>
          <w:sz w:val="28"/>
          <w:szCs w:val="24"/>
        </w:rPr>
      </w:pPr>
      <w:r>
        <w:rPr>
          <w:rFonts w:ascii="Arial" w:hAnsi="Arial" w:eastAsia="Arial"/>
          <w:b/>
          <w:sz w:val="28"/>
          <w:szCs w:val="24"/>
        </w:rPr>
        <w:t>Master of Business Administration</w:t>
      </w:r>
    </w:p>
    <w:p w14:paraId="50B4861A">
      <w:pPr>
        <w:spacing w:after="120" w:line="360" w:lineRule="auto"/>
        <w:jc w:val="center"/>
        <w:rPr>
          <w:sz w:val="28"/>
          <w:szCs w:val="24"/>
        </w:rPr>
      </w:pPr>
      <w:r>
        <w:rPr>
          <w:rFonts w:ascii="Arial" w:hAnsi="Arial" w:eastAsia="Arial"/>
          <w:b/>
          <w:sz w:val="28"/>
          <w:szCs w:val="24"/>
        </w:rPr>
        <w:t>Human Capital Management (LCMB7023)</w:t>
      </w:r>
    </w:p>
    <w:p w14:paraId="04A3201C">
      <w:pPr>
        <w:spacing w:after="120" w:line="360" w:lineRule="auto"/>
        <w:jc w:val="center"/>
        <w:rPr>
          <w:sz w:val="28"/>
          <w:szCs w:val="24"/>
        </w:rPr>
      </w:pPr>
      <w:r>
        <w:rPr>
          <w:rFonts w:ascii="Arial" w:hAnsi="Arial" w:eastAsia="Arial"/>
          <w:b/>
          <w:sz w:val="28"/>
          <w:szCs w:val="24"/>
        </w:rPr>
        <w:t>Assessment Component 1: Individual Report</w:t>
      </w:r>
    </w:p>
    <w:p w14:paraId="7F04E61F">
      <w:pPr>
        <w:spacing w:after="120" w:line="360" w:lineRule="auto"/>
        <w:jc w:val="center"/>
        <w:rPr>
          <w:rFonts w:hint="default"/>
          <w:b/>
          <w:sz w:val="28"/>
          <w:szCs w:val="24"/>
          <w:lang w:val="en-US"/>
        </w:rPr>
      </w:pPr>
      <w:r>
        <w:rPr>
          <w:rFonts w:hint="default"/>
          <w:b/>
          <w:sz w:val="28"/>
          <w:szCs w:val="24"/>
          <w:lang w:val="en-US"/>
        </w:rPr>
        <w:t xml:space="preserve">Title: </w:t>
      </w:r>
      <w:r>
        <w:rPr>
          <w:rFonts w:ascii="Arial" w:hAnsi="Arial" w:eastAsia="Arial"/>
          <w:b/>
          <w:sz w:val="28"/>
          <w:szCs w:val="24"/>
        </w:rPr>
        <w:t>Inn</w:t>
      </w:r>
      <w:r>
        <w:rPr>
          <w:rFonts w:hint="default"/>
          <w:b/>
          <w:sz w:val="28"/>
          <w:szCs w:val="24"/>
          <w:lang w:val="en-US"/>
        </w:rPr>
        <w:t>ovating New Working Practices and Breeding an Environment Where Talent May Grow</w:t>
      </w:r>
    </w:p>
    <w:p w14:paraId="125FA0B3">
      <w:pPr>
        <w:spacing w:after="120" w:line="360" w:lineRule="auto"/>
        <w:jc w:val="center"/>
        <w:rPr>
          <w:rFonts w:hint="default"/>
          <w:b/>
          <w:sz w:val="28"/>
          <w:szCs w:val="24"/>
          <w:lang w:val="en-US"/>
        </w:rPr>
      </w:pPr>
      <w:r>
        <w:rPr>
          <w:rFonts w:hint="default"/>
          <w:b/>
          <w:sz w:val="28"/>
          <w:szCs w:val="24"/>
          <w:lang w:val="en-US"/>
        </w:rPr>
        <w:t>Lecturer Name: Eno Maycock</w:t>
      </w:r>
    </w:p>
    <w:p w14:paraId="2B1827CE">
      <w:pPr>
        <w:spacing w:after="120" w:line="360" w:lineRule="auto"/>
        <w:jc w:val="center"/>
        <w:rPr>
          <w:rFonts w:hint="default"/>
          <w:lang w:val="en-US"/>
        </w:rPr>
      </w:pPr>
      <w:r>
        <w:rPr>
          <w:rFonts w:ascii="Arial" w:hAnsi="Arial" w:eastAsia="Arial"/>
          <w:b w:val="0"/>
          <w:sz w:val="24"/>
        </w:rPr>
        <w:t xml:space="preserve">Student name: </w:t>
      </w:r>
      <w:r>
        <w:rPr>
          <w:rFonts w:hint="default" w:ascii="Arial" w:hAnsi="Arial" w:eastAsia="Arial"/>
          <w:b w:val="0"/>
          <w:sz w:val="24"/>
        </w:rPr>
        <w:t>Devendra sharma</w:t>
      </w:r>
    </w:p>
    <w:p w14:paraId="20616DDE">
      <w:pPr>
        <w:spacing w:after="120" w:line="360" w:lineRule="auto"/>
        <w:jc w:val="center"/>
      </w:pPr>
      <w:r>
        <w:rPr>
          <w:rFonts w:ascii="Arial" w:hAnsi="Arial" w:eastAsia="Arial"/>
          <w:b w:val="0"/>
          <w:sz w:val="24"/>
        </w:rPr>
        <w:t xml:space="preserve">Student ID: </w:t>
      </w:r>
      <w:r>
        <w:rPr>
          <w:rFonts w:hint="default" w:ascii="Arial" w:hAnsi="Arial" w:eastAsia="Arial"/>
          <w:b w:val="0"/>
          <w:sz w:val="24"/>
        </w:rPr>
        <w:t>2526094</w:t>
      </w:r>
    </w:p>
    <w:p w14:paraId="260F9C33">
      <w:pPr>
        <w:jc w:val="center"/>
        <w:rPr>
          <w:rFonts w:hint="default"/>
          <w:sz w:val="24"/>
          <w:lang w:val="en-US"/>
        </w:rPr>
      </w:pPr>
      <w:r>
        <w:rPr>
          <w:rFonts w:hint="default"/>
          <w:sz w:val="24"/>
          <w:lang w:val="en-US"/>
        </w:rPr>
        <w:t>Word count: 2740</w:t>
      </w:r>
      <w:bookmarkStart w:id="0" w:name="_GoBack"/>
      <w:bookmarkEnd w:id="0"/>
    </w:p>
    <w:p w14:paraId="4890878C">
      <w:pPr>
        <w:rPr>
          <w:rFonts w:hint="default"/>
          <w:sz w:val="24"/>
          <w:lang w:val="en-US"/>
        </w:rPr>
      </w:pPr>
    </w:p>
    <w:p w14:paraId="5FE58047">
      <w:pPr>
        <w:rPr>
          <w:rFonts w:hint="default"/>
          <w:sz w:val="24"/>
          <w:lang w:val="en-US"/>
        </w:rPr>
      </w:pPr>
    </w:p>
    <w:p w14:paraId="63D3FA31">
      <w:pPr>
        <w:rPr>
          <w:rFonts w:hint="default"/>
          <w:sz w:val="24"/>
          <w:lang w:val="en-US"/>
        </w:rPr>
      </w:pPr>
    </w:p>
    <w:p w14:paraId="257DD0CB">
      <w:pPr>
        <w:rPr>
          <w:rFonts w:hint="default"/>
          <w:sz w:val="24"/>
          <w:lang w:val="en-US"/>
        </w:rPr>
      </w:pPr>
    </w:p>
    <w:p w14:paraId="5FB5391D">
      <w:pPr>
        <w:rPr>
          <w:rFonts w:hint="default"/>
          <w:sz w:val="24"/>
          <w:lang w:val="en-US"/>
        </w:rPr>
      </w:pPr>
    </w:p>
    <w:p w14:paraId="4D90F912">
      <w:pPr>
        <w:rPr>
          <w:rFonts w:hint="default"/>
          <w:sz w:val="24"/>
          <w:lang w:val="en-US"/>
        </w:rPr>
      </w:pPr>
    </w:p>
    <w:p w14:paraId="70F0DA7F">
      <w:pPr>
        <w:rPr>
          <w:rFonts w:hint="default"/>
          <w:sz w:val="24"/>
          <w:lang w:val="en-US"/>
        </w:rPr>
      </w:pPr>
    </w:p>
    <w:p w14:paraId="243FBCFB">
      <w:pPr>
        <w:rPr>
          <w:rFonts w:hint="default"/>
          <w:sz w:val="24"/>
          <w:lang w:val="en-US"/>
        </w:rPr>
      </w:pPr>
    </w:p>
    <w:p w14:paraId="0B3F76B1">
      <w:pPr>
        <w:rPr>
          <w:rFonts w:hint="default"/>
          <w:sz w:val="24"/>
          <w:lang w:val="en-US"/>
        </w:rPr>
      </w:pPr>
    </w:p>
    <w:p w14:paraId="7C143741">
      <w:pPr>
        <w:pStyle w:val="2"/>
        <w:jc w:val="center"/>
        <w:rPr>
          <w:sz w:val="32"/>
          <w:szCs w:val="36"/>
        </w:rPr>
      </w:pPr>
      <w:r>
        <w:rPr>
          <w:rFonts w:ascii="Arial" w:hAnsi="Arial" w:eastAsia="Arial"/>
          <w:sz w:val="32"/>
          <w:szCs w:val="36"/>
        </w:rPr>
        <w:t>Table of Contents</w:t>
      </w:r>
    </w:p>
    <w:p w14:paraId="24EE9A0E">
      <w:pPr>
        <w:tabs>
          <w:tab w:val="right" w:leader="dot" w:pos="8784"/>
        </w:tabs>
        <w:spacing w:after="40" w:line="480" w:lineRule="auto"/>
      </w:pPr>
      <w:r>
        <w:rPr>
          <w:rFonts w:ascii="Arial" w:hAnsi="Arial" w:eastAsia="Arial"/>
          <w:sz w:val="24"/>
        </w:rPr>
        <w:fldChar w:fldCharType="begin"/>
      </w:r>
      <w:r>
        <w:rPr>
          <w:rFonts w:ascii="Arial" w:hAnsi="Arial" w:eastAsia="Arial"/>
          <w:sz w:val="24"/>
        </w:rPr>
        <w:instrText xml:space="preserve"> TOC \o "1-3" \h \z \u </w:instrText>
      </w:r>
      <w:r>
        <w:rPr>
          <w:rFonts w:ascii="Arial" w:hAnsi="Arial" w:eastAsia="Arial"/>
          <w:sz w:val="24"/>
        </w:rPr>
        <w:fldChar w:fldCharType="separate"/>
      </w:r>
      <w:r>
        <w:rPr>
          <w:rFonts w:ascii="Arial" w:hAnsi="Arial" w:eastAsia="Arial"/>
          <w:sz w:val="24"/>
        </w:rPr>
        <w:t>Introduction</w:t>
      </w:r>
      <w:r>
        <w:rPr>
          <w:rFonts w:ascii="Arial" w:hAnsi="Arial" w:eastAsia="Arial"/>
          <w:sz w:val="24"/>
        </w:rPr>
        <w:tab/>
      </w:r>
      <w:r>
        <w:rPr>
          <w:rFonts w:ascii="Arial" w:hAnsi="Arial" w:eastAsia="Arial"/>
          <w:sz w:val="24"/>
        </w:rPr>
        <w:t>3</w:t>
      </w:r>
    </w:p>
    <w:p w14:paraId="1A25B4FB">
      <w:pPr>
        <w:tabs>
          <w:tab w:val="right" w:leader="dot" w:pos="8784"/>
        </w:tabs>
        <w:spacing w:after="40" w:line="480" w:lineRule="auto"/>
      </w:pPr>
      <w:r>
        <w:rPr>
          <w:rFonts w:ascii="Arial" w:hAnsi="Arial" w:eastAsia="Arial"/>
          <w:sz w:val="24"/>
        </w:rPr>
        <w:t>Task A: Designing Innovative Working Practices</w:t>
      </w:r>
      <w:r>
        <w:rPr>
          <w:rFonts w:ascii="Arial" w:hAnsi="Arial" w:eastAsia="Arial"/>
          <w:sz w:val="24"/>
        </w:rPr>
        <w:tab/>
      </w:r>
      <w:r>
        <w:rPr>
          <w:rFonts w:ascii="Arial" w:hAnsi="Arial" w:eastAsia="Arial"/>
          <w:sz w:val="24"/>
        </w:rPr>
        <w:t>3</w:t>
      </w:r>
    </w:p>
    <w:p w14:paraId="66E3F27B">
      <w:pPr>
        <w:tabs>
          <w:tab w:val="right" w:leader="dot" w:pos="8784"/>
        </w:tabs>
        <w:spacing w:after="40" w:line="480" w:lineRule="auto"/>
      </w:pPr>
      <w:r>
        <w:rPr>
          <w:rFonts w:ascii="Arial" w:hAnsi="Arial" w:eastAsia="Arial"/>
          <w:sz w:val="24"/>
        </w:rPr>
        <w:t>Task B: Breeding an Environment Where Talent May Grow</w:t>
      </w:r>
      <w:r>
        <w:rPr>
          <w:rFonts w:ascii="Arial" w:hAnsi="Arial" w:eastAsia="Arial"/>
          <w:sz w:val="24"/>
        </w:rPr>
        <w:tab/>
      </w:r>
      <w:r>
        <w:rPr>
          <w:rFonts w:ascii="Arial" w:hAnsi="Arial" w:eastAsia="Arial"/>
          <w:sz w:val="24"/>
        </w:rPr>
        <w:t>6</w:t>
      </w:r>
    </w:p>
    <w:p w14:paraId="162A5840">
      <w:pPr>
        <w:tabs>
          <w:tab w:val="right" w:leader="dot" w:pos="8784"/>
        </w:tabs>
        <w:spacing w:after="40" w:line="480" w:lineRule="auto"/>
      </w:pPr>
      <w:r>
        <w:rPr>
          <w:rFonts w:ascii="Arial" w:hAnsi="Arial" w:eastAsia="Arial"/>
          <w:sz w:val="24"/>
        </w:rPr>
        <w:t>Task C: Reflective Report</w:t>
      </w:r>
      <w:r>
        <w:rPr>
          <w:rFonts w:ascii="Arial" w:hAnsi="Arial" w:eastAsia="Arial"/>
          <w:sz w:val="24"/>
        </w:rPr>
        <w:tab/>
      </w:r>
      <w:r>
        <w:rPr>
          <w:rFonts w:ascii="Arial" w:hAnsi="Arial" w:eastAsia="Arial"/>
          <w:sz w:val="24"/>
        </w:rPr>
        <w:t>9</w:t>
      </w:r>
    </w:p>
    <w:p w14:paraId="03FE8DE1">
      <w:pPr>
        <w:tabs>
          <w:tab w:val="right" w:leader="dot" w:pos="8784"/>
        </w:tabs>
        <w:spacing w:after="40" w:line="480" w:lineRule="auto"/>
      </w:pPr>
      <w:r>
        <w:rPr>
          <w:rFonts w:ascii="Arial" w:hAnsi="Arial" w:eastAsia="Arial"/>
          <w:sz w:val="24"/>
        </w:rPr>
        <w:t>References</w:t>
      </w:r>
      <w:r>
        <w:rPr>
          <w:rFonts w:ascii="Arial" w:hAnsi="Arial" w:eastAsia="Arial"/>
          <w:sz w:val="24"/>
        </w:rPr>
        <w:tab/>
      </w:r>
      <w:r>
        <w:rPr>
          <w:rFonts w:ascii="Arial" w:hAnsi="Arial" w:eastAsia="Arial"/>
          <w:sz w:val="24"/>
        </w:rPr>
        <w:t>10</w:t>
      </w:r>
      <w:r>
        <w:rPr>
          <w:rFonts w:ascii="Arial" w:hAnsi="Arial" w:eastAsia="Arial"/>
          <w:sz w:val="24"/>
        </w:rPr>
        <w:fldChar w:fldCharType="end"/>
      </w:r>
    </w:p>
    <w:p w14:paraId="0958F569">
      <w:r>
        <w:rPr>
          <w:rFonts w:ascii="Arial" w:hAnsi="Arial" w:eastAsia="Arial"/>
          <w:sz w:val="24"/>
        </w:rPr>
        <w:br w:type="page"/>
      </w:r>
    </w:p>
    <w:p w14:paraId="6D8BA407">
      <w:pPr>
        <w:pStyle w:val="2"/>
        <w:jc w:val="left"/>
        <w:rPr>
          <w:sz w:val="32"/>
          <w:szCs w:val="36"/>
        </w:rPr>
      </w:pPr>
      <w:r>
        <w:rPr>
          <w:rFonts w:ascii="Arial" w:hAnsi="Arial" w:eastAsia="Arial"/>
          <w:sz w:val="32"/>
          <w:szCs w:val="36"/>
        </w:rPr>
        <w:t>Introduction</w:t>
      </w:r>
    </w:p>
    <w:p w14:paraId="6B366B17">
      <w:pPr>
        <w:spacing w:before="0" w:after="120" w:line="360" w:lineRule="auto"/>
        <w:jc w:val="both"/>
      </w:pPr>
      <w:r>
        <w:rPr>
          <w:rFonts w:hint="default" w:ascii="Arial" w:hAnsi="Arial" w:eastAsia="Arial"/>
          <w:sz w:val="24"/>
        </w:rPr>
        <w:t>NexSpace Health Systems (NHSX) now employs some 600 staff in the United Kingdom, India and the United Arab Emirates, and is developing AI-driven technologies for the healthcare sector. So, its strategic issue is not just about labour efficiencies: hierarchical decision-making, lack of experimentation, silo mentality, talent attrition and expectation of high performance are all at risk of impairing the human capabilities that enable innovation. This report puts forward the following two interrelated systems: the Adaptive Innovation Work System which addresses the question of work organisation; and the Talent Growth Ecosystem which addresses the question of capability development. The last section is dedicated to the reflection of the responsible use of Artificial Intelligence in the HRM and proposes a personal capability plan.</w:t>
      </w:r>
    </w:p>
    <w:p w14:paraId="66BBA03C">
      <w:pPr>
        <w:pStyle w:val="2"/>
        <w:jc w:val="left"/>
        <w:rPr>
          <w:sz w:val="32"/>
          <w:szCs w:val="36"/>
        </w:rPr>
      </w:pPr>
      <w:r>
        <w:rPr>
          <w:rFonts w:ascii="Arial" w:hAnsi="Arial" w:eastAsia="Arial"/>
          <w:sz w:val="32"/>
          <w:szCs w:val="36"/>
        </w:rPr>
        <w:t>Task A: Designing Innovative Working Practices</w:t>
      </w:r>
    </w:p>
    <w:p w14:paraId="4CBACC82">
      <w:pPr>
        <w:spacing w:before="0" w:after="120" w:line="360" w:lineRule="auto"/>
        <w:jc w:val="both"/>
        <w:rPr>
          <w:rFonts w:hint="default" w:ascii="Arial" w:hAnsi="Arial" w:eastAsia="Arial"/>
          <w:sz w:val="24"/>
        </w:rPr>
      </w:pPr>
      <w:r>
        <w:rPr>
          <w:rFonts w:hint="default" w:ascii="Arial" w:hAnsi="Arial" w:eastAsia="Arial"/>
          <w:sz w:val="24"/>
        </w:rPr>
        <w:t xml:space="preserve">Traditional work design often revolves around centralisation, deintegration and standardisation of jobs, in order to increase control and predictability. Administrative functions can come in handy within a regulated healthcare technology where accountability, documentation and quality assurance are additional concerns. But, too much hierarchy can create long decision making lines and inhibit discretionary decision making. However, contemporary systems of High Performance </w:t>
      </w:r>
      <w:r>
        <w:rPr>
          <w:rFonts w:hint="default"/>
          <w:sz w:val="24"/>
          <w:lang w:val="en-US"/>
        </w:rPr>
        <w:t xml:space="preserve">Work Systems </w:t>
      </w:r>
      <w:r>
        <w:rPr>
          <w:rFonts w:hint="default" w:ascii="Arial" w:hAnsi="Arial" w:eastAsia="Arial"/>
          <w:sz w:val="24"/>
        </w:rPr>
        <w:t>(HPWS)</w:t>
      </w:r>
      <w:r>
        <w:rPr>
          <w:rFonts w:hint="default"/>
          <w:sz w:val="24"/>
          <w:lang w:val="en-US"/>
        </w:rPr>
        <w:t xml:space="preserve"> that include: </w:t>
      </w:r>
      <w:r>
        <w:rPr>
          <w:rFonts w:hint="default" w:ascii="Arial" w:hAnsi="Arial" w:eastAsia="Arial"/>
          <w:sz w:val="24"/>
        </w:rPr>
        <w:t>Staffing, Development, Participation and Performance  package these together and the role is one of situationally interpreted employee behaviours: performance-focused systems can lead to more engagement, but also higher performance expectations can negatively impact wellbeing (Alfes, Veld and Fürstenberg, 2021; Qi et al., 2021). So it is important that NHSX don't confuse “high performance” with increased work intensity.</w:t>
      </w:r>
    </w:p>
    <w:p w14:paraId="37135D02">
      <w:pPr>
        <w:spacing w:before="0" w:after="120" w:line="360" w:lineRule="auto"/>
        <w:jc w:val="both"/>
        <w:rPr>
          <w:rFonts w:hint="default" w:ascii="Arial" w:hAnsi="Arial" w:eastAsia="Arial"/>
          <w:sz w:val="24"/>
        </w:rPr>
      </w:pPr>
      <w:r>
        <w:rPr>
          <w:rFonts w:hint="default" w:ascii="Arial" w:hAnsi="Arial" w:eastAsia="Arial"/>
          <w:sz w:val="24"/>
        </w:rPr>
        <w:t>High-Involvement Work Systems (HIWS) are better aligned with NHSX's innovation problem as they share information and voice and influence in decision making. Evidence suggests that HIWS are associated with innovative behaviours and team creativity via team involvement, shared leadership, and team member self-leadership (Song, Gu and Cooke, 2020; Li et al., 2022). However, non-representative engagement is tokenistic participation, and uncoordinated self-determination is duplication. Agile work offers a lost in the middle solution: iterative cycles, retrospectives and self-organised teamwork can enable proactivity and performance, while acting as agile controls are supposed to be enabling guardrails and certainly not bureaucratic gates (Junker et al., 2022; Lill and Wald, 2021). So NHSX must not be a hierarchy-free workplace, but instead an operation with bounded autonomy.</w:t>
      </w:r>
    </w:p>
    <w:p w14:paraId="22C8EF8E">
      <w:pPr>
        <w:spacing w:before="0" w:after="120" w:line="360" w:lineRule="auto"/>
        <w:jc w:val="both"/>
        <w:rPr>
          <w:rFonts w:hint="default" w:ascii="Arial" w:hAnsi="Arial" w:eastAsia="Arial"/>
          <w:sz w:val="24"/>
        </w:rPr>
      </w:pPr>
      <w:r>
        <w:rPr>
          <w:rFonts w:hint="default" w:ascii="Arial" w:hAnsi="Arial" w:eastAsia="Arial"/>
          <w:sz w:val="24"/>
        </w:rPr>
        <w:t>The proposed Adaptive Innovation Work System (AIWS) combines four muscle reinforcing practices. In the first, there should be cross-functional product-and-clinical “mission cells” within NHSX through to which software, AI and data, clinical, cybersecurity, regulatory, customer and commercial know-how flows. Every cell should have a particular patient or provider capability outcome and their backlog and measurable delivery targets over an 8–12 week cycle. This minimi</w:t>
      </w:r>
      <w:r>
        <w:rPr>
          <w:rFonts w:hint="default"/>
          <w:sz w:val="24"/>
          <w:lang w:val="en-US"/>
        </w:rPr>
        <w:t>s</w:t>
      </w:r>
      <w:r>
        <w:rPr>
          <w:rFonts w:hint="default" w:ascii="Arial" w:hAnsi="Arial" w:eastAsia="Arial"/>
          <w:sz w:val="24"/>
        </w:rPr>
        <w:t>es the loss of functional handoffs and makes specialist interdependence apparent. Experts can be added to temporary problems solving guilds, and the team need be reasonably stable to allow trust to be built. Agile evidence suggests that velocity practices and proactivist norms are beneficial to the overall performance of the team, but maturity is important so it is recommended to provide facilitation to the new cells before measuring their velocity (Junker et al., 2022).</w:t>
      </w:r>
    </w:p>
    <w:p w14:paraId="5404B53C">
      <w:pPr>
        <w:spacing w:before="0" w:after="120" w:line="360" w:lineRule="auto"/>
        <w:jc w:val="both"/>
        <w:rPr>
          <w:rFonts w:hint="default" w:ascii="Arial" w:hAnsi="Arial" w:eastAsia="Arial"/>
          <w:sz w:val="24"/>
        </w:rPr>
      </w:pPr>
      <w:r>
        <w:rPr>
          <w:rFonts w:hint="default" w:ascii="Arial" w:hAnsi="Arial" w:eastAsia="Arial"/>
          <w:sz w:val="24"/>
        </w:rPr>
        <w:t>Second, hybrid working must not be created for the purpose of attendance quotas but for collaboration needs. There should be a two-level rhythm: teams use a place to work individually in a focused way, while decision moments in which teams try to accomplish new things and discover new content are a set aside, so as are retrospectives and moments of social learning. While hybrid work is capable of increasing employee satisfaction and boosting retention without impacting their productivity, large-scale remote work arrangements can inadvertently create more siloed collaboration networks (Bloom, Han and Liang, 2024; Yang et al., 2022). The focus should thus be on NHSX measuring outcomes, not presenteeism, but network health. Core hours of collaboration should be overlapping between UK team, Indian team, UAE team but there should be switches between them so that the burden of changing is not with one of the geographies forever.</w:t>
      </w:r>
    </w:p>
    <w:p w14:paraId="1E6B272F">
      <w:pPr>
        <w:spacing w:before="0" w:after="120" w:line="360" w:lineRule="auto"/>
        <w:jc w:val="both"/>
        <w:rPr>
          <w:rFonts w:hint="default" w:ascii="Arial" w:hAnsi="Arial" w:eastAsia="Arial"/>
          <w:sz w:val="24"/>
        </w:rPr>
      </w:pPr>
      <w:r>
        <w:rPr>
          <w:rFonts w:hint="default" w:ascii="Arial" w:hAnsi="Arial" w:eastAsia="Arial"/>
          <w:sz w:val="24"/>
        </w:rPr>
        <w:t>Third, Managers move from Approval owners to context setters. Mission cells should select methods, role assignments, experimentation within explicit clinical-safety/privacy boundaries and budgets and regulations. According to self-determination research, the autonomy, competence and belongingness fosters more quality motivation and wellbeing especially if technology affects the way of working (Gagné et al., 2022). But being autonomous is not being abandoned. Managers need to streamline purpose, eliminate obstacles, incorporate fast escalation and review risks at agreed levels. This is a blend of innovation and healthcare accountability.</w:t>
      </w:r>
    </w:p>
    <w:p w14:paraId="74FDB9A2">
      <w:pPr>
        <w:spacing w:before="0" w:after="120" w:line="360" w:lineRule="auto"/>
        <w:jc w:val="both"/>
        <w:rPr>
          <w:rFonts w:hint="default" w:ascii="Arial" w:hAnsi="Arial" w:eastAsia="Arial"/>
          <w:sz w:val="24"/>
        </w:rPr>
      </w:pPr>
      <w:r>
        <w:rPr>
          <w:rFonts w:hint="default" w:ascii="Arial" w:hAnsi="Arial" w:eastAsia="Arial"/>
          <w:sz w:val="24"/>
        </w:rPr>
        <w:t xml:space="preserve">Fourthly, NHSX requires a digital collaborative and knowledge structure. Decision, design rationales, experiments, results reuseable code, clinical evidence and lessons learned should be all part of a single searchable workspace. Routine coordination should be done through (asynchronous) updates and richer synchronous channels should be used for ambiguity (and creative work, conflict). For virtual-teams research, both social and structural and technological factors are needed to enable knowledge sharing and not simply additional software (Natu and Aparicio, 2022; Tietz and Werner, 2022). </w:t>
      </w:r>
    </w:p>
    <w:p w14:paraId="705209C4">
      <w:pPr>
        <w:spacing w:before="0" w:after="120" w:line="360" w:lineRule="auto"/>
        <w:jc w:val="both"/>
        <w:rPr>
          <w:rFonts w:hint="default" w:ascii="Arial" w:hAnsi="Arial" w:eastAsia="Arial"/>
          <w:sz w:val="24"/>
        </w:rPr>
      </w:pPr>
      <w:r>
        <w:rPr>
          <w:rFonts w:hint="default" w:ascii="Arial" w:hAnsi="Arial" w:eastAsia="Arial"/>
          <w:sz w:val="24"/>
        </w:rPr>
        <w:t>Another feature to consider when designing is flexibility. Flexible working will be worth having only if workers are given real freedom over working times and locations, and interdependence issues are addressed directly. The remote-work evidence discusses autonomy as a resource; communication difficulty as a risk along with loneliness and work-home interference (Wang et al., 2021). So for NHSX, we should think flexibility in terms of different roles, not as the blanket policy: working in a lab, for clinical validation or at the security end of things might mean more constraints on location is necessary than software design. Equivalent not identical flexibility and development opportunities should be a standard for fairness. This also embodies a sociotechnical principle where: technology, task, people and structure must be optimised. Well-designed tools can offer greater autonomy and feedback with technology, but poorly designed monitoring can turn technology into increased control (Parker and Grote, 2022).</w:t>
      </w:r>
    </w:p>
    <w:p w14:paraId="25570984">
      <w:pPr>
        <w:spacing w:before="0" w:after="120" w:line="360" w:lineRule="auto"/>
        <w:jc w:val="both"/>
        <w:rPr>
          <w:rFonts w:hint="default" w:ascii="Arial" w:hAnsi="Arial" w:eastAsia="Arial"/>
          <w:sz w:val="24"/>
        </w:rPr>
      </w:pPr>
      <w:r>
        <w:rPr>
          <w:rFonts w:hint="default" w:ascii="Arial" w:hAnsi="Arial" w:eastAsia="Arial"/>
          <w:sz w:val="24"/>
        </w:rPr>
        <w:t>Deliberate connection across boundaries should be established too in the AIWS. The experiment should be compared across mission cells quarterly through innovation forums and each mission cell should designate a liaison to two neighboring cells. This is important because if distributed teams are efficient internal resources to them may be lost that transmit new information in weak ties. The goal is not to create more meetings, it's to create a network that's intentional and allows individuals to share information outside of that realm or team. Success should therefore be measured along with delivery measures and include the proportion of reusable knowledge assets adopted by another cell, and the time that it takes to solve the cross-team dependencies.</w:t>
      </w:r>
    </w:p>
    <w:p w14:paraId="299BB940">
      <w:pPr>
        <w:spacing w:before="0" w:after="120" w:line="360" w:lineRule="auto"/>
        <w:jc w:val="both"/>
      </w:pPr>
      <w:r>
        <w:rPr>
          <w:rFonts w:hint="default" w:ascii="Arial" w:hAnsi="Arial" w:eastAsia="Arial"/>
          <w:sz w:val="24"/>
        </w:rPr>
        <w:t>The implementation should be done in stages. Three pilot mission cells should be executed for 1/4 cycle, baseline- and post-pilot measures are decision lead time, experiment throughput, cross functional dependency delays, employee autonomy, psychological safety, knowledge reuse, wellbeing and voluntary turnover intention. A joint steering group should break down the barriers to system and not necessarily micro-manage. Scaling should be based on evidence and practices adjusted according to the nature of the function needing a higher degree of separation of functions. The causal logic of performance is thus bound as follows: cross-functional ownership means fewer hand-offs, hybrid rhythms mean more flexibility but also improved knowledge sharing, bounded autonomy means quicker decision-making at a local level and digital knowledge systems mean do less. All the above mechanisms should, together, make for faster innovation, retention and agile organisation with no loss of control.</w:t>
      </w:r>
    </w:p>
    <w:p w14:paraId="69AFD1D8">
      <w:pPr>
        <w:pStyle w:val="2"/>
        <w:jc w:val="left"/>
        <w:rPr>
          <w:sz w:val="32"/>
          <w:szCs w:val="36"/>
        </w:rPr>
      </w:pPr>
      <w:r>
        <w:rPr>
          <w:rFonts w:ascii="Arial" w:hAnsi="Arial" w:eastAsia="Arial"/>
          <w:sz w:val="32"/>
          <w:szCs w:val="36"/>
        </w:rPr>
        <w:t>Task B: Breeding an Environment Where Talent May Grow</w:t>
      </w:r>
    </w:p>
    <w:p w14:paraId="4F7A95CE">
      <w:pPr>
        <w:spacing w:before="0" w:after="120" w:line="360" w:lineRule="auto"/>
        <w:jc w:val="both"/>
        <w:rPr>
          <w:rFonts w:hint="default" w:ascii="Arial" w:hAnsi="Arial" w:eastAsia="Arial"/>
          <w:sz w:val="24"/>
        </w:rPr>
      </w:pPr>
      <w:r>
        <w:rPr>
          <w:rFonts w:hint="default" w:ascii="Arial" w:hAnsi="Arial" w:eastAsia="Arial"/>
          <w:sz w:val="24"/>
        </w:rPr>
        <w:t>The training provision challenge is not the only one facing NHSX when it comes to talent. When employees don't see the growth, they give up; managing to balance a performance expectation with a wellbeing ethos is a real challenge for managers. Hence, it is important for a talent ecosystem to link learning, psychological state, mobility of jobs and leadings of the job design. However, since talent management is context-specific, a single programme found globally wouldn't be suitable for workers who are based in various labour markets and have different professional domains (Gallardo-Gallardo, Thunnissen and Scullion, 2020). The architecture for the proposed Talent Growth Ecosystem (TGE) is common and parts of the ecosystem can be locally tailored and adjusted.</w:t>
      </w:r>
    </w:p>
    <w:p w14:paraId="556BDCC0">
      <w:pPr>
        <w:spacing w:before="0" w:after="120" w:line="360" w:lineRule="auto"/>
        <w:jc w:val="both"/>
        <w:rPr>
          <w:rFonts w:hint="default" w:ascii="Arial" w:hAnsi="Arial" w:eastAsia="Arial"/>
          <w:sz w:val="24"/>
        </w:rPr>
      </w:pPr>
      <w:r>
        <w:rPr>
          <w:rFonts w:hint="default" w:ascii="Arial" w:hAnsi="Arial" w:eastAsia="Arial"/>
          <w:sz w:val="24"/>
        </w:rPr>
        <w:t xml:space="preserve">The first foundation is the infrastructure of a learning-organisation. The processes needed for the organisational learning are leadership, culture, structure, communication, technology and HR practices, functioning as a chain and not as independent courses (Alerasoul et al., 2022). NHSX should produce a quarterly list of capabilities, current and emerging, across: Generative AI, Machine learning assurance, Clinical safety, Cyber security, Product discovery, Data governance and International collaboration. Mission Skills matrices would then be kept by each mission cell and gap learning times devoted. </w:t>
      </w:r>
    </w:p>
    <w:p w14:paraId="37C86DF1">
      <w:pPr>
        <w:spacing w:before="0" w:after="120" w:line="360" w:lineRule="auto"/>
        <w:jc w:val="both"/>
        <w:rPr>
          <w:rFonts w:hint="default" w:ascii="Arial" w:hAnsi="Arial" w:eastAsia="Arial"/>
          <w:sz w:val="24"/>
        </w:rPr>
      </w:pPr>
      <w:r>
        <w:rPr>
          <w:rFonts w:hint="default" w:ascii="Arial" w:hAnsi="Arial" w:eastAsia="Arial"/>
          <w:sz w:val="24"/>
        </w:rPr>
        <w:t>The second is psychological safety. Here, innovation would be enabled by employees being able to raise uncertainty, assuming risks and make false starts without it being a loss. While not synonymous with comfort or lack of accountability, psychological safety is linked to learning, voice and performance with evidence from meta-analytic and systematic review findings (Frazier et al., 2017; Newman, Donohue and Eva, 2017). NHSX managers should: Start a review by asking, "What evidence could demonstrate that you are wrong?" Make them make statements of senior opinions with the knowledgeable objections, including the precautions and standards that apply to well-intentioned solutions that fail, instead of negligence. Retrospectives should be a way to distinguish between learning and blaming, yet must provide documentation of responsibilities in safety critical work.</w:t>
      </w:r>
    </w:p>
    <w:p w14:paraId="359696ED">
      <w:pPr>
        <w:spacing w:before="0" w:after="120" w:line="360" w:lineRule="auto"/>
        <w:jc w:val="both"/>
        <w:rPr>
          <w:rFonts w:hint="default" w:ascii="Arial" w:hAnsi="Arial" w:eastAsia="Arial"/>
          <w:sz w:val="24"/>
        </w:rPr>
      </w:pPr>
      <w:r>
        <w:rPr>
          <w:rFonts w:hint="default" w:ascii="Arial" w:hAnsi="Arial" w:eastAsia="Arial"/>
          <w:sz w:val="24"/>
        </w:rPr>
        <w:t xml:space="preserve">Growth &amp; strengths - third foundation. According to Liu and Tong (2022), employees who feel capability can grow and who are assisted to apply their strengths productively are more likely to introduce innovation. But ‘growth mindset' can also border on rhetoric if the workloads don't allow for learning, or the promotions are not clearly transparent. Therefore, NHSX should make development visible: There should be a six month capability goal for each employee; the employee should have a mentor outside their reporting line; and the employee should receive feedback on development based on evidence. Internal transfers, skills development and talent retention should be part of the assessment of managers in addition to delivery targets. </w:t>
      </w:r>
    </w:p>
    <w:p w14:paraId="1057D528">
      <w:pPr>
        <w:spacing w:before="0" w:after="120" w:line="360" w:lineRule="auto"/>
        <w:jc w:val="both"/>
        <w:rPr>
          <w:rFonts w:hint="default" w:ascii="Arial" w:hAnsi="Arial" w:eastAsia="Arial"/>
          <w:sz w:val="24"/>
        </w:rPr>
      </w:pPr>
      <w:r>
        <w:rPr>
          <w:rFonts w:hint="default" w:ascii="Arial" w:hAnsi="Arial" w:eastAsia="Arial"/>
          <w:sz w:val="24"/>
        </w:rPr>
        <w:t>Fourth, NHSX should put job crafting and internal mobility into practice at a systemic level. The studies of job-crafting suggest that employees can proactively change aspects of work, specifically task, relational, and cognitive dimensions, which are generally associated with positive results for performance, satisfaction and engagement (Rudolph et al., 2017; Zhang and Parker, 2019). Given operational needs, employees should be empowered to negotiate about ten per cent of role capacity to work at stretch, shadow or work on problem-solving project. There should be a transparent internal talent marketplace, where projects, both short and longer-term, can be advertised across country and function. This would offer possibilities of growth without having to leave NHSX in the name of variety -- to posts with more rewarding opportunities -- as was the case for the high performers. In the health care world, mobility still needs to adhere to competency and access controls.</w:t>
      </w:r>
    </w:p>
    <w:p w14:paraId="05AE8845">
      <w:pPr>
        <w:spacing w:before="0" w:after="120" w:line="360" w:lineRule="auto"/>
        <w:jc w:val="both"/>
        <w:rPr>
          <w:rFonts w:hint="default" w:ascii="Arial" w:hAnsi="Arial" w:eastAsia="Arial"/>
          <w:sz w:val="24"/>
        </w:rPr>
      </w:pPr>
      <w:r>
        <w:rPr>
          <w:rFonts w:hint="default" w:ascii="Arial" w:hAnsi="Arial" w:eastAsia="Arial"/>
          <w:sz w:val="24"/>
        </w:rPr>
        <w:t>Fifthly learning should be backed by high-quality employee experience. Employee experience is defined by the order of employee interactions with work systems, managers and digital experience, not just benefits (Batat, 2022). AI-facilitated HR systems can tailor the support that is available for learning and career growth; however, technology should complement, not replace, human assistance (Malik et al., 2023). A skills platform could help NHSX to send recommendations to employees of courses they could benefit from, mentors and project opportunities based on an employee's profile, which is controlled by the employee. Recommendations should be reported back, challenged and reviewed for gender equality, geographical equality, contract-type equality, function equality [equal opportunity].</w:t>
      </w:r>
    </w:p>
    <w:p w14:paraId="4787CE3B">
      <w:pPr>
        <w:spacing w:before="0" w:after="120" w:line="360" w:lineRule="auto"/>
        <w:jc w:val="both"/>
        <w:rPr>
          <w:rFonts w:hint="default" w:ascii="Arial" w:hAnsi="Arial" w:eastAsia="Arial"/>
          <w:sz w:val="24"/>
        </w:rPr>
      </w:pPr>
      <w:r>
        <w:rPr>
          <w:rFonts w:hint="default" w:ascii="Arial" w:hAnsi="Arial" w:eastAsia="Arial"/>
          <w:sz w:val="24"/>
        </w:rPr>
        <w:t>Sixth, wellbeing and performance should be treated as integral outcomes. HPWS evidence cautions that the identical performances can be perceived as a helpful investment or a management pressure (Alfes, Veld and Fürstenberg, 2021). NHSX should implement quarterly workload reviews, recovery norms post high release workloads, protected focus time and focus performance manager training during performance conversations. Overtime is not considered to be necessary for career development.</w:t>
      </w:r>
    </w:p>
    <w:p w14:paraId="010AB134">
      <w:pPr>
        <w:spacing w:before="0" w:after="120" w:line="360" w:lineRule="auto"/>
        <w:jc w:val="both"/>
        <w:rPr>
          <w:rFonts w:hint="default" w:ascii="Arial" w:hAnsi="Arial" w:eastAsia="Arial"/>
          <w:sz w:val="24"/>
        </w:rPr>
      </w:pPr>
      <w:r>
        <w:rPr>
          <w:rFonts w:hint="default" w:ascii="Arial" w:hAnsi="Arial" w:eastAsia="Arial"/>
          <w:sz w:val="24"/>
        </w:rPr>
        <w:t>Including only a “high potential” approach in the TGE should be avoided. It can enhance the possibilities of transfer along the generations, but investment focused on a small group of entrepreneurs can also be an indicator that there is limited opportunity to develop and reduce the foundation of capabilities that are needed for cross-disciplinary innovation. NHSX needs to differentiate between two things: a role's criticality is not human value: scarce or safety critical capabilities may be targeted for investment, but all employees should have clear and open access to opportunities for learning and feedback, and internal opportunities. This differentiated and inclusive approach is supported by contextual talent research which identifies that talent systems are contextualised by organisational strategy and labour market conditions</w:t>
      </w:r>
      <w:r>
        <w:rPr>
          <w:rFonts w:hint="default"/>
          <w:sz w:val="24"/>
          <w:lang w:val="en-US"/>
        </w:rPr>
        <w:t>,</w:t>
      </w:r>
      <w:r>
        <w:rPr>
          <w:rFonts w:hint="default" w:ascii="Arial" w:hAnsi="Arial" w:eastAsia="Arial"/>
          <w:sz w:val="24"/>
        </w:rPr>
        <w:t xml:space="preserve"> there is not one universal definition of talent (Gallardo-Gallardo, Thunnissen and Scullion, 2020). </w:t>
      </w:r>
    </w:p>
    <w:p w14:paraId="1409A386">
      <w:pPr>
        <w:spacing w:before="0" w:after="120" w:line="360" w:lineRule="auto"/>
        <w:jc w:val="both"/>
      </w:pPr>
      <w:r>
        <w:rPr>
          <w:rFonts w:hint="default" w:ascii="Arial" w:hAnsi="Arial" w:eastAsia="Arial"/>
          <w:sz w:val="24"/>
        </w:rPr>
        <w:t xml:space="preserve">Governance should be based on Talent Council lead by HR with business, technical and regional representation. Should check up capability gaps, succession risk, internal mobility, learning equity and retention quarterly. Managers would be given a snap scorecard of the ‘talent health' and elusive individual data would be kept access-restricted. </w:t>
      </w:r>
    </w:p>
    <w:p w14:paraId="5EBF02E8">
      <w:pPr>
        <w:pStyle w:val="2"/>
        <w:jc w:val="left"/>
        <w:rPr>
          <w:sz w:val="32"/>
          <w:szCs w:val="36"/>
        </w:rPr>
      </w:pPr>
      <w:r>
        <w:rPr>
          <w:rFonts w:ascii="Arial" w:hAnsi="Arial" w:eastAsia="Arial"/>
          <w:sz w:val="32"/>
          <w:szCs w:val="36"/>
        </w:rPr>
        <w:t>Task C: Reflective Report</w:t>
      </w:r>
    </w:p>
    <w:p w14:paraId="78C0D5E1">
      <w:pPr>
        <w:spacing w:before="0" w:after="120" w:line="360" w:lineRule="auto"/>
        <w:jc w:val="both"/>
        <w:rPr>
          <w:rFonts w:hint="default" w:ascii="Arial" w:hAnsi="Arial" w:eastAsia="Arial"/>
          <w:sz w:val="24"/>
        </w:rPr>
      </w:pPr>
      <w:r>
        <w:rPr>
          <w:rFonts w:hint="default" w:ascii="Arial" w:hAnsi="Arial" w:eastAsia="Arial"/>
          <w:sz w:val="24"/>
        </w:rPr>
        <w:t>The benefit of using AI in HRM is its ability to bolster human decision making, not replacing it as an authority. It may summarise workforce information, identify trends, create scenarios, match individuals' skills to opportunities, decrease administrative workload and more. But HR choices have consequences for dignity, opportunity and livelihoods; historical data can perpetuate discrimination; random indicators can mask bias; and it is possible to have false confidence in apparently precise outcomes (Köchling and Wehner 2020; Hunkenschroer and Luetge, 2022). This, however, depends on human oversight, restrictions on automation, data minimisation, and challenges and mechanisms where algorithms are tested for bias and through transparent criteria in algorithmic HRM (Meijerink et al., 2021). Technical efficiency is not sufficient; fairness, employee reactions, empathy and professional judgment must be a part of the decision making process (Tambe, Cappelli and Yakubovich, 2019; Charlwood and Guenole, 2022).</w:t>
      </w:r>
    </w:p>
    <w:p w14:paraId="370B38DC">
      <w:pPr>
        <w:spacing w:before="0" w:after="120" w:line="360" w:lineRule="auto"/>
        <w:jc w:val="both"/>
        <w:rPr>
          <w:rFonts w:hint="default" w:ascii="Arial" w:hAnsi="Arial" w:eastAsia="Arial"/>
          <w:sz w:val="24"/>
          <w:lang w:val="en-US"/>
        </w:rPr>
      </w:pPr>
      <w:r>
        <w:rPr>
          <w:rFonts w:hint="default" w:ascii="Arial" w:hAnsi="Arial" w:eastAsia="Arial"/>
          <w:sz w:val="24"/>
        </w:rPr>
        <w:t>The value of AI for HR is greatest when it extends the range of questions HR can ask, not the most narrow ones that are numbers. Use of people analytics to look at patterns of retention, skills and mobility patterns, can also lead to more surveillance, reductionism and undeserved certainty when the results of the analysis are seen as objective truths (Giermindl et al., 2022). To me, this is a reminder of the importance of embracing evidence along with the context, ethical considerations and a focus on direct engagement with employees</w:t>
      </w:r>
      <w:r>
        <w:rPr>
          <w:rFonts w:hint="default" w:ascii="Arial" w:hAnsi="Arial" w:eastAsia="Arial"/>
          <w:sz w:val="24"/>
          <w:lang w:val="en-US"/>
        </w:rPr>
        <w:t>.</w:t>
      </w:r>
    </w:p>
    <w:p w14:paraId="7D7EC301">
      <w:pPr>
        <w:spacing w:before="0" w:after="120" w:line="360" w:lineRule="auto"/>
        <w:jc w:val="both"/>
        <w:rPr>
          <w:rFonts w:hint="default" w:ascii="Arial" w:hAnsi="Arial" w:eastAsia="Arial"/>
          <w:sz w:val="24"/>
        </w:rPr>
      </w:pPr>
      <w:r>
        <w:rPr>
          <w:rFonts w:hint="default" w:ascii="Arial" w:hAnsi="Arial" w:eastAsia="Arial"/>
          <w:sz w:val="24"/>
        </w:rPr>
        <w:t>There were three of these that were instructive. The first step is to leverage AI to extract meaningful information from the assessment requirements and connect them to my outline sections.My inaugural step was to use AI to understand the assessment requirements and link these elements to my outline sections. I found that to be useful to pinpoint the problem but also to become mindful of how much information was lacking in the original assessment brief for us to rely on as the basis of our AI response, so the assessment brief is the correct guide to follow and in the end, the AI may not always be sure. Secondly, I ran experiments to innovate and collaborate, grow talent and ensure wellbeing organised in alternate ways. The ideas were put under a sharp focus with suggestions that drove the idea stream, yet some of these were very generic, and required to be challenged within NHSX's global healthcare-technology context. What I also learned is that they do not allow AI to do the structuring of the submission (assessment guidance), so this reinforces the need to check the rules of what is allowed before using a tool. Third, Hiring an artificial intelligence to review my own draft in the approved capacity of a proofreading tool helped me to identify grammatical and syntactical problems. This makes it clearer, but I still had to make a decision about whether the recommended rephrased version maintained my meaning and evidence.</w:t>
      </w:r>
    </w:p>
    <w:p w14:paraId="4F741804">
      <w:pPr>
        <w:spacing w:before="0" w:after="120" w:line="360" w:lineRule="auto"/>
        <w:jc w:val="both"/>
        <w:rPr>
          <w:rFonts w:hint="default" w:ascii="Arial" w:hAnsi="Arial" w:eastAsia="Arial"/>
          <w:sz w:val="24"/>
        </w:rPr>
      </w:pPr>
      <w:r>
        <w:rPr>
          <w:rFonts w:hint="default" w:ascii="Arial" w:hAnsi="Arial" w:eastAsia="Arial"/>
          <w:sz w:val="24"/>
        </w:rPr>
        <w:t xml:space="preserve">I have a Plan of Support for my personal abilities with 3 priorities. For the next three months, I will read two papers every week, which have been published in the HRM and work-psychology literature, and make notes on research question, research method, limitations and implications. I will be working on responsible people-analytics capability over six months, practising how data quality checks work, checks for fairness, as well as what data decisions need to be taken by people. </w:t>
      </w:r>
    </w:p>
    <w:p w14:paraId="396CA383">
      <w:pPr>
        <w:spacing w:before="0" w:after="120" w:line="360" w:lineRule="auto"/>
        <w:jc w:val="both"/>
        <w:rPr>
          <w:rFonts w:hint="default" w:ascii="Arial" w:hAnsi="Arial" w:eastAsia="Arial"/>
          <w:sz w:val="24"/>
        </w:rPr>
      </w:pPr>
    </w:p>
    <w:p w14:paraId="7A71677E">
      <w:pPr>
        <w:spacing w:before="0" w:after="120" w:line="360" w:lineRule="auto"/>
        <w:jc w:val="both"/>
        <w:rPr>
          <w:rFonts w:hint="default" w:ascii="Arial" w:hAnsi="Arial" w:eastAsia="Arial"/>
          <w:sz w:val="24"/>
        </w:rPr>
      </w:pPr>
    </w:p>
    <w:p w14:paraId="374C779E">
      <w:pPr>
        <w:spacing w:before="0" w:after="120" w:line="360" w:lineRule="auto"/>
        <w:jc w:val="both"/>
        <w:rPr>
          <w:rFonts w:hint="default" w:ascii="Arial" w:hAnsi="Arial" w:eastAsia="Arial"/>
          <w:sz w:val="24"/>
        </w:rPr>
      </w:pPr>
    </w:p>
    <w:p w14:paraId="58580DD0">
      <w:pPr>
        <w:spacing w:before="0" w:after="120" w:line="360" w:lineRule="auto"/>
        <w:jc w:val="both"/>
        <w:rPr>
          <w:rFonts w:hint="default" w:ascii="Arial" w:hAnsi="Arial" w:eastAsia="Arial"/>
          <w:sz w:val="24"/>
        </w:rPr>
      </w:pPr>
    </w:p>
    <w:p w14:paraId="4AFF28C4">
      <w:pPr>
        <w:spacing w:before="0" w:after="120" w:line="360" w:lineRule="auto"/>
        <w:jc w:val="both"/>
        <w:rPr>
          <w:rFonts w:hint="default" w:ascii="Arial" w:hAnsi="Arial" w:eastAsia="Arial"/>
          <w:sz w:val="24"/>
        </w:rPr>
      </w:pPr>
    </w:p>
    <w:p w14:paraId="4731A267">
      <w:pPr>
        <w:spacing w:before="0" w:after="120" w:line="360" w:lineRule="auto"/>
        <w:jc w:val="both"/>
        <w:rPr>
          <w:rFonts w:hint="default" w:ascii="Arial" w:hAnsi="Arial" w:eastAsia="Arial"/>
          <w:sz w:val="24"/>
        </w:rPr>
      </w:pPr>
    </w:p>
    <w:p w14:paraId="3BC63AA1">
      <w:pPr>
        <w:spacing w:before="0" w:after="120" w:line="360" w:lineRule="auto"/>
        <w:jc w:val="both"/>
        <w:rPr>
          <w:rFonts w:hint="default" w:ascii="Arial" w:hAnsi="Arial" w:eastAsia="Arial"/>
          <w:sz w:val="24"/>
        </w:rPr>
      </w:pPr>
    </w:p>
    <w:p w14:paraId="3CF1CEE2">
      <w:pPr>
        <w:spacing w:before="0" w:after="120" w:line="360" w:lineRule="auto"/>
        <w:jc w:val="both"/>
        <w:rPr>
          <w:rFonts w:hint="default" w:ascii="Arial" w:hAnsi="Arial" w:eastAsia="Arial"/>
          <w:sz w:val="24"/>
        </w:rPr>
      </w:pPr>
    </w:p>
    <w:p w14:paraId="01368EB3">
      <w:pPr>
        <w:spacing w:before="0" w:after="120" w:line="360" w:lineRule="auto"/>
        <w:jc w:val="both"/>
        <w:rPr>
          <w:rFonts w:hint="default" w:ascii="Arial" w:hAnsi="Arial" w:eastAsia="Arial"/>
          <w:sz w:val="24"/>
        </w:rPr>
      </w:pPr>
    </w:p>
    <w:p w14:paraId="54C93755">
      <w:pPr>
        <w:spacing w:before="0" w:after="120" w:line="360" w:lineRule="auto"/>
        <w:jc w:val="both"/>
        <w:rPr>
          <w:rFonts w:hint="default" w:ascii="Arial" w:hAnsi="Arial" w:eastAsia="Arial"/>
          <w:sz w:val="24"/>
        </w:rPr>
      </w:pPr>
    </w:p>
    <w:p w14:paraId="67EA5E52">
      <w:pPr>
        <w:spacing w:before="0" w:after="120" w:line="360" w:lineRule="auto"/>
        <w:jc w:val="both"/>
        <w:rPr>
          <w:rFonts w:hint="default" w:ascii="Arial" w:hAnsi="Arial" w:eastAsia="Arial"/>
          <w:sz w:val="24"/>
        </w:rPr>
      </w:pPr>
    </w:p>
    <w:p w14:paraId="7805D55B">
      <w:pPr>
        <w:pStyle w:val="2"/>
        <w:jc w:val="left"/>
        <w:rPr>
          <w:sz w:val="32"/>
          <w:szCs w:val="36"/>
        </w:rPr>
      </w:pPr>
      <w:r>
        <w:rPr>
          <w:rFonts w:ascii="Arial" w:hAnsi="Arial" w:eastAsia="Arial"/>
          <w:sz w:val="32"/>
          <w:szCs w:val="36"/>
        </w:rPr>
        <w:t>References</w:t>
      </w:r>
    </w:p>
    <w:p w14:paraId="6DCF4516">
      <w:pPr>
        <w:spacing w:after="80" w:line="360" w:lineRule="auto"/>
        <w:ind w:left="720" w:hanging="720"/>
        <w:jc w:val="both"/>
      </w:pPr>
      <w:r>
        <w:rPr>
          <w:rFonts w:ascii="Arial" w:hAnsi="Arial" w:eastAsia="Arial"/>
          <w:sz w:val="24"/>
        </w:rPr>
        <w:t xml:space="preserve">Alerasoul, S.A., Afeltra, G., Hakala, H., Minelli, E. and Strozzi, F. (2022) ‘Organisational learning, learning organisation, and learning orientation: An integrative review and framework’, Human Resource Management Review, 32(3), 100854. Available at: </w:t>
      </w:r>
      <w:r>
        <w:fldChar w:fldCharType="begin"/>
      </w:r>
      <w:r>
        <w:instrText xml:space="preserve"> HYPERLINK "https://doi.org/10.1016/j.hrmr.2021.100854" \h </w:instrText>
      </w:r>
      <w:r>
        <w:fldChar w:fldCharType="separate"/>
      </w:r>
      <w:r>
        <w:rPr>
          <w:rFonts w:ascii="Arial" w:hAnsi="Arial"/>
          <w:color w:val="0563C1"/>
          <w:sz w:val="24"/>
          <w:u w:val="single"/>
        </w:rPr>
        <w:t>https://doi.org/10.1016/j.hrmr.2021.100854</w:t>
      </w:r>
      <w:r>
        <w:rPr>
          <w:rFonts w:ascii="Arial" w:hAnsi="Arial"/>
          <w:color w:val="0563C1"/>
          <w:sz w:val="24"/>
          <w:u w:val="single"/>
        </w:rPr>
        <w:fldChar w:fldCharType="end"/>
      </w:r>
    </w:p>
    <w:p w14:paraId="2FEED1EB">
      <w:pPr>
        <w:spacing w:after="80" w:line="360" w:lineRule="auto"/>
        <w:ind w:left="720" w:hanging="720"/>
        <w:jc w:val="both"/>
      </w:pPr>
      <w:r>
        <w:rPr>
          <w:rFonts w:ascii="Arial" w:hAnsi="Arial" w:eastAsia="Arial"/>
          <w:sz w:val="24"/>
        </w:rPr>
        <w:t xml:space="preserve">Alfes, K., Veld, M. and Fürstenberg, N. (2021) ‘The relationship between perceived high-performance work systems, combinations of human resource well-being and human resource performance attributions and engagement’, Human Resource Management Journal, 31(3), pp. 729–752. Available at: </w:t>
      </w:r>
      <w:r>
        <w:fldChar w:fldCharType="begin"/>
      </w:r>
      <w:r>
        <w:instrText xml:space="preserve"> HYPERLINK "https://doi.org/10.1111/1748-8583.12310" \h </w:instrText>
      </w:r>
      <w:r>
        <w:fldChar w:fldCharType="separate"/>
      </w:r>
      <w:r>
        <w:rPr>
          <w:rFonts w:ascii="Arial" w:hAnsi="Arial"/>
          <w:color w:val="0563C1"/>
          <w:sz w:val="24"/>
          <w:u w:val="single"/>
        </w:rPr>
        <w:t>https://doi.org/10.1111/1748-8583.12310</w:t>
      </w:r>
      <w:r>
        <w:rPr>
          <w:rFonts w:ascii="Arial" w:hAnsi="Arial"/>
          <w:color w:val="0563C1"/>
          <w:sz w:val="24"/>
          <w:u w:val="single"/>
        </w:rPr>
        <w:fldChar w:fldCharType="end"/>
      </w:r>
    </w:p>
    <w:p w14:paraId="76F0E815">
      <w:pPr>
        <w:spacing w:after="80" w:line="360" w:lineRule="auto"/>
        <w:ind w:left="720" w:hanging="720"/>
        <w:jc w:val="both"/>
      </w:pPr>
      <w:r>
        <w:rPr>
          <w:rFonts w:ascii="Arial" w:hAnsi="Arial" w:eastAsia="Arial"/>
          <w:sz w:val="24"/>
        </w:rPr>
        <w:t xml:space="preserve">Batat, W. (2022) ‘The employee experience (EMX) framework for well-being: an agenda for the future’, Employee Relations, 44(5), pp. 993–1013. Available at: </w:t>
      </w:r>
      <w:r>
        <w:fldChar w:fldCharType="begin"/>
      </w:r>
      <w:r>
        <w:instrText xml:space="preserve"> HYPERLINK "https://doi.org/10.1108/ER-03-2022-0133" \h </w:instrText>
      </w:r>
      <w:r>
        <w:fldChar w:fldCharType="separate"/>
      </w:r>
      <w:r>
        <w:rPr>
          <w:rFonts w:ascii="Arial" w:hAnsi="Arial"/>
          <w:color w:val="0563C1"/>
          <w:sz w:val="24"/>
          <w:u w:val="single"/>
        </w:rPr>
        <w:t>https://doi.org/10.1108/ER-03-2022-0133</w:t>
      </w:r>
      <w:r>
        <w:rPr>
          <w:rFonts w:ascii="Arial" w:hAnsi="Arial"/>
          <w:color w:val="0563C1"/>
          <w:sz w:val="24"/>
          <w:u w:val="single"/>
        </w:rPr>
        <w:fldChar w:fldCharType="end"/>
      </w:r>
    </w:p>
    <w:p w14:paraId="44B00FB1">
      <w:pPr>
        <w:spacing w:after="80" w:line="360" w:lineRule="auto"/>
        <w:ind w:left="720" w:hanging="720"/>
        <w:jc w:val="both"/>
      </w:pPr>
      <w:r>
        <w:rPr>
          <w:rFonts w:ascii="Arial" w:hAnsi="Arial" w:eastAsia="Arial"/>
          <w:sz w:val="24"/>
        </w:rPr>
        <w:t xml:space="preserve">Bloom, N., Han, R. and Liang, J. (2024) ‘Hybrid working from home improves retention without damaging performance’, Nature, 630(8018), pp. 920–925. Available at: </w:t>
      </w:r>
      <w:r>
        <w:fldChar w:fldCharType="begin"/>
      </w:r>
      <w:r>
        <w:instrText xml:space="preserve"> HYPERLINK "https://doi.org/10.1038/s41586-024-07500-2" \h </w:instrText>
      </w:r>
      <w:r>
        <w:fldChar w:fldCharType="separate"/>
      </w:r>
      <w:r>
        <w:rPr>
          <w:rFonts w:ascii="Arial" w:hAnsi="Arial"/>
          <w:color w:val="0563C1"/>
          <w:sz w:val="24"/>
          <w:u w:val="single"/>
        </w:rPr>
        <w:t>https://doi.org/10.1038/s41586-024-07500-2</w:t>
      </w:r>
      <w:r>
        <w:rPr>
          <w:rFonts w:ascii="Arial" w:hAnsi="Arial"/>
          <w:color w:val="0563C1"/>
          <w:sz w:val="24"/>
          <w:u w:val="single"/>
        </w:rPr>
        <w:fldChar w:fldCharType="end"/>
      </w:r>
    </w:p>
    <w:p w14:paraId="496A06F6">
      <w:pPr>
        <w:spacing w:after="80" w:line="360" w:lineRule="auto"/>
        <w:ind w:left="720" w:hanging="720"/>
        <w:jc w:val="both"/>
      </w:pPr>
      <w:r>
        <w:rPr>
          <w:rFonts w:ascii="Arial" w:hAnsi="Arial" w:eastAsia="Arial"/>
          <w:sz w:val="24"/>
        </w:rPr>
        <w:t xml:space="preserve">Charlwood, A. and Guenole, N. (2022) ‘Can HR adapt to the paradoxes of artificial intelligence?’, Human Resource Management Journal, 32(4), pp. 729–742. Available at: </w:t>
      </w:r>
      <w:r>
        <w:fldChar w:fldCharType="begin"/>
      </w:r>
      <w:r>
        <w:instrText xml:space="preserve"> HYPERLINK "https://doi.org/10.1111/1748-8583.12433" \h </w:instrText>
      </w:r>
      <w:r>
        <w:fldChar w:fldCharType="separate"/>
      </w:r>
      <w:r>
        <w:rPr>
          <w:rFonts w:ascii="Arial" w:hAnsi="Arial"/>
          <w:color w:val="0563C1"/>
          <w:sz w:val="24"/>
          <w:u w:val="single"/>
        </w:rPr>
        <w:t>https://doi.org/10.1111/1748-8583.12433</w:t>
      </w:r>
      <w:r>
        <w:rPr>
          <w:rFonts w:ascii="Arial" w:hAnsi="Arial"/>
          <w:color w:val="0563C1"/>
          <w:sz w:val="24"/>
          <w:u w:val="single"/>
        </w:rPr>
        <w:fldChar w:fldCharType="end"/>
      </w:r>
    </w:p>
    <w:p w14:paraId="0CD3B155">
      <w:pPr>
        <w:spacing w:after="80" w:line="360" w:lineRule="auto"/>
        <w:ind w:left="720" w:hanging="720"/>
        <w:jc w:val="both"/>
      </w:pPr>
      <w:r>
        <w:rPr>
          <w:rFonts w:ascii="Arial" w:hAnsi="Arial" w:eastAsia="Arial"/>
          <w:sz w:val="24"/>
        </w:rPr>
        <w:t xml:space="preserve">Frazier, M.L., Fainshmidt, S., Klinger, R.L., Pezeshkan, A. and Vracheva, V. (2017) ‘Psychological safety: A meta-analytic review and extension’, Personnel Psychology, 70(1), pp. 113–165. Available at: </w:t>
      </w:r>
      <w:r>
        <w:fldChar w:fldCharType="begin"/>
      </w:r>
      <w:r>
        <w:instrText xml:space="preserve"> HYPERLINK "https://doi.org/10.1111/peps.12183" \h </w:instrText>
      </w:r>
      <w:r>
        <w:fldChar w:fldCharType="separate"/>
      </w:r>
      <w:r>
        <w:rPr>
          <w:rFonts w:ascii="Arial" w:hAnsi="Arial"/>
          <w:color w:val="0563C1"/>
          <w:sz w:val="24"/>
          <w:u w:val="single"/>
        </w:rPr>
        <w:t>https://doi.org/10.1111/peps.12183</w:t>
      </w:r>
      <w:r>
        <w:rPr>
          <w:rFonts w:ascii="Arial" w:hAnsi="Arial"/>
          <w:color w:val="0563C1"/>
          <w:sz w:val="24"/>
          <w:u w:val="single"/>
        </w:rPr>
        <w:fldChar w:fldCharType="end"/>
      </w:r>
    </w:p>
    <w:p w14:paraId="2FA1C829">
      <w:pPr>
        <w:spacing w:after="80" w:line="360" w:lineRule="auto"/>
        <w:ind w:left="720" w:hanging="720"/>
        <w:jc w:val="both"/>
      </w:pPr>
      <w:r>
        <w:rPr>
          <w:rFonts w:ascii="Arial" w:hAnsi="Arial" w:eastAsia="Arial"/>
          <w:sz w:val="24"/>
        </w:rPr>
        <w:t xml:space="preserve">Gagné, M., Parker, S.K., Griffin, M.A., Dunlop, P.D., Knight, C., Klonek, F.E. and Parent-Rocheleau, X. (2022) ‘Understanding and shaping the future of work with self-determination theory’, Nature Reviews Psychology, 1, pp. 378–392. Available at: </w:t>
      </w:r>
      <w:r>
        <w:fldChar w:fldCharType="begin"/>
      </w:r>
      <w:r>
        <w:instrText xml:space="preserve"> HYPERLINK "https://doi.org/10.1038/s44159-022-00056-w" \h </w:instrText>
      </w:r>
      <w:r>
        <w:fldChar w:fldCharType="separate"/>
      </w:r>
      <w:r>
        <w:rPr>
          <w:rFonts w:ascii="Arial" w:hAnsi="Arial"/>
          <w:color w:val="0563C1"/>
          <w:sz w:val="24"/>
          <w:u w:val="single"/>
        </w:rPr>
        <w:t>https://doi.org/10.1038/s44159-022-00056-w</w:t>
      </w:r>
      <w:r>
        <w:rPr>
          <w:rFonts w:ascii="Arial" w:hAnsi="Arial"/>
          <w:color w:val="0563C1"/>
          <w:sz w:val="24"/>
          <w:u w:val="single"/>
        </w:rPr>
        <w:fldChar w:fldCharType="end"/>
      </w:r>
    </w:p>
    <w:p w14:paraId="6B065285">
      <w:pPr>
        <w:spacing w:after="80" w:line="360" w:lineRule="auto"/>
        <w:ind w:left="720" w:hanging="720"/>
        <w:jc w:val="both"/>
      </w:pPr>
      <w:r>
        <w:rPr>
          <w:rFonts w:ascii="Arial" w:hAnsi="Arial" w:eastAsia="Arial"/>
          <w:sz w:val="24"/>
        </w:rPr>
        <w:t xml:space="preserve">Gallardo-Gallardo, E., Thunnissen, M. and Scullion, H. (2020) ‘Talent management: context matters’, The International Journal of Human Resource Management, 31(4), pp. 457–473. Available at: </w:t>
      </w:r>
      <w:r>
        <w:fldChar w:fldCharType="begin"/>
      </w:r>
      <w:r>
        <w:instrText xml:space="preserve"> HYPERLINK "https://doi.org/10.1080/09585192.2019.1642645" \h </w:instrText>
      </w:r>
      <w:r>
        <w:fldChar w:fldCharType="separate"/>
      </w:r>
      <w:r>
        <w:rPr>
          <w:rFonts w:ascii="Arial" w:hAnsi="Arial"/>
          <w:color w:val="0563C1"/>
          <w:sz w:val="24"/>
          <w:u w:val="single"/>
        </w:rPr>
        <w:t>https://doi.org/10.1080/09585192.2019.1642645</w:t>
      </w:r>
      <w:r>
        <w:rPr>
          <w:rFonts w:ascii="Arial" w:hAnsi="Arial"/>
          <w:color w:val="0563C1"/>
          <w:sz w:val="24"/>
          <w:u w:val="single"/>
        </w:rPr>
        <w:fldChar w:fldCharType="end"/>
      </w:r>
    </w:p>
    <w:p w14:paraId="469CEE8C">
      <w:pPr>
        <w:spacing w:after="80" w:line="360" w:lineRule="auto"/>
        <w:ind w:left="720" w:hanging="720"/>
        <w:jc w:val="both"/>
      </w:pPr>
      <w:r>
        <w:rPr>
          <w:rFonts w:ascii="Arial" w:hAnsi="Arial" w:eastAsia="Arial"/>
          <w:sz w:val="24"/>
        </w:rPr>
        <w:t xml:space="preserve">Giermindl, L.M., Strich, F., Christ, O., Leicht-Deobald, U. and Redzepi, A. (2022) ‘The dark sides of people analytics: reviewing the perils for organisations and employees’, European Journal of Information Systems, 31(3), pp. 410–435. Available at: </w:t>
      </w:r>
      <w:r>
        <w:fldChar w:fldCharType="begin"/>
      </w:r>
      <w:r>
        <w:instrText xml:space="preserve"> HYPERLINK "https://doi.org/10.1080/0960085X.2021.1927213" \h </w:instrText>
      </w:r>
      <w:r>
        <w:fldChar w:fldCharType="separate"/>
      </w:r>
      <w:r>
        <w:rPr>
          <w:rFonts w:ascii="Arial" w:hAnsi="Arial"/>
          <w:color w:val="0563C1"/>
          <w:sz w:val="24"/>
          <w:u w:val="single"/>
        </w:rPr>
        <w:t>https://doi.org/10.1080/0960085X.2021.1927213</w:t>
      </w:r>
      <w:r>
        <w:rPr>
          <w:rFonts w:ascii="Arial" w:hAnsi="Arial"/>
          <w:color w:val="0563C1"/>
          <w:sz w:val="24"/>
          <w:u w:val="single"/>
        </w:rPr>
        <w:fldChar w:fldCharType="end"/>
      </w:r>
    </w:p>
    <w:p w14:paraId="385903F3">
      <w:pPr>
        <w:spacing w:after="80" w:line="360" w:lineRule="auto"/>
        <w:ind w:left="720" w:hanging="720"/>
        <w:jc w:val="both"/>
      </w:pPr>
      <w:r>
        <w:rPr>
          <w:rFonts w:ascii="Arial" w:hAnsi="Arial" w:eastAsia="Arial"/>
          <w:sz w:val="24"/>
        </w:rPr>
        <w:t xml:space="preserve">Hunkenschroer, A.L. and Luetge, C. (2022) ‘Ethics of AI-enabled recruiting and selection: A review and research agenda’, Journal of Business Ethics, 178, pp. 977–1007. Available at: </w:t>
      </w:r>
      <w:r>
        <w:fldChar w:fldCharType="begin"/>
      </w:r>
      <w:r>
        <w:instrText xml:space="preserve"> HYPERLINK "https://doi.org/10.1007/s10551-022-05049-6" \h </w:instrText>
      </w:r>
      <w:r>
        <w:fldChar w:fldCharType="separate"/>
      </w:r>
      <w:r>
        <w:rPr>
          <w:rFonts w:ascii="Arial" w:hAnsi="Arial"/>
          <w:color w:val="0563C1"/>
          <w:sz w:val="24"/>
          <w:u w:val="single"/>
        </w:rPr>
        <w:t>https://doi.org/10.1007/s10551-022-05049-6</w:t>
      </w:r>
      <w:r>
        <w:rPr>
          <w:rFonts w:ascii="Arial" w:hAnsi="Arial"/>
          <w:color w:val="0563C1"/>
          <w:sz w:val="24"/>
          <w:u w:val="single"/>
        </w:rPr>
        <w:fldChar w:fldCharType="end"/>
      </w:r>
    </w:p>
    <w:p w14:paraId="556FCF6E">
      <w:pPr>
        <w:spacing w:after="80" w:line="360" w:lineRule="auto"/>
        <w:ind w:left="720" w:hanging="720"/>
        <w:jc w:val="both"/>
      </w:pPr>
      <w:r>
        <w:rPr>
          <w:rFonts w:ascii="Arial" w:hAnsi="Arial" w:eastAsia="Arial"/>
          <w:sz w:val="24"/>
        </w:rPr>
        <w:t xml:space="preserve">Junker, T.L., Bakker, A.B., Gorgievski, M.J. and Derks, D. (2022) ‘Agile work practices and employee proactivity: A multilevel study’, Human Relations, 75(12), pp. 2189–2217. Available at: </w:t>
      </w:r>
      <w:r>
        <w:fldChar w:fldCharType="begin"/>
      </w:r>
      <w:r>
        <w:instrText xml:space="preserve"> HYPERLINK "https://doi.org/10.1177/00187267211030101" \h </w:instrText>
      </w:r>
      <w:r>
        <w:fldChar w:fldCharType="separate"/>
      </w:r>
      <w:r>
        <w:rPr>
          <w:rFonts w:ascii="Arial" w:hAnsi="Arial"/>
          <w:color w:val="0563C1"/>
          <w:sz w:val="24"/>
          <w:u w:val="single"/>
        </w:rPr>
        <w:t>https://doi.org/10.1177/00187267211030101</w:t>
      </w:r>
      <w:r>
        <w:rPr>
          <w:rFonts w:ascii="Arial" w:hAnsi="Arial"/>
          <w:color w:val="0563C1"/>
          <w:sz w:val="24"/>
          <w:u w:val="single"/>
        </w:rPr>
        <w:fldChar w:fldCharType="end"/>
      </w:r>
    </w:p>
    <w:p w14:paraId="116C6F0B">
      <w:pPr>
        <w:spacing w:after="80" w:line="360" w:lineRule="auto"/>
        <w:ind w:left="720" w:hanging="720"/>
        <w:jc w:val="both"/>
      </w:pPr>
      <w:r>
        <w:rPr>
          <w:rFonts w:ascii="Arial" w:hAnsi="Arial" w:eastAsia="Arial"/>
          <w:sz w:val="24"/>
        </w:rPr>
        <w:t xml:space="preserve">Köchling, A. and Wehner, M.C. (2020) ‘Discriminated by an algorithm: a systematic review of discrimination and fairness by algorithmic decision-making in the context of HR recruitment and HR development’, Business Research, 13, pp. 795–848. Available at: </w:t>
      </w:r>
      <w:r>
        <w:fldChar w:fldCharType="begin"/>
      </w:r>
      <w:r>
        <w:instrText xml:space="preserve"> HYPERLINK "https://doi.org/10.1007/s40685-020-00134-w" \h </w:instrText>
      </w:r>
      <w:r>
        <w:fldChar w:fldCharType="separate"/>
      </w:r>
      <w:r>
        <w:rPr>
          <w:rFonts w:ascii="Arial" w:hAnsi="Arial"/>
          <w:color w:val="0563C1"/>
          <w:sz w:val="24"/>
          <w:u w:val="single"/>
        </w:rPr>
        <w:t>https://doi.org/10.1007/s40685-020-00134-w</w:t>
      </w:r>
      <w:r>
        <w:rPr>
          <w:rFonts w:ascii="Arial" w:hAnsi="Arial"/>
          <w:color w:val="0563C1"/>
          <w:sz w:val="24"/>
          <w:u w:val="single"/>
        </w:rPr>
        <w:fldChar w:fldCharType="end"/>
      </w:r>
    </w:p>
    <w:p w14:paraId="3A2544BB">
      <w:pPr>
        <w:spacing w:after="80" w:line="360" w:lineRule="auto"/>
        <w:ind w:left="720" w:hanging="720"/>
        <w:jc w:val="both"/>
      </w:pPr>
      <w:r>
        <w:rPr>
          <w:rFonts w:ascii="Arial" w:hAnsi="Arial" w:eastAsia="Arial"/>
          <w:sz w:val="24"/>
        </w:rPr>
        <w:t xml:space="preserve">Li, M., Khan, H.S.u.d., Chughtai, M.S. and Le, T.T. (2022) ‘Innovation onset: A moderated mediation model of high-involvement work practices and employees’ innovative work behavior’, Psychology Research and Behavior Management, 15, pp. 471–490. Available at: </w:t>
      </w:r>
      <w:r>
        <w:fldChar w:fldCharType="begin"/>
      </w:r>
      <w:r>
        <w:instrText xml:space="preserve"> HYPERLINK "https://doi.org/10.2147/PRBM.S340326" \h </w:instrText>
      </w:r>
      <w:r>
        <w:fldChar w:fldCharType="separate"/>
      </w:r>
      <w:r>
        <w:rPr>
          <w:rFonts w:ascii="Arial" w:hAnsi="Arial"/>
          <w:color w:val="0563C1"/>
          <w:sz w:val="24"/>
          <w:u w:val="single"/>
        </w:rPr>
        <w:t>https://doi.org/10.2147/PRBM.S340326</w:t>
      </w:r>
      <w:r>
        <w:rPr>
          <w:rFonts w:ascii="Arial" w:hAnsi="Arial"/>
          <w:color w:val="0563C1"/>
          <w:sz w:val="24"/>
          <w:u w:val="single"/>
        </w:rPr>
        <w:fldChar w:fldCharType="end"/>
      </w:r>
    </w:p>
    <w:p w14:paraId="2A915777">
      <w:pPr>
        <w:spacing w:after="80" w:line="360" w:lineRule="auto"/>
        <w:ind w:left="720" w:hanging="720"/>
        <w:jc w:val="both"/>
      </w:pPr>
      <w:r>
        <w:rPr>
          <w:rFonts w:ascii="Arial" w:hAnsi="Arial" w:eastAsia="Arial"/>
          <w:sz w:val="24"/>
        </w:rPr>
        <w:t xml:space="preserve">Lill, P.A. and Wald, A. (2021) ‘The agility-control-nexus: A levers of control approach on the consequences of agility in innovation projects’, Technovation, 107, 102276. Available at: </w:t>
      </w:r>
      <w:r>
        <w:fldChar w:fldCharType="begin"/>
      </w:r>
      <w:r>
        <w:instrText xml:space="preserve"> HYPERLINK "https://doi.org/10.1016/j.technovation.2021.102276" \h </w:instrText>
      </w:r>
      <w:r>
        <w:fldChar w:fldCharType="separate"/>
      </w:r>
      <w:r>
        <w:rPr>
          <w:rFonts w:ascii="Arial" w:hAnsi="Arial"/>
          <w:color w:val="0563C1"/>
          <w:sz w:val="24"/>
          <w:u w:val="single"/>
        </w:rPr>
        <w:t>https://doi.org/10.1016/j.technovation.2021.102276</w:t>
      </w:r>
      <w:r>
        <w:rPr>
          <w:rFonts w:ascii="Arial" w:hAnsi="Arial"/>
          <w:color w:val="0563C1"/>
          <w:sz w:val="24"/>
          <w:u w:val="single"/>
        </w:rPr>
        <w:fldChar w:fldCharType="end"/>
      </w:r>
    </w:p>
    <w:p w14:paraId="7D547217">
      <w:pPr>
        <w:spacing w:after="80" w:line="360" w:lineRule="auto"/>
        <w:ind w:left="720" w:hanging="720"/>
        <w:jc w:val="both"/>
      </w:pPr>
      <w:r>
        <w:rPr>
          <w:rFonts w:ascii="Arial" w:hAnsi="Arial" w:eastAsia="Arial"/>
          <w:sz w:val="24"/>
        </w:rPr>
        <w:t xml:space="preserve">Liu, Q. and Tong, Y. (2022) ‘Employee growth mindset and innovative behavior: The roles of employee strengths use and strengths-based leadership’, Frontiers in Psychology, 13, 814154. Available at: </w:t>
      </w:r>
      <w:r>
        <w:fldChar w:fldCharType="begin"/>
      </w:r>
      <w:r>
        <w:instrText xml:space="preserve"> HYPERLINK "https://doi.org/10.3389/fpsyg.2022.814154" \h </w:instrText>
      </w:r>
      <w:r>
        <w:fldChar w:fldCharType="separate"/>
      </w:r>
      <w:r>
        <w:rPr>
          <w:rFonts w:ascii="Arial" w:hAnsi="Arial"/>
          <w:color w:val="0563C1"/>
          <w:sz w:val="24"/>
          <w:u w:val="single"/>
        </w:rPr>
        <w:t>https://doi.org/10.3389/fpsyg.2022.814154</w:t>
      </w:r>
      <w:r>
        <w:rPr>
          <w:rFonts w:ascii="Arial" w:hAnsi="Arial"/>
          <w:color w:val="0563C1"/>
          <w:sz w:val="24"/>
          <w:u w:val="single"/>
        </w:rPr>
        <w:fldChar w:fldCharType="end"/>
      </w:r>
    </w:p>
    <w:p w14:paraId="4EC486B4">
      <w:pPr>
        <w:spacing w:after="80" w:line="360" w:lineRule="auto"/>
        <w:ind w:left="720" w:hanging="720"/>
        <w:jc w:val="both"/>
      </w:pPr>
      <w:r>
        <w:rPr>
          <w:rFonts w:ascii="Arial" w:hAnsi="Arial" w:eastAsia="Arial"/>
          <w:sz w:val="24"/>
        </w:rPr>
        <w:t xml:space="preserve">Malik, A., Budhwar, P., Mohan, H. and Srikanth, N.R. (2023) ‘Employee experience – the missing link for engaging employees: Insights from an MNE’s AI-based HR ecosystem’, Human Resource Management, 62(1), pp. 97–115. Available at: </w:t>
      </w:r>
      <w:r>
        <w:fldChar w:fldCharType="begin"/>
      </w:r>
      <w:r>
        <w:instrText xml:space="preserve"> HYPERLINK "https://doi.org/10.1002/hrm.22133" \h </w:instrText>
      </w:r>
      <w:r>
        <w:fldChar w:fldCharType="separate"/>
      </w:r>
      <w:r>
        <w:rPr>
          <w:rFonts w:ascii="Arial" w:hAnsi="Arial"/>
          <w:color w:val="0563C1"/>
          <w:sz w:val="24"/>
          <w:u w:val="single"/>
        </w:rPr>
        <w:t>https://doi.org/10.1002/hrm.22133</w:t>
      </w:r>
      <w:r>
        <w:rPr>
          <w:rFonts w:ascii="Arial" w:hAnsi="Arial"/>
          <w:color w:val="0563C1"/>
          <w:sz w:val="24"/>
          <w:u w:val="single"/>
        </w:rPr>
        <w:fldChar w:fldCharType="end"/>
      </w:r>
    </w:p>
    <w:p w14:paraId="50458DCF">
      <w:pPr>
        <w:spacing w:after="80" w:line="360" w:lineRule="auto"/>
        <w:ind w:left="720" w:hanging="720"/>
        <w:jc w:val="both"/>
      </w:pPr>
      <w:r>
        <w:rPr>
          <w:rFonts w:ascii="Arial" w:hAnsi="Arial" w:eastAsia="Arial"/>
          <w:sz w:val="24"/>
        </w:rPr>
        <w:t xml:space="preserve">Meijerink, J., Boons, M., Keegan, A. and Marler, J. (2021) ‘Algorithmic human resource management: Synthesizing developments and cross-disciplinary insights on digital HRM’, The International Journal of Human Resource Management, 32(12), pp. 2545–2562. Available at: </w:t>
      </w:r>
      <w:r>
        <w:fldChar w:fldCharType="begin"/>
      </w:r>
      <w:r>
        <w:instrText xml:space="preserve"> HYPERLINK "https://doi.org/10.1080/09585192.2021.1925326" \h </w:instrText>
      </w:r>
      <w:r>
        <w:fldChar w:fldCharType="separate"/>
      </w:r>
      <w:r>
        <w:rPr>
          <w:rFonts w:ascii="Arial" w:hAnsi="Arial"/>
          <w:color w:val="0563C1"/>
          <w:sz w:val="24"/>
          <w:u w:val="single"/>
        </w:rPr>
        <w:t>https://doi.org/10.1080/09585192.2021.1925326</w:t>
      </w:r>
      <w:r>
        <w:rPr>
          <w:rFonts w:ascii="Arial" w:hAnsi="Arial"/>
          <w:color w:val="0563C1"/>
          <w:sz w:val="24"/>
          <w:u w:val="single"/>
        </w:rPr>
        <w:fldChar w:fldCharType="end"/>
      </w:r>
    </w:p>
    <w:p w14:paraId="0E1733D9">
      <w:pPr>
        <w:spacing w:after="80" w:line="360" w:lineRule="auto"/>
        <w:ind w:left="720" w:hanging="720"/>
        <w:jc w:val="both"/>
      </w:pPr>
      <w:r>
        <w:rPr>
          <w:rFonts w:ascii="Arial" w:hAnsi="Arial" w:eastAsia="Arial"/>
          <w:sz w:val="24"/>
        </w:rPr>
        <w:t xml:space="preserve">Natu, S. and Aparicio, M. (2022) ‘Analyzing knowledge sharing behaviors in virtual teams: Practical evidence from digitalized workplaces’, Journal of Innovation &amp; Knowledge, 7(4), 100248. Available at: </w:t>
      </w:r>
      <w:r>
        <w:fldChar w:fldCharType="begin"/>
      </w:r>
      <w:r>
        <w:instrText xml:space="preserve"> HYPERLINK "https://doi.org/10.1016/j.jik.2022.100248" \h </w:instrText>
      </w:r>
      <w:r>
        <w:fldChar w:fldCharType="separate"/>
      </w:r>
      <w:r>
        <w:rPr>
          <w:rFonts w:ascii="Arial" w:hAnsi="Arial"/>
          <w:color w:val="0563C1"/>
          <w:sz w:val="24"/>
          <w:u w:val="single"/>
        </w:rPr>
        <w:t>https://doi.org/10.1016/j.jik.2022.100248</w:t>
      </w:r>
      <w:r>
        <w:rPr>
          <w:rFonts w:ascii="Arial" w:hAnsi="Arial"/>
          <w:color w:val="0563C1"/>
          <w:sz w:val="24"/>
          <w:u w:val="single"/>
        </w:rPr>
        <w:fldChar w:fldCharType="end"/>
      </w:r>
    </w:p>
    <w:p w14:paraId="53B3F699">
      <w:pPr>
        <w:spacing w:after="80" w:line="360" w:lineRule="auto"/>
        <w:ind w:left="720" w:hanging="720"/>
        <w:jc w:val="both"/>
      </w:pPr>
      <w:r>
        <w:rPr>
          <w:rFonts w:ascii="Arial" w:hAnsi="Arial" w:eastAsia="Arial"/>
          <w:sz w:val="24"/>
        </w:rPr>
        <w:t xml:space="preserve">Newman, A., Donohue, R. and Eva, N. (2017) ‘Psychological safety: A systematic review of the literature’, Human Resource Management Review, 27(3), pp. 521–535. Available at: </w:t>
      </w:r>
      <w:r>
        <w:fldChar w:fldCharType="begin"/>
      </w:r>
      <w:r>
        <w:instrText xml:space="preserve"> HYPERLINK "https://doi.org/10.1016/j.hrmr.2017.01.001" \h </w:instrText>
      </w:r>
      <w:r>
        <w:fldChar w:fldCharType="separate"/>
      </w:r>
      <w:r>
        <w:rPr>
          <w:rFonts w:ascii="Arial" w:hAnsi="Arial"/>
          <w:color w:val="0563C1"/>
          <w:sz w:val="24"/>
          <w:u w:val="single"/>
        </w:rPr>
        <w:t>https://doi.org/10.1016/j.hrmr.2017.01.001</w:t>
      </w:r>
      <w:r>
        <w:rPr>
          <w:rFonts w:ascii="Arial" w:hAnsi="Arial"/>
          <w:color w:val="0563C1"/>
          <w:sz w:val="24"/>
          <w:u w:val="single"/>
        </w:rPr>
        <w:fldChar w:fldCharType="end"/>
      </w:r>
    </w:p>
    <w:p w14:paraId="169712DF">
      <w:pPr>
        <w:spacing w:after="80" w:line="360" w:lineRule="auto"/>
        <w:ind w:left="720" w:hanging="720"/>
        <w:jc w:val="both"/>
      </w:pPr>
      <w:r>
        <w:rPr>
          <w:rFonts w:ascii="Arial" w:hAnsi="Arial" w:eastAsia="Arial"/>
          <w:sz w:val="24"/>
        </w:rPr>
        <w:t xml:space="preserve">Parker, S.K. and Grote, G. (2022) ‘Automation, algorithms, and beyond: Why work design matters more than ever in a digital world’, Applied Psychology, 71(4), pp. 1171–1204. Available at: </w:t>
      </w:r>
      <w:r>
        <w:fldChar w:fldCharType="begin"/>
      </w:r>
      <w:r>
        <w:instrText xml:space="preserve"> HYPERLINK "https://doi.org/10.1111/apps.12241" \h </w:instrText>
      </w:r>
      <w:r>
        <w:fldChar w:fldCharType="separate"/>
      </w:r>
      <w:r>
        <w:rPr>
          <w:rFonts w:ascii="Arial" w:hAnsi="Arial"/>
          <w:color w:val="0563C1"/>
          <w:sz w:val="24"/>
          <w:u w:val="single"/>
        </w:rPr>
        <w:t>https://doi.org/10.1111/apps.12241</w:t>
      </w:r>
      <w:r>
        <w:rPr>
          <w:rFonts w:ascii="Arial" w:hAnsi="Arial"/>
          <w:color w:val="0563C1"/>
          <w:sz w:val="24"/>
          <w:u w:val="single"/>
        </w:rPr>
        <w:fldChar w:fldCharType="end"/>
      </w:r>
    </w:p>
    <w:p w14:paraId="7EF39556">
      <w:pPr>
        <w:spacing w:after="80" w:line="360" w:lineRule="auto"/>
        <w:ind w:left="720" w:hanging="720"/>
        <w:jc w:val="both"/>
      </w:pPr>
      <w:r>
        <w:rPr>
          <w:rFonts w:ascii="Arial" w:hAnsi="Arial" w:eastAsia="Arial"/>
          <w:sz w:val="24"/>
        </w:rPr>
        <w:t xml:space="preserve">Qi, W., He, E., Sun, J. and Sun, H. (2021) ‘Double-edged sword effect of high-performance work system on employee well-being—moderating effect of union practice’, Frontiers in Psychology, 12, 619345. Available at: </w:t>
      </w:r>
      <w:r>
        <w:fldChar w:fldCharType="begin"/>
      </w:r>
      <w:r>
        <w:instrText xml:space="preserve"> HYPERLINK "https://doi.org/10.3389/fpsyg.2021.619345" \h </w:instrText>
      </w:r>
      <w:r>
        <w:fldChar w:fldCharType="separate"/>
      </w:r>
      <w:r>
        <w:rPr>
          <w:rFonts w:ascii="Arial" w:hAnsi="Arial"/>
          <w:color w:val="0563C1"/>
          <w:sz w:val="24"/>
          <w:u w:val="single"/>
        </w:rPr>
        <w:t>https://doi.org/10.3389/fpsyg.2021.619345</w:t>
      </w:r>
      <w:r>
        <w:rPr>
          <w:rFonts w:ascii="Arial" w:hAnsi="Arial"/>
          <w:color w:val="0563C1"/>
          <w:sz w:val="24"/>
          <w:u w:val="single"/>
        </w:rPr>
        <w:fldChar w:fldCharType="end"/>
      </w:r>
    </w:p>
    <w:p w14:paraId="39B3AE0F">
      <w:pPr>
        <w:spacing w:after="80" w:line="360" w:lineRule="auto"/>
        <w:ind w:left="720" w:hanging="720"/>
        <w:jc w:val="both"/>
      </w:pPr>
      <w:r>
        <w:rPr>
          <w:rFonts w:ascii="Arial" w:hAnsi="Arial" w:eastAsia="Arial"/>
          <w:sz w:val="24"/>
        </w:rPr>
        <w:t xml:space="preserve">Rudolph, C.W., Katz, I.M., Lavigne, K.N. and Zacher, H. (2017) ‘Job crafting: A meta-analysis of relationships with individual differences, job characteristics, and work outcomes’, Journal of Vocational Behavior, 102, pp. 112–138. Available at: </w:t>
      </w:r>
      <w:r>
        <w:fldChar w:fldCharType="begin"/>
      </w:r>
      <w:r>
        <w:instrText xml:space="preserve"> HYPERLINK "https://doi.org/10.1016/j.jvb.2017.05.008" \h </w:instrText>
      </w:r>
      <w:r>
        <w:fldChar w:fldCharType="separate"/>
      </w:r>
      <w:r>
        <w:rPr>
          <w:rFonts w:ascii="Arial" w:hAnsi="Arial"/>
          <w:color w:val="0563C1"/>
          <w:sz w:val="24"/>
          <w:u w:val="single"/>
        </w:rPr>
        <w:t>https://doi.org/10.1016/j.jvb.2017.05.008</w:t>
      </w:r>
      <w:r>
        <w:rPr>
          <w:rFonts w:ascii="Arial" w:hAnsi="Arial"/>
          <w:color w:val="0563C1"/>
          <w:sz w:val="24"/>
          <w:u w:val="single"/>
        </w:rPr>
        <w:fldChar w:fldCharType="end"/>
      </w:r>
    </w:p>
    <w:p w14:paraId="52E5246C">
      <w:pPr>
        <w:spacing w:after="80" w:line="360" w:lineRule="auto"/>
        <w:ind w:left="720" w:hanging="720"/>
        <w:jc w:val="both"/>
      </w:pPr>
      <w:r>
        <w:rPr>
          <w:rFonts w:ascii="Arial" w:hAnsi="Arial" w:eastAsia="Arial"/>
          <w:sz w:val="24"/>
        </w:rPr>
        <w:t xml:space="preserve">Song, Z., Gu, Q. and Cooke, F.L. (2020) ‘The effects of high-involvement work systems and shared leadership on team creativity: A multilevel investigation’, Human Resource Management, 59(2), pp. 201–213. Available at: </w:t>
      </w:r>
      <w:r>
        <w:fldChar w:fldCharType="begin"/>
      </w:r>
      <w:r>
        <w:instrText xml:space="preserve"> HYPERLINK "https://doi.org/10.1002/hrm.21988" \h </w:instrText>
      </w:r>
      <w:r>
        <w:fldChar w:fldCharType="separate"/>
      </w:r>
      <w:r>
        <w:rPr>
          <w:rFonts w:ascii="Arial" w:hAnsi="Arial"/>
          <w:color w:val="0563C1"/>
          <w:sz w:val="24"/>
          <w:u w:val="single"/>
        </w:rPr>
        <w:t>https://doi.org/10.1002/hrm.21988</w:t>
      </w:r>
      <w:r>
        <w:rPr>
          <w:rFonts w:ascii="Arial" w:hAnsi="Arial"/>
          <w:color w:val="0563C1"/>
          <w:sz w:val="24"/>
          <w:u w:val="single"/>
        </w:rPr>
        <w:fldChar w:fldCharType="end"/>
      </w:r>
    </w:p>
    <w:p w14:paraId="3A472768">
      <w:pPr>
        <w:spacing w:after="80" w:line="360" w:lineRule="auto"/>
        <w:ind w:left="720" w:hanging="720"/>
        <w:jc w:val="both"/>
      </w:pPr>
      <w:r>
        <w:rPr>
          <w:rFonts w:ascii="Arial" w:hAnsi="Arial" w:eastAsia="Arial"/>
          <w:sz w:val="24"/>
        </w:rPr>
        <w:t xml:space="preserve">Tambe, P., Cappelli, P. and Yakubovich, V. (2019) ‘Artificial intelligence in human resources management: Challenges and a path forward’, California Management Review, 61(4), pp. 15–42. Available at: </w:t>
      </w:r>
      <w:r>
        <w:fldChar w:fldCharType="begin"/>
      </w:r>
      <w:r>
        <w:instrText xml:space="preserve"> HYPERLINK "https://doi.org/10.1177/0008125619867910" \h </w:instrText>
      </w:r>
      <w:r>
        <w:fldChar w:fldCharType="separate"/>
      </w:r>
      <w:r>
        <w:rPr>
          <w:rFonts w:ascii="Arial" w:hAnsi="Arial"/>
          <w:color w:val="0563C1"/>
          <w:sz w:val="24"/>
          <w:u w:val="single"/>
        </w:rPr>
        <w:t>https://doi.org/10.1177/0008125619867910</w:t>
      </w:r>
      <w:r>
        <w:rPr>
          <w:rFonts w:ascii="Arial" w:hAnsi="Arial"/>
          <w:color w:val="0563C1"/>
          <w:sz w:val="24"/>
          <w:u w:val="single"/>
        </w:rPr>
        <w:fldChar w:fldCharType="end"/>
      </w:r>
    </w:p>
    <w:p w14:paraId="091331A8">
      <w:pPr>
        <w:spacing w:after="80" w:line="360" w:lineRule="auto"/>
        <w:ind w:left="720" w:hanging="720"/>
        <w:jc w:val="both"/>
      </w:pPr>
      <w:r>
        <w:rPr>
          <w:rFonts w:ascii="Arial" w:hAnsi="Arial" w:eastAsia="Arial"/>
          <w:sz w:val="24"/>
        </w:rPr>
        <w:t xml:space="preserve">Tietz, S. and Werner, K. (2022) ‘Influencing factors on knowledge sharing in virtual teams’, Work, 72(4), pp. 1745–1763. Available at: </w:t>
      </w:r>
      <w:r>
        <w:fldChar w:fldCharType="begin"/>
      </w:r>
      <w:r>
        <w:instrText xml:space="preserve"> HYPERLINK "https://doi.org/10.3233/WOR-211241" \h </w:instrText>
      </w:r>
      <w:r>
        <w:fldChar w:fldCharType="separate"/>
      </w:r>
      <w:r>
        <w:rPr>
          <w:rFonts w:ascii="Arial" w:hAnsi="Arial"/>
          <w:color w:val="0563C1"/>
          <w:sz w:val="24"/>
          <w:u w:val="single"/>
        </w:rPr>
        <w:t>https://doi.org/10.3233/WOR-211241</w:t>
      </w:r>
      <w:r>
        <w:rPr>
          <w:rFonts w:ascii="Arial" w:hAnsi="Arial"/>
          <w:color w:val="0563C1"/>
          <w:sz w:val="24"/>
          <w:u w:val="single"/>
        </w:rPr>
        <w:fldChar w:fldCharType="end"/>
      </w:r>
    </w:p>
    <w:p w14:paraId="2518607C">
      <w:pPr>
        <w:spacing w:after="80" w:line="360" w:lineRule="auto"/>
        <w:ind w:left="720" w:hanging="720"/>
        <w:jc w:val="both"/>
      </w:pPr>
      <w:r>
        <w:rPr>
          <w:rFonts w:ascii="Arial" w:hAnsi="Arial" w:eastAsia="Arial"/>
          <w:sz w:val="24"/>
        </w:rPr>
        <w:t xml:space="preserve">Wang, B., Liu, Y., Qian, J. and Parker, S.K. (2021) ‘Achieving effective remote working during the COVID-19 pandemic: A work design perspective’, Applied Psychology, 70(1), pp. 16–59. Available at: </w:t>
      </w:r>
      <w:r>
        <w:fldChar w:fldCharType="begin"/>
      </w:r>
      <w:r>
        <w:instrText xml:space="preserve"> HYPERLINK "https://doi.org/10.1111/apps.12290" \h </w:instrText>
      </w:r>
      <w:r>
        <w:fldChar w:fldCharType="separate"/>
      </w:r>
      <w:r>
        <w:rPr>
          <w:rFonts w:ascii="Arial" w:hAnsi="Arial"/>
          <w:color w:val="0563C1"/>
          <w:sz w:val="24"/>
          <w:u w:val="single"/>
        </w:rPr>
        <w:t>https://doi.org/10.1111/apps.12290</w:t>
      </w:r>
      <w:r>
        <w:rPr>
          <w:rFonts w:ascii="Arial" w:hAnsi="Arial"/>
          <w:color w:val="0563C1"/>
          <w:sz w:val="24"/>
          <w:u w:val="single"/>
        </w:rPr>
        <w:fldChar w:fldCharType="end"/>
      </w:r>
    </w:p>
    <w:p w14:paraId="14590E44">
      <w:pPr>
        <w:spacing w:after="80" w:line="360" w:lineRule="auto"/>
        <w:ind w:left="720" w:hanging="720"/>
        <w:jc w:val="both"/>
      </w:pPr>
      <w:r>
        <w:rPr>
          <w:rFonts w:ascii="Arial" w:hAnsi="Arial" w:eastAsia="Arial"/>
          <w:sz w:val="24"/>
        </w:rPr>
        <w:t xml:space="preserve">Yang, L., Holtz, D., Jaffe, S., Suri, S., Sinha, S., Weston, J., Joyce, C., Shah, N., Sherman, K., Hecht, B. and Teevan, J. (2022) ‘The effects of remote work on collaboration among information workers’, Nature Human Behaviour, 6(1), pp. 43–54. Available at: </w:t>
      </w:r>
      <w:r>
        <w:fldChar w:fldCharType="begin"/>
      </w:r>
      <w:r>
        <w:instrText xml:space="preserve"> HYPERLINK "https://doi.org/10.1038/s41562-021-01196-4" \h </w:instrText>
      </w:r>
      <w:r>
        <w:fldChar w:fldCharType="separate"/>
      </w:r>
      <w:r>
        <w:rPr>
          <w:rFonts w:ascii="Arial" w:hAnsi="Arial"/>
          <w:color w:val="0563C1"/>
          <w:sz w:val="24"/>
          <w:u w:val="single"/>
        </w:rPr>
        <w:t>https://doi.org/10.1038/s41562-021-01196-4</w:t>
      </w:r>
      <w:r>
        <w:rPr>
          <w:rFonts w:ascii="Arial" w:hAnsi="Arial"/>
          <w:color w:val="0563C1"/>
          <w:sz w:val="24"/>
          <w:u w:val="single"/>
        </w:rPr>
        <w:fldChar w:fldCharType="end"/>
      </w:r>
    </w:p>
    <w:p w14:paraId="1B8104BF">
      <w:pPr>
        <w:spacing w:after="80" w:line="360" w:lineRule="auto"/>
        <w:ind w:left="720" w:hanging="720"/>
        <w:jc w:val="both"/>
      </w:pPr>
      <w:r>
        <w:rPr>
          <w:rFonts w:ascii="Arial" w:hAnsi="Arial" w:eastAsia="Arial"/>
          <w:sz w:val="24"/>
        </w:rPr>
        <w:t xml:space="preserve">Zhang, F. and Parker, S.K. (2019) ‘Reorienting job crafting research: A hierarchical structure of job crafting concepts and integrative review’, Journal of Organizational Behavior, 40(2), pp. 126–146. Available at: </w:t>
      </w:r>
      <w:r>
        <w:fldChar w:fldCharType="begin"/>
      </w:r>
      <w:r>
        <w:instrText xml:space="preserve"> HYPERLINK "https://doi.org/10.1002/job.2332" \h </w:instrText>
      </w:r>
      <w:r>
        <w:fldChar w:fldCharType="separate"/>
      </w:r>
      <w:r>
        <w:rPr>
          <w:rFonts w:ascii="Arial" w:hAnsi="Arial"/>
          <w:color w:val="0563C1"/>
          <w:sz w:val="24"/>
          <w:u w:val="single"/>
        </w:rPr>
        <w:t>https://doi.org/10.1002/job.2332</w:t>
      </w:r>
      <w:r>
        <w:rPr>
          <w:rFonts w:ascii="Arial" w:hAnsi="Arial"/>
          <w:color w:val="0563C1"/>
          <w:sz w:val="24"/>
          <w:u w:val="single"/>
        </w:rPr>
        <w:fldChar w:fldCharType="end"/>
      </w:r>
    </w:p>
    <w:sectPr>
      <w:footerReference r:id="rId5" w:type="default"/>
      <w:pgSz w:w="11906" w:h="16838"/>
      <w:pgMar w:top="1440" w:right="1440" w:bottom="1440" w:left="1440" w:header="576"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font>
  <w:font w:name="ＭＳ 明朝">
    <w:altName w:val="Yu Gothic"/>
    <w:panose1 w:val="00000000000000000000"/>
    <w:charset w:val="80"/>
    <w:family w:val="roman"/>
    <w:pitch w:val="default"/>
    <w:sig w:usb0="00000000" w:usb1="00000000" w:usb2="00000010" w:usb3="00000000" w:csb0="00020000" w:csb1="00000000"/>
  </w:font>
  <w:font w:name="Yu Gothic">
    <w:panose1 w:val="020B0400000000000000"/>
    <w:charset w:val="80"/>
    <w:family w:val="auto"/>
    <w:pitch w:val="default"/>
    <w:sig w:usb0="E00002FF" w:usb1="2AC7FDFF" w:usb2="00000016" w:usb3="00000000" w:csb0="2002009F" w:csb1="00000000"/>
  </w:font>
  <w:font w:name="ＭＳ 明朝">
    <w:altName w:val="SimSun"/>
    <w:panose1 w:val="00000000000000000000"/>
    <w:charset w:val="86"/>
    <w:family w:val="auto"/>
    <w:pitch w:val="default"/>
    <w:sig w:usb0="00000000" w:usb1="00000000" w:usb2="00000000" w:usb3="00000000" w:csb0="00000000" w:csb1="00000000"/>
  </w:font>
  <w:font w:name="MS Gothic">
    <w:panose1 w:val="020B0609070205080204"/>
    <w:charset w:val="80"/>
    <w:family w:val="auto"/>
    <w:pitch w:val="default"/>
    <w:sig w:usb0="E00002FF" w:usb1="6AC7FDFB" w:usb2="08000012" w:usb3="00000000" w:csb0="4002009F" w:csb1="DFD70000"/>
  </w:font>
  <w:font w:name="Symbol">
    <w:panose1 w:val="05050102010706020507"/>
    <w:charset w:val="02"/>
    <w:family w:val="auto"/>
    <w:pitch w:val="default"/>
    <w:sig w:usb0="00000000" w:usb1="00000000" w:usb2="00000000" w:usb3="00000000" w:csb0="80000000" w:csb1="00000000"/>
  </w:font>
  <w:font w:name="Courier">
    <w:altName w:val="Courier New"/>
    <w:panose1 w:val="02000500000000000000"/>
    <w:charset w:val="00"/>
    <w:family w:val="auto"/>
    <w:pitch w:val="default"/>
    <w:sig w:usb0="00000000" w:usb1="00000000" w:usb2="00000000" w:usb3="00000000" w:csb0="00000001" w:csb1="00000000"/>
  </w:font>
  <w:font w:name="ＭＳ 明朝">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38B290B">
    <w:pPr>
      <w:pStyle w:val="18"/>
      <w:jc w:val="center"/>
    </w:pPr>
    <w:r>
      <w:fldChar w:fldCharType="begin"/>
    </w:r>
    <w:r>
      <w:instrText xml:space="preserve"> PAGE </w:instrTex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1"/>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0"/>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5"/>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4"/>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29"/>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3"/>
      <w:lvlText w:val=""/>
      <w:lvlJc w:val="left"/>
      <w:pPr>
        <w:tabs>
          <w:tab w:val="left" w:pos="360"/>
        </w:tabs>
        <w:ind w:left="360" w:hanging="360"/>
      </w:pPr>
      <w:rPr>
        <w:rFonts w:hint="default" w:ascii="Symbol" w:hAnsi="Symbol"/>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6"/>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91F7F85"/>
    <w:rsid w:val="0BED101D"/>
    <w:rsid w:val="1E706501"/>
    <w:rsid w:val="30B518C5"/>
    <w:rsid w:val="3C2E6E56"/>
    <w:rsid w:val="44CC1379"/>
    <w:rsid w:val="4A1B5D58"/>
    <w:rsid w:val="4E9067C9"/>
    <w:rsid w:val="66F555E9"/>
    <w:rsid w:val="6DF47F29"/>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14:defaultImageDpi w14:val="300"/>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120" w:line="360" w:lineRule="auto"/>
    </w:pPr>
    <w:rPr>
      <w:rFonts w:ascii="Arial" w:hAnsi="Arial" w:eastAsia="Arial" w:cstheme="minorBidi"/>
      <w:sz w:val="24"/>
      <w:szCs w:val="22"/>
      <w:lang w:val="en-US" w:eastAsia="en-US" w:bidi="ar-SA"/>
    </w:rPr>
  </w:style>
  <w:style w:type="paragraph" w:styleId="2">
    <w:name w:val="heading 1"/>
    <w:basedOn w:val="1"/>
    <w:next w:val="1"/>
    <w:link w:val="138"/>
    <w:qFormat/>
    <w:uiPriority w:val="9"/>
    <w:pPr>
      <w:keepNext/>
      <w:keepLines/>
      <w:spacing w:before="160" w:after="80" w:line="360" w:lineRule="auto"/>
      <w:outlineLvl w:val="0"/>
    </w:pPr>
    <w:rPr>
      <w:rFonts w:asciiTheme="majorHAnsi" w:hAnsiTheme="majorHAnsi" w:eastAsiaTheme="majorEastAsia" w:cstheme="majorBidi"/>
      <w:b/>
      <w:bCs/>
      <w:sz w:val="24"/>
      <w:szCs w:val="28"/>
    </w:rPr>
  </w:style>
  <w:style w:type="paragraph" w:styleId="3">
    <w:name w:val="heading 2"/>
    <w:basedOn w:val="1"/>
    <w:next w:val="1"/>
    <w:link w:val="139"/>
    <w:unhideWhenUsed/>
    <w:qFormat/>
    <w:uiPriority w:val="9"/>
    <w:pPr>
      <w:keepNext/>
      <w:keepLines/>
      <w:spacing w:before="160" w:after="80" w:line="360" w:lineRule="auto"/>
      <w:outlineLvl w:val="1"/>
    </w:pPr>
    <w:rPr>
      <w:rFonts w:asciiTheme="majorHAnsi" w:hAnsiTheme="majorHAnsi" w:eastAsiaTheme="majorEastAsia" w:cstheme="majorBidi"/>
      <w:b/>
      <w:bCs/>
      <w:sz w:val="24"/>
      <w:szCs w:val="26"/>
    </w:rPr>
  </w:style>
  <w:style w:type="paragraph" w:styleId="4">
    <w:name w:val="heading 3"/>
    <w:basedOn w:val="1"/>
    <w:next w:val="1"/>
    <w:link w:val="140"/>
    <w:unhideWhenUsed/>
    <w:qFormat/>
    <w:uiPriority w:val="9"/>
    <w:pPr>
      <w:keepNext/>
      <w:keepLines/>
      <w:spacing w:before="160" w:after="80" w:line="360" w:lineRule="auto"/>
      <w:outlineLvl w:val="2"/>
    </w:pPr>
    <w:rPr>
      <w:rFonts w:asciiTheme="majorHAnsi" w:hAnsiTheme="majorHAnsi" w:eastAsiaTheme="majorEastAsia" w:cstheme="majorBidi"/>
      <w:b/>
      <w:bCs/>
      <w:sz w:val="24"/>
    </w:rPr>
  </w:style>
  <w:style w:type="paragraph" w:styleId="5">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144"/>
    <w:unhideWhenUsed/>
    <w:qFormat/>
    <w:uiPriority w:val="99"/>
    <w:pPr>
      <w:spacing w:after="120"/>
    </w:pPr>
  </w:style>
  <w:style w:type="paragraph" w:styleId="14">
    <w:name w:val="Body Text 2"/>
    <w:basedOn w:val="1"/>
    <w:link w:val="145"/>
    <w:unhideWhenUsed/>
    <w:qFormat/>
    <w:uiPriority w:val="99"/>
    <w:pPr>
      <w:spacing w:after="120" w:line="480" w:lineRule="auto"/>
    </w:pPr>
  </w:style>
  <w:style w:type="paragraph" w:styleId="15">
    <w:name w:val="Body Text 3"/>
    <w:basedOn w:val="1"/>
    <w:link w:val="146"/>
    <w:unhideWhenUsed/>
    <w:qFormat/>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6"/>
    <w:unhideWhenUsed/>
    <w:qFormat/>
    <w:uiPriority w:val="99"/>
    <w:pPr>
      <w:tabs>
        <w:tab w:val="center" w:pos="4680"/>
        <w:tab w:val="right" w:pos="9360"/>
      </w:tabs>
      <w:spacing w:after="0" w:line="240" w:lineRule="auto"/>
    </w:pPr>
  </w:style>
  <w:style w:type="paragraph" w:styleId="19">
    <w:name w:val="header"/>
    <w:basedOn w:val="1"/>
    <w:link w:val="135"/>
    <w:unhideWhenUsed/>
    <w:uiPriority w:val="99"/>
    <w:pPr>
      <w:tabs>
        <w:tab w:val="center" w:pos="4680"/>
        <w:tab w:val="right" w:pos="9360"/>
      </w:tabs>
      <w:spacing w:after="0" w:line="240" w:lineRule="auto"/>
    </w:pPr>
  </w:style>
  <w:style w:type="paragraph" w:styleId="20">
    <w:name w:val="List"/>
    <w:basedOn w:val="1"/>
    <w:unhideWhenUsed/>
    <w:qFormat/>
    <w:uiPriority w:val="99"/>
    <w:pPr>
      <w:ind w:left="360" w:hanging="360"/>
      <w:contextualSpacing/>
    </w:pPr>
  </w:style>
  <w:style w:type="paragraph" w:styleId="21">
    <w:name w:val="List 2"/>
    <w:basedOn w:val="1"/>
    <w:unhideWhenUsed/>
    <w:qFormat/>
    <w:uiPriority w:val="99"/>
    <w:pPr>
      <w:ind w:left="720" w:hanging="360"/>
      <w:contextualSpacing/>
    </w:pPr>
  </w:style>
  <w:style w:type="paragraph" w:styleId="22">
    <w:name w:val="List 3"/>
    <w:basedOn w:val="1"/>
    <w:unhideWhenUsed/>
    <w:qFormat/>
    <w:uiPriority w:val="99"/>
    <w:pPr>
      <w:ind w:left="1080" w:hanging="360"/>
      <w:contextualSpacing/>
    </w:pPr>
  </w:style>
  <w:style w:type="paragraph" w:styleId="23">
    <w:name w:val="List Bullet"/>
    <w:basedOn w:val="1"/>
    <w:unhideWhenUsed/>
    <w:qFormat/>
    <w:uiPriority w:val="99"/>
    <w:pPr>
      <w:numPr>
        <w:ilvl w:val="0"/>
        <w:numId w:val="1"/>
      </w:numPr>
      <w:contextualSpacing/>
    </w:pPr>
  </w:style>
  <w:style w:type="paragraph" w:styleId="24">
    <w:name w:val="List Bullet 2"/>
    <w:basedOn w:val="1"/>
    <w:unhideWhenUsed/>
    <w:qFormat/>
    <w:uiPriority w:val="99"/>
    <w:pPr>
      <w:numPr>
        <w:ilvl w:val="0"/>
        <w:numId w:val="2"/>
      </w:numPr>
      <w:contextualSpacing/>
    </w:pPr>
  </w:style>
  <w:style w:type="paragraph" w:styleId="25">
    <w:name w:val="List Bullet 3"/>
    <w:basedOn w:val="1"/>
    <w:unhideWhenUsed/>
    <w:qFormat/>
    <w:uiPriority w:val="99"/>
    <w:pPr>
      <w:numPr>
        <w:ilvl w:val="0"/>
        <w:numId w:val="3"/>
      </w:numPr>
      <w:contextualSpacing/>
    </w:pPr>
  </w:style>
  <w:style w:type="paragraph" w:styleId="26">
    <w:name w:val="List Continue"/>
    <w:basedOn w:val="1"/>
    <w:unhideWhenUsed/>
    <w:qFormat/>
    <w:uiPriority w:val="99"/>
    <w:pPr>
      <w:spacing w:after="120"/>
      <w:ind w:left="360"/>
      <w:contextualSpacing/>
    </w:pPr>
  </w:style>
  <w:style w:type="paragraph" w:styleId="27">
    <w:name w:val="List Continue 2"/>
    <w:basedOn w:val="1"/>
    <w:unhideWhenUsed/>
    <w:qFormat/>
    <w:uiPriority w:val="99"/>
    <w:pPr>
      <w:spacing w:after="120"/>
      <w:ind w:left="720"/>
      <w:contextualSpacing/>
    </w:pPr>
  </w:style>
  <w:style w:type="paragraph" w:styleId="28">
    <w:name w:val="List Continue 3"/>
    <w:basedOn w:val="1"/>
    <w:unhideWhenUsed/>
    <w:qFormat/>
    <w:uiPriority w:val="99"/>
    <w:pPr>
      <w:spacing w:after="120"/>
      <w:ind w:left="1080"/>
      <w:contextualSpacing/>
    </w:pPr>
  </w:style>
  <w:style w:type="paragraph" w:styleId="29">
    <w:name w:val="List Number"/>
    <w:basedOn w:val="1"/>
    <w:unhideWhenUsed/>
    <w:qFormat/>
    <w:uiPriority w:val="99"/>
    <w:pPr>
      <w:numPr>
        <w:ilvl w:val="0"/>
        <w:numId w:val="4"/>
      </w:numPr>
      <w:contextualSpacing/>
    </w:pPr>
  </w:style>
  <w:style w:type="paragraph" w:styleId="30">
    <w:name w:val="List Number 2"/>
    <w:basedOn w:val="1"/>
    <w:unhideWhenUsed/>
    <w:qFormat/>
    <w:uiPriority w:val="99"/>
    <w:pPr>
      <w:numPr>
        <w:ilvl w:val="0"/>
        <w:numId w:val="5"/>
      </w:numPr>
      <w:contextualSpacing/>
    </w:pPr>
  </w:style>
  <w:style w:type="paragraph" w:styleId="31">
    <w:name w:val="List Number 3"/>
    <w:basedOn w:val="1"/>
    <w:unhideWhenUsed/>
    <w:qFormat/>
    <w:uiPriority w:val="99"/>
    <w:pPr>
      <w:numPr>
        <w:ilvl w:val="0"/>
        <w:numId w:val="6"/>
      </w:numPr>
      <w:contextualSpacing/>
    </w:pPr>
  </w:style>
  <w:style w:type="paragraph" w:styleId="32">
    <w:name w:val="macro"/>
    <w:link w:val="147"/>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character" w:styleId="33">
    <w:name w:val="Strong"/>
    <w:basedOn w:val="11"/>
    <w:qFormat/>
    <w:uiPriority w:val="22"/>
    <w:rPr>
      <w:b/>
      <w:bCs/>
    </w:rPr>
  </w:style>
  <w:style w:type="paragraph" w:styleId="34">
    <w:name w:val="Subtitle"/>
    <w:basedOn w:val="1"/>
    <w:next w:val="1"/>
    <w:link w:val="142"/>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5">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36">
    <w:name w:val="Title"/>
    <w:basedOn w:val="1"/>
    <w:next w:val="1"/>
    <w:link w:val="141"/>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7">
    <w:name w:val="Light Shading"/>
    <w:basedOn w:val="12"/>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8">
    <w:name w:val="Light Shading Accent 1"/>
    <w:basedOn w:val="12"/>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9">
    <w:name w:val="Light Shading Accent 2"/>
    <w:basedOn w:val="12"/>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0">
    <w:name w:val="Light Shading Accent 3"/>
    <w:basedOn w:val="12"/>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1">
    <w:name w:val="Light Shading Accent 4"/>
    <w:basedOn w:val="12"/>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2">
    <w:name w:val="Light Shading Accent 5"/>
    <w:basedOn w:val="12"/>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3">
    <w:name w:val="Light Shading Accent 6"/>
    <w:basedOn w:val="12"/>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4">
    <w:name w:val="Light List"/>
    <w:basedOn w:val="1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5">
    <w:name w:val="Light List Accent 1"/>
    <w:basedOn w:val="12"/>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6">
    <w:name w:val="Light List Accent 2"/>
    <w:basedOn w:val="1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7">
    <w:name w:val="Light List Accent 3"/>
    <w:basedOn w:val="12"/>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8">
    <w:name w:val="Light List Accent 4"/>
    <w:basedOn w:val="12"/>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9">
    <w:name w:val="Light List Accent 5"/>
    <w:basedOn w:val="1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0">
    <w:name w:val="Light List Accent 6"/>
    <w:basedOn w:val="12"/>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1">
    <w:name w:val="Light Grid"/>
    <w:basedOn w:val="12"/>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2">
    <w:name w:val="Light Grid Accent 1"/>
    <w:basedOn w:val="12"/>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3">
    <w:name w:val="Light Grid Accent 2"/>
    <w:basedOn w:val="1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4">
    <w:name w:val="Light Grid Accent 3"/>
    <w:basedOn w:val="12"/>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5">
    <w:name w:val="Light Grid Accent 4"/>
    <w:basedOn w:val="12"/>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6">
    <w:name w:val="Light Grid Accent 5"/>
    <w:basedOn w:val="1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7">
    <w:name w:val="Light Grid Accent 6"/>
    <w:basedOn w:val="12"/>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8">
    <w:name w:val="Medium Shading 1"/>
    <w:basedOn w:val="1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9">
    <w:name w:val="Medium Shading 1 Accent 1"/>
    <w:basedOn w:val="1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0">
    <w:name w:val="Medium Shading 1 Accent 2"/>
    <w:basedOn w:val="12"/>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1">
    <w:name w:val="Medium Shading 1 Accent 3"/>
    <w:basedOn w:val="1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2">
    <w:name w:val="Medium Shading 1 Accent 4"/>
    <w:basedOn w:val="1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3">
    <w:name w:val="Medium Shading 1 Accent 5"/>
    <w:basedOn w:val="1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4">
    <w:name w:val="Medium Shading 1 Accent 6"/>
    <w:basedOn w:val="1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5">
    <w:name w:val="Medium Shading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1"/>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3"/>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4"/>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5"/>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6"/>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List 1"/>
    <w:basedOn w:val="1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3">
    <w:name w:val="Medium List 1 Accent 1"/>
    <w:basedOn w:val="12"/>
    <w:qFormat/>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4">
    <w:name w:val="Medium List 1 Accent 2"/>
    <w:basedOn w:val="12"/>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5">
    <w:name w:val="Medium List 1 Accent 3"/>
    <w:basedOn w:val="12"/>
    <w:qFormat/>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6">
    <w:name w:val="Medium List 1 Accent 4"/>
    <w:basedOn w:val="12"/>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7">
    <w:name w:val="Medium List 1 Accent 5"/>
    <w:basedOn w:val="12"/>
    <w:qFormat/>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8">
    <w:name w:val="Medium List 1 Accent 6"/>
    <w:basedOn w:val="12"/>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9">
    <w:name w:val="Medium Lis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1"/>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3"/>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4"/>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5"/>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6"/>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Grid 1"/>
    <w:basedOn w:val="12"/>
    <w:qFormat/>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7">
    <w:name w:val="Medium Grid 1 Accent 1"/>
    <w:basedOn w:val="12"/>
    <w:qFormat/>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8">
    <w:name w:val="Medium Grid 1 Accent 2"/>
    <w:basedOn w:val="12"/>
    <w:qFormat/>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9">
    <w:name w:val="Medium Grid 1 Accent 3"/>
    <w:basedOn w:val="12"/>
    <w:qFormat/>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0">
    <w:name w:val="Medium Grid 1 Accent 4"/>
    <w:basedOn w:val="12"/>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1">
    <w:name w:val="Medium Grid 1 Accent 5"/>
    <w:basedOn w:val="12"/>
    <w:qFormat/>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2">
    <w:name w:val="Medium Grid 1 Accent 6"/>
    <w:basedOn w:val="12"/>
    <w:qFormat/>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3">
    <w:name w:val="Medium Grid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4">
    <w:name w:val="Medium Grid 2 Accent 1"/>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5">
    <w:name w:val="Medium Grid 2 Accent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6">
    <w:name w:val="Medium Grid 2 Accent 3"/>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7">
    <w:name w:val="Medium Grid 2 Accent 4"/>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8">
    <w:name w:val="Medium Grid 2 Accent 5"/>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9">
    <w:name w:val="Medium Grid 2 Accent 6"/>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0">
    <w:name w:val="Medium Grid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1">
    <w:name w:val="Medium Grid 3 Accent 1"/>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2">
    <w:name w:val="Medium Grid 3 Accent 2"/>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3">
    <w:name w:val="Medium Grid 3 Accent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4">
    <w:name w:val="Medium Grid 3 Accent 4"/>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5">
    <w:name w:val="Medium Grid 3 Accent 5"/>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6">
    <w:name w:val="Medium Grid 3 Accent 6"/>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7">
    <w:name w:val="Dark List"/>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8">
    <w:name w:val="Dark List Accent 1"/>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9">
    <w:name w:val="Dark List Accent 2"/>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0">
    <w:name w:val="Dark List Accent 3"/>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1">
    <w:name w:val="Dark List Accent 4"/>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2">
    <w:name w:val="Dark List Accent 5"/>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3">
    <w:name w:val="Dark List Accent 6"/>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4">
    <w:name w:val="Colorful Shading"/>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1"/>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2"/>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3"/>
    <w:basedOn w:val="12"/>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8">
    <w:name w:val="Colorful Shading Accent 4"/>
    <w:basedOn w:val="12"/>
    <w:qFormat/>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5"/>
    <w:basedOn w:val="12"/>
    <w:qFormat/>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6"/>
    <w:basedOn w:val="12"/>
    <w:qFormat/>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List"/>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2">
    <w:name w:val="Colorful List Accent 1"/>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3">
    <w:name w:val="Colorful List Accent 2"/>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4">
    <w:name w:val="Colorful List Accent 3"/>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5">
    <w:name w:val="Colorful List Accent 4"/>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6">
    <w:name w:val="Colorful List Accent 5"/>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7">
    <w:name w:val="Colorful List Accent 6"/>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8">
    <w:name w:val="Colorful Grid"/>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9">
    <w:name w:val="Colorful Grid Accent 1"/>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0">
    <w:name w:val="Colorful Grid Accent 2"/>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Colorful Grid Accent 3"/>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2">
    <w:name w:val="Colorful Grid Accent 4"/>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3">
    <w:name w:val="Colorful Grid Accent 5"/>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4">
    <w:name w:val="Colorful Grid Accent 6"/>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5">
    <w:name w:val="Header Char"/>
    <w:basedOn w:val="11"/>
    <w:link w:val="19"/>
    <w:qFormat/>
    <w:uiPriority w:val="99"/>
  </w:style>
  <w:style w:type="character" w:customStyle="1" w:styleId="136">
    <w:name w:val="Footer Char"/>
    <w:basedOn w:val="11"/>
    <w:link w:val="18"/>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Heading 1 Char"/>
    <w:basedOn w:val="11"/>
    <w:link w:val="2"/>
    <w:qFormat/>
    <w:uiPriority w:val="9"/>
    <w:rPr>
      <w:rFonts w:asciiTheme="majorHAnsi" w:hAnsiTheme="majorHAnsi" w:eastAsiaTheme="majorEastAsia" w:cstheme="majorBidi"/>
      <w:b/>
      <w:bCs/>
      <w:color w:val="376092" w:themeColor="accent1" w:themeShade="BF"/>
      <w:sz w:val="28"/>
      <w:szCs w:val="28"/>
    </w:rPr>
  </w:style>
  <w:style w:type="character" w:customStyle="1" w:styleId="139">
    <w:name w:val="Heading 2 Char"/>
    <w:basedOn w:val="11"/>
    <w:link w:val="3"/>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0">
    <w:name w:val="Heading 3 Char"/>
    <w:basedOn w:val="11"/>
    <w:link w:val="4"/>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Title Char"/>
    <w:basedOn w:val="11"/>
    <w:link w:val="36"/>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Subtitle Char"/>
    <w:basedOn w:val="11"/>
    <w:link w:val="34"/>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qFormat/>
    <w:uiPriority w:val="34"/>
    <w:pPr>
      <w:ind w:left="720"/>
      <w:contextualSpacing/>
    </w:pPr>
  </w:style>
  <w:style w:type="character" w:customStyle="1" w:styleId="144">
    <w:name w:val="Body Text Char"/>
    <w:basedOn w:val="11"/>
    <w:link w:val="13"/>
    <w:qFormat/>
    <w:uiPriority w:val="99"/>
  </w:style>
  <w:style w:type="character" w:customStyle="1" w:styleId="145">
    <w:name w:val="Body Text 2 Char"/>
    <w:basedOn w:val="11"/>
    <w:link w:val="14"/>
    <w:qFormat/>
    <w:uiPriority w:val="99"/>
  </w:style>
  <w:style w:type="character" w:customStyle="1" w:styleId="146">
    <w:name w:val="Body Text 3 Char"/>
    <w:basedOn w:val="11"/>
    <w:link w:val="15"/>
    <w:qFormat/>
    <w:uiPriority w:val="99"/>
    <w:rPr>
      <w:sz w:val="16"/>
      <w:szCs w:val="16"/>
    </w:rPr>
  </w:style>
  <w:style w:type="character" w:customStyle="1" w:styleId="147">
    <w:name w:val="Macro Text Char"/>
    <w:basedOn w:val="11"/>
    <w:link w:val="32"/>
    <w:qFormat/>
    <w:uiPriority w:val="99"/>
    <w:rPr>
      <w:rFonts w:ascii="Courier" w:hAnsi="Courier"/>
      <w:sz w:val="20"/>
      <w:szCs w:val="20"/>
    </w:rPr>
  </w:style>
  <w:style w:type="paragraph" w:styleId="148">
    <w:name w:val="Quote"/>
    <w:basedOn w:val="1"/>
    <w:next w:val="1"/>
    <w:link w:val="149"/>
    <w:qFormat/>
    <w:uiPriority w:val="29"/>
    <w:rPr>
      <w:i/>
      <w:iCs/>
      <w:color w:val="000000" w:themeColor="text1"/>
      <w14:textFill>
        <w14:solidFill>
          <w14:schemeClr w14:val="tx1"/>
        </w14:solidFill>
      </w14:textFill>
    </w:rPr>
  </w:style>
  <w:style w:type="character" w:customStyle="1" w:styleId="149">
    <w:name w:val="Quote Char"/>
    <w:basedOn w:val="11"/>
    <w:link w:val="148"/>
    <w:uiPriority w:val="29"/>
    <w:rPr>
      <w:i/>
      <w:iCs/>
      <w:color w:val="000000" w:themeColor="text1"/>
      <w14:textFill>
        <w14:solidFill>
          <w14:schemeClr w14:val="tx1"/>
        </w14:solidFill>
      </w14:textFill>
    </w:rPr>
  </w:style>
  <w:style w:type="character" w:customStyle="1" w:styleId="150">
    <w:name w:val="Heading 4 Char"/>
    <w:basedOn w:val="11"/>
    <w:link w:val="5"/>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Heading 5 Char"/>
    <w:basedOn w:val="11"/>
    <w:link w:val="6"/>
    <w:semiHidden/>
    <w:qFormat/>
    <w:uiPriority w:val="9"/>
    <w:rPr>
      <w:rFonts w:asciiTheme="majorHAnsi" w:hAnsiTheme="majorHAnsi" w:eastAsiaTheme="majorEastAsia" w:cstheme="majorBidi"/>
      <w:color w:val="254061" w:themeColor="accent1" w:themeShade="80"/>
    </w:rPr>
  </w:style>
  <w:style w:type="character" w:customStyle="1" w:styleId="152">
    <w:name w:val="Heading 6 Char"/>
    <w:basedOn w:val="11"/>
    <w:link w:val="7"/>
    <w:semiHidden/>
    <w:qFormat/>
    <w:uiPriority w:val="9"/>
    <w:rPr>
      <w:rFonts w:asciiTheme="majorHAnsi" w:hAnsiTheme="majorHAnsi" w:eastAsiaTheme="majorEastAsia" w:cstheme="majorBidi"/>
      <w:i/>
      <w:iCs/>
      <w:color w:val="254061" w:themeColor="accent1" w:themeShade="80"/>
    </w:rPr>
  </w:style>
  <w:style w:type="character" w:customStyle="1" w:styleId="153">
    <w:name w:val="Heading 7 Char"/>
    <w:basedOn w:val="11"/>
    <w:link w:val="8"/>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Heading 8 Char"/>
    <w:basedOn w:val="11"/>
    <w:link w:val="9"/>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Heading 9 Char"/>
    <w:basedOn w:val="11"/>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Intense Quote Char"/>
    <w:basedOn w:val="11"/>
    <w:link w:val="156"/>
    <w:qFormat/>
    <w:uiPriority w:val="30"/>
    <w:rPr>
      <w:b/>
      <w:bCs/>
      <w:i/>
      <w:iCs/>
      <w:color w:val="4F81BD" w:themeColor="accent1"/>
      <w14:textFill>
        <w14:solidFill>
          <w14:schemeClr w14:val="accent1"/>
        </w14:solidFill>
      </w14:textFill>
    </w:rPr>
  </w:style>
  <w:style w:type="character" w:customStyle="1" w:styleId="158">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1"/>
    <w:qFormat/>
    <w:uiPriority w:val="21"/>
    <w:rPr>
      <w:b/>
      <w:bCs/>
      <w:i/>
      <w:iCs/>
      <w:color w:val="4F81BD" w:themeColor="accent1"/>
      <w14:textFill>
        <w14:solidFill>
          <w14:schemeClr w14:val="accent1"/>
        </w14:solidFill>
      </w14:textFill>
    </w:rPr>
  </w:style>
  <w:style w:type="character" w:customStyle="1" w:styleId="160">
    <w:name w:val="Subtle Reference"/>
    <w:basedOn w:val="11"/>
    <w:qFormat/>
    <w:uiPriority w:val="31"/>
    <w:rPr>
      <w:smallCaps/>
      <w:color w:val="C0504D" w:themeColor="accent2"/>
      <w:u w:val="single"/>
      <w14:textFill>
        <w14:solidFill>
          <w14:schemeClr w14:val="accent2"/>
        </w14:solidFill>
      </w14:textFill>
    </w:rPr>
  </w:style>
  <w:style w:type="character" w:customStyle="1" w:styleId="161">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1"/>
    <w:qFormat/>
    <w:uiPriority w:val="33"/>
    <w:rPr>
      <w:b/>
      <w:bCs/>
      <w:smallCaps/>
      <w:spacing w:val="5"/>
    </w:rPr>
  </w:style>
  <w:style w:type="paragraph" w:customStyle="1" w:styleId="163">
    <w:name w:val="TOC Heading"/>
    <w:basedOn w:val="2"/>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14</Pages>
  <Words>3661</Words>
  <Characters>22622</Characters>
  <DocSecurity>0</DocSecurity>
  <Lines>0</Lines>
  <Paragraphs>0</Paragraphs>
  <ScaleCrop>false</ScaleCrop>
  <LinksUpToDate>false</LinksUpToDate>
  <CharactersWithSpaces>26221</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terms:modified xsi:type="dcterms:W3CDTF">2026-10-13T22:29:23Z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1033-12.1.0.29162</vt:lpwstr>
  </property>
  <property fmtid="{D5CDD505-2E9C-101B-9397-08002B2CF9AE}" pid="3" name="ICV">
    <vt:lpwstr>47B6CAAFEBCD4861A1868DA5E992268A_13</vt:lpwstr>
  </property>
  <property fmtid="{D5CDD505-2E9C-101B-9397-08002B2CF9AE}" pid="4" name="KSOTemplateDocerSaveRecord">
    <vt:lpwstr>eyJoZGlkIjoiYzNkYTZkNTljOWRlZDdlZjYyNWYwZGY0NzU4ZmI4N2UiLCJ1c2VySWQiOiIxOTI0MTY1ODM4NTAyIn0=</vt:lpwstr>
  </property>
</Properties>
</file>