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drawing>
          <wp:inline distB="114300" distT="114300" distL="114300" distR="114300">
            <wp:extent cx="3381375" cy="135255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jc w:val="center"/>
        <w:rPr>
          <w:sz w:val="36"/>
          <w:szCs w:val="36"/>
        </w:rPr>
      </w:pPr>
      <w:r w:rsidDel="00000000" w:rsidR="00000000" w:rsidRPr="00000000">
        <w:rPr>
          <w:rtl w:val="0"/>
        </w:rPr>
      </w:r>
    </w:p>
    <w:p w:rsidR="00000000" w:rsidDel="00000000" w:rsidP="00000000" w:rsidRDefault="00000000" w:rsidRPr="00000000" w14:paraId="00000008">
      <w:pPr>
        <w:contextualSpacing w:val="0"/>
        <w:jc w:val="center"/>
        <w:rPr>
          <w:sz w:val="36"/>
          <w:szCs w:val="36"/>
        </w:rPr>
      </w:pPr>
      <w:r w:rsidDel="00000000" w:rsidR="00000000" w:rsidRPr="00000000">
        <w:rPr>
          <w:rtl w:val="0"/>
        </w:rPr>
      </w:r>
    </w:p>
    <w:p w:rsidR="00000000" w:rsidDel="00000000" w:rsidP="00000000" w:rsidRDefault="00000000" w:rsidRPr="00000000" w14:paraId="00000009">
      <w:pPr>
        <w:contextualSpacing w:val="0"/>
        <w:jc w:val="center"/>
        <w:rPr>
          <w:sz w:val="36"/>
          <w:szCs w:val="36"/>
        </w:rPr>
      </w:pPr>
      <w:r w:rsidDel="00000000" w:rsidR="00000000" w:rsidRPr="00000000">
        <w:rPr>
          <w:rtl w:val="0"/>
        </w:rPr>
      </w:r>
    </w:p>
    <w:p w:rsidR="00000000" w:rsidDel="00000000" w:rsidP="00000000" w:rsidRDefault="00000000" w:rsidRPr="00000000" w14:paraId="0000000A">
      <w:pPr>
        <w:contextualSpacing w:val="0"/>
        <w:jc w:val="center"/>
        <w:rPr>
          <w:sz w:val="36"/>
          <w:szCs w:val="36"/>
        </w:rPr>
      </w:pPr>
      <w:r w:rsidDel="00000000" w:rsidR="00000000" w:rsidRPr="00000000">
        <w:rPr>
          <w:sz w:val="36"/>
          <w:szCs w:val="36"/>
          <w:rtl w:val="0"/>
        </w:rPr>
        <w:t xml:space="preserve">Describe historical and social influences that have informed our understanding of care and treatment of clients with mental health issues.</w:t>
      </w:r>
    </w:p>
    <w:p w:rsidR="00000000" w:rsidDel="00000000" w:rsidP="00000000" w:rsidRDefault="00000000" w:rsidRPr="00000000" w14:paraId="0000000B">
      <w:pPr>
        <w:contextualSpacing w:val="0"/>
        <w:jc w:val="center"/>
        <w:rPr>
          <w:sz w:val="36"/>
          <w:szCs w:val="36"/>
        </w:rPr>
      </w:pPr>
      <w:r w:rsidDel="00000000" w:rsidR="00000000" w:rsidRPr="00000000">
        <w:rPr>
          <w:rtl w:val="0"/>
        </w:rPr>
      </w:r>
    </w:p>
    <w:p w:rsidR="00000000" w:rsidDel="00000000" w:rsidP="00000000" w:rsidRDefault="00000000" w:rsidRPr="00000000" w14:paraId="0000000C">
      <w:pPr>
        <w:contextualSpacing w:val="0"/>
        <w:jc w:val="center"/>
        <w:rPr>
          <w:sz w:val="24"/>
          <w:szCs w:val="24"/>
        </w:rPr>
      </w:pPr>
      <w:r w:rsidDel="00000000" w:rsidR="00000000" w:rsidRPr="00000000">
        <w:rPr>
          <w:sz w:val="24"/>
          <w:szCs w:val="24"/>
          <w:rtl w:val="0"/>
        </w:rPr>
        <w:t xml:space="preserve">Sara Rhiannon Jones </w:t>
      </w:r>
    </w:p>
    <w:p w:rsidR="00000000" w:rsidDel="00000000" w:rsidP="00000000" w:rsidRDefault="00000000" w:rsidRPr="00000000" w14:paraId="0000000D">
      <w:pPr>
        <w:contextualSpacing w:val="0"/>
        <w:jc w:val="center"/>
        <w:rPr>
          <w:sz w:val="24"/>
          <w:szCs w:val="24"/>
        </w:rPr>
      </w:pPr>
      <w:r w:rsidDel="00000000" w:rsidR="00000000" w:rsidRPr="00000000">
        <w:rPr>
          <w:sz w:val="24"/>
          <w:szCs w:val="24"/>
          <w:rtl w:val="0"/>
        </w:rPr>
        <w:t xml:space="preserve">Student ID: 1703134</w:t>
      </w:r>
    </w:p>
    <w:p w:rsidR="00000000" w:rsidDel="00000000" w:rsidP="00000000" w:rsidRDefault="00000000" w:rsidRPr="00000000" w14:paraId="0000000E">
      <w:pPr>
        <w:contextualSpacing w:val="0"/>
        <w:jc w:val="center"/>
        <w:rPr>
          <w:sz w:val="24"/>
          <w:szCs w:val="24"/>
        </w:rPr>
      </w:pPr>
      <w:r w:rsidDel="00000000" w:rsidR="00000000" w:rsidRPr="00000000">
        <w:rPr>
          <w:rtl w:val="0"/>
        </w:rPr>
      </w:r>
    </w:p>
    <w:p w:rsidR="00000000" w:rsidDel="00000000" w:rsidP="00000000" w:rsidRDefault="00000000" w:rsidRPr="00000000" w14:paraId="0000000F">
      <w:pPr>
        <w:contextualSpacing w:val="0"/>
        <w:jc w:val="center"/>
        <w:rPr>
          <w:sz w:val="24"/>
          <w:szCs w:val="24"/>
        </w:rPr>
      </w:pPr>
      <w:r w:rsidDel="00000000" w:rsidR="00000000" w:rsidRPr="00000000">
        <w:rPr>
          <w:rtl w:val="0"/>
        </w:rPr>
      </w:r>
    </w:p>
    <w:p w:rsidR="00000000" w:rsidDel="00000000" w:rsidP="00000000" w:rsidRDefault="00000000" w:rsidRPr="00000000" w14:paraId="00000010">
      <w:pPr>
        <w:contextualSpacing w:val="0"/>
        <w:jc w:val="center"/>
        <w:rPr>
          <w:sz w:val="24"/>
          <w:szCs w:val="24"/>
        </w:rPr>
      </w:pPr>
      <w:r w:rsidDel="00000000" w:rsidR="00000000" w:rsidRPr="00000000">
        <w:rPr>
          <w:rtl w:val="0"/>
        </w:rPr>
      </w:r>
    </w:p>
    <w:p w:rsidR="00000000" w:rsidDel="00000000" w:rsidP="00000000" w:rsidRDefault="00000000" w:rsidRPr="00000000" w14:paraId="00000011">
      <w:pPr>
        <w:contextualSpacing w:val="0"/>
        <w:jc w:val="center"/>
        <w:rPr>
          <w:sz w:val="24"/>
          <w:szCs w:val="24"/>
        </w:rPr>
      </w:pPr>
      <w:r w:rsidDel="00000000" w:rsidR="00000000" w:rsidRPr="00000000">
        <w:rPr>
          <w:rtl w:val="0"/>
        </w:rPr>
      </w:r>
    </w:p>
    <w:p w:rsidR="00000000" w:rsidDel="00000000" w:rsidP="00000000" w:rsidRDefault="00000000" w:rsidRPr="00000000" w14:paraId="00000012">
      <w:pPr>
        <w:contextualSpacing w:val="0"/>
        <w:jc w:val="center"/>
        <w:rPr>
          <w:sz w:val="24"/>
          <w:szCs w:val="24"/>
        </w:rPr>
      </w:pPr>
      <w:r w:rsidDel="00000000" w:rsidR="00000000" w:rsidRPr="00000000">
        <w:rPr>
          <w:rtl w:val="0"/>
        </w:rPr>
      </w:r>
    </w:p>
    <w:p w:rsidR="00000000" w:rsidDel="00000000" w:rsidP="00000000" w:rsidRDefault="00000000" w:rsidRPr="00000000" w14:paraId="00000013">
      <w:pPr>
        <w:contextualSpacing w:val="0"/>
        <w:jc w:val="center"/>
        <w:rPr>
          <w:sz w:val="24"/>
          <w:szCs w:val="24"/>
        </w:rPr>
      </w:pPr>
      <w:r w:rsidDel="00000000" w:rsidR="00000000" w:rsidRPr="00000000">
        <w:rPr>
          <w:rtl w:val="0"/>
        </w:rPr>
      </w:r>
    </w:p>
    <w:p w:rsidR="00000000" w:rsidDel="00000000" w:rsidP="00000000" w:rsidRDefault="00000000" w:rsidRPr="00000000" w14:paraId="00000014">
      <w:pPr>
        <w:contextualSpacing w:val="0"/>
        <w:jc w:val="center"/>
        <w:rPr>
          <w:sz w:val="24"/>
          <w:szCs w:val="24"/>
        </w:rPr>
      </w:pPr>
      <w:r w:rsidDel="00000000" w:rsidR="00000000" w:rsidRPr="00000000">
        <w:rPr>
          <w:rtl w:val="0"/>
        </w:rPr>
      </w:r>
    </w:p>
    <w:p w:rsidR="00000000" w:rsidDel="00000000" w:rsidP="00000000" w:rsidRDefault="00000000" w:rsidRPr="00000000" w14:paraId="00000015">
      <w:pPr>
        <w:contextualSpacing w:val="0"/>
        <w:jc w:val="center"/>
        <w:rPr>
          <w:sz w:val="24"/>
          <w:szCs w:val="24"/>
        </w:rPr>
      </w:pPr>
      <w:r w:rsidDel="00000000" w:rsidR="00000000" w:rsidRPr="00000000">
        <w:rPr>
          <w:rtl w:val="0"/>
        </w:rPr>
      </w:r>
    </w:p>
    <w:p w:rsidR="00000000" w:rsidDel="00000000" w:rsidP="00000000" w:rsidRDefault="00000000" w:rsidRPr="00000000" w14:paraId="00000016">
      <w:pPr>
        <w:contextualSpacing w:val="0"/>
        <w:jc w:val="center"/>
        <w:rPr>
          <w:sz w:val="24"/>
          <w:szCs w:val="24"/>
        </w:rPr>
      </w:pPr>
      <w:r w:rsidDel="00000000" w:rsidR="00000000" w:rsidRPr="00000000">
        <w:rPr>
          <w:rtl w:val="0"/>
        </w:rPr>
      </w:r>
    </w:p>
    <w:p w:rsidR="00000000" w:rsidDel="00000000" w:rsidP="00000000" w:rsidRDefault="00000000" w:rsidRPr="00000000" w14:paraId="00000017">
      <w:pPr>
        <w:contextualSpacing w:val="0"/>
        <w:jc w:val="center"/>
        <w:rPr>
          <w:sz w:val="24"/>
          <w:szCs w:val="24"/>
        </w:rPr>
      </w:pPr>
      <w:r w:rsidDel="00000000" w:rsidR="00000000" w:rsidRPr="00000000">
        <w:rPr>
          <w:rtl w:val="0"/>
        </w:rPr>
      </w:r>
    </w:p>
    <w:p w:rsidR="00000000" w:rsidDel="00000000" w:rsidP="00000000" w:rsidRDefault="00000000" w:rsidRPr="00000000" w14:paraId="00000018">
      <w:pPr>
        <w:contextualSpacing w:val="0"/>
        <w:jc w:val="center"/>
        <w:rPr>
          <w:sz w:val="24"/>
          <w:szCs w:val="24"/>
        </w:rPr>
      </w:pPr>
      <w:r w:rsidDel="00000000" w:rsidR="00000000" w:rsidRPr="00000000">
        <w:rPr>
          <w:rtl w:val="0"/>
        </w:rPr>
      </w:r>
    </w:p>
    <w:p w:rsidR="00000000" w:rsidDel="00000000" w:rsidP="00000000" w:rsidRDefault="00000000" w:rsidRPr="00000000" w14:paraId="00000019">
      <w:pPr>
        <w:contextualSpacing w:val="0"/>
        <w:jc w:val="center"/>
        <w:rPr>
          <w:sz w:val="24"/>
          <w:szCs w:val="24"/>
        </w:rPr>
      </w:pPr>
      <w:r w:rsidDel="00000000" w:rsidR="00000000" w:rsidRPr="00000000">
        <w:rPr>
          <w:rtl w:val="0"/>
        </w:rPr>
      </w:r>
    </w:p>
    <w:p w:rsidR="00000000" w:rsidDel="00000000" w:rsidP="00000000" w:rsidRDefault="00000000" w:rsidRPr="00000000" w14:paraId="0000001A">
      <w:pPr>
        <w:contextualSpacing w:val="0"/>
        <w:jc w:val="cente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spacing w:line="480" w:lineRule="auto"/>
        <w:ind w:firstLine="720"/>
        <w:contextualSpacing w:val="0"/>
        <w:rPr>
          <w:sz w:val="24"/>
          <w:szCs w:val="24"/>
        </w:rPr>
      </w:pPr>
      <w:r w:rsidDel="00000000" w:rsidR="00000000" w:rsidRPr="00000000">
        <w:rPr>
          <w:sz w:val="24"/>
          <w:szCs w:val="24"/>
          <w:rtl w:val="0"/>
        </w:rPr>
        <w:t xml:space="preserve">Mental health in today’s society is referred to as ‘a person’s condition in regards to their psychological and emotional well being’ (Oxford Dictionary, 2008). But it has not always been defined in this way. Infact, journals and articles from earlier time periods suggest that there was no definition to mental health. History shows that there was very little understanding of mental health and psychological conditions in the earlier centuries. This essay will explore how mental health was viewed and treated through the ages and compare to the modern understanding of the vast subject today. </w:t>
      </w:r>
    </w:p>
    <w:p w:rsidR="00000000" w:rsidDel="00000000" w:rsidP="00000000" w:rsidRDefault="00000000" w:rsidRPr="00000000" w14:paraId="0000001C">
      <w:pPr>
        <w:spacing w:line="480" w:lineRule="auto"/>
        <w:ind w:firstLine="720"/>
        <w:contextualSpacing w:val="0"/>
        <w:rPr>
          <w:sz w:val="24"/>
          <w:szCs w:val="24"/>
        </w:rPr>
      </w:pPr>
      <w:r w:rsidDel="00000000" w:rsidR="00000000" w:rsidRPr="00000000">
        <w:rPr>
          <w:sz w:val="24"/>
          <w:szCs w:val="24"/>
          <w:rtl w:val="0"/>
        </w:rPr>
        <w:t xml:space="preserve">Around the 16th century, witchcraft was predominantly the cause of mental illness, particularly within women. This idea was coined from irrational reasoning and shear lack of knowledge relating to science; for example, lightening, bad weather, illnesses and death were all responsibility of witches within the community. Witchcraft is defined as ‘the practice of magic, especially black magic; the use of spells’. But what exactly was witchcraft in this era? A which was believed to have his or her soul taken over by a demon or the devil and they would be in cahoots to conspire against the rest of the village or town. There were many characteristics to determine if a person was a witch or not; someone who had a pet, which was deemed as a ‘familiar’ which means the devil or a demon that took its form as an animal. A witch in these times were anyone who would use herbal medicines as a healing agent for illnesses, but the many women who possessed these medical herbs were believed to produce potions for their curses and witchcraft. </w:t>
      </w:r>
    </w:p>
    <w:p w:rsidR="00000000" w:rsidDel="00000000" w:rsidP="00000000" w:rsidRDefault="00000000" w:rsidRPr="00000000" w14:paraId="0000001D">
      <w:pPr>
        <w:spacing w:line="480" w:lineRule="auto"/>
        <w:ind w:left="0" w:firstLine="720"/>
        <w:contextualSpacing w:val="0"/>
        <w:rPr>
          <w:sz w:val="24"/>
          <w:szCs w:val="24"/>
        </w:rPr>
      </w:pPr>
      <w:r w:rsidDel="00000000" w:rsidR="00000000" w:rsidRPr="00000000">
        <w:rPr>
          <w:sz w:val="24"/>
          <w:szCs w:val="24"/>
          <w:rtl w:val="0"/>
        </w:rPr>
        <w:t xml:space="preserve">In terms of mental health; a witch would display many physical and psychological outbursts which would, in today’s world, be diagnosed as epilepsy. Epilepsy is a well recognised brain condition in which a person suffers from repeated seizures over time and can be easily identified by doctors through it’s signs and symptoms. But these sudden convulsions of the body were believed to be bestowed upon those who had the power of a witch; this is what is said to have been the spurrer of the witch hunts throughout Europe in the 16th century. </w:t>
      </w:r>
    </w:p>
    <w:p w:rsidR="00000000" w:rsidDel="00000000" w:rsidP="00000000" w:rsidRDefault="00000000" w:rsidRPr="00000000" w14:paraId="0000001E">
      <w:pPr>
        <w:spacing w:line="480" w:lineRule="auto"/>
        <w:ind w:left="0" w:firstLine="0"/>
        <w:contextualSpacing w:val="0"/>
        <w:rPr>
          <w:sz w:val="24"/>
          <w:szCs w:val="24"/>
        </w:rPr>
      </w:pPr>
      <w:r w:rsidDel="00000000" w:rsidR="00000000" w:rsidRPr="00000000">
        <w:rPr>
          <w:sz w:val="24"/>
          <w:szCs w:val="24"/>
          <w:rtl w:val="0"/>
        </w:rPr>
        <w:t xml:space="preserve">The capture and trials for the named witches were beyond brutal, and irrational; as a test to prove whether a person was a witch or not, trials such as the ducking chair would take place; designed in the way that if the person did not drown in the river, they were a witch and obtained magical powers; if they did drown, they were not a witch. Some were not trialed, and sentenced straight to death by burning at the stake. In Europe alone, over 25,000 people were unfairly executed for witchcraft.</w:t>
      </w:r>
    </w:p>
    <w:p w:rsidR="00000000" w:rsidDel="00000000" w:rsidP="00000000" w:rsidRDefault="00000000" w:rsidRPr="00000000" w14:paraId="0000001F">
      <w:pPr>
        <w:spacing w:line="480" w:lineRule="auto"/>
        <w:ind w:firstLine="720"/>
        <w:contextualSpacing w:val="0"/>
        <w:rPr>
          <w:sz w:val="24"/>
          <w:szCs w:val="24"/>
        </w:rPr>
      </w:pPr>
      <w:r w:rsidDel="00000000" w:rsidR="00000000" w:rsidRPr="00000000">
        <w:rPr>
          <w:sz w:val="24"/>
          <w:szCs w:val="24"/>
          <w:rtl w:val="0"/>
        </w:rPr>
        <w:t xml:space="preserve">It is clear to see that in today’s society and with the knowledge of mental health that the modern world has acquired, that there was very little, if any understanding of the chemical imbalances of the brain in the earlier centuries; anyone who was to show any abnormal behaviour at this time would be deemed as a witch and would be trialed and tortured, and then killed. </w:t>
      </w:r>
    </w:p>
    <w:p w:rsidR="00000000" w:rsidDel="00000000" w:rsidP="00000000" w:rsidRDefault="00000000" w:rsidRPr="00000000" w14:paraId="00000020">
      <w:pPr>
        <w:spacing w:line="480" w:lineRule="auto"/>
        <w:contextualSpacing w:val="0"/>
        <w:rPr>
          <w:sz w:val="24"/>
          <w:szCs w:val="24"/>
        </w:rPr>
      </w:pPr>
      <w:r w:rsidDel="00000000" w:rsidR="00000000" w:rsidRPr="00000000">
        <w:rPr>
          <w:sz w:val="24"/>
          <w:szCs w:val="24"/>
          <w:rtl w:val="0"/>
        </w:rPr>
        <w:tab/>
        <w:t xml:space="preserve">At this time in history, religion was clearly prominent for holding blame for mental illnesses throughout Europe. One reason for this is because science and religion had such conflicting concepts and because of the newness and frightening idea behind science, people were not happy to take on board the concept. This time was also the beginning of mental institusional hospitals; continuing with the belief that religious factors have responsibility over the public’s condition of health. </w:t>
      </w:r>
    </w:p>
    <w:p w:rsidR="00000000" w:rsidDel="00000000" w:rsidP="00000000" w:rsidRDefault="00000000" w:rsidRPr="00000000" w14:paraId="00000021">
      <w:pPr>
        <w:spacing w:line="480" w:lineRule="auto"/>
        <w:ind w:firstLine="720"/>
        <w:contextualSpacing w:val="0"/>
        <w:rPr>
          <w:sz w:val="24"/>
          <w:szCs w:val="24"/>
        </w:rPr>
      </w:pPr>
      <w:r w:rsidDel="00000000" w:rsidR="00000000" w:rsidRPr="00000000">
        <w:rPr>
          <w:sz w:val="24"/>
          <w:szCs w:val="24"/>
          <w:rtl w:val="0"/>
        </w:rPr>
        <w:t xml:space="preserve">Bethlem Hospital; now known as Bedlam, was first founded in 1247 in the City of London. This was to be England’s first and most infamous mental institution in history, confining patients that the majority were said to have ‘lunatic’ characteristics. The name ‘Bedlam’ itself became a word to describe madness and chaos, and is still used in today’s vocabulary; defined as ‘a scene of uproar and confusion’ (Oxford Dictionary 2008). The image of the hospital became associated with abuse and brutality in the public mind, and also an image of entertainment for the public’s eyes, with visitations allowed to view and provoke the mentally ill. The second Bethlem Hospital was built in 1676 in Moorfields, still in the City of London. The land and the building had the image of excellence, a grand building with well-kept greenery and a long pathway leading to the entrance; it was dubbed a palace for the insane. But it soon showed that the picturesque scene from the outside was a facade to hide the distasteful issues on the inside, without proper foundations; sewage overflowed, the bottom floor often flooded, and of course the treatment of the patients.</w:t>
      </w:r>
    </w:p>
    <w:p w:rsidR="00000000" w:rsidDel="00000000" w:rsidP="00000000" w:rsidRDefault="00000000" w:rsidRPr="00000000" w14:paraId="00000022">
      <w:pPr>
        <w:spacing w:line="480" w:lineRule="auto"/>
        <w:ind w:firstLine="720"/>
        <w:contextualSpacing w:val="0"/>
        <w:rPr>
          <w:sz w:val="24"/>
          <w:szCs w:val="24"/>
        </w:rPr>
      </w:pPr>
      <w:r w:rsidDel="00000000" w:rsidR="00000000" w:rsidRPr="00000000">
        <w:rPr>
          <w:sz w:val="24"/>
          <w:szCs w:val="24"/>
          <w:rtl w:val="0"/>
        </w:rPr>
        <w:t xml:space="preserve">Many of the people that were admitted to the hospital suffered with what is known today as paranoid schizophrenia, manic depression, epilepsy and learning disabilities; illnesses that today would not require confinement or even professional treatment (for some cases). But with the little knowledge and information that was available to medical professionals in this era; patients were all mixed together, despite the differences in their illnesses, and treated in the same manner. </w:t>
      </w:r>
    </w:p>
    <w:p w:rsidR="00000000" w:rsidDel="00000000" w:rsidP="00000000" w:rsidRDefault="00000000" w:rsidRPr="00000000" w14:paraId="00000023">
      <w:pPr>
        <w:spacing w:line="480" w:lineRule="auto"/>
        <w:contextualSpacing w:val="0"/>
        <w:rPr>
          <w:sz w:val="24"/>
          <w:szCs w:val="24"/>
        </w:rPr>
      </w:pPr>
      <w:r w:rsidDel="00000000" w:rsidR="00000000" w:rsidRPr="00000000">
        <w:rPr>
          <w:sz w:val="24"/>
          <w:szCs w:val="24"/>
          <w:rtl w:val="0"/>
        </w:rPr>
        <w:tab/>
        <w:t xml:space="preserve">Similarly to the era of witch-hunting, mental illnesses were deeply associated with religious causalities, and were often treated by priests or monks. Because of this, the diet of the patients rarely; if not ever contained any vegetables to prevent the natural vitamins and nutrition feeding the spirits inside the patients. Inside the hospital, chains, locks and stocks appeared to be the form of treatment for the patients of Bedlam. The shock of corporal punishment was believed to be enough to cure some conditions, whilst others were put into complete isolation, this was thought to help a person ‘come to their senses’. </w:t>
      </w:r>
      <w:r w:rsidDel="00000000" w:rsidR="00000000" w:rsidRPr="00000000">
        <w:rPr>
          <w:sz w:val="24"/>
          <w:szCs w:val="24"/>
          <w:rtl w:val="0"/>
        </w:rPr>
        <w:t xml:space="preserve">Joseph Townsend (1786) wrote on the subject,  </w:t>
      </w:r>
      <w:r w:rsidDel="00000000" w:rsidR="00000000" w:rsidRPr="00000000">
        <w:rPr>
          <w:sz w:val="24"/>
          <w:szCs w:val="24"/>
          <w:rtl w:val="0"/>
        </w:rPr>
        <w:t xml:space="preserve">“Hunger will tame the fiercest animals, it will teach decency and civility, obedience and subjection to the most perverse”.</w:t>
      </w:r>
      <w:r w:rsidDel="00000000" w:rsidR="00000000" w:rsidRPr="00000000">
        <w:rPr>
          <w:rtl w:val="0"/>
        </w:rPr>
      </w:r>
    </w:p>
    <w:p w:rsidR="00000000" w:rsidDel="00000000" w:rsidP="00000000" w:rsidRDefault="00000000" w:rsidRPr="00000000" w14:paraId="00000024">
      <w:pPr>
        <w:spacing w:line="480" w:lineRule="auto"/>
        <w:ind w:firstLine="720"/>
        <w:contextualSpacing w:val="0"/>
        <w:rPr>
          <w:sz w:val="24"/>
          <w:szCs w:val="24"/>
        </w:rPr>
      </w:pPr>
      <w:r w:rsidDel="00000000" w:rsidR="00000000" w:rsidRPr="00000000">
        <w:rPr>
          <w:sz w:val="24"/>
          <w:szCs w:val="24"/>
          <w:rtl w:val="0"/>
        </w:rPr>
        <w:t xml:space="preserve">John Haslam adopted the role of management of Bethlem Hospital in 1795, and proposed that new ways of treatment needed to be put in place to cure the patients which he believed to be cunning and violent. His way of care for the mentally ill was to use intimidation and fear and beat them into submission, until they acted in such a way that was deemed socially appropriate. Ice cold bathing (hydrotherapy) and rotation therapy (the swinging chair) are examples of treatment used to instill fear into the patients. The forms of treatment were used as punishment for their abnormal behaviour and also often used to stimulate sickness in the patients; if they were physically ill, it was seen as the body purging itself of any evil spirits. </w:t>
      </w:r>
    </w:p>
    <w:p w:rsidR="00000000" w:rsidDel="00000000" w:rsidP="00000000" w:rsidRDefault="00000000" w:rsidRPr="00000000" w14:paraId="00000025">
      <w:pPr>
        <w:spacing w:line="480" w:lineRule="auto"/>
        <w:ind w:firstLine="720"/>
        <w:contextualSpacing w:val="0"/>
        <w:rPr>
          <w:sz w:val="24"/>
          <w:szCs w:val="24"/>
          <w:u w:val="single"/>
        </w:rPr>
      </w:pPr>
      <w:r w:rsidDel="00000000" w:rsidR="00000000" w:rsidRPr="00000000">
        <w:rPr>
          <w:sz w:val="24"/>
          <w:szCs w:val="24"/>
          <w:rtl w:val="0"/>
        </w:rPr>
        <w:t xml:space="preserve">In late 1700’s King George III fell mentally ill many times during his 60 year reign. According to many, this may have been the turning point of how mental health was perceived. Through analysis of his writings from when he was healthy and comparing them to when he was unwell, researchers with modern knowledge could explain his condition through bipolar disorder and also bouts of depression. But at this time his mental condition was seen to be no different to some of the lower orders’ in society and thus he was treated no different to how the patients of Bedlam Hospital were treated. From this time, melancholy became an illness of the elite and the wealthy. He was a man of very high status, and to ridicule him would not have been heard of, the element of humour was taken away from mental health, instead the public began to show empathy towards to topic and it also became a taboo subject.</w:t>
      </w:r>
      <w:r w:rsidDel="00000000" w:rsidR="00000000" w:rsidRPr="00000000">
        <w:rPr>
          <w:rtl w:val="0"/>
        </w:rPr>
      </w:r>
    </w:p>
    <w:p w:rsidR="00000000" w:rsidDel="00000000" w:rsidP="00000000" w:rsidRDefault="00000000" w:rsidRPr="00000000" w14:paraId="00000026">
      <w:pPr>
        <w:spacing w:line="480" w:lineRule="auto"/>
        <w:ind w:firstLine="720"/>
        <w:contextualSpacing w:val="0"/>
        <w:rPr>
          <w:sz w:val="24"/>
          <w:szCs w:val="24"/>
        </w:rPr>
      </w:pPr>
      <w:r w:rsidDel="00000000" w:rsidR="00000000" w:rsidRPr="00000000">
        <w:rPr>
          <w:rtl w:val="0"/>
        </w:rPr>
      </w:r>
    </w:p>
    <w:p w:rsidR="00000000" w:rsidDel="00000000" w:rsidP="00000000" w:rsidRDefault="00000000" w:rsidRPr="00000000" w14:paraId="00000027">
      <w:pPr>
        <w:spacing w:line="480" w:lineRule="auto"/>
        <w:ind w:firstLine="720"/>
        <w:contextualSpacing w:val="0"/>
        <w:rPr>
          <w:sz w:val="24"/>
          <w:szCs w:val="24"/>
        </w:rPr>
      </w:pPr>
      <w:r w:rsidDel="00000000" w:rsidR="00000000" w:rsidRPr="00000000">
        <w:rPr>
          <w:sz w:val="24"/>
          <w:szCs w:val="24"/>
          <w:rtl w:val="0"/>
        </w:rPr>
        <w:t xml:space="preserve">In the mid 1600s religion was forced to take a step back from being the main causality for mental health as at this time Thomas Willis had become successful in his research into the autonomy of the brain, the nervous system, and muscles. His work spurred further research into psychology that is still evident today; he was the first to coin the term ‘neurology’ and his numerous books proved that there was science and rational reasoning behind mental health. This was to change how the taboo subject was perceived by medical professionals and also in the mind of the public. This was to be the beginning of the time of enlightenment, the realisation that moral treatment was the best way to cure mental illnesses.</w:t>
      </w:r>
    </w:p>
    <w:p w:rsidR="00000000" w:rsidDel="00000000" w:rsidP="00000000" w:rsidRDefault="00000000" w:rsidRPr="00000000" w14:paraId="00000028">
      <w:pPr>
        <w:spacing w:line="480" w:lineRule="auto"/>
        <w:ind w:firstLine="720"/>
        <w:contextualSpacing w:val="0"/>
        <w:rPr>
          <w:sz w:val="24"/>
          <w:szCs w:val="24"/>
        </w:rPr>
      </w:pPr>
      <w:r w:rsidDel="00000000" w:rsidR="00000000" w:rsidRPr="00000000">
        <w:rPr>
          <w:sz w:val="24"/>
          <w:szCs w:val="24"/>
          <w:rtl w:val="0"/>
        </w:rPr>
        <w:t xml:space="preserve">After seeing the treatment of patients in the York Lunatic Asylum, where people were treated as animals, as if they were a lower order than humans without mental illnesses, William Tuke as a philanthropist, who took pride in the welfare of others, he founded the York Retreat in 1777. A hospital for people suffering with mental health problems that would treat and care for them in a humane way. In this hospital, chains were removed from the usual form of treatment, patients were housed in better, more hygienic conditions, fed adequate food, and took part in therapeutic occupational tasks such as gardening, farming and cleaning. London, being an industrial area at this time, was still reflecting it’s pollution and corruption in the treatment of it’s mentally ill patients. The establishing of the York Retreat followed the founding of the moral treatment movement by Philippe Pinel in France who believed that patients should be treated with care, not like animals or criminals and should be understood as individuals with particular signs and symptoms of mental health. With new scientific discoveries being made into the brain and its connections to behaviour and activists such as Tuke and Pinel for the welfare of mentally ill patients, this was the true turning point in history of how mental health was perceived and acknowledged.</w:t>
      </w:r>
    </w:p>
    <w:p w:rsidR="00000000" w:rsidDel="00000000" w:rsidP="00000000" w:rsidRDefault="00000000" w:rsidRPr="00000000" w14:paraId="00000029">
      <w:pPr>
        <w:spacing w:line="480" w:lineRule="auto"/>
        <w:contextualSpacing w:val="0"/>
        <w:rPr>
          <w:sz w:val="24"/>
          <w:szCs w:val="24"/>
        </w:rPr>
      </w:pPr>
      <w:r w:rsidDel="00000000" w:rsidR="00000000" w:rsidRPr="00000000">
        <w:rPr>
          <w:sz w:val="24"/>
          <w:szCs w:val="24"/>
          <w:u w:val="single"/>
          <w:rtl w:val="0"/>
        </w:rPr>
        <w:tab/>
      </w:r>
      <w:r w:rsidDel="00000000" w:rsidR="00000000" w:rsidRPr="00000000">
        <w:rPr>
          <w:sz w:val="24"/>
          <w:szCs w:val="24"/>
          <w:rtl w:val="0"/>
        </w:rPr>
        <w:t xml:space="preserve">Dorothea Dix was one woman to be involved in the moral treatment movement; she was an American activist who fought for many years during the 1800’s on behalf of the mentally ill and even prisoners in the USA, she believed that sufferers should be cared for humanely. Her work was widely acknowledged and drew much attention because she was a woman; women of this time were not to speak out or cause commotion, but her passion for the treatment and welfare of mentally ill patients drove her to spread her message across America. </w:t>
      </w:r>
    </w:p>
    <w:p w:rsidR="00000000" w:rsidDel="00000000" w:rsidP="00000000" w:rsidRDefault="00000000" w:rsidRPr="00000000" w14:paraId="0000002A">
      <w:pPr>
        <w:spacing w:line="480" w:lineRule="auto"/>
        <w:contextualSpacing w:val="0"/>
        <w:rPr>
          <w:sz w:val="24"/>
          <w:szCs w:val="24"/>
          <w:u w:val="single"/>
        </w:rPr>
      </w:pPr>
      <w:r w:rsidDel="00000000" w:rsidR="00000000" w:rsidRPr="00000000">
        <w:rPr>
          <w:sz w:val="24"/>
          <w:szCs w:val="24"/>
          <w:rtl w:val="0"/>
        </w:rPr>
        <w:tab/>
      </w:r>
      <w:r w:rsidDel="00000000" w:rsidR="00000000" w:rsidRPr="00000000">
        <w:rPr>
          <w:sz w:val="24"/>
          <w:szCs w:val="24"/>
          <w:u w:val="single"/>
          <w:rtl w:val="0"/>
        </w:rPr>
        <w:tab/>
      </w:r>
      <w:r w:rsidDel="00000000" w:rsidR="00000000" w:rsidRPr="00000000">
        <w:rPr>
          <w:sz w:val="24"/>
          <w:szCs w:val="24"/>
          <w:rtl w:val="0"/>
        </w:rPr>
        <w:t xml:space="preserve">In conclusion, the understanding of mental health has changed considerably from the earlier centuries until now. Where religion was the main reasoning behind mental health, is now not even related to the subject; all mental health problems can now be explained through chemical imbalances in the brain or through Freud’s concept of the subconscious mind and does not require a member of religious hierarchy to treat the illness. The subject itself is still somewhat of a taboo, but from the era’s mentioned in this essay, mental health has become an increasing problem in today’s society and is being confidently spoken about more with the help of charities and organisations founded and run for the purpose of dismissing the taboo connotations that come hand in hand with mental health. </w:t>
      </w:r>
      <w:r w:rsidDel="00000000" w:rsidR="00000000" w:rsidRPr="00000000">
        <w:rPr>
          <w:rtl w:val="0"/>
        </w:rPr>
      </w:r>
    </w:p>
    <w:p w:rsidR="00000000" w:rsidDel="00000000" w:rsidP="00000000" w:rsidRDefault="00000000" w:rsidRPr="00000000" w14:paraId="0000002B">
      <w:pPr>
        <w:spacing w:line="480" w:lineRule="auto"/>
        <w:contextualSpacing w:val="0"/>
        <w:rPr>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2C">
      <w:pPr>
        <w:spacing w:line="480" w:lineRule="auto"/>
        <w:contextualSpacing w:val="0"/>
        <w:rPr>
          <w:sz w:val="24"/>
          <w:szCs w:val="24"/>
          <w:u w:val="single"/>
        </w:rPr>
      </w:pPr>
      <w:r w:rsidDel="00000000" w:rsidR="00000000" w:rsidRPr="00000000">
        <w:rPr>
          <w:sz w:val="24"/>
          <w:szCs w:val="24"/>
          <w:u w:val="single"/>
          <w:rtl w:val="0"/>
        </w:rPr>
        <w:t xml:space="preserve">References </w:t>
      </w:r>
    </w:p>
    <w:p w:rsidR="00000000" w:rsidDel="00000000" w:rsidP="00000000" w:rsidRDefault="00000000" w:rsidRPr="00000000" w14:paraId="0000002D">
      <w:pPr>
        <w:spacing w:line="480" w:lineRule="auto"/>
        <w:contextualSpacing w:val="0"/>
        <w:rPr>
          <w:highlight w:val="white"/>
        </w:rPr>
      </w:pPr>
      <w:r w:rsidDel="00000000" w:rsidR="00000000" w:rsidRPr="00000000">
        <w:rPr>
          <w:highlight w:val="white"/>
          <w:rtl w:val="0"/>
        </w:rPr>
        <w:t xml:space="preserve">Soanes, C. and Stevenson, A. (2008). </w:t>
      </w:r>
      <w:r w:rsidDel="00000000" w:rsidR="00000000" w:rsidRPr="00000000">
        <w:rPr>
          <w:i w:val="1"/>
          <w:highlight w:val="white"/>
          <w:rtl w:val="0"/>
        </w:rPr>
        <w:t xml:space="preserve">Concise Oxford English dictionary</w:t>
      </w:r>
      <w:r w:rsidDel="00000000" w:rsidR="00000000" w:rsidRPr="00000000">
        <w:rPr>
          <w:highlight w:val="white"/>
          <w:rtl w:val="0"/>
        </w:rPr>
        <w:t xml:space="preserve">. Oxford [England]: Oxford University Press.</w:t>
      </w:r>
      <w:r w:rsidDel="00000000" w:rsidR="00000000" w:rsidRPr="00000000">
        <w:rPr>
          <w:rtl w:val="0"/>
        </w:rPr>
      </w:r>
    </w:p>
    <w:p w:rsidR="00000000" w:rsidDel="00000000" w:rsidP="00000000" w:rsidRDefault="00000000" w:rsidRPr="00000000" w14:paraId="0000002E">
      <w:pPr>
        <w:spacing w:line="480" w:lineRule="auto"/>
        <w:contextualSpacing w:val="0"/>
        <w:rPr>
          <w:highlight w:val="white"/>
        </w:rPr>
      </w:pPr>
      <w:r w:rsidDel="00000000" w:rsidR="00000000" w:rsidRPr="00000000">
        <w:rPr>
          <w:rtl w:val="0"/>
        </w:rPr>
      </w:r>
    </w:p>
    <w:p w:rsidR="00000000" w:rsidDel="00000000" w:rsidP="00000000" w:rsidRDefault="00000000" w:rsidRPr="00000000" w14:paraId="0000002F">
      <w:pPr>
        <w:spacing w:line="480" w:lineRule="auto"/>
        <w:contextualSpacing w:val="0"/>
        <w:rPr>
          <w:highlight w:val="white"/>
        </w:rPr>
      </w:pPr>
      <w:r w:rsidDel="00000000" w:rsidR="00000000" w:rsidRPr="00000000">
        <w:rPr>
          <w:highlight w:val="white"/>
          <w:rtl w:val="0"/>
        </w:rPr>
        <w:t xml:space="preserve">Gutsandgore.co.uk. (2017). </w:t>
      </w:r>
      <w:r w:rsidDel="00000000" w:rsidR="00000000" w:rsidRPr="00000000">
        <w:rPr>
          <w:i w:val="1"/>
          <w:highlight w:val="white"/>
          <w:rtl w:val="0"/>
        </w:rPr>
        <w:t xml:space="preserve">Bethlem Royal Hospital | Guts and Gore</w:t>
      </w:r>
      <w:r w:rsidDel="00000000" w:rsidR="00000000" w:rsidRPr="00000000">
        <w:rPr>
          <w:highlight w:val="white"/>
          <w:rtl w:val="0"/>
        </w:rPr>
        <w:t xml:space="preserve">. [online] Available at: https://www.gutsandgore.co.uk/asylums/bethlem-royal-hospital/ [Accessed 15 Apr. 2018].</w:t>
      </w:r>
      <w:r w:rsidDel="00000000" w:rsidR="00000000" w:rsidRPr="00000000">
        <w:rPr>
          <w:rtl w:val="0"/>
        </w:rPr>
      </w:r>
    </w:p>
    <w:p w:rsidR="00000000" w:rsidDel="00000000" w:rsidP="00000000" w:rsidRDefault="00000000" w:rsidRPr="00000000" w14:paraId="00000030">
      <w:pPr>
        <w:spacing w:line="480" w:lineRule="auto"/>
        <w:contextualSpacing w:val="0"/>
        <w:rPr>
          <w:highlight w:val="white"/>
        </w:rPr>
      </w:pPr>
      <w:r w:rsidDel="00000000" w:rsidR="00000000" w:rsidRPr="00000000">
        <w:rPr>
          <w:rtl w:val="0"/>
        </w:rPr>
      </w:r>
    </w:p>
    <w:p w:rsidR="00000000" w:rsidDel="00000000" w:rsidP="00000000" w:rsidRDefault="00000000" w:rsidRPr="00000000" w14:paraId="00000031">
      <w:pPr>
        <w:spacing w:line="480" w:lineRule="auto"/>
        <w:contextualSpacing w:val="0"/>
        <w:rPr>
          <w:highlight w:val="white"/>
        </w:rPr>
      </w:pPr>
      <w:r w:rsidDel="00000000" w:rsidR="00000000" w:rsidRPr="00000000">
        <w:rPr>
          <w:highlight w:val="white"/>
          <w:rtl w:val="0"/>
        </w:rPr>
        <w:t xml:space="preserve">Pruitt, S. (2017). </w:t>
      </w:r>
      <w:r w:rsidDel="00000000" w:rsidR="00000000" w:rsidRPr="00000000">
        <w:rPr>
          <w:i w:val="1"/>
          <w:highlight w:val="white"/>
          <w:rtl w:val="0"/>
        </w:rPr>
        <w:t xml:space="preserve">Letters May Prove George III “Madness” Theory</w:t>
      </w:r>
      <w:r w:rsidDel="00000000" w:rsidR="00000000" w:rsidRPr="00000000">
        <w:rPr>
          <w:highlight w:val="white"/>
          <w:rtl w:val="0"/>
        </w:rPr>
        <w:t xml:space="preserve">. [online] HISTORY.com. Available at: https://www.history.com/news/letters-may-prove-george-iii-was-mad [Accessed 17 Apr. 2018].</w:t>
      </w:r>
      <w:r w:rsidDel="00000000" w:rsidR="00000000" w:rsidRPr="00000000">
        <w:rPr>
          <w:rtl w:val="0"/>
        </w:rPr>
      </w:r>
    </w:p>
    <w:p w:rsidR="00000000" w:rsidDel="00000000" w:rsidP="00000000" w:rsidRDefault="00000000" w:rsidRPr="00000000" w14:paraId="00000032">
      <w:pPr>
        <w:spacing w:line="480" w:lineRule="auto"/>
        <w:contextualSpacing w:val="0"/>
        <w:rPr>
          <w:highlight w:val="white"/>
        </w:rPr>
      </w:pPr>
      <w:r w:rsidDel="00000000" w:rsidR="00000000" w:rsidRPr="00000000">
        <w:rPr>
          <w:rtl w:val="0"/>
        </w:rPr>
      </w:r>
    </w:p>
    <w:p w:rsidR="00000000" w:rsidDel="00000000" w:rsidP="00000000" w:rsidRDefault="00000000" w:rsidRPr="00000000" w14:paraId="00000033">
      <w:pPr>
        <w:spacing w:line="480" w:lineRule="auto"/>
        <w:contextualSpacing w:val="0"/>
        <w:rPr>
          <w:highlight w:val="white"/>
        </w:rPr>
      </w:pPr>
      <w:r w:rsidDel="00000000" w:rsidR="00000000" w:rsidRPr="00000000">
        <w:rPr>
          <w:highlight w:val="white"/>
          <w:rtl w:val="0"/>
        </w:rPr>
        <w:t xml:space="preserve">Muckenhoupt, M. (2018). </w:t>
      </w:r>
      <w:r w:rsidDel="00000000" w:rsidR="00000000" w:rsidRPr="00000000">
        <w:rPr>
          <w:i w:val="1"/>
          <w:highlight w:val="white"/>
          <w:rtl w:val="0"/>
        </w:rPr>
        <w:t xml:space="preserve">Dorothea Dix - Advocate For Mental Health Care</w:t>
      </w:r>
      <w:r w:rsidDel="00000000" w:rsidR="00000000" w:rsidRPr="00000000">
        <w:rPr>
          <w:highlight w:val="white"/>
          <w:rtl w:val="0"/>
        </w:rPr>
        <w:t xml:space="preserve">. [online] Google Books. Available at: https://books.google.co.uk/books?hl=en&amp;lr=&amp;id=8dPhBwAAQBAJ&amp;oi=fnd&amp;pg=PA5&amp;dq=dorothea+dix+accomplishments&amp;ots=THrlnVmbBW&amp;sig=fGNC-vPv97uX7-U1jZWzyxiWDSg&amp;redir_esc=y#v=onepage&amp;q=dorothea%20dix%20accomplishments&amp;f=false [Accessed 17 Apr. 2018].</w:t>
      </w:r>
      <w:r w:rsidDel="00000000" w:rsidR="00000000" w:rsidRPr="00000000">
        <w:rPr>
          <w:rtl w:val="0"/>
        </w:rPr>
      </w:r>
    </w:p>
    <w:p w:rsidR="00000000" w:rsidDel="00000000" w:rsidP="00000000" w:rsidRDefault="00000000" w:rsidRPr="00000000" w14:paraId="00000034">
      <w:pPr>
        <w:spacing w:line="480" w:lineRule="auto"/>
        <w:contextualSpacing w:val="0"/>
        <w:rPr>
          <w:highlight w:val="white"/>
        </w:rPr>
      </w:pPr>
      <w:r w:rsidDel="00000000" w:rsidR="00000000" w:rsidRPr="00000000">
        <w:rPr>
          <w:rtl w:val="0"/>
        </w:rPr>
      </w:r>
    </w:p>
    <w:p w:rsidR="00000000" w:rsidDel="00000000" w:rsidP="00000000" w:rsidRDefault="00000000" w:rsidRPr="00000000" w14:paraId="00000035">
      <w:pPr>
        <w:spacing w:line="480" w:lineRule="auto"/>
        <w:contextualSpacing w:val="0"/>
        <w:rPr>
          <w:highlight w:val="white"/>
        </w:rPr>
      </w:pPr>
      <w:r w:rsidDel="00000000" w:rsidR="00000000" w:rsidRPr="00000000">
        <w:rPr>
          <w:highlight w:val="white"/>
          <w:rtl w:val="0"/>
        </w:rPr>
        <w:t xml:space="preserve">Hannam, J. (2018). </w:t>
      </w:r>
      <w:r w:rsidDel="00000000" w:rsidR="00000000" w:rsidRPr="00000000">
        <w:rPr>
          <w:i w:val="1"/>
          <w:highlight w:val="white"/>
          <w:rtl w:val="0"/>
        </w:rPr>
        <w:t xml:space="preserve">Science and religion: a history of conflict? | James Hannam</w:t>
      </w:r>
      <w:r w:rsidDel="00000000" w:rsidR="00000000" w:rsidRPr="00000000">
        <w:rPr>
          <w:highlight w:val="white"/>
          <w:rtl w:val="0"/>
        </w:rPr>
        <w:t xml:space="preserve">. [online] The Guardian. Available at: https://www.theguardian.com/commentisfree/belief/2009/jun/14/science-religion-coyne [Accessed 18 Apr. 2018].</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