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629"/>
        <w:gridCol w:w="1237"/>
        <w:gridCol w:w="468"/>
        <w:gridCol w:w="1443"/>
        <w:gridCol w:w="6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6629"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 Student Journal (learning log) 750 words +/- 10%</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191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b/>
                <w:sz w:val="32"/>
                <w:szCs w:val="32"/>
                <w:lang w:val="en-GB"/>
              </w:rPr>
              <w:t>2242891</w:t>
            </w:r>
          </w:p>
        </w:tc>
        <w:tc>
          <w:tcPr>
            <w:tcW w:w="662"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b/>
                <w:sz w:val="24"/>
              </w:rPr>
              <w:t>Operating</w:t>
            </w:r>
            <w:r>
              <w:rPr>
                <w:rFonts w:ascii="Arial"/>
                <w:b/>
                <w:spacing w:val="-4"/>
                <w:sz w:val="24"/>
              </w:rPr>
              <w:t xml:space="preserve"> </w:t>
            </w:r>
            <w:r>
              <w:rPr>
                <w:rFonts w:ascii="Arial"/>
                <w:b/>
                <w:sz w:val="24"/>
              </w:rPr>
              <w:t>Hotel</w:t>
            </w:r>
            <w:r>
              <w:rPr>
                <w:rFonts w:ascii="Arial"/>
                <w:b/>
                <w:spacing w:val="-3"/>
                <w:sz w:val="24"/>
              </w:rPr>
              <w:t xml:space="preserve"> </w:t>
            </w:r>
            <w:r>
              <w:rPr>
                <w:rFonts w:ascii="Arial"/>
                <w:b/>
                <w:spacing w:val="-2"/>
                <w:sz w:val="24"/>
              </w:rPr>
              <w:t>Facilities</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b/>
                <w:spacing w:val="-2"/>
              </w:rPr>
              <w:t>BMIH4006</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vAlign w:val="center"/>
          </w:tcPr>
          <w:p>
            <w:pPr>
              <w:pStyle w:val="14"/>
              <w:jc w:val="center"/>
              <w:rPr>
                <w:rFonts w:ascii="Arial" w:hAnsi="Arial" w:eastAsia="Times New Roman" w:cs="Times New Roman"/>
                <w:b/>
                <w:color w:val="auto"/>
                <w:sz w:val="20"/>
                <w:szCs w:val="20"/>
                <w:lang w:val="en-AU"/>
              </w:rPr>
            </w:pPr>
            <w:r>
              <w:rPr>
                <w:rFonts w:hint="default"/>
                <w:b/>
                <w:sz w:val="21"/>
                <w:szCs w:val="21"/>
                <w:lang w:val="en-GB"/>
              </w:rPr>
              <w:t>Natalie Brailsford</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6629"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pStyle w:val="3"/>
            </w:pPr>
            <w:bookmarkStart w:id="0" w:name="_Toc156837670"/>
            <w:r>
              <w:t>1. Introduction:</w:t>
            </w:r>
            <w:bookmarkEnd w:id="0"/>
          </w:p>
          <w:p>
            <w:pPr>
              <w:spacing w:line="360" w:lineRule="auto"/>
              <w:jc w:val="both"/>
              <w:rPr>
                <w:rFonts w:ascii="Arial" w:hAnsi="Arial" w:cs="Arial"/>
                <w:sz w:val="24"/>
                <w:szCs w:val="24"/>
              </w:rPr>
            </w:pPr>
            <w:r>
              <w:rPr>
                <w:rFonts w:ascii="Arial" w:hAnsi="Arial" w:cs="Arial"/>
                <w:sz w:val="24"/>
                <w:szCs w:val="24"/>
              </w:rPr>
              <w:t>The experience of spending time within the housekeeping department has been informative and difficult, providing valuable insights into maintaining a hygiene system in a hotel setting. According to Bass et al. (2020), in this reflective journal access, I will use the Gibbs Model of Reflection to discover my stories, emotions, and the impact of my placement on my personal and professional development.    </w:t>
            </w:r>
          </w:p>
          <w:p>
            <w:pPr>
              <w:pStyle w:val="3"/>
            </w:pPr>
            <w:bookmarkStart w:id="1" w:name="_Toc156837671"/>
            <w:r>
              <w:t>2. Description:</w:t>
            </w:r>
            <w:bookmarkEnd w:id="1"/>
          </w:p>
          <w:p>
            <w:pPr>
              <w:spacing w:line="360" w:lineRule="auto"/>
              <w:jc w:val="both"/>
              <w:rPr>
                <w:rFonts w:ascii="Arial" w:hAnsi="Arial" w:cs="Arial"/>
                <w:sz w:val="24"/>
                <w:szCs w:val="24"/>
              </w:rPr>
            </w:pPr>
            <w:r>
              <w:rPr>
                <w:rFonts w:ascii="Arial" w:hAnsi="Arial" w:cs="Arial"/>
                <w:sz w:val="24"/>
                <w:szCs w:val="24"/>
              </w:rPr>
              <w:t>During my time in the housekeeping department, I experienced all of the obligations and responsibilities that were essential to the visitor carrier. These covered cleaning, booking lodges, ensuring the stocks to amenities, and responding to special requests quickly (Stringam and Gerdes 2021). The careful attention to the element required in each mission became clear when I realized it became at once associated with guest satisfaction. The significance of retaining a hygiene program within the hospitality enterprise can not be overstated. Everything I did helped to create a welcoming and comfortable environment for visitors. From perfecting the mattress to refilling the restroom furniture, the entirety performed a position in enhancing the overall visitor experience.   </w:t>
            </w:r>
          </w:p>
          <w:p>
            <w:pPr>
              <w:pStyle w:val="3"/>
            </w:pPr>
            <w:bookmarkStart w:id="2" w:name="_Toc156837672"/>
            <w:r>
              <w:t>3. Feelings and Emotions (Feel):</w:t>
            </w:r>
            <w:bookmarkEnd w:id="2"/>
          </w:p>
          <w:p>
            <w:pPr>
              <w:spacing w:line="360" w:lineRule="auto"/>
              <w:jc w:val="both"/>
              <w:rPr>
                <w:rFonts w:ascii="Arial" w:hAnsi="Arial" w:cs="Arial"/>
                <w:sz w:val="24"/>
                <w:szCs w:val="24"/>
              </w:rPr>
            </w:pPr>
            <w:r>
              <w:rPr>
                <w:rFonts w:ascii="Arial" w:hAnsi="Arial" w:cs="Arial"/>
                <w:sz w:val="24"/>
                <w:szCs w:val="24"/>
              </w:rPr>
              <w:t>Reflecting on my feelings and emotions at some stage in the placement, I felt amazed to locate myself challenges through the fast-paced environment of the work environment. Working in a crew to fulfill compact deadlines became exciting and demanding (Bridger 2018). The strain of maintaining a high level of hygiene while handling time tested my adaptability and versatility. Collaborating with team individuals created a sense of friendship, however, also highlighted the significance of powerful communication and teamwork to ensure the smooth program of the housekeeping department. Challenges I confronted stimulated a sense of achievement when tasks were efficiently finished, and reinforced my confidence in my potential to work to reach dynamic work environments. </w:t>
            </w:r>
          </w:p>
          <w:p>
            <w:pPr>
              <w:pStyle w:val="3"/>
            </w:pPr>
            <w:bookmarkStart w:id="3" w:name="_Toc156837673"/>
            <w:r>
              <w:t>4. Evaluation:</w:t>
            </w:r>
            <w:bookmarkEnd w:id="3"/>
            <w:r>
              <w:t> </w:t>
            </w:r>
          </w:p>
          <w:p>
            <w:pPr>
              <w:spacing w:line="360" w:lineRule="auto"/>
              <w:jc w:val="both"/>
              <w:rPr>
                <w:rFonts w:ascii="Arial" w:hAnsi="Arial" w:cs="Arial"/>
                <w:sz w:val="24"/>
                <w:szCs w:val="24"/>
              </w:rPr>
            </w:pPr>
            <w:r>
              <w:rPr>
                <w:rFonts w:ascii="Arial" w:hAnsi="Arial" w:cs="Arial"/>
                <w:sz w:val="24"/>
                <w:szCs w:val="24"/>
              </w:rPr>
              <w:t>During my career assessment in the housekeeping department, I found strengths in my interest in detail, flexibility, and ability to collaborate with team individuals but especially in terms of time management and trouble solving I recognized regions for development. Considering my conversation skills, I agree that clean and concise communication is significant in correcting to make sure that obligations are carried out properly (Cottrell 2019). The experience honed my time management abilities with the aid of prioritizing responsibilities based on urgency and importance. Solving issues in real-time situations requires brief thinking and experience, factors I will attempt to refine further in my future endeavors. </w:t>
            </w:r>
          </w:p>
          <w:p>
            <w:pPr>
              <w:pStyle w:val="3"/>
            </w:pPr>
            <w:bookmarkStart w:id="4" w:name="_Toc156837674"/>
            <w:r>
              <w:t>5. Analyse Impact:</w:t>
            </w:r>
            <w:bookmarkEnd w:id="4"/>
          </w:p>
          <w:p>
            <w:pPr>
              <w:spacing w:line="360" w:lineRule="auto"/>
              <w:jc w:val="both"/>
              <w:rPr>
                <w:rFonts w:ascii="Arial" w:hAnsi="Arial" w:cs="Arial"/>
                <w:sz w:val="24"/>
                <w:szCs w:val="24"/>
              </w:rPr>
            </w:pPr>
            <w:r>
              <w:rPr>
                <w:rFonts w:ascii="Arial" w:hAnsi="Arial" w:cs="Arial"/>
                <w:sz w:val="24"/>
                <w:szCs w:val="24"/>
              </w:rPr>
              <w:t>The desire importantly stimulated my knowledge of the function of the housekeeping branch in visitor satisfaction. At first, boring operational responsibilities had been discovered to be the key to the hotel’s success (Leiter and Bakker 2010). The cleanliness and orderliness maintained by the housekeeping team at once affected the overall reputation of the hotel and visitors' satisfaction. Understanding the significance of my function within the achievement of the hotel has given me a feeling of obligation and satisfaction. Now I apprehend that each occasion, no matter how small, contributes to the larger aim of turning in a unique visitor satisfaction. </w:t>
            </w:r>
          </w:p>
          <w:p>
            <w:pPr>
              <w:pStyle w:val="3"/>
            </w:pPr>
            <w:bookmarkStart w:id="5" w:name="_Toc156837675"/>
            <w:r>
              <w:t>6. Conclusion:</w:t>
            </w:r>
            <w:bookmarkEnd w:id="5"/>
          </w:p>
          <w:p>
            <w:pPr>
              <w:spacing w:line="360" w:lineRule="auto"/>
              <w:jc w:val="both"/>
              <w:rPr>
                <w:rFonts w:ascii="Arial" w:hAnsi="Arial" w:cs="Arial"/>
                <w:sz w:val="24"/>
                <w:szCs w:val="24"/>
              </w:rPr>
            </w:pPr>
            <w:r>
              <w:rPr>
                <w:rFonts w:ascii="Arial" w:hAnsi="Arial" w:cs="Arial"/>
                <w:sz w:val="24"/>
                <w:szCs w:val="24"/>
              </w:rPr>
              <w:t>In summary, the experience of my time within the housekeeping branch has been a transformative journey and unrevealed the challenges of the hospitality industry. The training I discovered stimulated my outlook on the mission, emphasizing the significance of attention to detail, effective communication, and collaborative teamwork. </w:t>
            </w:r>
          </w:p>
          <w:p>
            <w:pPr>
              <w:pStyle w:val="3"/>
            </w:pPr>
            <w:bookmarkStart w:id="6" w:name="_Toc156837676"/>
            <w:r>
              <w:t>Action Plan:</w:t>
            </w:r>
            <w:bookmarkEnd w:id="6"/>
          </w:p>
          <w:tbl>
            <w:tblPr>
              <w:tblStyle w:val="15"/>
              <w:tblW w:w="9758" w:type="dxa"/>
              <w:tblInd w:w="0" w:type="dxa"/>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Layout w:type="autofit"/>
              <w:tblCellMar>
                <w:top w:w="0" w:type="dxa"/>
                <w:left w:w="108" w:type="dxa"/>
                <w:bottom w:w="0" w:type="dxa"/>
                <w:right w:w="108" w:type="dxa"/>
              </w:tblCellMar>
            </w:tblPr>
            <w:tblGrid>
              <w:gridCol w:w="6978"/>
              <w:gridCol w:w="2780"/>
            </w:tblGrid>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tcBorders>
                    <w:bottom w:val="single" w:color="666666" w:themeColor="text1" w:themeTint="99" w:sz="12" w:space="0"/>
                    <w:insideH w:val="single" w:sz="12" w:space="0"/>
                  </w:tcBorders>
                </w:tcPr>
                <w:p>
                  <w:pPr>
                    <w:spacing w:after="0" w:line="240" w:lineRule="auto"/>
                    <w:rPr>
                      <w:rFonts w:ascii="Arial" w:hAnsi="Arial" w:cs="Arial"/>
                      <w:b/>
                      <w:bCs/>
                      <w:color w:val="000000" w:themeColor="text1"/>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Action Plan</w:t>
                  </w:r>
                </w:p>
              </w:tc>
              <w:tc>
                <w:tcPr>
                  <w:tcW w:w="0" w:type="auto"/>
                  <w:tcBorders>
                    <w:bottom w:val="single" w:color="666666" w:themeColor="text1" w:themeTint="99" w:sz="12" w:space="0"/>
                    <w:insideH w:val="single" w:sz="12" w:space="0"/>
                  </w:tcBorders>
                </w:tcPr>
                <w:p>
                  <w:pPr>
                    <w:spacing w:after="160" w:line="360" w:lineRule="auto"/>
                    <w:jc w:val="both"/>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Timeline</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shd w:val="clear" w:color="auto" w:fill="CCCCCC" w:themeFill="text1" w:themeFillTint="33"/>
                </w:tcPr>
                <w:p>
                  <w:pPr>
                    <w:spacing w:after="16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Attend additional training sessions on time management and problem-solving.</w:t>
                  </w:r>
                </w:p>
              </w:tc>
              <w:tc>
                <w:tcPr>
                  <w:tcW w:w="0" w:type="auto"/>
                  <w:shd w:val="clear" w:color="auto" w:fill="CCCCCC" w:themeFill="text1" w:themeFillTint="33"/>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Within the next 3 months</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Seek mentorship from experienced team members to refine my communication skills (Sarabipour et al. 2022).</w:t>
                  </w:r>
                </w:p>
              </w:tc>
              <w:tc>
                <w:tcPr>
                  <w:tcW w:w="0" w:type="auto"/>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Ongoing throughout the placement</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shd w:val="clear" w:color="auto" w:fill="CCCCCC" w:themeFill="text1" w:themeFillTint="33"/>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Regularly engage in self-reflection to identify areas for improvement and growth.</w:t>
                  </w:r>
                </w:p>
              </w:tc>
              <w:tc>
                <w:tcPr>
                  <w:tcW w:w="0" w:type="auto"/>
                  <w:shd w:val="clear" w:color="auto" w:fill="CCCCCC" w:themeFill="text1" w:themeFillTint="33"/>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Weekly reflection sessions</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Stay updated on industry trends and best practices to continuously enhance my professional development.</w:t>
                  </w:r>
                </w:p>
              </w:tc>
              <w:tc>
                <w:tcPr>
                  <w:tcW w:w="0" w:type="auto"/>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Subscribe to industry newsletters and attend relevant webinars quarterly</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shd w:val="clear" w:color="auto" w:fill="CCCCCC" w:themeFill="text1" w:themeFillTint="33"/>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Continuous Growth and Success Statement: This action plan will contribute to my continuous growth and success in the hospitality career, ensuring that I am well-equipped to face the challenges of the dynamic industry (Nuong and Ragavan 2023).</w:t>
                  </w:r>
                </w:p>
              </w:tc>
              <w:tc>
                <w:tcPr>
                  <w:tcW w:w="0" w:type="auto"/>
                  <w:shd w:val="clear" w:color="auto" w:fill="CCCCCC" w:themeFill="text1" w:themeFillTint="33"/>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Ongoing throughout my career</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Action Plan</w:t>
                  </w:r>
                </w:p>
              </w:tc>
              <w:tc>
                <w:tcPr>
                  <w:tcW w:w="0" w:type="auto"/>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Timeline</w:t>
                  </w:r>
                </w:p>
              </w:tc>
            </w:tr>
            <w:tr>
              <w:tblPrEx>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CellMar>
                  <w:top w:w="0" w:type="dxa"/>
                  <w:left w:w="108" w:type="dxa"/>
                  <w:bottom w:w="0" w:type="dxa"/>
                  <w:right w:w="108" w:type="dxa"/>
                </w:tblCellMar>
              </w:tblPrEx>
              <w:tc>
                <w:tcPr>
                  <w:tcW w:w="0" w:type="auto"/>
                  <w:shd w:val="clear" w:color="auto" w:fill="CCCCCC" w:themeFill="text1" w:themeFillTint="33"/>
                </w:tcPr>
                <w:p>
                  <w:pPr>
                    <w:spacing w:after="0" w:line="360" w:lineRule="auto"/>
                    <w:jc w:val="both"/>
                    <w:rPr>
                      <w:rFonts w:ascii="Arial" w:hAnsi="Arial" w:cs="Arial"/>
                      <w:b w:val="0"/>
                      <w:bCs w:val="0"/>
                      <w:color w:val="000000" w:themeColor="text1"/>
                      <w:sz w:val="24"/>
                      <w:szCs w:val="24"/>
                      <w14:textFill>
                        <w14:solidFill>
                          <w14:schemeClr w14:val="tx1"/>
                        </w14:solidFill>
                      </w14:textFill>
                    </w:rPr>
                  </w:pPr>
                  <w:r>
                    <w:rPr>
                      <w:rFonts w:ascii="Arial" w:hAnsi="Arial" w:cs="Arial"/>
                      <w:b w:val="0"/>
                      <w:bCs w:val="0"/>
                      <w:color w:val="000000" w:themeColor="text1"/>
                      <w:sz w:val="24"/>
                      <w:szCs w:val="24"/>
                      <w14:textFill>
                        <w14:solidFill>
                          <w14:schemeClr w14:val="tx1"/>
                        </w14:solidFill>
                      </w14:textFill>
                    </w:rPr>
                    <w:t>Attend additional training sessions on time management and problem-solving.</w:t>
                  </w:r>
                </w:p>
              </w:tc>
              <w:tc>
                <w:tcPr>
                  <w:tcW w:w="0" w:type="auto"/>
                  <w:shd w:val="clear" w:color="auto" w:fill="CCCCCC" w:themeFill="text1" w:themeFillTint="33"/>
                </w:tcPr>
                <w:p>
                  <w:pPr>
                    <w:spacing w:after="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Within the next 3 months</w:t>
                  </w:r>
                </w:p>
              </w:tc>
            </w:tr>
          </w:tbl>
          <w:p>
            <w:pPr>
              <w:spacing w:line="360" w:lineRule="auto"/>
              <w:jc w:val="both"/>
              <w:rPr>
                <w:rFonts w:ascii="Arial" w:hAnsi="Arial" w:cs="Arial"/>
                <w:sz w:val="24"/>
                <w:szCs w:val="24"/>
              </w:rPr>
            </w:pPr>
          </w:p>
          <w:p>
            <w:pPr>
              <w:pStyle w:val="3"/>
            </w:pPr>
            <w:bookmarkStart w:id="7" w:name="_Toc156837677"/>
            <w:r>
              <w:t>Action Plan Overview:</w:t>
            </w:r>
            <w:bookmarkEnd w:id="7"/>
          </w:p>
          <w:p>
            <w:pPr>
              <w:spacing w:line="360" w:lineRule="auto"/>
              <w:jc w:val="both"/>
              <w:rPr>
                <w:rFonts w:hint="default" w:ascii="Arial" w:hAnsi="Arial" w:eastAsia="Times New Roman" w:cs="Times New Roman"/>
                <w:bCs/>
                <w:color w:val="auto"/>
                <w:sz w:val="20"/>
                <w:szCs w:val="20"/>
                <w:lang w:val="en-GB"/>
              </w:rPr>
            </w:pPr>
            <w:r>
              <w:rPr>
                <w:rFonts w:ascii="Arial" w:hAnsi="Arial" w:cs="Arial"/>
                <w:sz w:val="24"/>
                <w:szCs w:val="24"/>
              </w:rPr>
              <w:t>This action plan makes specially targeted steps for improvement and a defined timeline. Demonstrates a proactive method to abilities improvement, including specific training and guidance, upholding a strategic approach to skill enhancement. Constant self-reflection is acknowledged as a key point, which enhances personal development. Staying up to date on business trends through regular engagement for flexibility. Recognizing its vital role in preparing for the ever-evolving demanding situations of the dynamic hospitality industry, a commitment to continuous development is not always a conclusion as well as a way to strategic imperative (Bardukova 2023). This proactive approach is steady with a forward-thinking approach to experts' development and well-being within the unexpectedly changing hospitality environment</w:t>
            </w:r>
            <w:r>
              <w:rPr>
                <w:rFonts w:hint="default" w:ascii="Arial" w:hAnsi="Arial" w:cs="Arial"/>
                <w:sz w:val="24"/>
                <w:szCs w:val="24"/>
                <w:lang w:val="en-GB"/>
              </w:rPr>
              <w:t xml:space="preserve">. </w:t>
            </w: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
      <w:pPr>
        <w:sectPr>
          <w:pgSz w:w="11906" w:h="16838"/>
          <w:pgMar w:top="720" w:right="720" w:bottom="720" w:left="720" w:header="709" w:footer="709" w:gutter="0"/>
          <w:cols w:space="708" w:num="1"/>
          <w:docGrid w:linePitch="360" w:charSpace="0"/>
        </w:sectPr>
      </w:pPr>
    </w:p>
    <w:p>
      <w:pPr>
        <w:widowControl w:val="0"/>
        <w:autoSpaceDE w:val="0"/>
        <w:autoSpaceDN w:val="0"/>
        <w:spacing w:after="0" w:line="240" w:lineRule="auto"/>
        <w:rPr>
          <w:rFonts w:eastAsia="Times New Roman" w:asciiTheme="minorBidi" w:hAnsiTheme="minorBidi"/>
          <w:color w:val="000000"/>
          <w:sz w:val="28"/>
          <w:szCs w:val="28"/>
          <w:shd w:val="clear" w:color="auto" w:fill="FFFFFF"/>
          <w:lang w:val="en-US"/>
        </w:rPr>
      </w:pPr>
      <w:r>
        <w:rPr>
          <w:rFonts w:asciiTheme="minorBidi" w:hAnsiTheme="minorBidi"/>
          <w:b/>
          <w:bCs/>
          <w:sz w:val="28"/>
          <w:szCs w:val="24"/>
        </w:rPr>
        <w:t>Component Two:</w:t>
      </w:r>
      <w:r>
        <w:rPr>
          <w:rFonts w:asciiTheme="minorHAnsi" w:hAnsiTheme="minorHAnsi"/>
          <w:lang w:eastAsia="en-GB"/>
        </w:rPr>
        <w:t xml:space="preserve"> </w:t>
      </w:r>
      <w:r>
        <w:rPr>
          <w:rFonts w:eastAsia="Carlito" w:asciiTheme="minorBidi" w:hAnsiTheme="minorBidi"/>
          <w:b/>
          <w:bCs/>
          <w:color w:val="000000"/>
          <w:sz w:val="28"/>
          <w:szCs w:val="28"/>
          <w:lang w:val="en-US"/>
        </w:rPr>
        <w:t xml:space="preserve">Health and Safety Guide </w:t>
      </w:r>
    </w:p>
    <w:p>
      <w:pPr>
        <w:rPr>
          <w:rFonts w:asciiTheme="minorBidi" w:hAnsiTheme="minorBidi"/>
          <w:b/>
          <w:bCs/>
          <w:sz w:val="22"/>
        </w:rPr>
      </w:pPr>
      <w:r>
        <w:rPr>
          <w:rFonts w:eastAsia="Carlito" w:asciiTheme="minorBidi" w:hAnsiTheme="minorBidi"/>
          <w:b/>
          <w:color w:val="auto"/>
          <w:sz w:val="22"/>
          <w:lang w:val="en-US"/>
        </w:rPr>
        <w:t>Contribution to Overall Module Assessment: 25%</w:t>
      </w:r>
    </w:p>
    <w:p>
      <w:pPr>
        <w:widowControl w:val="0"/>
        <w:autoSpaceDE w:val="0"/>
        <w:autoSpaceDN w:val="0"/>
        <w:spacing w:after="0" w:line="240" w:lineRule="auto"/>
        <w:jc w:val="center"/>
        <w:rPr>
          <w:rFonts w:eastAsia="Times New Roman" w:asciiTheme="minorBidi" w:hAnsiTheme="minorBidi"/>
          <w:color w:val="000000"/>
          <w:sz w:val="28"/>
          <w:szCs w:val="28"/>
          <w:shd w:val="clear" w:color="auto" w:fill="FFFFFF"/>
          <w:lang w:val="en-US"/>
        </w:rPr>
      </w:pPr>
    </w:p>
    <w:p>
      <w:pPr>
        <w:spacing w:line="360" w:lineRule="auto"/>
        <w:jc w:val="both"/>
        <w:rPr>
          <w:rFonts w:ascii="Arial" w:hAnsi="Arial" w:cs="Arial"/>
          <w:sz w:val="24"/>
          <w:szCs w:val="24"/>
        </w:rPr>
      </w:pPr>
      <w:r>
        <w:rPr>
          <w:rFonts w:ascii="Arial" w:hAnsi="Arial" w:cs="Arial"/>
          <w:i/>
          <w:iCs/>
          <w:sz w:val="24"/>
          <w:szCs w:val="24"/>
        </w:rPr>
        <w:t>Premier Inn Colchester Town Centre (Castle Lidia Leva)</w:t>
      </w:r>
    </w:p>
    <w:p>
      <w:pPr>
        <w:pStyle w:val="3"/>
      </w:pPr>
      <w:bookmarkStart w:id="8" w:name="_Toc156837679"/>
      <w:r>
        <w:t>1. Introduction:</w:t>
      </w:r>
      <w:bookmarkEnd w:id="8"/>
    </w:p>
    <w:p>
      <w:pPr>
        <w:spacing w:line="360" w:lineRule="auto"/>
        <w:jc w:val="both"/>
        <w:rPr>
          <w:rFonts w:ascii="Arial" w:hAnsi="Arial" w:cs="Arial"/>
          <w:sz w:val="24"/>
          <w:szCs w:val="24"/>
        </w:rPr>
      </w:pPr>
      <w:r>
        <w:rPr>
          <w:rFonts w:ascii="Arial" w:hAnsi="Arial" w:cs="Arial"/>
          <w:sz w:val="24"/>
          <w:szCs w:val="24"/>
        </w:rPr>
        <w:t>Ensuring the protection and well-being of the housekeeping responsibilities team of workers is a top precedence at Premier Inn Colchester Town Centre, Castle Lidia Leva. This extensive health and protection support for room cleaning is designed to grow recognition and set up satisfactory practices. By addressing potential risks and implementing safety measures, aim to provide a secure environment for all participants involved in retaining the excessive standards of cleanliness that are expected by visitors. </w:t>
      </w:r>
    </w:p>
    <w:p>
      <w:pPr>
        <w:pStyle w:val="3"/>
      </w:pPr>
      <w:bookmarkStart w:id="9" w:name="_Toc156837680"/>
      <w:r>
        <w:t>2. Precautions:</w:t>
      </w:r>
      <w:bookmarkEnd w:id="9"/>
    </w:p>
    <w:p>
      <w:pPr>
        <w:spacing w:line="360" w:lineRule="auto"/>
        <w:jc w:val="both"/>
        <w:rPr>
          <w:rFonts w:ascii="Arial" w:hAnsi="Arial" w:cs="Arial"/>
          <w:sz w:val="24"/>
          <w:szCs w:val="24"/>
        </w:rPr>
      </w:pPr>
      <w:r>
        <w:rPr>
          <w:rFonts w:ascii="Arial" w:hAnsi="Arial" w:cs="Arial"/>
          <w:i/>
          <w:iCs/>
          <w:sz w:val="24"/>
          <w:szCs w:val="24"/>
        </w:rPr>
        <w:t xml:space="preserve">Personal Protective Equipment (PPE): </w:t>
      </w:r>
      <w:r>
        <w:rPr>
          <w:rFonts w:ascii="Arial" w:hAnsi="Arial" w:cs="Arial"/>
          <w:sz w:val="24"/>
          <w:szCs w:val="24"/>
        </w:rPr>
        <w:t>Fix that suitable gloves and footwear are used to protect in opposition to chemicals and potential slip hazards (Mullins and Dossor 2013). Promote sufficient apply a mask where there may be dust or scrap inside the air to defend breathing health. </w:t>
      </w:r>
    </w:p>
    <w:p>
      <w:pPr>
        <w:spacing w:line="360" w:lineRule="auto"/>
        <w:jc w:val="both"/>
        <w:rPr>
          <w:rFonts w:ascii="Arial" w:hAnsi="Arial" w:cs="Arial"/>
          <w:sz w:val="24"/>
          <w:szCs w:val="24"/>
        </w:rPr>
      </w:pPr>
      <w:r>
        <w:rPr>
          <w:rFonts w:ascii="Arial" w:hAnsi="Arial" w:cs="Arial"/>
          <w:i/>
          <w:iCs/>
          <w:sz w:val="24"/>
          <w:szCs w:val="24"/>
        </w:rPr>
        <w:t xml:space="preserve">Chemical Handling: </w:t>
      </w:r>
      <w:r>
        <w:rPr>
          <w:rFonts w:ascii="Arial" w:hAnsi="Arial" w:cs="Arial"/>
          <w:sz w:val="24"/>
          <w:szCs w:val="24"/>
        </w:rPr>
        <w:t>The manufacturer should provide adequate training on proper chemical practices, emphasizing the significance of following procedures. Make sure adequate ventilation in areas where cleaning agents are used to reduce the risk of chemical exposure. </w:t>
      </w:r>
    </w:p>
    <w:p>
      <w:pPr>
        <w:spacing w:line="360" w:lineRule="auto"/>
        <w:jc w:val="both"/>
        <w:rPr>
          <w:rFonts w:ascii="Arial" w:hAnsi="Arial" w:cs="Arial"/>
          <w:sz w:val="24"/>
          <w:szCs w:val="24"/>
        </w:rPr>
      </w:pPr>
      <w:r>
        <w:rPr>
          <w:rFonts w:ascii="Arial" w:hAnsi="Arial" w:cs="Arial"/>
          <w:i/>
          <w:iCs/>
          <w:sz w:val="24"/>
          <w:szCs w:val="24"/>
        </w:rPr>
        <w:t xml:space="preserve">Ergonomics: </w:t>
      </w:r>
      <w:r>
        <w:rPr>
          <w:rFonts w:ascii="Arial" w:hAnsi="Arial" w:cs="Arial"/>
          <w:sz w:val="24"/>
          <w:szCs w:val="24"/>
        </w:rPr>
        <w:t>Guild employees proper lifting strategies to reduce and prevent strains and accidents throughout the cleaning process. Schedule regular breaks to mitigate fatigue at some point during long cleaning classes, and encourage overall well-being.</w:t>
      </w:r>
    </w:p>
    <w:p>
      <w:pPr>
        <w:pStyle w:val="3"/>
      </w:pPr>
      <w:bookmarkStart w:id="10" w:name="_Toc156837681"/>
      <w:r>
        <w:t>3. Procedures:</w:t>
      </w:r>
      <w:bookmarkEnd w:id="10"/>
      <w:r>
        <w:t> </w:t>
      </w:r>
    </w:p>
    <w:p>
      <w:pPr>
        <w:spacing w:line="360" w:lineRule="auto"/>
        <w:jc w:val="both"/>
        <w:rPr>
          <w:rFonts w:ascii="Arial" w:hAnsi="Arial" w:cs="Arial"/>
          <w:sz w:val="24"/>
          <w:szCs w:val="24"/>
        </w:rPr>
      </w:pPr>
      <w:r>
        <w:rPr>
          <w:rFonts w:ascii="Arial" w:hAnsi="Arial" w:cs="Arial"/>
          <w:i/>
          <w:iCs/>
          <w:sz w:val="24"/>
          <w:szCs w:val="24"/>
        </w:rPr>
        <w:t xml:space="preserve">Room Inspection: </w:t>
      </w:r>
      <w:r>
        <w:rPr>
          <w:rFonts w:ascii="Arial" w:hAnsi="Arial" w:cs="Arial"/>
          <w:sz w:val="24"/>
          <w:szCs w:val="24"/>
        </w:rPr>
        <w:t>Conduct a detailed room inspection process before starting the cleaning practices. Address potential risks consisting of damaged electric wiring, broken furnishings, or different protection issues. </w:t>
      </w:r>
    </w:p>
    <w:p>
      <w:pPr>
        <w:spacing w:line="360" w:lineRule="auto"/>
        <w:jc w:val="both"/>
        <w:rPr>
          <w:rFonts w:ascii="Arial" w:hAnsi="Arial" w:cs="Arial"/>
          <w:sz w:val="24"/>
          <w:szCs w:val="24"/>
        </w:rPr>
      </w:pPr>
      <w:r>
        <w:rPr>
          <w:rFonts w:ascii="Arial" w:hAnsi="Arial" w:cs="Arial"/>
          <w:i/>
          <w:iCs/>
          <w:sz w:val="24"/>
          <w:szCs w:val="24"/>
        </w:rPr>
        <w:t xml:space="preserve">Communication: </w:t>
      </w:r>
      <w:r>
        <w:rPr>
          <w:rFonts w:ascii="Arial" w:hAnsi="Arial" w:cs="Arial"/>
          <w:sz w:val="24"/>
          <w:szCs w:val="24"/>
        </w:rPr>
        <w:t>Establish verbal exchange structures inside the housekeeping team so that every individual knows each other differently in shared areas (Raghubalan and Raghubalan 2016). This mitigates the risk of injuries and increases universal team coordination. </w:t>
      </w:r>
    </w:p>
    <w:p>
      <w:pPr>
        <w:spacing w:line="360" w:lineRule="auto"/>
        <w:jc w:val="both"/>
        <w:rPr>
          <w:rFonts w:ascii="Arial" w:hAnsi="Arial" w:cs="Arial"/>
          <w:sz w:val="24"/>
          <w:szCs w:val="24"/>
        </w:rPr>
      </w:pPr>
      <w:r>
        <w:rPr>
          <w:rFonts w:ascii="Arial" w:hAnsi="Arial" w:cs="Arial"/>
          <w:i/>
          <w:iCs/>
          <w:sz w:val="24"/>
          <w:szCs w:val="24"/>
        </w:rPr>
        <w:t xml:space="preserve">Floor Cleaning: </w:t>
      </w:r>
      <w:r>
        <w:rPr>
          <w:rFonts w:ascii="Arial" w:hAnsi="Arial" w:cs="Arial"/>
          <w:sz w:val="24"/>
          <w:szCs w:val="24"/>
        </w:rPr>
        <w:t>Exhibits an explanation for a step-by-step floor cleaning process to reduce slips and falls. Emphasizing the significance of using warning signs and symptoms in wet areas which include non-slip mats, particularly in the restroom. </w:t>
      </w:r>
    </w:p>
    <w:p>
      <w:pPr>
        <w:spacing w:line="360" w:lineRule="auto"/>
        <w:jc w:val="both"/>
        <w:rPr>
          <w:rFonts w:ascii="Arial" w:hAnsi="Arial" w:cs="Arial"/>
          <w:sz w:val="24"/>
          <w:szCs w:val="24"/>
        </w:rPr>
      </w:pPr>
      <w:r>
        <w:rPr>
          <w:rFonts w:ascii="Arial" w:hAnsi="Arial" w:cs="Arial"/>
          <w:i/>
          <w:iCs/>
          <w:sz w:val="24"/>
          <w:szCs w:val="24"/>
        </w:rPr>
        <w:t xml:space="preserve">Bathroom Sanitization: </w:t>
      </w:r>
      <w:r>
        <w:rPr>
          <w:rFonts w:ascii="Arial" w:hAnsi="Arial" w:cs="Arial"/>
          <w:sz w:val="24"/>
          <w:szCs w:val="24"/>
        </w:rPr>
        <w:t>Implement a safe lavatory cleaning strategy, along with proper handling of disinfectants and adherence to recommended content items to make sure each item is properly sanitized. </w:t>
      </w:r>
    </w:p>
    <w:p>
      <w:pPr>
        <w:pStyle w:val="3"/>
      </w:pPr>
      <w:bookmarkStart w:id="11" w:name="_Toc156837682"/>
      <w:r>
        <w:t>4. Equipment:</w:t>
      </w:r>
      <w:bookmarkEnd w:id="11"/>
    </w:p>
    <w:p>
      <w:pPr>
        <w:spacing w:line="360" w:lineRule="auto"/>
        <w:jc w:val="both"/>
        <w:rPr>
          <w:rFonts w:ascii="Arial" w:hAnsi="Arial" w:cs="Arial"/>
          <w:sz w:val="24"/>
          <w:szCs w:val="24"/>
        </w:rPr>
      </w:pPr>
      <w:r>
        <w:rPr>
          <w:rFonts w:ascii="Arial" w:hAnsi="Arial" w:cs="Arial"/>
          <w:i/>
          <w:iCs/>
          <w:sz w:val="24"/>
          <w:szCs w:val="24"/>
        </w:rPr>
        <w:t xml:space="preserve">Vacuum Cleaners: </w:t>
      </w:r>
      <w:r>
        <w:rPr>
          <w:rFonts w:ascii="Arial" w:hAnsi="Arial" w:cs="Arial"/>
          <w:sz w:val="24"/>
          <w:szCs w:val="24"/>
        </w:rPr>
        <w:t>Make sure that housekeepers properly use vacuum cleaners with essential attachments for different surfaces, ensuring effective and safe cleaning (Quick 2020). </w:t>
      </w:r>
    </w:p>
    <w:p>
      <w:pPr>
        <w:spacing w:line="360" w:lineRule="auto"/>
        <w:jc w:val="both"/>
        <w:rPr>
          <w:rFonts w:ascii="Arial" w:hAnsi="Arial" w:cs="Arial"/>
          <w:sz w:val="24"/>
          <w:szCs w:val="24"/>
        </w:rPr>
      </w:pPr>
      <w:r>
        <w:rPr>
          <w:rFonts w:ascii="Arial" w:hAnsi="Arial" w:cs="Arial"/>
          <w:i/>
          <w:iCs/>
          <w:sz w:val="24"/>
          <w:szCs w:val="24"/>
        </w:rPr>
        <w:t xml:space="preserve">Mop and Bucket: </w:t>
      </w:r>
      <w:r>
        <w:rPr>
          <w:rFonts w:ascii="Arial" w:hAnsi="Arial" w:cs="Arial"/>
          <w:sz w:val="24"/>
          <w:szCs w:val="24"/>
        </w:rPr>
        <w:t>Housekeepers must use mops and buckets with anti-slip features to mitigate the hazard of injuries throughout floor cleaning. </w:t>
      </w:r>
    </w:p>
    <w:p>
      <w:pPr>
        <w:spacing w:line="360" w:lineRule="auto"/>
        <w:jc w:val="both"/>
        <w:rPr>
          <w:rFonts w:ascii="Arial" w:hAnsi="Arial" w:cs="Arial"/>
          <w:sz w:val="24"/>
          <w:szCs w:val="24"/>
        </w:rPr>
      </w:pPr>
      <w:r>
        <w:rPr>
          <w:rFonts w:ascii="Arial" w:hAnsi="Arial" w:cs="Arial"/>
          <w:i/>
          <w:iCs/>
          <w:sz w:val="24"/>
          <w:szCs w:val="24"/>
        </w:rPr>
        <w:t xml:space="preserve">Ladders: </w:t>
      </w:r>
      <w:r>
        <w:rPr>
          <w:rFonts w:ascii="Arial" w:hAnsi="Arial" w:cs="Arial"/>
          <w:sz w:val="24"/>
          <w:szCs w:val="24"/>
        </w:rPr>
        <w:t>Check properly ladders are strong and gripped properly, and encourage safe use for responsibilities that require reaching elevated areas. </w:t>
      </w:r>
    </w:p>
    <w:p>
      <w:pPr>
        <w:spacing w:line="360" w:lineRule="auto"/>
        <w:jc w:val="both"/>
        <w:rPr>
          <w:rFonts w:ascii="Arial" w:hAnsi="Arial" w:cs="Arial"/>
          <w:sz w:val="24"/>
          <w:szCs w:val="24"/>
        </w:rPr>
      </w:pPr>
      <w:r>
        <w:rPr>
          <w:rFonts w:ascii="Arial" w:hAnsi="Arial" w:cs="Arial"/>
          <w:i/>
          <w:iCs/>
          <w:sz w:val="24"/>
          <w:szCs w:val="24"/>
        </w:rPr>
        <w:t xml:space="preserve">Cleaning Carts: </w:t>
      </w:r>
      <w:r>
        <w:rPr>
          <w:rFonts w:ascii="Arial" w:hAnsi="Arial" w:cs="Arial"/>
          <w:sz w:val="24"/>
          <w:szCs w:val="24"/>
        </w:rPr>
        <w:t>Design cleaning charts with compartments for an accurate and well-organized system, reducing the danger of harm from misplaced or improperly organized tools. </w:t>
      </w:r>
    </w:p>
    <w:p>
      <w:pPr>
        <w:pStyle w:val="3"/>
      </w:pPr>
      <w:bookmarkStart w:id="12" w:name="_Toc156837683"/>
      <w:r>
        <w:t>5. Hazard Mitigation:</w:t>
      </w:r>
      <w:bookmarkEnd w:id="12"/>
    </w:p>
    <w:p>
      <w:pPr>
        <w:spacing w:line="360" w:lineRule="auto"/>
        <w:jc w:val="both"/>
        <w:rPr>
          <w:rFonts w:ascii="Arial" w:hAnsi="Arial" w:cs="Arial"/>
          <w:sz w:val="24"/>
          <w:szCs w:val="24"/>
        </w:rPr>
      </w:pPr>
      <w:r>
        <w:rPr>
          <w:rFonts w:ascii="Arial" w:hAnsi="Arial" w:cs="Arial"/>
          <w:i/>
          <w:iCs/>
          <w:sz w:val="24"/>
          <w:szCs w:val="24"/>
        </w:rPr>
        <w:t xml:space="preserve">Slip Hazards: </w:t>
      </w:r>
      <w:r>
        <w:rPr>
          <w:rFonts w:ascii="Arial" w:hAnsi="Arial" w:cs="Arial"/>
          <w:sz w:val="24"/>
          <w:szCs w:val="24"/>
        </w:rPr>
        <w:t>Properly place caution signs in moist areas, and caution employees and site visitors to take safe ground (Bird and Gísladóttir 2020). Use non-slip mats in the bathroom to reduce the danger of slips and falls in these high-traffic areas. </w:t>
      </w:r>
    </w:p>
    <w:p>
      <w:pPr>
        <w:spacing w:line="360" w:lineRule="auto"/>
        <w:jc w:val="both"/>
        <w:rPr>
          <w:rFonts w:ascii="Arial" w:hAnsi="Arial" w:cs="Arial"/>
          <w:sz w:val="24"/>
          <w:szCs w:val="24"/>
        </w:rPr>
      </w:pPr>
      <w:r>
        <w:rPr>
          <w:rFonts w:ascii="Arial" w:hAnsi="Arial" w:cs="Arial"/>
          <w:i/>
          <w:iCs/>
          <w:sz w:val="24"/>
          <w:szCs w:val="24"/>
        </w:rPr>
        <w:t xml:space="preserve">Electrical Safety: </w:t>
      </w:r>
      <w:r>
        <w:rPr>
          <w:rFonts w:ascii="Arial" w:hAnsi="Arial" w:cs="Arial"/>
          <w:sz w:val="24"/>
          <w:szCs w:val="24"/>
        </w:rPr>
        <w:t>Regularly inspect and replace defective wires in electronic devices without delay in protecting them from potential electric hazards (Thomas and Gopalan 2022). Provide extensive training in secure electrical practices to minimize the hazard of accidents.</w:t>
      </w:r>
    </w:p>
    <w:p>
      <w:pPr>
        <w:spacing w:line="360" w:lineRule="auto"/>
        <w:jc w:val="both"/>
        <w:rPr>
          <w:rFonts w:ascii="Arial" w:hAnsi="Arial" w:cs="Arial"/>
          <w:sz w:val="24"/>
          <w:szCs w:val="24"/>
        </w:rPr>
      </w:pPr>
      <w:r>
        <w:rPr>
          <w:rFonts w:ascii="Arial" w:hAnsi="Arial" w:cs="Arial"/>
          <w:i/>
          <w:iCs/>
          <w:sz w:val="24"/>
          <w:szCs w:val="24"/>
        </w:rPr>
        <w:t xml:space="preserve">Chemical Exposure: </w:t>
      </w:r>
      <w:r>
        <w:rPr>
          <w:rFonts w:ascii="Arial" w:hAnsi="Arial" w:cs="Arial"/>
          <w:sz w:val="24"/>
          <w:szCs w:val="24"/>
        </w:rPr>
        <w:t xml:space="preserve">Establish a </w:t>
      </w:r>
      <w:r>
        <w:rPr>
          <w:rFonts w:ascii="Arial" w:hAnsi="Arial" w:cs="Arial"/>
          <w:sz w:val="24"/>
          <w:szCs w:val="24"/>
          <w:lang w:val="en-GB"/>
        </w:rPr>
        <w:t>labelling</w:t>
      </w:r>
      <w:bookmarkStart w:id="14" w:name="_GoBack"/>
      <w:bookmarkEnd w:id="14"/>
      <w:r>
        <w:rPr>
          <w:rFonts w:ascii="Arial" w:hAnsi="Arial" w:cs="Arial"/>
          <w:sz w:val="24"/>
          <w:szCs w:val="24"/>
        </w:rPr>
        <w:t xml:space="preserve"> system for all preservation items, ensuring clear identification and proper control. Store medications in a well-ventilated area to reduce the risk of breathing issues and remedy retention. </w:t>
      </w:r>
    </w:p>
    <w:p>
      <w:pPr>
        <w:pStyle w:val="3"/>
      </w:pPr>
      <w:bookmarkStart w:id="13" w:name="_Toc156837684"/>
      <w:r>
        <w:t>6. Conclusion:</w:t>
      </w:r>
      <w:bookmarkEnd w:id="13"/>
    </w:p>
    <w:p>
      <w:pPr>
        <w:spacing w:line="360" w:lineRule="auto"/>
        <w:jc w:val="both"/>
        <w:rPr>
          <w:rFonts w:ascii="Arial" w:hAnsi="Arial" w:cs="Arial"/>
          <w:sz w:val="24"/>
          <w:szCs w:val="24"/>
        </w:rPr>
      </w:pPr>
      <w:r>
        <w:rPr>
          <w:rFonts w:ascii="Arial" w:hAnsi="Arial" w:cs="Arial"/>
          <w:sz w:val="24"/>
          <w:szCs w:val="24"/>
        </w:rPr>
        <w:t>These health and safety guilds are a concern for the devoted housekeeping team at Premier Inn Colchester Town Centre, Castle L</w:t>
      </w:r>
      <w:r>
        <w:rPr>
          <w:rFonts w:hint="default" w:ascii="Arial" w:hAnsi="Arial" w:cs="Arial"/>
          <w:sz w:val="24"/>
          <w:szCs w:val="24"/>
          <w:lang w:val="en-GB"/>
        </w:rPr>
        <w:t>idia Leva</w:t>
      </w:r>
      <w:r>
        <w:rPr>
          <w:rFonts w:ascii="Arial" w:hAnsi="Arial" w:cs="Arial"/>
          <w:sz w:val="24"/>
          <w:szCs w:val="24"/>
        </w:rPr>
        <w:t xml:space="preserve"> to provide a secure and risk-free environment. This emphasizes a commitment to keeping the best requirements of cleanliness and visitor pleasure. </w:t>
      </w:r>
    </w:p>
    <w:p>
      <w:pPr>
        <w:rPr>
          <w:b/>
          <w:bCs/>
        </w:rPr>
      </w:pPr>
    </w:p>
    <w:p>
      <w:pPr>
        <w:rPr>
          <w:b/>
          <w:bCs/>
        </w:rPr>
      </w:pPr>
    </w:p>
    <w:p>
      <w:pPr>
        <w:pBdr>
          <w:top w:val="single" w:color="auto" w:sz="4" w:space="1"/>
          <w:left w:val="single" w:color="auto" w:sz="4" w:space="4"/>
          <w:bottom w:val="single" w:color="auto" w:sz="4" w:space="1"/>
          <w:right w:val="single" w:color="auto" w:sz="4" w:space="4"/>
          <w:between w:val="single" w:color="auto" w:sz="4" w:space="1"/>
        </w:pBdr>
        <w:rPr>
          <w:b/>
          <w:bCs/>
        </w:rPr>
        <w:sectPr>
          <w:pgSz w:w="16838" w:h="11906" w:orient="landscape"/>
          <w:pgMar w:top="1440" w:right="1077" w:bottom="1440" w:left="1077" w:header="709" w:footer="709" w:gutter="0"/>
          <w:cols w:space="708" w:num="1"/>
          <w:docGrid w:linePitch="360" w:charSpace="0"/>
        </w:sectPr>
      </w:pPr>
    </w:p>
    <w:p/>
    <w:p>
      <w:pPr>
        <w:pStyle w:val="2"/>
        <w:pBdr>
          <w:top w:val="single" w:color="auto" w:sz="4" w:space="1"/>
          <w:left w:val="single" w:color="auto" w:sz="4" w:space="4"/>
          <w:bottom w:val="single" w:color="auto" w:sz="4" w:space="1"/>
          <w:right w:val="single" w:color="auto" w:sz="4" w:space="4"/>
          <w:between w:val="single" w:color="auto" w:sz="4" w:space="1"/>
        </w:pBdr>
        <w:jc w:val="both"/>
        <w:rPr>
          <w:b/>
          <w:bCs/>
          <w:color w:val="auto"/>
        </w:rPr>
      </w:pPr>
      <w:r>
        <w:rPr>
          <w:b/>
          <w:bCs/>
          <w:color w:val="auto"/>
        </w:rPr>
        <w:t xml:space="preserve">Reference List </w:t>
      </w:r>
    </w:p>
    <w:p/>
    <w:p>
      <w:pPr>
        <w:jc w:val="both"/>
        <w:rPr>
          <w:rFonts w:ascii="Arial" w:hAnsi="Arial" w:cs="Arial"/>
          <w:sz w:val="24"/>
          <w:szCs w:val="24"/>
        </w:rPr>
      </w:pPr>
      <w:r>
        <w:rPr>
          <w:rFonts w:ascii="Arial" w:hAnsi="Arial" w:cs="Arial"/>
          <w:sz w:val="24"/>
          <w:szCs w:val="24"/>
        </w:rPr>
        <w:t>Bardukova, L., 2023. Navigating the Hospitality Horizon: Current Trends and Strategies for Customer Attraction and Retention in the Hotel Industry. </w:t>
      </w:r>
      <w:r>
        <w:rPr>
          <w:rFonts w:ascii="Arial" w:hAnsi="Arial" w:cs="Arial"/>
          <w:i/>
          <w:iCs/>
          <w:sz w:val="24"/>
          <w:szCs w:val="24"/>
        </w:rPr>
        <w:t>Economics and computer science</w:t>
      </w:r>
      <w:r>
        <w:rPr>
          <w:rFonts w:ascii="Arial" w:hAnsi="Arial" w:cs="Arial"/>
          <w:sz w:val="24"/>
          <w:szCs w:val="24"/>
        </w:rPr>
        <w:t>, (2), pp.88-103.</w:t>
      </w:r>
    </w:p>
    <w:p>
      <w:pPr>
        <w:jc w:val="both"/>
        <w:rPr>
          <w:rFonts w:ascii="Arial" w:hAnsi="Arial" w:cs="Arial"/>
          <w:sz w:val="24"/>
          <w:szCs w:val="24"/>
        </w:rPr>
      </w:pPr>
      <w:r>
        <w:rPr>
          <w:rFonts w:ascii="Arial" w:hAnsi="Arial" w:cs="Arial"/>
          <w:sz w:val="24"/>
          <w:szCs w:val="24"/>
        </w:rPr>
        <w:t>Bass, J., Sidebotham, M., Creedy, D. and Sweet, L., 2020. Midwifery students’ experiences and expectations of using a model of holistic reflection. </w:t>
      </w:r>
      <w:r>
        <w:rPr>
          <w:rFonts w:ascii="Arial" w:hAnsi="Arial" w:cs="Arial"/>
          <w:i/>
          <w:iCs/>
          <w:sz w:val="24"/>
          <w:szCs w:val="24"/>
        </w:rPr>
        <w:t>Women and Birth</w:t>
      </w:r>
      <w:r>
        <w:rPr>
          <w:rFonts w:ascii="Arial" w:hAnsi="Arial" w:cs="Arial"/>
          <w:sz w:val="24"/>
          <w:szCs w:val="24"/>
        </w:rPr>
        <w:t>, </w:t>
      </w:r>
      <w:r>
        <w:rPr>
          <w:rFonts w:ascii="Arial" w:hAnsi="Arial" w:cs="Arial"/>
          <w:i/>
          <w:iCs/>
          <w:sz w:val="24"/>
          <w:szCs w:val="24"/>
        </w:rPr>
        <w:t>33</w:t>
      </w:r>
      <w:r>
        <w:rPr>
          <w:rFonts w:ascii="Arial" w:hAnsi="Arial" w:cs="Arial"/>
          <w:sz w:val="24"/>
          <w:szCs w:val="24"/>
        </w:rPr>
        <w:t>(4), pp.383-392.</w:t>
      </w:r>
    </w:p>
    <w:p>
      <w:pPr>
        <w:jc w:val="both"/>
        <w:rPr>
          <w:rFonts w:ascii="Arial" w:hAnsi="Arial" w:cs="Arial"/>
          <w:sz w:val="24"/>
          <w:szCs w:val="24"/>
        </w:rPr>
      </w:pPr>
      <w:r>
        <w:rPr>
          <w:rFonts w:ascii="Arial" w:hAnsi="Arial" w:cs="Arial"/>
          <w:sz w:val="24"/>
          <w:szCs w:val="24"/>
        </w:rPr>
        <w:t>Bird, D.K. and Gísladóttir, G., 2020. Enhancing tourists’ safety in volcanic areas: An investigation of risk communication initiatives in Iceland. </w:t>
      </w:r>
      <w:r>
        <w:rPr>
          <w:rFonts w:ascii="Arial" w:hAnsi="Arial" w:cs="Arial"/>
          <w:i/>
          <w:iCs/>
          <w:sz w:val="24"/>
          <w:szCs w:val="24"/>
        </w:rPr>
        <w:t>International Journal of Disaster Risk Reduction</w:t>
      </w:r>
      <w:r>
        <w:rPr>
          <w:rFonts w:ascii="Arial" w:hAnsi="Arial" w:cs="Arial"/>
          <w:sz w:val="24"/>
          <w:szCs w:val="24"/>
        </w:rPr>
        <w:t>, </w:t>
      </w:r>
      <w:r>
        <w:rPr>
          <w:rFonts w:ascii="Arial" w:hAnsi="Arial" w:cs="Arial"/>
          <w:i/>
          <w:iCs/>
          <w:sz w:val="24"/>
          <w:szCs w:val="24"/>
        </w:rPr>
        <w:t>50</w:t>
      </w:r>
      <w:r>
        <w:rPr>
          <w:rFonts w:ascii="Arial" w:hAnsi="Arial" w:cs="Arial"/>
          <w:sz w:val="24"/>
          <w:szCs w:val="24"/>
        </w:rPr>
        <w:t>, p.101896.</w:t>
      </w:r>
    </w:p>
    <w:p>
      <w:pPr>
        <w:jc w:val="both"/>
        <w:rPr>
          <w:rFonts w:ascii="Arial" w:hAnsi="Arial" w:cs="Arial"/>
          <w:sz w:val="24"/>
          <w:szCs w:val="24"/>
        </w:rPr>
      </w:pPr>
      <w:r>
        <w:rPr>
          <w:rFonts w:ascii="Arial" w:hAnsi="Arial" w:cs="Arial"/>
          <w:sz w:val="24"/>
          <w:szCs w:val="24"/>
        </w:rPr>
        <w:t>Bridger, E. (2018) Employee engagement: a practical introduction. 2nd ed. HR Fundamentals. London: CIPD and Kogan Page.</w:t>
      </w:r>
    </w:p>
    <w:p>
      <w:pPr>
        <w:jc w:val="both"/>
        <w:rPr>
          <w:rFonts w:ascii="Arial" w:hAnsi="Arial" w:cs="Arial"/>
          <w:sz w:val="24"/>
          <w:szCs w:val="24"/>
        </w:rPr>
      </w:pPr>
      <w:r>
        <w:rPr>
          <w:rFonts w:ascii="Arial" w:hAnsi="Arial" w:cs="Arial"/>
          <w:sz w:val="24"/>
          <w:szCs w:val="24"/>
        </w:rPr>
        <w:t>Cottrell, S. (2019) The Study Skills Handbook. 5th ed. London: Red Globe Press.</w:t>
      </w:r>
    </w:p>
    <w:p>
      <w:pPr>
        <w:jc w:val="both"/>
        <w:rPr>
          <w:rFonts w:ascii="Arial" w:hAnsi="Arial" w:cs="Arial"/>
          <w:sz w:val="24"/>
          <w:szCs w:val="24"/>
        </w:rPr>
      </w:pPr>
      <w:r>
        <w:rPr>
          <w:rFonts w:ascii="Arial" w:hAnsi="Arial" w:cs="Arial"/>
          <w:sz w:val="24"/>
          <w:szCs w:val="24"/>
        </w:rPr>
        <w:t>Leiter, M. P. and Bakker, A. B. (2010) Work Engagement : A Handbook of Essential Theory and Research. Hove [England]: Psychology Press.</w:t>
      </w:r>
    </w:p>
    <w:p>
      <w:pPr>
        <w:jc w:val="both"/>
        <w:rPr>
          <w:rFonts w:ascii="Arial" w:hAnsi="Arial" w:cs="Arial"/>
          <w:sz w:val="24"/>
          <w:szCs w:val="24"/>
        </w:rPr>
      </w:pPr>
      <w:r>
        <w:rPr>
          <w:rFonts w:ascii="Arial" w:hAnsi="Arial" w:cs="Arial"/>
          <w:sz w:val="24"/>
          <w:szCs w:val="24"/>
        </w:rPr>
        <w:t>Mullins, L. and Dossor, P. (2013) Hospitality Management and Organisational Behaviour. 5th ed. Harlow: Pearson.</w:t>
      </w:r>
    </w:p>
    <w:p>
      <w:pPr>
        <w:jc w:val="both"/>
        <w:rPr>
          <w:rFonts w:ascii="Arial" w:hAnsi="Arial" w:cs="Arial"/>
          <w:sz w:val="24"/>
          <w:szCs w:val="24"/>
        </w:rPr>
      </w:pPr>
      <w:r>
        <w:rPr>
          <w:rFonts w:ascii="Arial" w:hAnsi="Arial" w:cs="Arial"/>
          <w:sz w:val="24"/>
          <w:szCs w:val="24"/>
        </w:rPr>
        <w:t>Nuong, M.D. and Ragavan, N.A., 2023. Digital Future of the Global Hospitality Industry and Hospitality Education: Review of Related Literature.</w:t>
      </w:r>
    </w:p>
    <w:p>
      <w:pPr>
        <w:jc w:val="both"/>
        <w:rPr>
          <w:rFonts w:ascii="Arial" w:hAnsi="Arial" w:cs="Arial"/>
          <w:sz w:val="24"/>
          <w:szCs w:val="24"/>
        </w:rPr>
      </w:pPr>
      <w:r>
        <w:rPr>
          <w:rFonts w:ascii="Arial" w:hAnsi="Arial" w:cs="Arial"/>
          <w:sz w:val="24"/>
          <w:szCs w:val="24"/>
        </w:rPr>
        <w:t>Quick, L. (2020) Managing Events. Real Challenges, Real Outcomes. London: SAGE Publications Ltd.</w:t>
      </w:r>
    </w:p>
    <w:p>
      <w:pPr>
        <w:jc w:val="both"/>
        <w:rPr>
          <w:rFonts w:ascii="Arial" w:hAnsi="Arial" w:cs="Arial"/>
          <w:sz w:val="24"/>
          <w:szCs w:val="24"/>
        </w:rPr>
      </w:pPr>
      <w:r>
        <w:rPr>
          <w:rFonts w:ascii="Arial" w:hAnsi="Arial" w:cs="Arial"/>
          <w:sz w:val="24"/>
          <w:szCs w:val="24"/>
        </w:rPr>
        <w:t>Raghubalan, G. and Raghubalan, S. (2016) Hotel Housekeeping - Operations And Management. 3rd ed. India: Oxford University Press.</w:t>
      </w:r>
    </w:p>
    <w:p>
      <w:pPr>
        <w:jc w:val="both"/>
        <w:rPr>
          <w:rFonts w:ascii="Arial" w:hAnsi="Arial" w:cs="Arial"/>
          <w:sz w:val="24"/>
          <w:szCs w:val="24"/>
        </w:rPr>
      </w:pPr>
      <w:r>
        <w:rPr>
          <w:rFonts w:ascii="Arial" w:hAnsi="Arial" w:cs="Arial"/>
          <w:sz w:val="24"/>
          <w:szCs w:val="24"/>
        </w:rPr>
        <w:t>Sarabipour, S., Hainer, S.J., Arslan, F.N., De Winde, C.M., Furlong, E., Bielczyk, N., Jadavji, N.M., Shah, A.P. and Davla, S., 2022. Building and sustaining mentor interactions as a mentee. </w:t>
      </w:r>
      <w:r>
        <w:rPr>
          <w:rFonts w:ascii="Arial" w:hAnsi="Arial" w:cs="Arial"/>
          <w:i/>
          <w:iCs/>
          <w:sz w:val="24"/>
          <w:szCs w:val="24"/>
        </w:rPr>
        <w:t>The FEBS journal</w:t>
      </w:r>
      <w:r>
        <w:rPr>
          <w:rFonts w:ascii="Arial" w:hAnsi="Arial" w:cs="Arial"/>
          <w:sz w:val="24"/>
          <w:szCs w:val="24"/>
        </w:rPr>
        <w:t>, </w:t>
      </w:r>
      <w:r>
        <w:rPr>
          <w:rFonts w:ascii="Arial" w:hAnsi="Arial" w:cs="Arial"/>
          <w:i/>
          <w:iCs/>
          <w:sz w:val="24"/>
          <w:szCs w:val="24"/>
        </w:rPr>
        <w:t>289</w:t>
      </w:r>
      <w:r>
        <w:rPr>
          <w:rFonts w:ascii="Arial" w:hAnsi="Arial" w:cs="Arial"/>
          <w:sz w:val="24"/>
          <w:szCs w:val="24"/>
        </w:rPr>
        <w:t>(6), pp.1374-1384.</w:t>
      </w:r>
    </w:p>
    <w:p>
      <w:pPr>
        <w:jc w:val="both"/>
        <w:rPr>
          <w:rFonts w:ascii="Arial" w:hAnsi="Arial" w:cs="Arial"/>
          <w:sz w:val="24"/>
          <w:szCs w:val="24"/>
        </w:rPr>
      </w:pPr>
      <w:r>
        <w:rPr>
          <w:rFonts w:ascii="Arial" w:hAnsi="Arial" w:cs="Arial"/>
          <w:sz w:val="24"/>
          <w:szCs w:val="24"/>
        </w:rPr>
        <w:t>Stringam, B.B. and Gerdes, J.H., 2021. Hotel and guest room technology. </w:t>
      </w:r>
      <w:r>
        <w:rPr>
          <w:rFonts w:ascii="Arial" w:hAnsi="Arial" w:cs="Arial"/>
          <w:i/>
          <w:iCs/>
          <w:sz w:val="24"/>
          <w:szCs w:val="24"/>
        </w:rPr>
        <w:t>University of South Florida (USF) M3 Publishing</w:t>
      </w:r>
      <w:r>
        <w:rPr>
          <w:rFonts w:ascii="Arial" w:hAnsi="Arial" w:cs="Arial"/>
          <w:sz w:val="24"/>
          <w:szCs w:val="24"/>
        </w:rPr>
        <w:t>, </w:t>
      </w:r>
      <w:r>
        <w:rPr>
          <w:rFonts w:ascii="Arial" w:hAnsi="Arial" w:cs="Arial"/>
          <w:i/>
          <w:iCs/>
          <w:sz w:val="24"/>
          <w:szCs w:val="24"/>
        </w:rPr>
        <w:t>17</w:t>
      </w:r>
      <w:r>
        <w:rPr>
          <w:rFonts w:ascii="Arial" w:hAnsi="Arial" w:cs="Arial"/>
          <w:sz w:val="24"/>
          <w:szCs w:val="24"/>
        </w:rPr>
        <w:t>(9781732127593), p.6.</w:t>
      </w:r>
    </w:p>
    <w:p>
      <w:pPr>
        <w:jc w:val="both"/>
        <w:rPr>
          <w:rFonts w:ascii="Arial" w:hAnsi="Arial" w:cs="Arial"/>
          <w:sz w:val="24"/>
          <w:szCs w:val="24"/>
        </w:rPr>
      </w:pPr>
      <w:r>
        <w:rPr>
          <w:rFonts w:ascii="Arial" w:hAnsi="Arial" w:cs="Arial"/>
          <w:sz w:val="24"/>
          <w:szCs w:val="24"/>
        </w:rPr>
        <w:t>Thomas, O.T.K. and Gopalan, P.P., 2022. </w:t>
      </w:r>
      <w:r>
        <w:rPr>
          <w:rFonts w:ascii="Arial" w:hAnsi="Arial" w:cs="Arial"/>
          <w:i/>
          <w:iCs/>
          <w:sz w:val="24"/>
          <w:szCs w:val="24"/>
        </w:rPr>
        <w:t>Electronics Production Defects and Analysis</w:t>
      </w:r>
      <w:r>
        <w:rPr>
          <w:rFonts w:ascii="Arial" w:hAnsi="Arial" w:cs="Arial"/>
          <w:sz w:val="24"/>
          <w:szCs w:val="24"/>
        </w:rPr>
        <w:t>. Springer Nature Singapore.</w:t>
      </w:r>
    </w:p>
    <w:p/>
    <w:p/>
    <w:p>
      <w:pPr>
        <w:rPr>
          <w:b/>
          <w:bCs/>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330917"/>
    <w:rsid w:val="00343A05"/>
    <w:rsid w:val="003508D9"/>
    <w:rsid w:val="00357851"/>
    <w:rsid w:val="0045538B"/>
    <w:rsid w:val="004D0F63"/>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A176D"/>
    <w:rsid w:val="00FF51C8"/>
    <w:rsid w:val="21F455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unhideWhenUsed/>
    <w:qFormat/>
    <w:uiPriority w:val="9"/>
    <w:pPr>
      <w:keepNext/>
      <w:keepLines/>
      <w:spacing w:before="40" w:after="0" w:line="360" w:lineRule="auto"/>
      <w:jc w:val="both"/>
      <w:outlineLvl w:val="1"/>
    </w:pPr>
    <w:rPr>
      <w:rFonts w:ascii="Arial" w:hAnsi="Arial" w:eastAsiaTheme="majorEastAsia" w:cstheme="majorBidi"/>
      <w:b/>
      <w:color w:val="000000" w:themeColor="text1"/>
      <w:sz w:val="24"/>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2"/>
    <w:unhideWhenUsed/>
    <w:qFormat/>
    <w:uiPriority w:val="99"/>
    <w:pPr>
      <w:tabs>
        <w:tab w:val="center" w:pos="4513"/>
        <w:tab w:val="right" w:pos="9026"/>
      </w:tabs>
      <w:spacing w:after="0" w:line="240" w:lineRule="auto"/>
    </w:pPr>
  </w:style>
  <w:style w:type="paragraph" w:styleId="7">
    <w:name w:val="header"/>
    <w:basedOn w:val="1"/>
    <w:link w:val="11"/>
    <w:unhideWhenUsed/>
    <w:qFormat/>
    <w:uiPriority w:val="99"/>
    <w:pPr>
      <w:tabs>
        <w:tab w:val="center" w:pos="4513"/>
        <w:tab w:val="right" w:pos="9026"/>
      </w:tabs>
      <w:spacing w:after="0" w:line="240" w:lineRule="auto"/>
    </w:pPr>
  </w:style>
  <w:style w:type="table" w:styleId="8">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34"/>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10">
    <w:name w:val="fluidplugincopy"/>
    <w:basedOn w:val="4"/>
    <w:qFormat/>
    <w:uiPriority w:val="0"/>
  </w:style>
  <w:style w:type="character" w:customStyle="1" w:styleId="11">
    <w:name w:val="Header Char"/>
    <w:basedOn w:val="4"/>
    <w:link w:val="7"/>
    <w:qFormat/>
    <w:uiPriority w:val="99"/>
  </w:style>
  <w:style w:type="character" w:customStyle="1" w:styleId="12">
    <w:name w:val="Footer Char"/>
    <w:basedOn w:val="4"/>
    <w:link w:val="6"/>
    <w:qFormat/>
    <w:uiPriority w:val="99"/>
  </w:style>
  <w:style w:type="character" w:customStyle="1" w:styleId="13">
    <w:name w:val="Heading 1 Char"/>
    <w:basedOn w:val="4"/>
    <w:link w:val="2"/>
    <w:qFormat/>
    <w:uiPriority w:val="9"/>
    <w:rPr>
      <w:rFonts w:asciiTheme="majorHAnsi" w:hAnsiTheme="majorHAnsi" w:eastAsiaTheme="majorEastAsia" w:cstheme="majorBidi"/>
      <w:color w:val="2F5597" w:themeColor="accent1" w:themeShade="BF"/>
      <w:sz w:val="32"/>
      <w:szCs w:val="32"/>
    </w:rPr>
  </w:style>
  <w:style w:type="paragraph" w:customStyle="1" w:styleId="14">
    <w:name w:val="normal"/>
    <w:qFormat/>
    <w:uiPriority w:val="0"/>
    <w:pPr>
      <w:spacing w:line="360" w:lineRule="auto"/>
      <w:jc w:val="both"/>
    </w:pPr>
    <w:rPr>
      <w:rFonts w:ascii="Arial" w:hAnsi="Arial" w:eastAsia="Arial" w:cs="Arial"/>
      <w:sz w:val="24"/>
      <w:szCs w:val="24"/>
      <w:lang w:val="en-US" w:eastAsia="en-US" w:bidi="ar-SA"/>
    </w:rPr>
  </w:style>
  <w:style w:type="table" w:customStyle="1" w:styleId="15">
    <w:name w:val="Grid Table 6 Colorful"/>
    <w:basedOn w:val="5"/>
    <w:qFormat/>
    <w:uiPriority w:val="51"/>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54</Words>
  <Characters>308</Characters>
  <Lines>2</Lines>
  <Paragraphs>1</Paragraphs>
  <TotalTime>1</TotalTime>
  <ScaleCrop>false</ScaleCrop>
  <LinksUpToDate>false</LinksUpToDate>
  <CharactersWithSpaces>361</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2023-09-26T14:36:00Z</dcterms:created>
  <dc:creator>Laurence Blake</dc:creator>
  <cp:lastModifiedBy>i study</cp:lastModifiedBy>
  <dcterms:modified xsi:type="dcterms:W3CDTF">2024-02-02T11:42:10Z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FF1AE5C7BDF44A98A838554A30A1FEFB_12</vt:lpwstr>
  </property>
</Properties>
</file>