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F283B" w14:textId="77777777" w:rsidR="0001288B" w:rsidRPr="00EF3725" w:rsidRDefault="0001288B" w:rsidP="0001288B">
      <w:pPr>
        <w:jc w:val="center"/>
        <w:rPr>
          <w:b/>
          <w:color w:val="000000" w:themeColor="text1"/>
          <w:lang w:val="en-GB"/>
        </w:rPr>
      </w:pPr>
      <w:r>
        <w:rPr>
          <w:noProof/>
        </w:rPr>
        <w:drawing>
          <wp:inline distT="0" distB="0" distL="0" distR="0" wp14:anchorId="177C54D3" wp14:editId="17CED11C">
            <wp:extent cx="5715000" cy="1895475"/>
            <wp:effectExtent l="0" t="0" r="0" b="9525"/>
            <wp:docPr id="508772272" name="Picture 50877227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9B706D8" w14:textId="77777777" w:rsidR="0001288B" w:rsidRPr="00EF3725" w:rsidRDefault="0001288B" w:rsidP="0001288B">
      <w:pPr>
        <w:jc w:val="center"/>
        <w:rPr>
          <w:b/>
          <w:color w:val="000000" w:themeColor="text1"/>
          <w:lang w:val="en-GB"/>
        </w:rPr>
      </w:pPr>
    </w:p>
    <w:p w14:paraId="7D8E7B22" w14:textId="77777777" w:rsidR="0001288B" w:rsidRPr="00EF3725" w:rsidRDefault="0001288B" w:rsidP="0001288B">
      <w:pPr>
        <w:jc w:val="center"/>
        <w:rPr>
          <w:b/>
          <w:color w:val="000000" w:themeColor="text1"/>
          <w:lang w:val="en-GB"/>
        </w:rPr>
      </w:pPr>
    </w:p>
    <w:p w14:paraId="5E16D27E" w14:textId="77777777" w:rsidR="0001288B" w:rsidRPr="00EF3725" w:rsidRDefault="0001288B" w:rsidP="0001288B">
      <w:pPr>
        <w:jc w:val="center"/>
        <w:rPr>
          <w:b/>
          <w:color w:val="000000" w:themeColor="text1"/>
          <w:lang w:val="en-GB"/>
        </w:rPr>
      </w:pPr>
      <w:r w:rsidRPr="00EF3725">
        <w:rPr>
          <w:b/>
          <w:color w:val="000000" w:themeColor="text1"/>
          <w:lang w:val="en-GB"/>
        </w:rPr>
        <w:t xml:space="preserve"> </w:t>
      </w:r>
    </w:p>
    <w:p w14:paraId="2C961174" w14:textId="77777777" w:rsidR="0001288B" w:rsidRDefault="0001288B" w:rsidP="0001288B">
      <w:pPr>
        <w:jc w:val="center"/>
        <w:rPr>
          <w:bCs/>
          <w:color w:val="000000" w:themeColor="text1"/>
          <w:sz w:val="32"/>
          <w:lang w:val="en-GB"/>
        </w:rPr>
      </w:pPr>
      <w:r w:rsidRPr="00EF3725">
        <w:rPr>
          <w:b/>
          <w:color w:val="000000" w:themeColor="text1"/>
          <w:sz w:val="32"/>
          <w:lang w:val="en-GB"/>
        </w:rPr>
        <w:t xml:space="preserve">PROGRAMME: </w:t>
      </w:r>
      <w:r>
        <w:rPr>
          <w:bCs/>
          <w:color w:val="000000" w:themeColor="text1"/>
          <w:sz w:val="32"/>
          <w:lang w:val="en-GB"/>
        </w:rPr>
        <w:t>MBA – International Business</w:t>
      </w:r>
    </w:p>
    <w:p w14:paraId="14285547" w14:textId="77777777" w:rsidR="0001288B" w:rsidRDefault="0001288B" w:rsidP="0001288B">
      <w:pPr>
        <w:jc w:val="center"/>
        <w:rPr>
          <w:bCs/>
          <w:color w:val="000000" w:themeColor="text1"/>
          <w:sz w:val="32"/>
          <w:lang w:val="en-GB"/>
        </w:rPr>
      </w:pPr>
      <w:r>
        <w:rPr>
          <w:bCs/>
          <w:color w:val="000000" w:themeColor="text1"/>
          <w:sz w:val="32"/>
          <w:lang w:val="en-GB"/>
        </w:rPr>
        <w:t>Term 2</w:t>
      </w:r>
    </w:p>
    <w:p w14:paraId="6A5C38DE" w14:textId="77777777" w:rsidR="0001288B" w:rsidRPr="00B420D9" w:rsidRDefault="0001288B" w:rsidP="0001288B">
      <w:pPr>
        <w:jc w:val="center"/>
        <w:rPr>
          <w:bCs/>
          <w:color w:val="000000" w:themeColor="text1"/>
          <w:sz w:val="32"/>
          <w:lang w:val="en-GB"/>
        </w:rPr>
      </w:pPr>
    </w:p>
    <w:p w14:paraId="6EFE7FB3" w14:textId="3402F108" w:rsidR="0001288B" w:rsidRPr="00B420D9" w:rsidRDefault="0001288B" w:rsidP="0001288B">
      <w:pPr>
        <w:jc w:val="center"/>
        <w:rPr>
          <w:b/>
          <w:color w:val="000000" w:themeColor="text1"/>
          <w:sz w:val="32"/>
          <w:lang w:val="en-GB"/>
        </w:rPr>
      </w:pPr>
      <w:r w:rsidRPr="00B420D9">
        <w:rPr>
          <w:b/>
          <w:color w:val="000000" w:themeColor="text1"/>
          <w:sz w:val="32"/>
          <w:lang w:val="en-GB"/>
        </w:rPr>
        <w:t xml:space="preserve">STUDENT NAME: </w:t>
      </w:r>
      <w:r>
        <w:rPr>
          <w:bCs/>
          <w:color w:val="000000" w:themeColor="text1"/>
          <w:sz w:val="32"/>
          <w:lang w:val="en-GB"/>
        </w:rPr>
        <w:t>VIVEK ODEDRA</w:t>
      </w:r>
    </w:p>
    <w:p w14:paraId="3475FB2D" w14:textId="5EA152DA" w:rsidR="0001288B" w:rsidRDefault="0001288B" w:rsidP="0001288B">
      <w:pPr>
        <w:jc w:val="center"/>
        <w:rPr>
          <w:b/>
          <w:color w:val="000000" w:themeColor="text1"/>
          <w:sz w:val="32"/>
          <w:lang w:val="en-GB"/>
        </w:rPr>
      </w:pPr>
      <w:r w:rsidRPr="00B420D9">
        <w:rPr>
          <w:b/>
          <w:color w:val="000000" w:themeColor="text1"/>
          <w:sz w:val="32"/>
          <w:lang w:val="en-GB"/>
        </w:rPr>
        <w:t xml:space="preserve">STUDENT ID: </w:t>
      </w:r>
      <w:r>
        <w:rPr>
          <w:bCs/>
          <w:color w:val="000000" w:themeColor="text1"/>
          <w:sz w:val="32"/>
          <w:lang w:val="en-GB"/>
        </w:rPr>
        <w:t>2505516</w:t>
      </w:r>
    </w:p>
    <w:p w14:paraId="2D31BEA5" w14:textId="77777777" w:rsidR="0001288B" w:rsidRDefault="0001288B" w:rsidP="0001288B">
      <w:pPr>
        <w:jc w:val="center"/>
        <w:rPr>
          <w:b/>
          <w:color w:val="000000" w:themeColor="text1"/>
          <w:sz w:val="32"/>
          <w:lang w:val="en-GB"/>
        </w:rPr>
      </w:pPr>
    </w:p>
    <w:p w14:paraId="686B9CDA" w14:textId="77777777" w:rsidR="0001288B" w:rsidRPr="000A4616" w:rsidRDefault="0001288B" w:rsidP="0001288B">
      <w:pPr>
        <w:pStyle w:val="Normal1"/>
        <w:spacing w:after="200" w:line="360" w:lineRule="auto"/>
        <w:jc w:val="center"/>
        <w:rPr>
          <w:b/>
          <w:bCs/>
          <w:sz w:val="32"/>
          <w:szCs w:val="32"/>
          <w:lang w:val="en-GB"/>
        </w:rPr>
      </w:pPr>
      <w:r w:rsidRPr="00EF3725">
        <w:rPr>
          <w:b/>
          <w:color w:val="000000" w:themeColor="text1"/>
          <w:sz w:val="32"/>
          <w:lang w:val="en-GB"/>
        </w:rPr>
        <w:t xml:space="preserve">MODULE: </w:t>
      </w:r>
      <w:r w:rsidRPr="000A4616">
        <w:rPr>
          <w:sz w:val="32"/>
          <w:szCs w:val="32"/>
          <w:lang w:val="en-GB"/>
        </w:rPr>
        <w:t>INTERNATIONAL BUSINESS CONCEPTS</w:t>
      </w:r>
      <w:r w:rsidRPr="002D16FF">
        <w:rPr>
          <w:b/>
          <w:bCs/>
          <w:sz w:val="32"/>
          <w:szCs w:val="32"/>
          <w:lang w:val="en-GB"/>
        </w:rPr>
        <w:t xml:space="preserve"> </w:t>
      </w:r>
      <w:r w:rsidRPr="00EF3725">
        <w:rPr>
          <w:b/>
          <w:color w:val="000000" w:themeColor="text1"/>
          <w:sz w:val="32"/>
          <w:szCs w:val="32"/>
          <w:lang w:val="en-GB"/>
        </w:rPr>
        <w:t xml:space="preserve">MODULE CODE: </w:t>
      </w:r>
      <w:r w:rsidRPr="000A4616">
        <w:rPr>
          <w:sz w:val="32"/>
          <w:szCs w:val="32"/>
          <w:lang w:val="en-GB"/>
        </w:rPr>
        <w:t xml:space="preserve">LCMB7034 </w:t>
      </w:r>
    </w:p>
    <w:p w14:paraId="036D3A08" w14:textId="77777777" w:rsidR="0001288B" w:rsidRPr="000A4616" w:rsidRDefault="0001288B" w:rsidP="0001288B">
      <w:pPr>
        <w:jc w:val="center"/>
        <w:rPr>
          <w:color w:val="000000" w:themeColor="text1"/>
          <w:sz w:val="32"/>
          <w:szCs w:val="32"/>
          <w:lang w:val="en-GB"/>
        </w:rPr>
      </w:pPr>
      <w:r>
        <w:rPr>
          <w:b/>
          <w:color w:val="000000" w:themeColor="text1"/>
          <w:sz w:val="32"/>
          <w:szCs w:val="32"/>
          <w:lang w:val="en-GB"/>
        </w:rPr>
        <w:t xml:space="preserve">Lecturer’s Name: </w:t>
      </w:r>
      <w:r w:rsidRPr="000A4616">
        <w:rPr>
          <w:sz w:val="32"/>
          <w:szCs w:val="32"/>
          <w:lang w:val="en-GB"/>
        </w:rPr>
        <w:t>Akshay Narayanan</w:t>
      </w:r>
    </w:p>
    <w:p w14:paraId="1057E86D" w14:textId="4DE18D83" w:rsidR="0001288B" w:rsidRDefault="0001288B" w:rsidP="0001288B">
      <w:pPr>
        <w:jc w:val="center"/>
        <w:rPr>
          <w:b/>
          <w:color w:val="000000" w:themeColor="text1"/>
          <w:sz w:val="32"/>
          <w:szCs w:val="32"/>
          <w:lang w:val="en-GB"/>
        </w:rPr>
      </w:pPr>
      <w:r w:rsidRPr="00FB079D">
        <w:rPr>
          <w:b/>
          <w:color w:val="000000" w:themeColor="text1"/>
          <w:sz w:val="32"/>
          <w:szCs w:val="32"/>
          <w:lang w:val="en-GB"/>
        </w:rPr>
        <w:t>Word Count:</w:t>
      </w:r>
      <w:r>
        <w:rPr>
          <w:b/>
          <w:color w:val="000000" w:themeColor="text1"/>
          <w:sz w:val="32"/>
          <w:szCs w:val="32"/>
          <w:lang w:val="en-GB"/>
        </w:rPr>
        <w:t xml:space="preserve"> </w:t>
      </w:r>
      <w:r>
        <w:rPr>
          <w:sz w:val="32"/>
          <w:szCs w:val="32"/>
          <w:lang w:val="en-GB"/>
        </w:rPr>
        <w:t>5023</w:t>
      </w:r>
    </w:p>
    <w:p w14:paraId="389C8F3C" w14:textId="711CA427" w:rsidR="0073186B" w:rsidRPr="00C6387A" w:rsidRDefault="0073186B" w:rsidP="00C6387A">
      <w:pPr>
        <w:jc w:val="center"/>
        <w:rPr>
          <w:rFonts w:cs="Arial"/>
          <w:b/>
          <w:bCs/>
        </w:rPr>
      </w:pPr>
      <w:r w:rsidRPr="00C6387A">
        <w:rPr>
          <w:rFonts w:cs="Arial"/>
          <w:b/>
          <w:bCs/>
          <w:lang w:val="en-GB"/>
        </w:rPr>
        <w:br w:type="page"/>
      </w:r>
    </w:p>
    <w:p w14:paraId="3E4AE90F" w14:textId="4921CE6A" w:rsidR="00490056" w:rsidRDefault="009324D1" w:rsidP="00C6387A">
      <w:pPr>
        <w:jc w:val="center"/>
        <w:rPr>
          <w:rFonts w:cs="Arial"/>
          <w:b/>
          <w:bCs/>
          <w:lang w:val="en-GB"/>
        </w:rPr>
      </w:pPr>
      <w:r w:rsidRPr="00C6387A">
        <w:rPr>
          <w:rFonts w:cs="Arial"/>
          <w:b/>
          <w:bCs/>
          <w:lang w:val="en-GB"/>
        </w:rPr>
        <w:lastRenderedPageBreak/>
        <w:t>Executive Summary</w:t>
      </w:r>
    </w:p>
    <w:p w14:paraId="30F8A707" w14:textId="77777777" w:rsidR="00C6387A" w:rsidRPr="00C6387A" w:rsidRDefault="00C6387A" w:rsidP="00C6387A">
      <w:pPr>
        <w:jc w:val="center"/>
        <w:rPr>
          <w:rFonts w:cs="Arial"/>
          <w:b/>
          <w:bCs/>
          <w:lang w:val="en-GB"/>
        </w:rPr>
      </w:pPr>
    </w:p>
    <w:p w14:paraId="12315B71" w14:textId="4F7D7DCB" w:rsidR="0073186B" w:rsidRPr="00C6387A" w:rsidRDefault="009324D1" w:rsidP="00C6387A">
      <w:pPr>
        <w:rPr>
          <w:rFonts w:cs="Arial"/>
          <w:lang w:val="en-GB"/>
        </w:rPr>
      </w:pPr>
      <w:r w:rsidRPr="00C6387A">
        <w:rPr>
          <w:rFonts w:cs="Arial"/>
          <w:lang w:val="en-GB"/>
        </w:rPr>
        <w:t xml:space="preserve">The </w:t>
      </w:r>
      <w:r w:rsidR="0032152F" w:rsidRPr="00C6387A">
        <w:rPr>
          <w:rFonts w:cs="Arial"/>
          <w:lang w:val="en-GB"/>
        </w:rPr>
        <w:t>F</w:t>
      </w:r>
      <w:r w:rsidRPr="00C6387A">
        <w:rPr>
          <w:rFonts w:cs="Arial"/>
          <w:lang w:val="en-GB"/>
        </w:rPr>
        <w:t>in</w:t>
      </w:r>
      <w:r w:rsidR="0032152F" w:rsidRPr="00C6387A">
        <w:rPr>
          <w:rFonts w:cs="Arial"/>
          <w:lang w:val="en-GB"/>
        </w:rPr>
        <w:t>T</w:t>
      </w:r>
      <w:r w:rsidRPr="00C6387A">
        <w:rPr>
          <w:rFonts w:cs="Arial"/>
          <w:lang w:val="en-GB"/>
        </w:rPr>
        <w:t>ech industry has grown very fast in India</w:t>
      </w:r>
      <w:r w:rsidR="0032152F" w:rsidRPr="00C6387A">
        <w:rPr>
          <w:rFonts w:cs="Arial"/>
          <w:lang w:val="en-GB"/>
        </w:rPr>
        <w:t>. T</w:t>
      </w:r>
      <w:r w:rsidRPr="00C6387A">
        <w:rPr>
          <w:rFonts w:cs="Arial"/>
          <w:lang w:val="en-GB"/>
        </w:rPr>
        <w:t xml:space="preserve">hanks to the digital transformation, government initiatives and the proliferation of real-time payment systems like UPI. The industry structure, competitiveness and growth dynamics analysed in this report through the Diamond Model of Porter show that there are good demand conditions with a good technological infrastructure. The </w:t>
      </w:r>
      <w:r w:rsidR="00580D27" w:rsidRPr="00C6387A">
        <w:rPr>
          <w:rFonts w:cs="Arial"/>
          <w:lang w:val="en-GB"/>
        </w:rPr>
        <w:t>report has</w:t>
      </w:r>
      <w:r w:rsidRPr="00C6387A">
        <w:rPr>
          <w:rFonts w:cs="Arial"/>
          <w:lang w:val="en-GB"/>
        </w:rPr>
        <w:t xml:space="preserve"> also compared the best player in the market, </w:t>
      </w:r>
      <w:r w:rsidR="00580D27" w:rsidRPr="00C6387A">
        <w:rPr>
          <w:rFonts w:cs="Arial"/>
          <w:lang w:val="en-GB"/>
        </w:rPr>
        <w:t>namely</w:t>
      </w:r>
      <w:r w:rsidRPr="00C6387A">
        <w:rPr>
          <w:rFonts w:cs="Arial"/>
          <w:lang w:val="en-GB"/>
        </w:rPr>
        <w:t xml:space="preserve"> </w:t>
      </w:r>
      <w:r w:rsidR="00580D27" w:rsidRPr="00C6387A">
        <w:rPr>
          <w:rFonts w:cs="Arial"/>
          <w:lang w:val="en-GB"/>
        </w:rPr>
        <w:t xml:space="preserve">PhonePe. It is </w:t>
      </w:r>
      <w:r w:rsidR="00783CE5" w:rsidRPr="00C6387A">
        <w:rPr>
          <w:rFonts w:cs="Arial"/>
          <w:lang w:val="en-GB"/>
        </w:rPr>
        <w:t>a</w:t>
      </w:r>
      <w:r w:rsidR="00580D27" w:rsidRPr="00C6387A">
        <w:rPr>
          <w:rFonts w:cs="Arial"/>
          <w:lang w:val="en-GB"/>
        </w:rPr>
        <w:t xml:space="preserve"> Bengaluru-based Indian digital payments and financial service providing company. </w:t>
      </w:r>
      <w:r w:rsidR="00783CE5" w:rsidRPr="00C6387A">
        <w:rPr>
          <w:rFonts w:cs="Arial"/>
          <w:lang w:val="en-GB"/>
        </w:rPr>
        <w:t>This report assesses</w:t>
      </w:r>
      <w:r w:rsidRPr="00C6387A">
        <w:rPr>
          <w:rFonts w:cs="Arial"/>
          <w:lang w:val="en-GB"/>
        </w:rPr>
        <w:t xml:space="preserve"> its working conditions </w:t>
      </w:r>
      <w:r w:rsidR="00783CE5" w:rsidRPr="00C6387A">
        <w:rPr>
          <w:rFonts w:cs="Arial"/>
          <w:lang w:val="en-GB"/>
        </w:rPr>
        <w:t>using</w:t>
      </w:r>
      <w:r w:rsidRPr="00C6387A">
        <w:rPr>
          <w:rFonts w:cs="Arial"/>
          <w:lang w:val="en-GB"/>
        </w:rPr>
        <w:t xml:space="preserve"> the PESTLE analysis. The results show that PhonePe is experiencing the advantages of scale, innovation, and ecosystem growth; nevertheless, there are issues of regulation, competition, and profitability. All in all, it can be concluded that the future success of PhonePe will rely on its capacity to diversify, innovate, and adjust to the changes on the market.</w:t>
      </w:r>
      <w:r w:rsidR="0073186B" w:rsidRPr="00C6387A">
        <w:rPr>
          <w:rFonts w:cs="Arial"/>
          <w:lang w:val="en-GB"/>
        </w:rPr>
        <w:br w:type="page"/>
      </w:r>
    </w:p>
    <w:sdt>
      <w:sdtPr>
        <w:rPr>
          <w:rFonts w:ascii="Arial" w:eastAsia="Times New Roman" w:hAnsi="Arial" w:cs="Arial"/>
          <w:color w:val="auto"/>
          <w:sz w:val="24"/>
          <w:szCs w:val="24"/>
          <w:lang w:val="en" w:eastAsia="en-IN"/>
        </w:rPr>
        <w:id w:val="1928914370"/>
        <w:docPartObj>
          <w:docPartGallery w:val="Table of Contents"/>
          <w:docPartUnique/>
        </w:docPartObj>
      </w:sdtPr>
      <w:sdtEndPr>
        <w:rPr>
          <w:b/>
          <w:bCs/>
          <w:noProof/>
        </w:rPr>
      </w:sdtEndPr>
      <w:sdtContent>
        <w:p w14:paraId="29B5FCFC" w14:textId="73F66D6A" w:rsidR="0073186B" w:rsidRDefault="0073186B" w:rsidP="00C6387A">
          <w:pPr>
            <w:pStyle w:val="TOCHeading"/>
            <w:spacing w:line="360" w:lineRule="auto"/>
            <w:jc w:val="center"/>
            <w:rPr>
              <w:rFonts w:ascii="Arial" w:hAnsi="Arial" w:cs="Arial"/>
              <w:b/>
              <w:bCs/>
              <w:color w:val="000000" w:themeColor="text1"/>
              <w:sz w:val="24"/>
              <w:szCs w:val="24"/>
            </w:rPr>
          </w:pPr>
          <w:r w:rsidRPr="00C6387A">
            <w:rPr>
              <w:rFonts w:ascii="Arial" w:hAnsi="Arial" w:cs="Arial"/>
              <w:b/>
              <w:bCs/>
              <w:color w:val="000000" w:themeColor="text1"/>
              <w:sz w:val="24"/>
              <w:szCs w:val="24"/>
            </w:rPr>
            <w:t>Table of Contents</w:t>
          </w:r>
        </w:p>
        <w:p w14:paraId="4FD08154" w14:textId="77777777" w:rsidR="00C6387A" w:rsidRPr="00C6387A" w:rsidRDefault="00C6387A" w:rsidP="00C6387A">
          <w:pPr>
            <w:rPr>
              <w:lang w:val="en-US" w:eastAsia="en-US"/>
            </w:rPr>
          </w:pPr>
        </w:p>
        <w:p w14:paraId="25D93549" w14:textId="6AB51E55" w:rsidR="00C6387A" w:rsidRPr="00C6387A" w:rsidRDefault="0073186B" w:rsidP="00C6387A">
          <w:pPr>
            <w:pStyle w:val="TOC1"/>
            <w:tabs>
              <w:tab w:val="right" w:leader="dot" w:pos="9350"/>
            </w:tabs>
            <w:rPr>
              <w:rFonts w:eastAsiaTheme="minorEastAsia" w:cs="Arial"/>
              <w:noProof/>
              <w:sz w:val="22"/>
              <w:szCs w:val="22"/>
              <w:lang w:val="en-IN"/>
            </w:rPr>
          </w:pPr>
          <w:r w:rsidRPr="00C6387A">
            <w:rPr>
              <w:rFonts w:cs="Arial"/>
            </w:rPr>
            <w:fldChar w:fldCharType="begin"/>
          </w:r>
          <w:r w:rsidRPr="00C6387A">
            <w:rPr>
              <w:rFonts w:cs="Arial"/>
            </w:rPr>
            <w:instrText xml:space="preserve"> TOC \o "1-3" \h \z \u </w:instrText>
          </w:r>
          <w:r w:rsidRPr="00C6387A">
            <w:rPr>
              <w:rFonts w:cs="Arial"/>
            </w:rPr>
            <w:fldChar w:fldCharType="separate"/>
          </w:r>
          <w:hyperlink w:anchor="_Toc225094640" w:history="1">
            <w:r w:rsidR="00C6387A" w:rsidRPr="00C6387A">
              <w:rPr>
                <w:rStyle w:val="Hyperlink"/>
                <w:rFonts w:cs="Arial"/>
                <w:noProof/>
                <w:lang w:val="en-GB"/>
              </w:rPr>
              <w:t>1. Introduction</w:t>
            </w:r>
            <w:r w:rsidR="00C6387A" w:rsidRPr="00C6387A">
              <w:rPr>
                <w:rFonts w:cs="Arial"/>
                <w:noProof/>
                <w:webHidden/>
              </w:rPr>
              <w:tab/>
            </w:r>
            <w:r w:rsidR="00C6387A" w:rsidRPr="00C6387A">
              <w:rPr>
                <w:rFonts w:cs="Arial"/>
                <w:noProof/>
                <w:webHidden/>
              </w:rPr>
              <w:fldChar w:fldCharType="begin"/>
            </w:r>
            <w:r w:rsidR="00C6387A" w:rsidRPr="00C6387A">
              <w:rPr>
                <w:rFonts w:cs="Arial"/>
                <w:noProof/>
                <w:webHidden/>
              </w:rPr>
              <w:instrText xml:space="preserve"> PAGEREF _Toc225094640 \h </w:instrText>
            </w:r>
            <w:r w:rsidR="00C6387A" w:rsidRPr="00C6387A">
              <w:rPr>
                <w:rFonts w:cs="Arial"/>
                <w:noProof/>
                <w:webHidden/>
              </w:rPr>
            </w:r>
            <w:r w:rsidR="00C6387A" w:rsidRPr="00C6387A">
              <w:rPr>
                <w:rFonts w:cs="Arial"/>
                <w:noProof/>
                <w:webHidden/>
              </w:rPr>
              <w:fldChar w:fldCharType="separate"/>
            </w:r>
            <w:r w:rsidR="00C6387A" w:rsidRPr="00C6387A">
              <w:rPr>
                <w:rFonts w:cs="Arial"/>
                <w:noProof/>
                <w:webHidden/>
              </w:rPr>
              <w:t>5</w:t>
            </w:r>
            <w:r w:rsidR="00C6387A" w:rsidRPr="00C6387A">
              <w:rPr>
                <w:rFonts w:cs="Arial"/>
                <w:noProof/>
                <w:webHidden/>
              </w:rPr>
              <w:fldChar w:fldCharType="end"/>
            </w:r>
          </w:hyperlink>
        </w:p>
        <w:p w14:paraId="18DDFF5F" w14:textId="735A6212" w:rsidR="00C6387A" w:rsidRPr="00C6387A" w:rsidRDefault="00C6387A" w:rsidP="00C6387A">
          <w:pPr>
            <w:pStyle w:val="TOC1"/>
            <w:tabs>
              <w:tab w:val="right" w:leader="dot" w:pos="9350"/>
            </w:tabs>
            <w:rPr>
              <w:rFonts w:eastAsiaTheme="minorEastAsia" w:cs="Arial"/>
              <w:noProof/>
              <w:sz w:val="22"/>
              <w:szCs w:val="22"/>
              <w:lang w:val="en-IN"/>
            </w:rPr>
          </w:pPr>
          <w:hyperlink w:anchor="_Toc225094641" w:history="1">
            <w:r w:rsidRPr="00C6387A">
              <w:rPr>
                <w:rStyle w:val="Hyperlink"/>
                <w:rFonts w:cs="Arial"/>
                <w:noProof/>
                <w:lang w:val="en-GB"/>
              </w:rPr>
              <w:t>2. Industry &amp; Country Overview</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_Toc225094641 \h </w:instrText>
            </w:r>
            <w:r w:rsidRPr="00C6387A">
              <w:rPr>
                <w:rFonts w:cs="Arial"/>
                <w:noProof/>
                <w:webHidden/>
              </w:rPr>
            </w:r>
            <w:r w:rsidRPr="00C6387A">
              <w:rPr>
                <w:rFonts w:cs="Arial"/>
                <w:noProof/>
                <w:webHidden/>
              </w:rPr>
              <w:fldChar w:fldCharType="separate"/>
            </w:r>
            <w:r w:rsidRPr="00C6387A">
              <w:rPr>
                <w:rFonts w:cs="Arial"/>
                <w:noProof/>
                <w:webHidden/>
              </w:rPr>
              <w:t>5</w:t>
            </w:r>
            <w:r w:rsidRPr="00C6387A">
              <w:rPr>
                <w:rFonts w:cs="Arial"/>
                <w:noProof/>
                <w:webHidden/>
              </w:rPr>
              <w:fldChar w:fldCharType="end"/>
            </w:r>
          </w:hyperlink>
        </w:p>
        <w:p w14:paraId="179AAECA" w14:textId="2A844A9D" w:rsidR="00C6387A" w:rsidRPr="00C6387A" w:rsidRDefault="00C6387A" w:rsidP="00C6387A">
          <w:pPr>
            <w:pStyle w:val="TOC2"/>
            <w:tabs>
              <w:tab w:val="right" w:leader="dot" w:pos="9350"/>
            </w:tabs>
            <w:rPr>
              <w:rFonts w:eastAsiaTheme="minorEastAsia" w:cs="Arial"/>
              <w:noProof/>
              <w:sz w:val="22"/>
              <w:szCs w:val="22"/>
              <w:lang w:val="en-IN"/>
            </w:rPr>
          </w:pPr>
          <w:hyperlink w:anchor="_Toc225094642" w:history="1">
            <w:r w:rsidRPr="00C6387A">
              <w:rPr>
                <w:rStyle w:val="Hyperlink"/>
                <w:rFonts w:cs="Arial"/>
                <w:noProof/>
                <w:lang w:val="en-GB"/>
              </w:rPr>
              <w:t>2.1 Overview of India’s FinTech Industry</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_Toc225094642 \h </w:instrText>
            </w:r>
            <w:r w:rsidRPr="00C6387A">
              <w:rPr>
                <w:rFonts w:cs="Arial"/>
                <w:noProof/>
                <w:webHidden/>
              </w:rPr>
            </w:r>
            <w:r w:rsidRPr="00C6387A">
              <w:rPr>
                <w:rFonts w:cs="Arial"/>
                <w:noProof/>
                <w:webHidden/>
              </w:rPr>
              <w:fldChar w:fldCharType="separate"/>
            </w:r>
            <w:r w:rsidRPr="00C6387A">
              <w:rPr>
                <w:rFonts w:cs="Arial"/>
                <w:noProof/>
                <w:webHidden/>
              </w:rPr>
              <w:t>5</w:t>
            </w:r>
            <w:r w:rsidRPr="00C6387A">
              <w:rPr>
                <w:rFonts w:cs="Arial"/>
                <w:noProof/>
                <w:webHidden/>
              </w:rPr>
              <w:fldChar w:fldCharType="end"/>
            </w:r>
          </w:hyperlink>
        </w:p>
        <w:p w14:paraId="2430359B" w14:textId="1FCA9D25" w:rsidR="00C6387A" w:rsidRPr="00C6387A" w:rsidRDefault="00C6387A" w:rsidP="00C6387A">
          <w:pPr>
            <w:pStyle w:val="TOC2"/>
            <w:tabs>
              <w:tab w:val="right" w:leader="dot" w:pos="9350"/>
            </w:tabs>
            <w:rPr>
              <w:rFonts w:eastAsiaTheme="minorEastAsia" w:cs="Arial"/>
              <w:noProof/>
              <w:sz w:val="22"/>
              <w:szCs w:val="22"/>
              <w:lang w:val="en-IN"/>
            </w:rPr>
          </w:pPr>
          <w:hyperlink w:anchor="_Toc225094643" w:history="1">
            <w:r w:rsidRPr="00C6387A">
              <w:rPr>
                <w:rStyle w:val="Hyperlink"/>
                <w:rFonts w:cs="Arial"/>
                <w:noProof/>
                <w:lang w:val="en-GB"/>
              </w:rPr>
              <w:t>2.2 Size, Scope &amp; Economic Importance</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_Toc225094643 \h </w:instrText>
            </w:r>
            <w:r w:rsidRPr="00C6387A">
              <w:rPr>
                <w:rFonts w:cs="Arial"/>
                <w:noProof/>
                <w:webHidden/>
              </w:rPr>
            </w:r>
            <w:r w:rsidRPr="00C6387A">
              <w:rPr>
                <w:rFonts w:cs="Arial"/>
                <w:noProof/>
                <w:webHidden/>
              </w:rPr>
              <w:fldChar w:fldCharType="separate"/>
            </w:r>
            <w:r w:rsidRPr="00C6387A">
              <w:rPr>
                <w:rFonts w:cs="Arial"/>
                <w:noProof/>
                <w:webHidden/>
              </w:rPr>
              <w:t>7</w:t>
            </w:r>
            <w:r w:rsidRPr="00C6387A">
              <w:rPr>
                <w:rFonts w:cs="Arial"/>
                <w:noProof/>
                <w:webHidden/>
              </w:rPr>
              <w:fldChar w:fldCharType="end"/>
            </w:r>
          </w:hyperlink>
        </w:p>
        <w:p w14:paraId="688533F4" w14:textId="4CAB0972" w:rsidR="00C6387A" w:rsidRPr="00C6387A" w:rsidRDefault="00C6387A" w:rsidP="00C6387A">
          <w:pPr>
            <w:pStyle w:val="TOC2"/>
            <w:tabs>
              <w:tab w:val="right" w:leader="dot" w:pos="9350"/>
            </w:tabs>
            <w:rPr>
              <w:rFonts w:eastAsiaTheme="minorEastAsia" w:cs="Arial"/>
              <w:noProof/>
              <w:sz w:val="22"/>
              <w:szCs w:val="22"/>
              <w:lang w:val="en-IN"/>
            </w:rPr>
          </w:pPr>
          <w:hyperlink w:anchor="_Toc225094644" w:history="1">
            <w:r w:rsidRPr="00C6387A">
              <w:rPr>
                <w:rStyle w:val="Hyperlink"/>
                <w:rFonts w:cs="Arial"/>
                <w:noProof/>
                <w:lang w:val="en-GB"/>
              </w:rPr>
              <w:t>2.3 Key Players &amp; Competitive Landscape</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_Toc225094644 \h </w:instrText>
            </w:r>
            <w:r w:rsidRPr="00C6387A">
              <w:rPr>
                <w:rFonts w:cs="Arial"/>
                <w:noProof/>
                <w:webHidden/>
              </w:rPr>
            </w:r>
            <w:r w:rsidRPr="00C6387A">
              <w:rPr>
                <w:rFonts w:cs="Arial"/>
                <w:noProof/>
                <w:webHidden/>
              </w:rPr>
              <w:fldChar w:fldCharType="separate"/>
            </w:r>
            <w:r w:rsidRPr="00C6387A">
              <w:rPr>
                <w:rFonts w:cs="Arial"/>
                <w:noProof/>
                <w:webHidden/>
              </w:rPr>
              <w:t>8</w:t>
            </w:r>
            <w:r w:rsidRPr="00C6387A">
              <w:rPr>
                <w:rFonts w:cs="Arial"/>
                <w:noProof/>
                <w:webHidden/>
              </w:rPr>
              <w:fldChar w:fldCharType="end"/>
            </w:r>
          </w:hyperlink>
        </w:p>
        <w:p w14:paraId="5926FDC4" w14:textId="11F709D6" w:rsidR="00C6387A" w:rsidRPr="00C6387A" w:rsidRDefault="00C6387A" w:rsidP="00C6387A">
          <w:pPr>
            <w:pStyle w:val="TOC1"/>
            <w:tabs>
              <w:tab w:val="right" w:leader="dot" w:pos="9350"/>
            </w:tabs>
            <w:rPr>
              <w:rFonts w:eastAsiaTheme="minorEastAsia" w:cs="Arial"/>
              <w:noProof/>
              <w:sz w:val="22"/>
              <w:szCs w:val="22"/>
              <w:lang w:val="en-IN"/>
            </w:rPr>
          </w:pPr>
          <w:hyperlink w:anchor="_Toc225094645" w:history="1">
            <w:r w:rsidRPr="00C6387A">
              <w:rPr>
                <w:rStyle w:val="Hyperlink"/>
                <w:rFonts w:cs="Arial"/>
                <w:noProof/>
                <w:lang w:val="en-GB"/>
              </w:rPr>
              <w:t>3. Porter’s Diamond Model Analysis</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_Toc225094645 \h </w:instrText>
            </w:r>
            <w:r w:rsidRPr="00C6387A">
              <w:rPr>
                <w:rFonts w:cs="Arial"/>
                <w:noProof/>
                <w:webHidden/>
              </w:rPr>
            </w:r>
            <w:r w:rsidRPr="00C6387A">
              <w:rPr>
                <w:rFonts w:cs="Arial"/>
                <w:noProof/>
                <w:webHidden/>
              </w:rPr>
              <w:fldChar w:fldCharType="separate"/>
            </w:r>
            <w:r w:rsidRPr="00C6387A">
              <w:rPr>
                <w:rFonts w:cs="Arial"/>
                <w:noProof/>
                <w:webHidden/>
              </w:rPr>
              <w:t>9</w:t>
            </w:r>
            <w:r w:rsidRPr="00C6387A">
              <w:rPr>
                <w:rFonts w:cs="Arial"/>
                <w:noProof/>
                <w:webHidden/>
              </w:rPr>
              <w:fldChar w:fldCharType="end"/>
            </w:r>
          </w:hyperlink>
        </w:p>
        <w:p w14:paraId="47E23825" w14:textId="7DBF3818" w:rsidR="00C6387A" w:rsidRPr="00C6387A" w:rsidRDefault="00C6387A" w:rsidP="00C6387A">
          <w:pPr>
            <w:pStyle w:val="TOC2"/>
            <w:tabs>
              <w:tab w:val="right" w:leader="dot" w:pos="9350"/>
            </w:tabs>
            <w:rPr>
              <w:rFonts w:eastAsiaTheme="minorEastAsia" w:cs="Arial"/>
              <w:noProof/>
              <w:sz w:val="22"/>
              <w:szCs w:val="22"/>
              <w:lang w:val="en-IN"/>
            </w:rPr>
          </w:pPr>
          <w:hyperlink w:anchor="_Toc225094646" w:history="1">
            <w:r w:rsidRPr="00C6387A">
              <w:rPr>
                <w:rStyle w:val="Hyperlink"/>
                <w:rFonts w:cs="Arial"/>
                <w:noProof/>
                <w:lang w:val="en-GB"/>
              </w:rPr>
              <w:t>3.1 Factor Conditions</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_Toc225094646 \h </w:instrText>
            </w:r>
            <w:r w:rsidRPr="00C6387A">
              <w:rPr>
                <w:rFonts w:cs="Arial"/>
                <w:noProof/>
                <w:webHidden/>
              </w:rPr>
            </w:r>
            <w:r w:rsidRPr="00C6387A">
              <w:rPr>
                <w:rFonts w:cs="Arial"/>
                <w:noProof/>
                <w:webHidden/>
              </w:rPr>
              <w:fldChar w:fldCharType="separate"/>
            </w:r>
            <w:r w:rsidRPr="00C6387A">
              <w:rPr>
                <w:rFonts w:cs="Arial"/>
                <w:noProof/>
                <w:webHidden/>
              </w:rPr>
              <w:t>9</w:t>
            </w:r>
            <w:r w:rsidRPr="00C6387A">
              <w:rPr>
                <w:rFonts w:cs="Arial"/>
                <w:noProof/>
                <w:webHidden/>
              </w:rPr>
              <w:fldChar w:fldCharType="end"/>
            </w:r>
          </w:hyperlink>
        </w:p>
        <w:p w14:paraId="4C90CB84" w14:textId="11B3084E" w:rsidR="00C6387A" w:rsidRPr="00C6387A" w:rsidRDefault="00C6387A" w:rsidP="00C6387A">
          <w:pPr>
            <w:pStyle w:val="TOC2"/>
            <w:tabs>
              <w:tab w:val="right" w:leader="dot" w:pos="9350"/>
            </w:tabs>
            <w:rPr>
              <w:rFonts w:eastAsiaTheme="minorEastAsia" w:cs="Arial"/>
              <w:noProof/>
              <w:sz w:val="22"/>
              <w:szCs w:val="22"/>
              <w:lang w:val="en-IN"/>
            </w:rPr>
          </w:pPr>
          <w:hyperlink w:anchor="_Toc225094647" w:history="1">
            <w:r w:rsidRPr="00C6387A">
              <w:rPr>
                <w:rStyle w:val="Hyperlink"/>
                <w:rFonts w:cs="Arial"/>
                <w:noProof/>
                <w:lang w:val="en-GB"/>
              </w:rPr>
              <w:t>3.2 Demand Conditions</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_Toc225094647 \h </w:instrText>
            </w:r>
            <w:r w:rsidRPr="00C6387A">
              <w:rPr>
                <w:rFonts w:cs="Arial"/>
                <w:noProof/>
                <w:webHidden/>
              </w:rPr>
            </w:r>
            <w:r w:rsidRPr="00C6387A">
              <w:rPr>
                <w:rFonts w:cs="Arial"/>
                <w:noProof/>
                <w:webHidden/>
              </w:rPr>
              <w:fldChar w:fldCharType="separate"/>
            </w:r>
            <w:r w:rsidRPr="00C6387A">
              <w:rPr>
                <w:rFonts w:cs="Arial"/>
                <w:noProof/>
                <w:webHidden/>
              </w:rPr>
              <w:t>10</w:t>
            </w:r>
            <w:r w:rsidRPr="00C6387A">
              <w:rPr>
                <w:rFonts w:cs="Arial"/>
                <w:noProof/>
                <w:webHidden/>
              </w:rPr>
              <w:fldChar w:fldCharType="end"/>
            </w:r>
          </w:hyperlink>
        </w:p>
        <w:p w14:paraId="69DC6C41" w14:textId="628B7E8C" w:rsidR="00C6387A" w:rsidRPr="00C6387A" w:rsidRDefault="00C6387A" w:rsidP="00C6387A">
          <w:pPr>
            <w:pStyle w:val="TOC2"/>
            <w:tabs>
              <w:tab w:val="right" w:leader="dot" w:pos="9350"/>
            </w:tabs>
            <w:rPr>
              <w:rFonts w:eastAsiaTheme="minorEastAsia" w:cs="Arial"/>
              <w:noProof/>
              <w:sz w:val="22"/>
              <w:szCs w:val="22"/>
              <w:lang w:val="en-IN"/>
            </w:rPr>
          </w:pPr>
          <w:hyperlink w:anchor="_Toc225094648" w:history="1">
            <w:r w:rsidRPr="00C6387A">
              <w:rPr>
                <w:rStyle w:val="Hyperlink"/>
                <w:rFonts w:cs="Arial"/>
                <w:noProof/>
                <w:lang w:val="en-GB"/>
              </w:rPr>
              <w:t>3.3 Related &amp; Supporting Industries</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_Toc225094648 \h </w:instrText>
            </w:r>
            <w:r w:rsidRPr="00C6387A">
              <w:rPr>
                <w:rFonts w:cs="Arial"/>
                <w:noProof/>
                <w:webHidden/>
              </w:rPr>
            </w:r>
            <w:r w:rsidRPr="00C6387A">
              <w:rPr>
                <w:rFonts w:cs="Arial"/>
                <w:noProof/>
                <w:webHidden/>
              </w:rPr>
              <w:fldChar w:fldCharType="separate"/>
            </w:r>
            <w:r w:rsidRPr="00C6387A">
              <w:rPr>
                <w:rFonts w:cs="Arial"/>
                <w:noProof/>
                <w:webHidden/>
              </w:rPr>
              <w:t>10</w:t>
            </w:r>
            <w:r w:rsidRPr="00C6387A">
              <w:rPr>
                <w:rFonts w:cs="Arial"/>
                <w:noProof/>
                <w:webHidden/>
              </w:rPr>
              <w:fldChar w:fldCharType="end"/>
            </w:r>
          </w:hyperlink>
        </w:p>
        <w:p w14:paraId="4831E9A2" w14:textId="3D417CAC" w:rsidR="00C6387A" w:rsidRPr="00C6387A" w:rsidRDefault="00C6387A" w:rsidP="00C6387A">
          <w:pPr>
            <w:pStyle w:val="TOC2"/>
            <w:tabs>
              <w:tab w:val="right" w:leader="dot" w:pos="9350"/>
            </w:tabs>
            <w:rPr>
              <w:rFonts w:eastAsiaTheme="minorEastAsia" w:cs="Arial"/>
              <w:noProof/>
              <w:sz w:val="22"/>
              <w:szCs w:val="22"/>
              <w:lang w:val="en-IN"/>
            </w:rPr>
          </w:pPr>
          <w:hyperlink w:anchor="_Toc225094649" w:history="1">
            <w:r w:rsidRPr="00C6387A">
              <w:rPr>
                <w:rStyle w:val="Hyperlink"/>
                <w:rFonts w:cs="Arial"/>
                <w:noProof/>
                <w:lang w:val="en-GB"/>
              </w:rPr>
              <w:t>3.4 Firm Strategy, Structure &amp; Rivalry</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_Toc225094649 \h </w:instrText>
            </w:r>
            <w:r w:rsidRPr="00C6387A">
              <w:rPr>
                <w:rFonts w:cs="Arial"/>
                <w:noProof/>
                <w:webHidden/>
              </w:rPr>
            </w:r>
            <w:r w:rsidRPr="00C6387A">
              <w:rPr>
                <w:rFonts w:cs="Arial"/>
                <w:noProof/>
                <w:webHidden/>
              </w:rPr>
              <w:fldChar w:fldCharType="separate"/>
            </w:r>
            <w:r w:rsidRPr="00C6387A">
              <w:rPr>
                <w:rFonts w:cs="Arial"/>
                <w:noProof/>
                <w:webHidden/>
              </w:rPr>
              <w:t>11</w:t>
            </w:r>
            <w:r w:rsidRPr="00C6387A">
              <w:rPr>
                <w:rFonts w:cs="Arial"/>
                <w:noProof/>
                <w:webHidden/>
              </w:rPr>
              <w:fldChar w:fldCharType="end"/>
            </w:r>
          </w:hyperlink>
        </w:p>
        <w:p w14:paraId="3DDCB488" w14:textId="20678899" w:rsidR="00C6387A" w:rsidRPr="00C6387A" w:rsidRDefault="00C6387A" w:rsidP="00C6387A">
          <w:pPr>
            <w:pStyle w:val="TOC1"/>
            <w:tabs>
              <w:tab w:val="right" w:leader="dot" w:pos="9350"/>
            </w:tabs>
            <w:rPr>
              <w:rFonts w:eastAsiaTheme="minorEastAsia" w:cs="Arial"/>
              <w:noProof/>
              <w:sz w:val="22"/>
              <w:szCs w:val="22"/>
              <w:lang w:val="en-IN"/>
            </w:rPr>
          </w:pPr>
          <w:hyperlink w:anchor="_Toc225094650" w:history="1">
            <w:r w:rsidRPr="00C6387A">
              <w:rPr>
                <w:rStyle w:val="Hyperlink"/>
                <w:rFonts w:cs="Arial"/>
                <w:noProof/>
                <w:lang w:val="en-GB"/>
              </w:rPr>
              <w:t>4. Company Analysis: PhonePe</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_Toc225094650 \h </w:instrText>
            </w:r>
            <w:r w:rsidRPr="00C6387A">
              <w:rPr>
                <w:rFonts w:cs="Arial"/>
                <w:noProof/>
                <w:webHidden/>
              </w:rPr>
            </w:r>
            <w:r w:rsidRPr="00C6387A">
              <w:rPr>
                <w:rFonts w:cs="Arial"/>
                <w:noProof/>
                <w:webHidden/>
              </w:rPr>
              <w:fldChar w:fldCharType="separate"/>
            </w:r>
            <w:r w:rsidRPr="00C6387A">
              <w:rPr>
                <w:rFonts w:cs="Arial"/>
                <w:noProof/>
                <w:webHidden/>
              </w:rPr>
              <w:t>12</w:t>
            </w:r>
            <w:r w:rsidRPr="00C6387A">
              <w:rPr>
                <w:rFonts w:cs="Arial"/>
                <w:noProof/>
                <w:webHidden/>
              </w:rPr>
              <w:fldChar w:fldCharType="end"/>
            </w:r>
          </w:hyperlink>
        </w:p>
        <w:p w14:paraId="5706A696" w14:textId="102FC5AA" w:rsidR="00C6387A" w:rsidRPr="00C6387A" w:rsidRDefault="00C6387A" w:rsidP="00C6387A">
          <w:pPr>
            <w:pStyle w:val="TOC2"/>
            <w:tabs>
              <w:tab w:val="right" w:leader="dot" w:pos="9350"/>
            </w:tabs>
            <w:rPr>
              <w:rFonts w:eastAsiaTheme="minorEastAsia" w:cs="Arial"/>
              <w:noProof/>
              <w:sz w:val="22"/>
              <w:szCs w:val="22"/>
              <w:lang w:val="en-IN"/>
            </w:rPr>
          </w:pPr>
          <w:hyperlink w:anchor="_Toc225094651" w:history="1">
            <w:r w:rsidRPr="00C6387A">
              <w:rPr>
                <w:rStyle w:val="Hyperlink"/>
                <w:rFonts w:cs="Arial"/>
                <w:noProof/>
                <w:lang w:val="en-GB"/>
              </w:rPr>
              <w:t>4.1 Company Overview</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_Toc225094651 \h </w:instrText>
            </w:r>
            <w:r w:rsidRPr="00C6387A">
              <w:rPr>
                <w:rFonts w:cs="Arial"/>
                <w:noProof/>
                <w:webHidden/>
              </w:rPr>
            </w:r>
            <w:r w:rsidRPr="00C6387A">
              <w:rPr>
                <w:rFonts w:cs="Arial"/>
                <w:noProof/>
                <w:webHidden/>
              </w:rPr>
              <w:fldChar w:fldCharType="separate"/>
            </w:r>
            <w:r w:rsidRPr="00C6387A">
              <w:rPr>
                <w:rFonts w:cs="Arial"/>
                <w:noProof/>
                <w:webHidden/>
              </w:rPr>
              <w:t>12</w:t>
            </w:r>
            <w:r w:rsidRPr="00C6387A">
              <w:rPr>
                <w:rFonts w:cs="Arial"/>
                <w:noProof/>
                <w:webHidden/>
              </w:rPr>
              <w:fldChar w:fldCharType="end"/>
            </w:r>
          </w:hyperlink>
        </w:p>
        <w:p w14:paraId="3531B8E3" w14:textId="1B3E44CA" w:rsidR="00C6387A" w:rsidRPr="00C6387A" w:rsidRDefault="00C6387A" w:rsidP="00C6387A">
          <w:pPr>
            <w:pStyle w:val="TOC2"/>
            <w:tabs>
              <w:tab w:val="right" w:leader="dot" w:pos="9350"/>
            </w:tabs>
            <w:rPr>
              <w:rFonts w:eastAsiaTheme="minorEastAsia" w:cs="Arial"/>
              <w:noProof/>
              <w:sz w:val="22"/>
              <w:szCs w:val="22"/>
              <w:lang w:val="en-IN"/>
            </w:rPr>
          </w:pPr>
          <w:hyperlink w:anchor="_Toc225094652" w:history="1">
            <w:r w:rsidRPr="00C6387A">
              <w:rPr>
                <w:rStyle w:val="Hyperlink"/>
                <w:rFonts w:cs="Arial"/>
                <w:noProof/>
                <w:lang w:val="en-GB"/>
              </w:rPr>
              <w:t>4.2 Market Attractiveness of India</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_Toc225094652 \h </w:instrText>
            </w:r>
            <w:r w:rsidRPr="00C6387A">
              <w:rPr>
                <w:rFonts w:cs="Arial"/>
                <w:noProof/>
                <w:webHidden/>
              </w:rPr>
            </w:r>
            <w:r w:rsidRPr="00C6387A">
              <w:rPr>
                <w:rFonts w:cs="Arial"/>
                <w:noProof/>
                <w:webHidden/>
              </w:rPr>
              <w:fldChar w:fldCharType="separate"/>
            </w:r>
            <w:r w:rsidRPr="00C6387A">
              <w:rPr>
                <w:rFonts w:cs="Arial"/>
                <w:noProof/>
                <w:webHidden/>
              </w:rPr>
              <w:t>12</w:t>
            </w:r>
            <w:r w:rsidRPr="00C6387A">
              <w:rPr>
                <w:rFonts w:cs="Arial"/>
                <w:noProof/>
                <w:webHidden/>
              </w:rPr>
              <w:fldChar w:fldCharType="end"/>
            </w:r>
          </w:hyperlink>
        </w:p>
        <w:p w14:paraId="4F8EA19F" w14:textId="2A0F71FA" w:rsidR="00C6387A" w:rsidRPr="00C6387A" w:rsidRDefault="00C6387A" w:rsidP="00C6387A">
          <w:pPr>
            <w:pStyle w:val="TOC2"/>
            <w:tabs>
              <w:tab w:val="right" w:leader="dot" w:pos="9350"/>
            </w:tabs>
            <w:rPr>
              <w:rFonts w:eastAsiaTheme="minorEastAsia" w:cs="Arial"/>
              <w:noProof/>
              <w:sz w:val="22"/>
              <w:szCs w:val="22"/>
              <w:lang w:val="en-IN"/>
            </w:rPr>
          </w:pPr>
          <w:hyperlink w:anchor="_Toc225094653" w:history="1">
            <w:r w:rsidRPr="00C6387A">
              <w:rPr>
                <w:rStyle w:val="Hyperlink"/>
                <w:rFonts w:cs="Arial"/>
                <w:noProof/>
                <w:lang w:val="en-GB"/>
              </w:rPr>
              <w:t>4.3 Pestle Analysis – PhonePe In India</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_Toc225094653 \h </w:instrText>
            </w:r>
            <w:r w:rsidRPr="00C6387A">
              <w:rPr>
                <w:rFonts w:cs="Arial"/>
                <w:noProof/>
                <w:webHidden/>
              </w:rPr>
            </w:r>
            <w:r w:rsidRPr="00C6387A">
              <w:rPr>
                <w:rFonts w:cs="Arial"/>
                <w:noProof/>
                <w:webHidden/>
              </w:rPr>
              <w:fldChar w:fldCharType="separate"/>
            </w:r>
            <w:r w:rsidRPr="00C6387A">
              <w:rPr>
                <w:rFonts w:cs="Arial"/>
                <w:noProof/>
                <w:webHidden/>
              </w:rPr>
              <w:t>14</w:t>
            </w:r>
            <w:r w:rsidRPr="00C6387A">
              <w:rPr>
                <w:rFonts w:cs="Arial"/>
                <w:noProof/>
                <w:webHidden/>
              </w:rPr>
              <w:fldChar w:fldCharType="end"/>
            </w:r>
          </w:hyperlink>
        </w:p>
        <w:p w14:paraId="2DDB43B4" w14:textId="277B5AFB" w:rsidR="00C6387A" w:rsidRPr="00C6387A" w:rsidRDefault="00C6387A" w:rsidP="00C6387A">
          <w:pPr>
            <w:pStyle w:val="TOC2"/>
            <w:tabs>
              <w:tab w:val="right" w:leader="dot" w:pos="9350"/>
            </w:tabs>
            <w:rPr>
              <w:rFonts w:eastAsiaTheme="minorEastAsia" w:cs="Arial"/>
              <w:noProof/>
              <w:sz w:val="22"/>
              <w:szCs w:val="22"/>
              <w:lang w:val="en-IN"/>
            </w:rPr>
          </w:pPr>
          <w:hyperlink w:anchor="_Toc225094654" w:history="1">
            <w:r w:rsidRPr="00C6387A">
              <w:rPr>
                <w:rStyle w:val="Hyperlink"/>
                <w:rFonts w:cs="Arial"/>
                <w:noProof/>
                <w:lang w:val="en-GB"/>
              </w:rPr>
              <w:t>4.4 Opportunities for PhonePe</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_Toc225094654 \h </w:instrText>
            </w:r>
            <w:r w:rsidRPr="00C6387A">
              <w:rPr>
                <w:rFonts w:cs="Arial"/>
                <w:noProof/>
                <w:webHidden/>
              </w:rPr>
            </w:r>
            <w:r w:rsidRPr="00C6387A">
              <w:rPr>
                <w:rFonts w:cs="Arial"/>
                <w:noProof/>
                <w:webHidden/>
              </w:rPr>
              <w:fldChar w:fldCharType="separate"/>
            </w:r>
            <w:r w:rsidRPr="00C6387A">
              <w:rPr>
                <w:rFonts w:cs="Arial"/>
                <w:noProof/>
                <w:webHidden/>
              </w:rPr>
              <w:t>16</w:t>
            </w:r>
            <w:r w:rsidRPr="00C6387A">
              <w:rPr>
                <w:rFonts w:cs="Arial"/>
                <w:noProof/>
                <w:webHidden/>
              </w:rPr>
              <w:fldChar w:fldCharType="end"/>
            </w:r>
          </w:hyperlink>
        </w:p>
        <w:p w14:paraId="4FC11C4B" w14:textId="06996B72" w:rsidR="00C6387A" w:rsidRPr="00C6387A" w:rsidRDefault="00C6387A" w:rsidP="00C6387A">
          <w:pPr>
            <w:pStyle w:val="TOC2"/>
            <w:tabs>
              <w:tab w:val="right" w:leader="dot" w:pos="9350"/>
            </w:tabs>
            <w:rPr>
              <w:rFonts w:eastAsiaTheme="minorEastAsia" w:cs="Arial"/>
              <w:noProof/>
              <w:sz w:val="22"/>
              <w:szCs w:val="22"/>
              <w:lang w:val="en-IN"/>
            </w:rPr>
          </w:pPr>
          <w:hyperlink w:anchor="_Toc225094655" w:history="1">
            <w:r w:rsidRPr="00C6387A">
              <w:rPr>
                <w:rStyle w:val="Hyperlink"/>
                <w:rFonts w:cs="Arial"/>
                <w:noProof/>
                <w:lang w:val="en-GB"/>
              </w:rPr>
              <w:t>4.5 Challenges</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_Toc225094655 \h </w:instrText>
            </w:r>
            <w:r w:rsidRPr="00C6387A">
              <w:rPr>
                <w:rFonts w:cs="Arial"/>
                <w:noProof/>
                <w:webHidden/>
              </w:rPr>
            </w:r>
            <w:r w:rsidRPr="00C6387A">
              <w:rPr>
                <w:rFonts w:cs="Arial"/>
                <w:noProof/>
                <w:webHidden/>
              </w:rPr>
              <w:fldChar w:fldCharType="separate"/>
            </w:r>
            <w:r w:rsidRPr="00C6387A">
              <w:rPr>
                <w:rFonts w:cs="Arial"/>
                <w:noProof/>
                <w:webHidden/>
              </w:rPr>
              <w:t>17</w:t>
            </w:r>
            <w:r w:rsidRPr="00C6387A">
              <w:rPr>
                <w:rFonts w:cs="Arial"/>
                <w:noProof/>
                <w:webHidden/>
              </w:rPr>
              <w:fldChar w:fldCharType="end"/>
            </w:r>
          </w:hyperlink>
        </w:p>
        <w:p w14:paraId="3E674329" w14:textId="0F80EAFC" w:rsidR="00C6387A" w:rsidRPr="00C6387A" w:rsidRDefault="00C6387A" w:rsidP="00C6387A">
          <w:pPr>
            <w:pStyle w:val="TOC2"/>
            <w:tabs>
              <w:tab w:val="right" w:leader="dot" w:pos="9350"/>
            </w:tabs>
            <w:rPr>
              <w:rFonts w:eastAsiaTheme="minorEastAsia" w:cs="Arial"/>
              <w:noProof/>
              <w:sz w:val="22"/>
              <w:szCs w:val="22"/>
              <w:lang w:val="en-IN"/>
            </w:rPr>
          </w:pPr>
          <w:hyperlink w:anchor="_Toc225094656" w:history="1">
            <w:r w:rsidRPr="00C6387A">
              <w:rPr>
                <w:rStyle w:val="Hyperlink"/>
                <w:rFonts w:cs="Arial"/>
                <w:noProof/>
                <w:lang w:val="en-GB"/>
              </w:rPr>
              <w:t>4.6 Competitive Position Analysis</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_Toc225094656 \h </w:instrText>
            </w:r>
            <w:r w:rsidRPr="00C6387A">
              <w:rPr>
                <w:rFonts w:cs="Arial"/>
                <w:noProof/>
                <w:webHidden/>
              </w:rPr>
            </w:r>
            <w:r w:rsidRPr="00C6387A">
              <w:rPr>
                <w:rFonts w:cs="Arial"/>
                <w:noProof/>
                <w:webHidden/>
              </w:rPr>
              <w:fldChar w:fldCharType="separate"/>
            </w:r>
            <w:r w:rsidRPr="00C6387A">
              <w:rPr>
                <w:rFonts w:cs="Arial"/>
                <w:noProof/>
                <w:webHidden/>
              </w:rPr>
              <w:t>17</w:t>
            </w:r>
            <w:r w:rsidRPr="00C6387A">
              <w:rPr>
                <w:rFonts w:cs="Arial"/>
                <w:noProof/>
                <w:webHidden/>
              </w:rPr>
              <w:fldChar w:fldCharType="end"/>
            </w:r>
          </w:hyperlink>
        </w:p>
        <w:p w14:paraId="1A88548A" w14:textId="2C9F83AC" w:rsidR="00C6387A" w:rsidRPr="00C6387A" w:rsidRDefault="00C6387A" w:rsidP="00C6387A">
          <w:pPr>
            <w:pStyle w:val="TOC2"/>
            <w:tabs>
              <w:tab w:val="right" w:leader="dot" w:pos="9350"/>
            </w:tabs>
            <w:rPr>
              <w:rFonts w:eastAsiaTheme="minorEastAsia" w:cs="Arial"/>
              <w:noProof/>
              <w:sz w:val="22"/>
              <w:szCs w:val="22"/>
              <w:lang w:val="en-IN"/>
            </w:rPr>
          </w:pPr>
          <w:hyperlink w:anchor="_Toc225094657" w:history="1">
            <w:r w:rsidRPr="00C6387A">
              <w:rPr>
                <w:rStyle w:val="Hyperlink"/>
                <w:rFonts w:cs="Arial"/>
                <w:noProof/>
                <w:lang w:val="en-GB"/>
              </w:rPr>
              <w:t>4.7 Critical Evaluation &amp; Strategic Assessment</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_Toc225094657 \h </w:instrText>
            </w:r>
            <w:r w:rsidRPr="00C6387A">
              <w:rPr>
                <w:rFonts w:cs="Arial"/>
                <w:noProof/>
                <w:webHidden/>
              </w:rPr>
            </w:r>
            <w:r w:rsidRPr="00C6387A">
              <w:rPr>
                <w:rFonts w:cs="Arial"/>
                <w:noProof/>
                <w:webHidden/>
              </w:rPr>
              <w:fldChar w:fldCharType="separate"/>
            </w:r>
            <w:r w:rsidRPr="00C6387A">
              <w:rPr>
                <w:rFonts w:cs="Arial"/>
                <w:noProof/>
                <w:webHidden/>
              </w:rPr>
              <w:t>18</w:t>
            </w:r>
            <w:r w:rsidRPr="00C6387A">
              <w:rPr>
                <w:rFonts w:cs="Arial"/>
                <w:noProof/>
                <w:webHidden/>
              </w:rPr>
              <w:fldChar w:fldCharType="end"/>
            </w:r>
          </w:hyperlink>
        </w:p>
        <w:p w14:paraId="7B1FE109" w14:textId="6F6F5F7F" w:rsidR="00C6387A" w:rsidRPr="00C6387A" w:rsidRDefault="00C6387A" w:rsidP="00C6387A">
          <w:pPr>
            <w:pStyle w:val="TOC2"/>
            <w:tabs>
              <w:tab w:val="right" w:leader="dot" w:pos="9350"/>
            </w:tabs>
            <w:rPr>
              <w:rFonts w:eastAsiaTheme="minorEastAsia" w:cs="Arial"/>
              <w:noProof/>
              <w:sz w:val="22"/>
              <w:szCs w:val="22"/>
              <w:lang w:val="en-IN"/>
            </w:rPr>
          </w:pPr>
          <w:hyperlink w:anchor="_Toc225094658" w:history="1">
            <w:r w:rsidRPr="00C6387A">
              <w:rPr>
                <w:rStyle w:val="Hyperlink"/>
                <w:rFonts w:cs="Arial"/>
                <w:noProof/>
                <w:lang w:val="en-GB"/>
              </w:rPr>
              <w:t>5. Conclusion</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_Toc225094658 \h </w:instrText>
            </w:r>
            <w:r w:rsidRPr="00C6387A">
              <w:rPr>
                <w:rFonts w:cs="Arial"/>
                <w:noProof/>
                <w:webHidden/>
              </w:rPr>
            </w:r>
            <w:r w:rsidRPr="00C6387A">
              <w:rPr>
                <w:rFonts w:cs="Arial"/>
                <w:noProof/>
                <w:webHidden/>
              </w:rPr>
              <w:fldChar w:fldCharType="separate"/>
            </w:r>
            <w:r w:rsidRPr="00C6387A">
              <w:rPr>
                <w:rFonts w:cs="Arial"/>
                <w:noProof/>
                <w:webHidden/>
              </w:rPr>
              <w:t>19</w:t>
            </w:r>
            <w:r w:rsidRPr="00C6387A">
              <w:rPr>
                <w:rFonts w:cs="Arial"/>
                <w:noProof/>
                <w:webHidden/>
              </w:rPr>
              <w:fldChar w:fldCharType="end"/>
            </w:r>
          </w:hyperlink>
        </w:p>
        <w:p w14:paraId="11090B3C" w14:textId="660DA75E" w:rsidR="00C6387A" w:rsidRPr="00C6387A" w:rsidRDefault="00C6387A" w:rsidP="00C6387A">
          <w:pPr>
            <w:pStyle w:val="TOC1"/>
            <w:tabs>
              <w:tab w:val="right" w:leader="dot" w:pos="9350"/>
            </w:tabs>
            <w:rPr>
              <w:rFonts w:eastAsiaTheme="minorEastAsia" w:cs="Arial"/>
              <w:noProof/>
              <w:sz w:val="22"/>
              <w:szCs w:val="22"/>
              <w:lang w:val="en-IN"/>
            </w:rPr>
          </w:pPr>
          <w:hyperlink w:anchor="_Toc225094659" w:history="1">
            <w:r w:rsidRPr="00C6387A">
              <w:rPr>
                <w:rStyle w:val="Hyperlink"/>
                <w:rFonts w:cs="Arial"/>
                <w:noProof/>
                <w:lang w:val="en-GB"/>
              </w:rPr>
              <w:t>Part 2: Reflection</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_Toc225094659 \h </w:instrText>
            </w:r>
            <w:r w:rsidRPr="00C6387A">
              <w:rPr>
                <w:rFonts w:cs="Arial"/>
                <w:noProof/>
                <w:webHidden/>
              </w:rPr>
            </w:r>
            <w:r w:rsidRPr="00C6387A">
              <w:rPr>
                <w:rFonts w:cs="Arial"/>
                <w:noProof/>
                <w:webHidden/>
              </w:rPr>
              <w:fldChar w:fldCharType="separate"/>
            </w:r>
            <w:r w:rsidRPr="00C6387A">
              <w:rPr>
                <w:rFonts w:cs="Arial"/>
                <w:noProof/>
                <w:webHidden/>
              </w:rPr>
              <w:t>20</w:t>
            </w:r>
            <w:r w:rsidRPr="00C6387A">
              <w:rPr>
                <w:rFonts w:cs="Arial"/>
                <w:noProof/>
                <w:webHidden/>
              </w:rPr>
              <w:fldChar w:fldCharType="end"/>
            </w:r>
          </w:hyperlink>
        </w:p>
        <w:p w14:paraId="2300C51B" w14:textId="30B92DD4" w:rsidR="00C6387A" w:rsidRPr="00C6387A" w:rsidRDefault="00C6387A" w:rsidP="00C6387A">
          <w:pPr>
            <w:pStyle w:val="TOC2"/>
            <w:tabs>
              <w:tab w:val="right" w:leader="dot" w:pos="9350"/>
            </w:tabs>
            <w:rPr>
              <w:rFonts w:eastAsiaTheme="minorEastAsia" w:cs="Arial"/>
              <w:noProof/>
              <w:sz w:val="22"/>
              <w:szCs w:val="22"/>
              <w:lang w:val="en-IN"/>
            </w:rPr>
          </w:pPr>
          <w:hyperlink w:anchor="_Toc225094660" w:history="1">
            <w:r w:rsidRPr="00C6387A">
              <w:rPr>
                <w:rStyle w:val="Hyperlink"/>
                <w:rFonts w:cs="Arial"/>
                <w:noProof/>
                <w:lang w:val="en-GB"/>
              </w:rPr>
              <w:t>2.1 Concrete Experience</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_Toc225094660 \h </w:instrText>
            </w:r>
            <w:r w:rsidRPr="00C6387A">
              <w:rPr>
                <w:rFonts w:cs="Arial"/>
                <w:noProof/>
                <w:webHidden/>
              </w:rPr>
            </w:r>
            <w:r w:rsidRPr="00C6387A">
              <w:rPr>
                <w:rFonts w:cs="Arial"/>
                <w:noProof/>
                <w:webHidden/>
              </w:rPr>
              <w:fldChar w:fldCharType="separate"/>
            </w:r>
            <w:r w:rsidRPr="00C6387A">
              <w:rPr>
                <w:rFonts w:cs="Arial"/>
                <w:noProof/>
                <w:webHidden/>
              </w:rPr>
              <w:t>20</w:t>
            </w:r>
            <w:r w:rsidRPr="00C6387A">
              <w:rPr>
                <w:rFonts w:cs="Arial"/>
                <w:noProof/>
                <w:webHidden/>
              </w:rPr>
              <w:fldChar w:fldCharType="end"/>
            </w:r>
          </w:hyperlink>
        </w:p>
        <w:p w14:paraId="6F965B25" w14:textId="3FF135AE" w:rsidR="00C6387A" w:rsidRPr="00C6387A" w:rsidRDefault="00C6387A" w:rsidP="00C6387A">
          <w:pPr>
            <w:pStyle w:val="TOC2"/>
            <w:tabs>
              <w:tab w:val="right" w:leader="dot" w:pos="9350"/>
            </w:tabs>
            <w:rPr>
              <w:rFonts w:eastAsiaTheme="minorEastAsia" w:cs="Arial"/>
              <w:noProof/>
              <w:sz w:val="22"/>
              <w:szCs w:val="22"/>
              <w:lang w:val="en-IN"/>
            </w:rPr>
          </w:pPr>
          <w:hyperlink w:anchor="_Toc225094661" w:history="1">
            <w:r w:rsidRPr="00C6387A">
              <w:rPr>
                <w:rStyle w:val="Hyperlink"/>
                <w:rFonts w:cs="Arial"/>
                <w:noProof/>
                <w:lang w:val="en-GB"/>
              </w:rPr>
              <w:t>2.2 Reflective Observation</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_Toc225094661 \h </w:instrText>
            </w:r>
            <w:r w:rsidRPr="00C6387A">
              <w:rPr>
                <w:rFonts w:cs="Arial"/>
                <w:noProof/>
                <w:webHidden/>
              </w:rPr>
            </w:r>
            <w:r w:rsidRPr="00C6387A">
              <w:rPr>
                <w:rFonts w:cs="Arial"/>
                <w:noProof/>
                <w:webHidden/>
              </w:rPr>
              <w:fldChar w:fldCharType="separate"/>
            </w:r>
            <w:r w:rsidRPr="00C6387A">
              <w:rPr>
                <w:rFonts w:cs="Arial"/>
                <w:noProof/>
                <w:webHidden/>
              </w:rPr>
              <w:t>20</w:t>
            </w:r>
            <w:r w:rsidRPr="00C6387A">
              <w:rPr>
                <w:rFonts w:cs="Arial"/>
                <w:noProof/>
                <w:webHidden/>
              </w:rPr>
              <w:fldChar w:fldCharType="end"/>
            </w:r>
          </w:hyperlink>
        </w:p>
        <w:p w14:paraId="76339F70" w14:textId="46F71998" w:rsidR="00C6387A" w:rsidRPr="00C6387A" w:rsidRDefault="00C6387A" w:rsidP="00C6387A">
          <w:pPr>
            <w:pStyle w:val="TOC2"/>
            <w:tabs>
              <w:tab w:val="right" w:leader="dot" w:pos="9350"/>
            </w:tabs>
            <w:rPr>
              <w:rFonts w:eastAsiaTheme="minorEastAsia" w:cs="Arial"/>
              <w:noProof/>
              <w:sz w:val="22"/>
              <w:szCs w:val="22"/>
              <w:lang w:val="en-IN"/>
            </w:rPr>
          </w:pPr>
          <w:hyperlink w:anchor="_Toc225094662" w:history="1">
            <w:r w:rsidRPr="00C6387A">
              <w:rPr>
                <w:rStyle w:val="Hyperlink"/>
                <w:rFonts w:cs="Arial"/>
                <w:noProof/>
                <w:lang w:val="en-GB"/>
              </w:rPr>
              <w:t>2.3 Abstract Conceptualisation</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_Toc225094662 \h </w:instrText>
            </w:r>
            <w:r w:rsidRPr="00C6387A">
              <w:rPr>
                <w:rFonts w:cs="Arial"/>
                <w:noProof/>
                <w:webHidden/>
              </w:rPr>
            </w:r>
            <w:r w:rsidRPr="00C6387A">
              <w:rPr>
                <w:rFonts w:cs="Arial"/>
                <w:noProof/>
                <w:webHidden/>
              </w:rPr>
              <w:fldChar w:fldCharType="separate"/>
            </w:r>
            <w:r w:rsidRPr="00C6387A">
              <w:rPr>
                <w:rFonts w:cs="Arial"/>
                <w:noProof/>
                <w:webHidden/>
              </w:rPr>
              <w:t>21</w:t>
            </w:r>
            <w:r w:rsidRPr="00C6387A">
              <w:rPr>
                <w:rFonts w:cs="Arial"/>
                <w:noProof/>
                <w:webHidden/>
              </w:rPr>
              <w:fldChar w:fldCharType="end"/>
            </w:r>
          </w:hyperlink>
        </w:p>
        <w:p w14:paraId="3578756A" w14:textId="6BC6ED3C" w:rsidR="00C6387A" w:rsidRPr="00C6387A" w:rsidRDefault="00C6387A" w:rsidP="00C6387A">
          <w:pPr>
            <w:pStyle w:val="TOC2"/>
            <w:tabs>
              <w:tab w:val="right" w:leader="dot" w:pos="9350"/>
            </w:tabs>
            <w:rPr>
              <w:rFonts w:eastAsiaTheme="minorEastAsia" w:cs="Arial"/>
              <w:noProof/>
              <w:sz w:val="22"/>
              <w:szCs w:val="22"/>
              <w:lang w:val="en-IN"/>
            </w:rPr>
          </w:pPr>
          <w:hyperlink w:anchor="_Toc225094663" w:history="1">
            <w:r w:rsidRPr="00C6387A">
              <w:rPr>
                <w:rStyle w:val="Hyperlink"/>
                <w:rFonts w:cs="Arial"/>
                <w:noProof/>
                <w:lang w:val="en-GB"/>
              </w:rPr>
              <w:t>2.4 Active Experimentation</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_Toc225094663 \h </w:instrText>
            </w:r>
            <w:r w:rsidRPr="00C6387A">
              <w:rPr>
                <w:rFonts w:cs="Arial"/>
                <w:noProof/>
                <w:webHidden/>
              </w:rPr>
            </w:r>
            <w:r w:rsidRPr="00C6387A">
              <w:rPr>
                <w:rFonts w:cs="Arial"/>
                <w:noProof/>
                <w:webHidden/>
              </w:rPr>
              <w:fldChar w:fldCharType="separate"/>
            </w:r>
            <w:r w:rsidRPr="00C6387A">
              <w:rPr>
                <w:rFonts w:cs="Arial"/>
                <w:noProof/>
                <w:webHidden/>
              </w:rPr>
              <w:t>21</w:t>
            </w:r>
            <w:r w:rsidRPr="00C6387A">
              <w:rPr>
                <w:rFonts w:cs="Arial"/>
                <w:noProof/>
                <w:webHidden/>
              </w:rPr>
              <w:fldChar w:fldCharType="end"/>
            </w:r>
          </w:hyperlink>
        </w:p>
        <w:p w14:paraId="693D225F" w14:textId="30B5F1D0" w:rsidR="00C6387A" w:rsidRPr="00C6387A" w:rsidRDefault="00C6387A" w:rsidP="00C6387A">
          <w:pPr>
            <w:pStyle w:val="TOC1"/>
            <w:tabs>
              <w:tab w:val="right" w:leader="dot" w:pos="9350"/>
            </w:tabs>
            <w:rPr>
              <w:rFonts w:eastAsiaTheme="minorEastAsia" w:cs="Arial"/>
              <w:noProof/>
              <w:sz w:val="22"/>
              <w:szCs w:val="22"/>
              <w:lang w:val="en-IN"/>
            </w:rPr>
          </w:pPr>
          <w:hyperlink w:anchor="_Toc225094664" w:history="1">
            <w:r w:rsidRPr="00C6387A">
              <w:rPr>
                <w:rStyle w:val="Hyperlink"/>
                <w:rFonts w:cs="Arial"/>
                <w:noProof/>
                <w:lang w:val="en-GB"/>
              </w:rPr>
              <w:t>References</w:t>
            </w:r>
            <w:r w:rsidRPr="00C6387A">
              <w:rPr>
                <w:rFonts w:cs="Arial"/>
                <w:noProof/>
                <w:webHidden/>
              </w:rPr>
              <w:tab/>
            </w:r>
            <w:r w:rsidRPr="00C6387A">
              <w:rPr>
                <w:rFonts w:cs="Arial"/>
                <w:noProof/>
                <w:webHidden/>
              </w:rPr>
              <w:fldChar w:fldCharType="begin"/>
            </w:r>
            <w:r w:rsidRPr="00C6387A">
              <w:rPr>
                <w:rFonts w:cs="Arial"/>
                <w:noProof/>
                <w:webHidden/>
              </w:rPr>
              <w:instrText xml:space="preserve"> PAGEREF _Toc225094664 \h </w:instrText>
            </w:r>
            <w:r w:rsidRPr="00C6387A">
              <w:rPr>
                <w:rFonts w:cs="Arial"/>
                <w:noProof/>
                <w:webHidden/>
              </w:rPr>
            </w:r>
            <w:r w:rsidRPr="00C6387A">
              <w:rPr>
                <w:rFonts w:cs="Arial"/>
                <w:noProof/>
                <w:webHidden/>
              </w:rPr>
              <w:fldChar w:fldCharType="separate"/>
            </w:r>
            <w:r w:rsidRPr="00C6387A">
              <w:rPr>
                <w:rFonts w:cs="Arial"/>
                <w:noProof/>
                <w:webHidden/>
              </w:rPr>
              <w:t>23</w:t>
            </w:r>
            <w:r w:rsidRPr="00C6387A">
              <w:rPr>
                <w:rFonts w:cs="Arial"/>
                <w:noProof/>
                <w:webHidden/>
              </w:rPr>
              <w:fldChar w:fldCharType="end"/>
            </w:r>
          </w:hyperlink>
        </w:p>
        <w:p w14:paraId="72C35B63" w14:textId="695C7F8F" w:rsidR="00F12A41" w:rsidRPr="00C6387A" w:rsidRDefault="0073186B" w:rsidP="00C6387A">
          <w:pPr>
            <w:rPr>
              <w:rFonts w:cs="Arial"/>
              <w:b/>
              <w:bCs/>
              <w:noProof/>
            </w:rPr>
          </w:pPr>
          <w:r w:rsidRPr="00C6387A">
            <w:rPr>
              <w:rFonts w:cs="Arial"/>
              <w:b/>
              <w:bCs/>
              <w:noProof/>
            </w:rPr>
            <w:fldChar w:fldCharType="end"/>
          </w:r>
        </w:p>
      </w:sdtContent>
    </w:sdt>
    <w:bookmarkStart w:id="0" w:name="_scb0gwt3ndc5" w:colFirst="0" w:colLast="0" w:displacedByCustomXml="prev"/>
    <w:bookmarkEnd w:id="0" w:displacedByCustomXml="prev"/>
    <w:p w14:paraId="66FDC2E0" w14:textId="52FA98C3" w:rsidR="00F12A41" w:rsidRPr="00C6387A" w:rsidRDefault="00F12A41" w:rsidP="00C6387A">
      <w:pPr>
        <w:rPr>
          <w:rFonts w:cs="Arial"/>
        </w:rPr>
      </w:pPr>
      <w:r w:rsidRPr="00C6387A">
        <w:rPr>
          <w:rFonts w:cs="Arial"/>
          <w:lang w:val="en-GB"/>
        </w:rPr>
        <w:br w:type="page"/>
      </w:r>
    </w:p>
    <w:p w14:paraId="3A879569" w14:textId="3C7EC94F" w:rsidR="00490056" w:rsidRPr="00C6387A" w:rsidRDefault="009324D1" w:rsidP="00C6387A">
      <w:pPr>
        <w:pStyle w:val="Heading1"/>
        <w:rPr>
          <w:rFonts w:cs="Arial"/>
          <w:lang w:val="en-GB"/>
        </w:rPr>
      </w:pPr>
      <w:bookmarkStart w:id="1" w:name="_Toc225094640"/>
      <w:r w:rsidRPr="00C6387A">
        <w:rPr>
          <w:rFonts w:cs="Arial"/>
          <w:lang w:val="en-GB"/>
        </w:rPr>
        <w:lastRenderedPageBreak/>
        <w:t>1. Introduction</w:t>
      </w:r>
      <w:bookmarkEnd w:id="1"/>
    </w:p>
    <w:p w14:paraId="7E7BAAC4" w14:textId="18C17ED4" w:rsidR="00490056" w:rsidRPr="00C6387A" w:rsidRDefault="009324D1" w:rsidP="00C6387A">
      <w:pPr>
        <w:rPr>
          <w:rFonts w:cs="Arial"/>
          <w:lang w:val="en-GB"/>
        </w:rPr>
      </w:pPr>
      <w:r w:rsidRPr="00C6387A">
        <w:rPr>
          <w:rFonts w:cs="Arial"/>
          <w:lang w:val="en-GB"/>
        </w:rPr>
        <w:t>India has been among the fastest-growing digital economies with a significant take-off of technology and the government support of financial inclusion. A major pillar of this transformation has been the FinTech industry, especially in the area of digital payments, with technologies like the Unified Payments Interface (UPI) transforming the transaction systems in the entire nation. It is important to note that in India, more than 99% of transactions were conducted through digital payment, which indicates that the society has embraced the use of cashless systems. In this perspective, PhonePe is the dominant player, as it controls almost 48% of the market share of UPI payments (Verma, 2026). This report evaluates the competitiveness of the FinTech industry in India, its analysis, and critically assesses the success/competitive challenges of the operation of PhonePe.</w:t>
      </w:r>
    </w:p>
    <w:p w14:paraId="6953284C" w14:textId="77777777" w:rsidR="00490056" w:rsidRPr="00C6387A" w:rsidRDefault="009324D1" w:rsidP="00C6387A">
      <w:pPr>
        <w:pStyle w:val="Heading1"/>
        <w:rPr>
          <w:rFonts w:cs="Arial"/>
          <w:lang w:val="en-GB"/>
        </w:rPr>
      </w:pPr>
      <w:bookmarkStart w:id="2" w:name="_ik0c8susmfg1" w:colFirst="0" w:colLast="0"/>
      <w:bookmarkStart w:id="3" w:name="_Toc225094641"/>
      <w:bookmarkEnd w:id="2"/>
      <w:r w:rsidRPr="00C6387A">
        <w:rPr>
          <w:rFonts w:cs="Arial"/>
          <w:lang w:val="en-GB"/>
        </w:rPr>
        <w:t>2. Industry &amp; Country Overview</w:t>
      </w:r>
      <w:bookmarkEnd w:id="3"/>
    </w:p>
    <w:p w14:paraId="363DD8A2" w14:textId="77777777" w:rsidR="00490056" w:rsidRPr="00C6387A" w:rsidRDefault="009324D1" w:rsidP="00C6387A">
      <w:pPr>
        <w:pStyle w:val="Heading2"/>
        <w:rPr>
          <w:rFonts w:cs="Arial"/>
          <w:lang w:val="en-GB"/>
        </w:rPr>
      </w:pPr>
      <w:bookmarkStart w:id="4" w:name="_9l5marylh23u" w:colFirst="0" w:colLast="0"/>
      <w:bookmarkStart w:id="5" w:name="_Toc225094642"/>
      <w:bookmarkEnd w:id="4"/>
      <w:r w:rsidRPr="00C6387A">
        <w:rPr>
          <w:rFonts w:cs="Arial"/>
          <w:lang w:val="en-GB"/>
        </w:rPr>
        <w:t>2.1 Overview of India’s FinTech Industry</w:t>
      </w:r>
      <w:bookmarkEnd w:id="5"/>
    </w:p>
    <w:p w14:paraId="7DAC7D57" w14:textId="77777777" w:rsidR="00490056" w:rsidRPr="00C6387A" w:rsidRDefault="009324D1" w:rsidP="00C6387A">
      <w:pPr>
        <w:jc w:val="center"/>
        <w:rPr>
          <w:rFonts w:cs="Arial"/>
          <w:lang w:val="en-GB"/>
        </w:rPr>
      </w:pPr>
      <w:r w:rsidRPr="00C6387A">
        <w:rPr>
          <w:rFonts w:cs="Arial"/>
          <w:noProof/>
          <w:lang w:val="en-GB"/>
        </w:rPr>
        <w:drawing>
          <wp:inline distT="114300" distB="114300" distL="114300" distR="114300" wp14:anchorId="05FC62BE" wp14:editId="3E64C095">
            <wp:extent cx="5943600" cy="28448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2844800"/>
                    </a:xfrm>
                    <a:prstGeom prst="rect">
                      <a:avLst/>
                    </a:prstGeom>
                    <a:ln/>
                  </pic:spPr>
                </pic:pic>
              </a:graphicData>
            </a:graphic>
          </wp:inline>
        </w:drawing>
      </w:r>
    </w:p>
    <w:p w14:paraId="5D515F2D" w14:textId="77777777" w:rsidR="00490056" w:rsidRPr="00C6387A" w:rsidRDefault="009324D1" w:rsidP="00C6387A">
      <w:pPr>
        <w:jc w:val="center"/>
        <w:rPr>
          <w:rFonts w:cs="Arial"/>
          <w:b/>
          <w:bCs/>
          <w:lang w:val="en-GB"/>
        </w:rPr>
      </w:pPr>
      <w:r w:rsidRPr="00C6387A">
        <w:rPr>
          <w:rFonts w:cs="Arial"/>
          <w:b/>
          <w:bCs/>
          <w:lang w:val="en-GB"/>
        </w:rPr>
        <w:t>Figure 1: India Fintech Market</w:t>
      </w:r>
    </w:p>
    <w:p w14:paraId="15BD22D5" w14:textId="77777777" w:rsidR="00490056" w:rsidRPr="00C6387A" w:rsidRDefault="009324D1" w:rsidP="00C6387A">
      <w:pPr>
        <w:jc w:val="center"/>
        <w:rPr>
          <w:rFonts w:cs="Arial"/>
          <w:lang w:val="en-GB"/>
        </w:rPr>
      </w:pPr>
      <w:r w:rsidRPr="00C6387A">
        <w:rPr>
          <w:rFonts w:cs="Arial"/>
          <w:lang w:val="en-GB"/>
        </w:rPr>
        <w:t>(Source: IMARC Group, 2025)</w:t>
      </w:r>
    </w:p>
    <w:p w14:paraId="13EE04EC" w14:textId="6193FCCC" w:rsidR="00490056" w:rsidRPr="00C6387A" w:rsidRDefault="00783CE5" w:rsidP="00C6387A">
      <w:pPr>
        <w:rPr>
          <w:rFonts w:cs="Arial"/>
          <w:lang w:val="en-GB"/>
        </w:rPr>
      </w:pPr>
      <w:r w:rsidRPr="00C6387A">
        <w:rPr>
          <w:rFonts w:cs="Arial"/>
          <w:lang w:val="en-GB"/>
        </w:rPr>
        <w:t xml:space="preserve">Indian </w:t>
      </w:r>
      <w:r w:rsidR="009324D1" w:rsidRPr="00C6387A">
        <w:rPr>
          <w:rFonts w:cs="Arial"/>
          <w:lang w:val="en-GB"/>
        </w:rPr>
        <w:t xml:space="preserve">FinTech industry, denoted as the application of technology to financial services, is aimed at increasing efficiency, accessibility, and innovativeness in financial services, payments, lending, and digital banking (KPMG, 2025). Its growth has been exponential, with the market computationally approaching USD 142.5 billion in 2025 and estimated at USD 595 billion in 2034, which is a high compilation of 17% compound annual growth </w:t>
      </w:r>
      <w:r w:rsidR="009324D1" w:rsidRPr="00C6387A">
        <w:rPr>
          <w:rFonts w:cs="Arial"/>
          <w:lang w:val="en-GB"/>
        </w:rPr>
        <w:lastRenderedPageBreak/>
        <w:t xml:space="preserve">rate (IMARC Group, 2025). One of the </w:t>
      </w:r>
      <w:r w:rsidRPr="00C6387A">
        <w:rPr>
          <w:rFonts w:cs="Arial"/>
          <w:lang w:val="en-GB"/>
        </w:rPr>
        <w:t>main reasons</w:t>
      </w:r>
      <w:r w:rsidR="009324D1" w:rsidRPr="00C6387A">
        <w:rPr>
          <w:rFonts w:cs="Arial"/>
          <w:lang w:val="en-GB"/>
        </w:rPr>
        <w:t xml:space="preserve"> </w:t>
      </w:r>
      <w:r w:rsidRPr="00C6387A">
        <w:rPr>
          <w:rFonts w:cs="Arial"/>
          <w:lang w:val="en-GB"/>
        </w:rPr>
        <w:t>behind</w:t>
      </w:r>
      <w:r w:rsidR="009324D1" w:rsidRPr="00C6387A">
        <w:rPr>
          <w:rFonts w:cs="Arial"/>
          <w:lang w:val="en-GB"/>
        </w:rPr>
        <w:t xml:space="preserve"> this growth is the high pace at which digital payments are being adopted due to the rising smartphone adoption and government-led efforts in promoting financial inclusion (Government of India, 2025).</w:t>
      </w:r>
    </w:p>
    <w:p w14:paraId="2D3F8669" w14:textId="77777777" w:rsidR="00490056" w:rsidRPr="00C6387A" w:rsidRDefault="009324D1" w:rsidP="00C6387A">
      <w:pPr>
        <w:jc w:val="center"/>
        <w:rPr>
          <w:rFonts w:cs="Arial"/>
          <w:lang w:val="en-GB"/>
        </w:rPr>
      </w:pPr>
      <w:r w:rsidRPr="00C6387A">
        <w:rPr>
          <w:rFonts w:cs="Arial"/>
          <w:noProof/>
          <w:lang w:val="en-GB"/>
        </w:rPr>
        <w:drawing>
          <wp:inline distT="114300" distB="114300" distL="114300" distR="114300" wp14:anchorId="3A3CD864" wp14:editId="4B463A03">
            <wp:extent cx="4191000" cy="4583683"/>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191000" cy="4583683"/>
                    </a:xfrm>
                    <a:prstGeom prst="rect">
                      <a:avLst/>
                    </a:prstGeom>
                    <a:ln/>
                  </pic:spPr>
                </pic:pic>
              </a:graphicData>
            </a:graphic>
          </wp:inline>
        </w:drawing>
      </w:r>
    </w:p>
    <w:p w14:paraId="79143837" w14:textId="7A105C3B" w:rsidR="00490056" w:rsidRPr="00C6387A" w:rsidRDefault="009324D1" w:rsidP="00C6387A">
      <w:pPr>
        <w:jc w:val="center"/>
        <w:rPr>
          <w:rFonts w:cs="Arial"/>
          <w:b/>
          <w:bCs/>
          <w:lang w:val="en-GB"/>
        </w:rPr>
      </w:pPr>
      <w:r w:rsidRPr="00C6387A">
        <w:rPr>
          <w:rFonts w:cs="Arial"/>
          <w:b/>
          <w:bCs/>
          <w:lang w:val="en-GB"/>
        </w:rPr>
        <w:t xml:space="preserve">Figure </w:t>
      </w:r>
      <w:r w:rsidR="00E16901" w:rsidRPr="00C6387A">
        <w:rPr>
          <w:rFonts w:cs="Arial"/>
          <w:b/>
          <w:bCs/>
          <w:lang w:val="en-GB"/>
        </w:rPr>
        <w:t>2</w:t>
      </w:r>
      <w:r w:rsidRPr="00C6387A">
        <w:rPr>
          <w:rFonts w:cs="Arial"/>
          <w:b/>
          <w:bCs/>
          <w:lang w:val="en-GB"/>
        </w:rPr>
        <w:t>: Unified Payments Interface (UPI) transactions</w:t>
      </w:r>
    </w:p>
    <w:p w14:paraId="17BDA087" w14:textId="77777777" w:rsidR="00490056" w:rsidRPr="00C6387A" w:rsidRDefault="009324D1" w:rsidP="00C6387A">
      <w:pPr>
        <w:jc w:val="center"/>
        <w:rPr>
          <w:rFonts w:cs="Arial"/>
          <w:lang w:val="en-GB"/>
        </w:rPr>
      </w:pPr>
      <w:r w:rsidRPr="00C6387A">
        <w:rPr>
          <w:rFonts w:cs="Arial"/>
          <w:lang w:val="en-GB"/>
        </w:rPr>
        <w:t>(Source: Economic Times, 2025)</w:t>
      </w:r>
    </w:p>
    <w:p w14:paraId="60C408F9" w14:textId="3CA45F8F" w:rsidR="00490056" w:rsidRPr="00C6387A" w:rsidRDefault="009324D1" w:rsidP="00C6387A">
      <w:pPr>
        <w:rPr>
          <w:rFonts w:cs="Arial"/>
          <w:lang w:val="en-GB"/>
        </w:rPr>
      </w:pPr>
      <w:r w:rsidRPr="00C6387A">
        <w:rPr>
          <w:rFonts w:cs="Arial"/>
          <w:lang w:val="en-GB"/>
        </w:rPr>
        <w:t>This change has been largely facilitated by the Unified Payments Interface (UPI), which is now the biggest real-time payment platform globally and contributes to more than 70</w:t>
      </w:r>
      <w:r w:rsidR="00783CE5" w:rsidRPr="00C6387A">
        <w:rPr>
          <w:rFonts w:cs="Arial"/>
          <w:lang w:val="en-GB"/>
        </w:rPr>
        <w:t>-</w:t>
      </w:r>
      <w:r w:rsidRPr="00C6387A">
        <w:rPr>
          <w:rFonts w:cs="Arial"/>
          <w:lang w:val="en-GB"/>
        </w:rPr>
        <w:t xml:space="preserve">75% of digital transactions in India. The volume of UPI transactions has increased tremendously as compared to </w:t>
      </w:r>
      <w:r w:rsidR="00783CE5" w:rsidRPr="00C6387A">
        <w:rPr>
          <w:rFonts w:cs="Arial"/>
          <w:lang w:val="en-GB"/>
        </w:rPr>
        <w:t>INR</w:t>
      </w:r>
      <w:r w:rsidR="00A21573" w:rsidRPr="00C6387A">
        <w:rPr>
          <w:rFonts w:cs="Arial"/>
          <w:lang w:val="en-GB"/>
        </w:rPr>
        <w:t xml:space="preserve"> </w:t>
      </w:r>
      <w:r w:rsidRPr="00C6387A">
        <w:rPr>
          <w:rFonts w:cs="Arial"/>
          <w:lang w:val="en-GB"/>
        </w:rPr>
        <w:t>92 crore in 2017</w:t>
      </w:r>
      <w:r w:rsidR="00783CE5" w:rsidRPr="00C6387A">
        <w:rPr>
          <w:rFonts w:cs="Arial"/>
          <w:lang w:val="en-GB"/>
        </w:rPr>
        <w:t>-</w:t>
      </w:r>
      <w:r w:rsidRPr="00C6387A">
        <w:rPr>
          <w:rFonts w:cs="Arial"/>
          <w:lang w:val="en-GB"/>
        </w:rPr>
        <w:t xml:space="preserve">18 and now over </w:t>
      </w:r>
      <w:r w:rsidR="00783CE5" w:rsidRPr="00C6387A">
        <w:rPr>
          <w:rFonts w:cs="Arial"/>
          <w:lang w:val="en-GB"/>
        </w:rPr>
        <w:t>INR</w:t>
      </w:r>
      <w:r w:rsidR="00A21573" w:rsidRPr="00C6387A">
        <w:rPr>
          <w:rFonts w:cs="Arial"/>
          <w:lang w:val="en-GB"/>
        </w:rPr>
        <w:t xml:space="preserve"> </w:t>
      </w:r>
      <w:r w:rsidRPr="00C6387A">
        <w:rPr>
          <w:rFonts w:cs="Arial"/>
          <w:lang w:val="en-GB"/>
        </w:rPr>
        <w:t>13</w:t>
      </w:r>
      <w:r w:rsidR="00783CE5" w:rsidRPr="00C6387A">
        <w:rPr>
          <w:rFonts w:cs="Arial"/>
          <w:lang w:val="en-GB"/>
        </w:rPr>
        <w:t>,</w:t>
      </w:r>
      <w:r w:rsidRPr="00C6387A">
        <w:rPr>
          <w:rFonts w:cs="Arial"/>
          <w:lang w:val="en-GB"/>
        </w:rPr>
        <w:t>116 crore in 2023</w:t>
      </w:r>
      <w:r w:rsidR="00783CE5" w:rsidRPr="00C6387A">
        <w:rPr>
          <w:rFonts w:cs="Arial"/>
          <w:lang w:val="en-GB"/>
        </w:rPr>
        <w:t>-</w:t>
      </w:r>
      <w:r w:rsidRPr="00C6387A">
        <w:rPr>
          <w:rFonts w:cs="Arial"/>
          <w:lang w:val="en-GB"/>
        </w:rPr>
        <w:t>24, which is an impressive growth rate of 129</w:t>
      </w:r>
      <w:r w:rsidR="00783CE5" w:rsidRPr="00C6387A">
        <w:rPr>
          <w:rFonts w:cs="Arial"/>
          <w:lang w:val="en-GB"/>
        </w:rPr>
        <w:t>%</w:t>
      </w:r>
      <w:r w:rsidRPr="00C6387A">
        <w:rPr>
          <w:rFonts w:cs="Arial"/>
          <w:lang w:val="en-GB"/>
        </w:rPr>
        <w:t xml:space="preserve"> (Financial Services, 2024). More so lately, UPI also registered a historic high of </w:t>
      </w:r>
      <w:r w:rsidR="005E07A9" w:rsidRPr="00C6387A">
        <w:rPr>
          <w:rFonts w:cs="Arial"/>
          <w:lang w:val="en-GB"/>
        </w:rPr>
        <w:t xml:space="preserve">USD </w:t>
      </w:r>
      <w:r w:rsidRPr="00C6387A">
        <w:rPr>
          <w:rFonts w:cs="Arial"/>
          <w:lang w:val="en-GB"/>
        </w:rPr>
        <w:t xml:space="preserve">21.63 billion transfers in December 2025 alone, implying its scalability and its widespread implementation (Economic Times, 2025). Moreover, the cashless economy in India shifted almost a </w:t>
      </w:r>
      <w:r w:rsidR="005E07A9" w:rsidRPr="00C6387A">
        <w:rPr>
          <w:rFonts w:cs="Arial"/>
          <w:lang w:val="en-GB"/>
        </w:rPr>
        <w:t>100</w:t>
      </w:r>
      <w:r w:rsidRPr="00C6387A">
        <w:rPr>
          <w:rFonts w:cs="Arial"/>
          <w:lang w:val="en-GB"/>
        </w:rPr>
        <w:t xml:space="preserve">% to a completely digitised </w:t>
      </w:r>
      <w:r w:rsidRPr="00C6387A">
        <w:rPr>
          <w:rFonts w:cs="Arial"/>
          <w:lang w:val="en-GB"/>
        </w:rPr>
        <w:lastRenderedPageBreak/>
        <w:t>economy since digital payments make up 99.8% of the total transaction volume (Economic Times, 2025). This powerful digital ecosystem gives the dominating firms like PhonePe a basis of competition.</w:t>
      </w:r>
    </w:p>
    <w:p w14:paraId="5B991F8F" w14:textId="77777777" w:rsidR="00490056" w:rsidRPr="00C6387A" w:rsidRDefault="009324D1" w:rsidP="00C6387A">
      <w:pPr>
        <w:pStyle w:val="Heading2"/>
        <w:rPr>
          <w:rFonts w:cs="Arial"/>
          <w:lang w:val="en-GB"/>
        </w:rPr>
      </w:pPr>
      <w:bookmarkStart w:id="6" w:name="_axjvc5bow9j3" w:colFirst="0" w:colLast="0"/>
      <w:bookmarkStart w:id="7" w:name="_Toc225094643"/>
      <w:bookmarkEnd w:id="6"/>
      <w:r w:rsidRPr="00C6387A">
        <w:rPr>
          <w:rFonts w:cs="Arial"/>
          <w:lang w:val="en-GB"/>
        </w:rPr>
        <w:t>2.2 Size, Scope &amp; Economic Importance</w:t>
      </w:r>
      <w:bookmarkEnd w:id="7"/>
    </w:p>
    <w:p w14:paraId="1C5C8865" w14:textId="77777777" w:rsidR="00490056" w:rsidRPr="00C6387A" w:rsidRDefault="009324D1" w:rsidP="00C6387A">
      <w:pPr>
        <w:jc w:val="center"/>
        <w:rPr>
          <w:rFonts w:cs="Arial"/>
          <w:lang w:val="en-GB"/>
        </w:rPr>
      </w:pPr>
      <w:r w:rsidRPr="00C6387A">
        <w:rPr>
          <w:rFonts w:cs="Arial"/>
          <w:noProof/>
          <w:lang w:val="en-GB"/>
        </w:rPr>
        <w:drawing>
          <wp:inline distT="114300" distB="114300" distL="114300" distR="114300" wp14:anchorId="602C5C14" wp14:editId="20D5670D">
            <wp:extent cx="4600575" cy="271462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600575" cy="2714625"/>
                    </a:xfrm>
                    <a:prstGeom prst="rect">
                      <a:avLst/>
                    </a:prstGeom>
                    <a:ln/>
                  </pic:spPr>
                </pic:pic>
              </a:graphicData>
            </a:graphic>
          </wp:inline>
        </w:drawing>
      </w:r>
    </w:p>
    <w:p w14:paraId="24E93D32" w14:textId="3D1EE8D8" w:rsidR="00490056" w:rsidRPr="00C6387A" w:rsidRDefault="009324D1" w:rsidP="00C6387A">
      <w:pPr>
        <w:jc w:val="center"/>
        <w:rPr>
          <w:rFonts w:cs="Arial"/>
          <w:b/>
          <w:bCs/>
          <w:lang w:val="en-GB"/>
        </w:rPr>
      </w:pPr>
      <w:r w:rsidRPr="00C6387A">
        <w:rPr>
          <w:rFonts w:cs="Arial"/>
          <w:b/>
          <w:bCs/>
          <w:lang w:val="en-GB"/>
        </w:rPr>
        <w:t xml:space="preserve">Figure </w:t>
      </w:r>
      <w:r w:rsidR="00E16901" w:rsidRPr="00C6387A">
        <w:rPr>
          <w:rFonts w:cs="Arial"/>
          <w:b/>
          <w:bCs/>
          <w:lang w:val="en-GB"/>
        </w:rPr>
        <w:t>3</w:t>
      </w:r>
      <w:r w:rsidRPr="00C6387A">
        <w:rPr>
          <w:rFonts w:cs="Arial"/>
          <w:b/>
          <w:bCs/>
          <w:lang w:val="en-GB"/>
        </w:rPr>
        <w:t>: India’s FinTech industry</w:t>
      </w:r>
    </w:p>
    <w:p w14:paraId="22DD6AFA" w14:textId="77777777" w:rsidR="00490056" w:rsidRPr="00C6387A" w:rsidRDefault="009324D1" w:rsidP="00C6387A">
      <w:pPr>
        <w:jc w:val="center"/>
        <w:rPr>
          <w:rFonts w:cs="Arial"/>
          <w:lang w:val="en-GB"/>
        </w:rPr>
      </w:pPr>
      <w:r w:rsidRPr="00C6387A">
        <w:rPr>
          <w:rFonts w:cs="Arial"/>
          <w:lang w:val="en-GB"/>
        </w:rPr>
        <w:t>(Source: PWC, 2025)</w:t>
      </w:r>
    </w:p>
    <w:p w14:paraId="5DDDF7CD" w14:textId="6ADEB7B4" w:rsidR="00490056" w:rsidRPr="00C6387A" w:rsidRDefault="009324D1" w:rsidP="00C6387A">
      <w:pPr>
        <w:rPr>
          <w:rFonts w:cs="Arial"/>
          <w:lang w:val="en-GB"/>
        </w:rPr>
      </w:pPr>
      <w:r w:rsidRPr="00C6387A">
        <w:rPr>
          <w:rFonts w:cs="Arial"/>
          <w:lang w:val="en-GB"/>
        </w:rPr>
        <w:t xml:space="preserve">The FinTech industry in India has become among the biggest in the world, and the overall fintech and digital payments space is estimated to reach over USD 350 billion in 2023 and is projected to expand at a CAGR of over 30% in the years to come (PWC, 2025). In particular, the payments segment is already enormous as the UPI-led digital payments market has reached USD 2.5 trillion in 2024 and will grow beyond USD 12.5 trillion by 2032 (Datamintelligence, 2025). </w:t>
      </w:r>
      <w:r w:rsidR="005E07A9" w:rsidRPr="00C6387A">
        <w:rPr>
          <w:rFonts w:cs="Arial"/>
          <w:lang w:val="en-GB"/>
        </w:rPr>
        <w:t xml:space="preserve">This demonstrates its colossal scope in the financial system. </w:t>
      </w:r>
      <w:r w:rsidRPr="00C6387A">
        <w:rPr>
          <w:rFonts w:cs="Arial"/>
          <w:lang w:val="en-GB"/>
        </w:rPr>
        <w:t>This growth has a direct effect on economic efficiency; transaction costs go down, greater transparency is facilitated, and the formalisation of the Indian economy is facilitated.</w:t>
      </w:r>
      <w:r w:rsidR="005E07A9" w:rsidRPr="00C6387A">
        <w:rPr>
          <w:rFonts w:cs="Arial"/>
          <w:lang w:val="en-GB"/>
        </w:rPr>
        <w:t xml:space="preserve"> </w:t>
      </w:r>
      <w:r w:rsidRPr="00C6387A">
        <w:rPr>
          <w:rFonts w:cs="Arial"/>
          <w:lang w:val="en-GB"/>
        </w:rPr>
        <w:t>Amboli (2025) note</w:t>
      </w:r>
      <w:r w:rsidR="005E07A9" w:rsidRPr="00C6387A">
        <w:rPr>
          <w:rFonts w:cs="Arial"/>
          <w:lang w:val="en-GB"/>
        </w:rPr>
        <w:t>d</w:t>
      </w:r>
      <w:r w:rsidRPr="00C6387A">
        <w:rPr>
          <w:rFonts w:cs="Arial"/>
          <w:lang w:val="en-GB"/>
        </w:rPr>
        <w:t xml:space="preserve"> that fintech is a key factor in financial inclusion as it renders the provision of banking facilities to the hitherto unbanked masses by means of mobile technology. The government-sponsored efforts include Digital India, Jan Dhan Yojana, and regulatory encouragement of the Reserve Bank of India (RBI), have boosted adoption through the development of a strong digital infrastructure and cashless transactions. </w:t>
      </w:r>
      <w:r w:rsidR="00A21573" w:rsidRPr="00C6387A">
        <w:rPr>
          <w:rFonts w:cs="Arial"/>
          <w:lang w:val="en-GB"/>
        </w:rPr>
        <w:t>I</w:t>
      </w:r>
      <w:r w:rsidRPr="00C6387A">
        <w:rPr>
          <w:rFonts w:cs="Arial"/>
          <w:lang w:val="en-GB"/>
        </w:rPr>
        <w:t xml:space="preserve">n 2024 alone, the Indian digital payments are priced higher than INR 130 </w:t>
      </w:r>
      <w:r w:rsidRPr="00C6387A">
        <w:rPr>
          <w:rFonts w:cs="Arial"/>
          <w:lang w:val="en-GB"/>
        </w:rPr>
        <w:lastRenderedPageBreak/>
        <w:t>trillion (USD 1.6 trillion), which indicates their increasing macroeconomic importance (Santana, 2025). This growing ecosystem is a hugely enticing and scalable marketplace to the leading platforms like PhonePe.</w:t>
      </w:r>
    </w:p>
    <w:p w14:paraId="27786D02" w14:textId="77777777" w:rsidR="00490056" w:rsidRPr="00C6387A" w:rsidRDefault="009324D1" w:rsidP="00C6387A">
      <w:pPr>
        <w:pStyle w:val="Heading2"/>
        <w:rPr>
          <w:rFonts w:cs="Arial"/>
          <w:lang w:val="en-GB"/>
        </w:rPr>
      </w:pPr>
      <w:bookmarkStart w:id="8" w:name="_c5s62rap0ygn" w:colFirst="0" w:colLast="0"/>
      <w:bookmarkStart w:id="9" w:name="_Toc225094644"/>
      <w:bookmarkEnd w:id="8"/>
      <w:r w:rsidRPr="00C6387A">
        <w:rPr>
          <w:rFonts w:cs="Arial"/>
          <w:lang w:val="en-GB"/>
        </w:rPr>
        <w:t>2.3 Key Players &amp; Competitive Landscape</w:t>
      </w:r>
      <w:bookmarkEnd w:id="9"/>
    </w:p>
    <w:p w14:paraId="51FAB107" w14:textId="4E197629" w:rsidR="00490056" w:rsidRPr="00C6387A" w:rsidRDefault="009324D1" w:rsidP="00C6387A">
      <w:pPr>
        <w:rPr>
          <w:rFonts w:cs="Arial"/>
          <w:lang w:val="en-GB"/>
        </w:rPr>
      </w:pPr>
      <w:r w:rsidRPr="00C6387A">
        <w:rPr>
          <w:rFonts w:cs="Arial"/>
          <w:lang w:val="en-GB"/>
        </w:rPr>
        <w:t>The market of digital payments in India is extremely competitive as three significant players, including PhonePe, Google Pay, and Paytm, own the majority of transactions via UPI. Google Pay, with approximately 3436</w:t>
      </w:r>
      <w:r w:rsidR="0084451B" w:rsidRPr="00C6387A">
        <w:rPr>
          <w:rFonts w:cs="Arial"/>
          <w:lang w:val="en-GB"/>
        </w:rPr>
        <w:t xml:space="preserve"> million transactions</w:t>
      </w:r>
      <w:r w:rsidRPr="00C6387A">
        <w:rPr>
          <w:rFonts w:cs="Arial"/>
          <w:lang w:val="en-GB"/>
        </w:rPr>
        <w:t>, follows closely behind Paytm with 68</w:t>
      </w:r>
      <w:r w:rsidR="0084451B" w:rsidRPr="00C6387A">
        <w:rPr>
          <w:rFonts w:cs="Arial"/>
          <w:lang w:val="en-GB"/>
        </w:rPr>
        <w:t xml:space="preserve"> million transactions</w:t>
      </w:r>
      <w:r w:rsidR="00822869" w:rsidRPr="00C6387A">
        <w:rPr>
          <w:rFonts w:cs="Arial"/>
          <w:lang w:val="en-GB"/>
        </w:rPr>
        <w:t>. A</w:t>
      </w:r>
      <w:r w:rsidRPr="00C6387A">
        <w:rPr>
          <w:rFonts w:cs="Arial"/>
          <w:lang w:val="en-GB"/>
        </w:rPr>
        <w:t>lthough it ranks third in terms of transactions in the security exchanges, system usage category. PhonePe</w:t>
      </w:r>
      <w:r w:rsidR="00664652" w:rsidRPr="00C6387A">
        <w:rPr>
          <w:rFonts w:cs="Arial"/>
          <w:lang w:val="en-GB"/>
        </w:rPr>
        <w:t>, however,</w:t>
      </w:r>
      <w:r w:rsidRPr="00C6387A">
        <w:rPr>
          <w:rFonts w:cs="Arial"/>
          <w:lang w:val="en-GB"/>
        </w:rPr>
        <w:t xml:space="preserve"> dominates the market with the largest UPI transaction volume </w:t>
      </w:r>
      <w:r w:rsidR="00664652" w:rsidRPr="00C6387A">
        <w:rPr>
          <w:rFonts w:cs="Arial"/>
          <w:lang w:val="en-GB"/>
        </w:rPr>
        <w:t xml:space="preserve">(1,25,945 million) </w:t>
      </w:r>
      <w:r w:rsidRPr="00C6387A">
        <w:rPr>
          <w:rFonts w:cs="Arial"/>
          <w:lang w:val="en-GB"/>
        </w:rPr>
        <w:t xml:space="preserve">processed </w:t>
      </w:r>
      <w:r w:rsidR="00664652" w:rsidRPr="00C6387A">
        <w:rPr>
          <w:rFonts w:cs="Arial"/>
          <w:lang w:val="en-GB"/>
        </w:rPr>
        <w:t xml:space="preserve">as of 2025 </w:t>
      </w:r>
      <w:r w:rsidRPr="00C6387A">
        <w:rPr>
          <w:rFonts w:cs="Arial"/>
          <w:lang w:val="en-GB"/>
        </w:rPr>
        <w:t>(Verma, 2026). This dominance is an indication of powerful network effects, as the adoption of users and integration of merchants strengthens platform dominance.</w:t>
      </w:r>
    </w:p>
    <w:p w14:paraId="19664871" w14:textId="773608FC" w:rsidR="00490056" w:rsidRPr="00C6387A" w:rsidRDefault="00544072" w:rsidP="00C6387A">
      <w:pPr>
        <w:rPr>
          <w:rFonts w:cs="Arial"/>
          <w:lang w:val="en-GB"/>
        </w:rPr>
      </w:pPr>
      <w:r w:rsidRPr="00C6387A">
        <w:rPr>
          <w:rFonts w:cs="Arial"/>
          <w:lang w:val="en-GB"/>
        </w:rPr>
        <w:t xml:space="preserve">As stated by Gaikwad (2024), </w:t>
      </w:r>
      <w:r w:rsidR="009324D1" w:rsidRPr="00C6387A">
        <w:rPr>
          <w:rFonts w:cs="Arial"/>
          <w:lang w:val="en-GB"/>
        </w:rPr>
        <w:t>PhonePe has, as a strategic move, endeavoured to create an entire financial ecosystem, such as insurance, lending, and wealth management services, to bolster customer retention and potential to monetise. Unlike Google Pay, which uses its integration into the Android ecosystem to deliver users a smooth experience, Paytm uses a diversified strategy where digital payments are integrated with banking and financial services. Although new fintech startups are posing greater competition to Google Pay and M-Pesa, the two industry leaders have managed to dominate more than 80 % of all UPI transactions, making it difficult to enter the market and cut through the competition (Mittal, 2025). This competition puts the market leader in the position of PhonePe, as the groundwork for strategic analysis in the later sections.</w:t>
      </w:r>
    </w:p>
    <w:p w14:paraId="03F5C3F0" w14:textId="77777777" w:rsidR="00490056" w:rsidRPr="00C6387A" w:rsidRDefault="009324D1" w:rsidP="00C6387A">
      <w:pPr>
        <w:pStyle w:val="Heading1"/>
        <w:rPr>
          <w:rFonts w:cs="Arial"/>
          <w:lang w:val="en-GB"/>
        </w:rPr>
      </w:pPr>
      <w:bookmarkStart w:id="10" w:name="_q7rcfzj9ey0z" w:colFirst="0" w:colLast="0"/>
      <w:bookmarkStart w:id="11" w:name="_Toc225094645"/>
      <w:bookmarkEnd w:id="10"/>
      <w:r w:rsidRPr="00C6387A">
        <w:rPr>
          <w:rFonts w:cs="Arial"/>
          <w:lang w:val="en-GB"/>
        </w:rPr>
        <w:lastRenderedPageBreak/>
        <w:t>3. Porter’s Diamond Model Analysis</w:t>
      </w:r>
      <w:bookmarkEnd w:id="11"/>
    </w:p>
    <w:p w14:paraId="066A7A19" w14:textId="77777777" w:rsidR="00490056" w:rsidRPr="00C6387A" w:rsidRDefault="009324D1" w:rsidP="00C6387A">
      <w:pPr>
        <w:pStyle w:val="Heading2"/>
        <w:rPr>
          <w:rFonts w:cs="Arial"/>
          <w:lang w:val="en-GB"/>
        </w:rPr>
      </w:pPr>
      <w:bookmarkStart w:id="12" w:name="_mm4cqem23zaf" w:colFirst="0" w:colLast="0"/>
      <w:bookmarkStart w:id="13" w:name="_Toc225094646"/>
      <w:bookmarkEnd w:id="12"/>
      <w:r w:rsidRPr="00C6387A">
        <w:rPr>
          <w:rFonts w:cs="Arial"/>
          <w:lang w:val="en-GB"/>
        </w:rPr>
        <w:t>3.1 Factor Conditions</w:t>
      </w:r>
      <w:bookmarkEnd w:id="13"/>
    </w:p>
    <w:p w14:paraId="3DDAD57E" w14:textId="77777777" w:rsidR="00490056" w:rsidRPr="00C6387A" w:rsidRDefault="009324D1" w:rsidP="00C6387A">
      <w:pPr>
        <w:jc w:val="center"/>
        <w:rPr>
          <w:rFonts w:cs="Arial"/>
          <w:lang w:val="en-GB"/>
        </w:rPr>
      </w:pPr>
      <w:r w:rsidRPr="00C6387A">
        <w:rPr>
          <w:rFonts w:cs="Arial"/>
          <w:noProof/>
          <w:lang w:val="en-GB"/>
        </w:rPr>
        <w:drawing>
          <wp:inline distT="114300" distB="114300" distL="114300" distR="114300" wp14:anchorId="35DF13E6" wp14:editId="4A0B1E8B">
            <wp:extent cx="5943600" cy="28321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2832100"/>
                    </a:xfrm>
                    <a:prstGeom prst="rect">
                      <a:avLst/>
                    </a:prstGeom>
                    <a:ln/>
                  </pic:spPr>
                </pic:pic>
              </a:graphicData>
            </a:graphic>
          </wp:inline>
        </w:drawing>
      </w:r>
    </w:p>
    <w:p w14:paraId="0F3D1666" w14:textId="168A9213" w:rsidR="00490056" w:rsidRPr="00C6387A" w:rsidRDefault="009324D1" w:rsidP="00C6387A">
      <w:pPr>
        <w:jc w:val="center"/>
        <w:rPr>
          <w:rFonts w:cs="Arial"/>
          <w:b/>
          <w:bCs/>
          <w:lang w:val="en-GB"/>
        </w:rPr>
      </w:pPr>
      <w:r w:rsidRPr="00C6387A">
        <w:rPr>
          <w:rFonts w:cs="Arial"/>
          <w:b/>
          <w:bCs/>
          <w:lang w:val="en-GB"/>
        </w:rPr>
        <w:t xml:space="preserve">Figure </w:t>
      </w:r>
      <w:r w:rsidR="00E16901" w:rsidRPr="00C6387A">
        <w:rPr>
          <w:rFonts w:cs="Arial"/>
          <w:b/>
          <w:bCs/>
          <w:lang w:val="en-GB"/>
        </w:rPr>
        <w:t>4</w:t>
      </w:r>
      <w:r w:rsidRPr="00C6387A">
        <w:rPr>
          <w:rFonts w:cs="Arial"/>
          <w:b/>
          <w:bCs/>
          <w:lang w:val="en-GB"/>
        </w:rPr>
        <w:t>: Software Industry and Exports</w:t>
      </w:r>
    </w:p>
    <w:p w14:paraId="3590EF71" w14:textId="77777777" w:rsidR="00490056" w:rsidRPr="00C6387A" w:rsidRDefault="009324D1" w:rsidP="00C6387A">
      <w:pPr>
        <w:jc w:val="center"/>
        <w:rPr>
          <w:rFonts w:cs="Arial"/>
          <w:lang w:val="en-GB"/>
        </w:rPr>
      </w:pPr>
      <w:r w:rsidRPr="00C6387A">
        <w:rPr>
          <w:rFonts w:cs="Arial"/>
          <w:lang w:val="en-GB"/>
        </w:rPr>
        <w:t>(Source: IBEF, 2025a)</w:t>
      </w:r>
    </w:p>
    <w:p w14:paraId="143E9839" w14:textId="242CEF22" w:rsidR="00490056" w:rsidRPr="00C6387A" w:rsidRDefault="009324D1" w:rsidP="00C6387A">
      <w:pPr>
        <w:rPr>
          <w:rFonts w:cs="Arial"/>
          <w:lang w:val="en-GB"/>
        </w:rPr>
      </w:pPr>
      <w:r w:rsidRPr="00C6387A">
        <w:rPr>
          <w:rFonts w:cs="Arial"/>
          <w:lang w:val="en-GB"/>
        </w:rPr>
        <w:t>The advanced factor conditions, and more specifically, large access to skilled human resources and effective digital infrastructure has strongly contributed to the competitive advantage of India in the FinTech industry. India delivers more than 1.5 million graduates in engineering per year, which can be a reliable source of technically trained specialists required in the fintech innovation field (Times of India, 2024). It also has one of the largest IT industries</w:t>
      </w:r>
      <w:r w:rsidR="00DD3922" w:rsidRPr="00C6387A">
        <w:rPr>
          <w:rFonts w:cs="Arial"/>
          <w:lang w:val="en-GB"/>
        </w:rPr>
        <w:t>,</w:t>
      </w:r>
      <w:r w:rsidRPr="00C6387A">
        <w:rPr>
          <w:rFonts w:cs="Arial"/>
          <w:lang w:val="en-GB"/>
        </w:rPr>
        <w:t xml:space="preserve"> which generates up to </w:t>
      </w:r>
      <w:r w:rsidR="00DD3922" w:rsidRPr="00C6387A">
        <w:rPr>
          <w:rFonts w:cs="Arial"/>
          <w:lang w:val="en-GB"/>
        </w:rPr>
        <w:t>INR</w:t>
      </w:r>
      <w:r w:rsidRPr="00C6387A">
        <w:rPr>
          <w:rFonts w:cs="Arial"/>
          <w:lang w:val="en-GB"/>
        </w:rPr>
        <w:t xml:space="preserve"> 21,98,624 crore (US 254 billion) in FY24</w:t>
      </w:r>
      <w:r w:rsidR="00DD3922" w:rsidRPr="00C6387A">
        <w:rPr>
          <w:rFonts w:cs="Arial"/>
          <w:lang w:val="en-GB"/>
        </w:rPr>
        <w:t>. A</w:t>
      </w:r>
      <w:r w:rsidRPr="00C6387A">
        <w:rPr>
          <w:rFonts w:cs="Arial"/>
          <w:lang w:val="en-GB"/>
        </w:rPr>
        <w:t xml:space="preserve">ccording to NASSCOM, </w:t>
      </w:r>
      <w:r w:rsidR="000E67A3" w:rsidRPr="00C6387A">
        <w:rPr>
          <w:rFonts w:cs="Arial"/>
          <w:lang w:val="en-GB"/>
        </w:rPr>
        <w:t xml:space="preserve">the FinTech </w:t>
      </w:r>
      <w:r w:rsidR="00737089" w:rsidRPr="00C6387A">
        <w:rPr>
          <w:rFonts w:cs="Arial"/>
          <w:lang w:val="en-GB"/>
        </w:rPr>
        <w:t xml:space="preserve">is </w:t>
      </w:r>
      <w:r w:rsidRPr="00C6387A">
        <w:rPr>
          <w:rFonts w:cs="Arial"/>
          <w:lang w:val="en-GB"/>
        </w:rPr>
        <w:t>a sector that contributes almost 7.5% of the GDP in favour of fintech development by software capabilities and digital solutions (IBEF, 2025a). The digital ecosystem is supported on the infrastructural level due to the high internet penetration of over 850 million users and the minimum data prices being among the lowest in the world (Chaturvedi, 2024). Moreover, the creation of some interoperable systems, including UPI, has facilitated the efficiency and scalability of transactions to a great degree. Such factor conditions offer a good technological and human resource base, which allows companies such as PhonePe to innovate at a very fast rate and manage operations efficiently in the Indian market.</w:t>
      </w:r>
    </w:p>
    <w:p w14:paraId="406271D6" w14:textId="77777777" w:rsidR="00490056" w:rsidRPr="00C6387A" w:rsidRDefault="009324D1" w:rsidP="00C6387A">
      <w:pPr>
        <w:pStyle w:val="Heading2"/>
        <w:rPr>
          <w:rFonts w:cs="Arial"/>
          <w:lang w:val="en-GB"/>
        </w:rPr>
      </w:pPr>
      <w:bookmarkStart w:id="14" w:name="_4wt0thb371zt" w:colFirst="0" w:colLast="0"/>
      <w:bookmarkStart w:id="15" w:name="_Toc225094647"/>
      <w:bookmarkEnd w:id="14"/>
      <w:r w:rsidRPr="00C6387A">
        <w:rPr>
          <w:rFonts w:cs="Arial"/>
          <w:lang w:val="en-GB"/>
        </w:rPr>
        <w:lastRenderedPageBreak/>
        <w:t>3.2 Demand Conditions</w:t>
      </w:r>
      <w:bookmarkEnd w:id="15"/>
    </w:p>
    <w:p w14:paraId="1BB60240" w14:textId="0B243DF4" w:rsidR="00490056" w:rsidRPr="00C6387A" w:rsidRDefault="009324D1" w:rsidP="00C6387A">
      <w:pPr>
        <w:rPr>
          <w:rFonts w:cs="Arial"/>
          <w:lang w:val="en-GB"/>
        </w:rPr>
      </w:pPr>
      <w:r w:rsidRPr="00C6387A">
        <w:rPr>
          <w:rFonts w:cs="Arial"/>
          <w:lang w:val="en-GB"/>
        </w:rPr>
        <w:t>The Indian demand situation is very favourable to the growth of fintech</w:t>
      </w:r>
      <w:r w:rsidR="00737089" w:rsidRPr="00C6387A">
        <w:rPr>
          <w:rFonts w:cs="Arial"/>
          <w:lang w:val="en-GB"/>
        </w:rPr>
        <w:t>. This is</w:t>
      </w:r>
      <w:r w:rsidRPr="00C6387A">
        <w:rPr>
          <w:rFonts w:cs="Arial"/>
          <w:lang w:val="en-GB"/>
        </w:rPr>
        <w:t xml:space="preserve"> because of its vast population and growing digitalisation. India boasts of over 1.4 billion individuals, making it one of the largest consumer markets in the world, and generating massive demand for financial services (Inamdar, 2025). Most importantly, the placement of digital payment is driven by more than 750 million smartphone users, especially young demographics (IBEF, 2025). The consumer behaviour in terms of cashless transactions has changed drastically, whereby UPI has become the mode of payment used by both urban and rural consumers. The UPI transactions are regularly over 20 billion monthly, which is an indication of high user confidence and adoption (PIB, 2025). Moreover, the growing e-commerce and the growing involvement in the gig economy are also contributing to the demand for smooth digital payment cards. Such circumstances shape an environment of a vibrant and constantly growing market, in which dominant platforms like PhonePe can introduce a substantial and constantly rising number of users.</w:t>
      </w:r>
    </w:p>
    <w:p w14:paraId="30810D1E" w14:textId="77777777" w:rsidR="00490056" w:rsidRPr="00C6387A" w:rsidRDefault="009324D1" w:rsidP="00C6387A">
      <w:pPr>
        <w:pStyle w:val="Heading2"/>
        <w:rPr>
          <w:rFonts w:cs="Arial"/>
          <w:lang w:val="en-GB"/>
        </w:rPr>
      </w:pPr>
      <w:bookmarkStart w:id="16" w:name="_oidiqgtc9bb" w:colFirst="0" w:colLast="0"/>
      <w:bookmarkStart w:id="17" w:name="_Toc225094648"/>
      <w:bookmarkEnd w:id="16"/>
      <w:r w:rsidRPr="00C6387A">
        <w:rPr>
          <w:rFonts w:cs="Arial"/>
          <w:lang w:val="en-GB"/>
        </w:rPr>
        <w:t>3.3 Related &amp; Supporting Industries</w:t>
      </w:r>
      <w:bookmarkEnd w:id="17"/>
    </w:p>
    <w:p w14:paraId="61E116C2" w14:textId="46D72046" w:rsidR="00490056" w:rsidRPr="00C6387A" w:rsidRDefault="009324D1" w:rsidP="00C6387A">
      <w:pPr>
        <w:rPr>
          <w:rFonts w:cs="Arial"/>
          <w:lang w:val="en-GB"/>
        </w:rPr>
      </w:pPr>
      <w:r w:rsidRPr="00C6387A">
        <w:rPr>
          <w:rFonts w:cs="Arial"/>
          <w:lang w:val="en-GB"/>
        </w:rPr>
        <w:t>India has a strong performance of the fintech industry, which is inextricably associated with the advancement of the related and supporting sectors, especially telecommunications and banking. The telecommunication industry has been instrumental as it has helped in offering low-priced internet connectivity, and India has been able to charge some of the cheapest mobile data rates in the world, allowing a high number of people to become digital. Connectivity is another beneficial effect that is facilitated by the implementation of 4G and growing 5G networks and is indispensable to the implementation of real-time payment systems (Koppolu, 2021). At the same time, the banking industry has been transformed dramatically in the digital realm and promotes the development of fintech with the aid of partnerships and infrastructure. Vidani (2024) assert</w:t>
      </w:r>
      <w:r w:rsidR="0055631C" w:rsidRPr="00C6387A">
        <w:rPr>
          <w:rFonts w:cs="Arial"/>
          <w:lang w:val="en-GB"/>
        </w:rPr>
        <w:t>ed</w:t>
      </w:r>
      <w:r w:rsidRPr="00C6387A">
        <w:rPr>
          <w:rFonts w:cs="Arial"/>
          <w:lang w:val="en-GB"/>
        </w:rPr>
        <w:t xml:space="preserve"> that the concept of UPI made both the banks of the public and the private sector actively involved in the process, which allows facilitating seamless interoperability between platforms. A</w:t>
      </w:r>
      <w:r w:rsidR="0055631C" w:rsidRPr="00C6387A">
        <w:rPr>
          <w:rFonts w:cs="Arial"/>
          <w:color w:val="222222"/>
          <w:shd w:val="clear" w:color="auto" w:fill="FFFFFF"/>
        </w:rPr>
        <w:t>verma et al.</w:t>
      </w:r>
      <w:r w:rsidRPr="00C6387A">
        <w:rPr>
          <w:rFonts w:cs="Arial"/>
          <w:lang w:val="en-GB"/>
        </w:rPr>
        <w:t xml:space="preserve">, </w:t>
      </w:r>
      <w:r w:rsidR="0055631C" w:rsidRPr="00C6387A">
        <w:rPr>
          <w:rFonts w:cs="Arial"/>
          <w:lang w:val="en-GB"/>
        </w:rPr>
        <w:t xml:space="preserve">(2023) further added that </w:t>
      </w:r>
      <w:r w:rsidRPr="00C6387A">
        <w:rPr>
          <w:rFonts w:cs="Arial"/>
          <w:lang w:val="en-GB"/>
        </w:rPr>
        <w:t xml:space="preserve">some </w:t>
      </w:r>
      <w:r w:rsidR="0055631C" w:rsidRPr="00C6387A">
        <w:rPr>
          <w:rFonts w:cs="Arial"/>
          <w:lang w:val="en-GB"/>
        </w:rPr>
        <w:t>procedures</w:t>
      </w:r>
      <w:r w:rsidRPr="00C6387A">
        <w:rPr>
          <w:rFonts w:cs="Arial"/>
          <w:lang w:val="en-GB"/>
        </w:rPr>
        <w:t xml:space="preserve"> like Aadhaar-based authentication and e-KYC have made the process of onboarding very easy, so no one has to go through barriers to entry. Telecom, banking and digital identity </w:t>
      </w:r>
      <w:r w:rsidRPr="00C6387A">
        <w:rPr>
          <w:rFonts w:cs="Arial"/>
          <w:lang w:val="en-GB"/>
        </w:rPr>
        <w:lastRenderedPageBreak/>
        <w:t>infrastructure synergy results in a supportive environment, enhancing the functioning of fintech companies like PhonePe.</w:t>
      </w:r>
    </w:p>
    <w:p w14:paraId="1332E8AC" w14:textId="77777777" w:rsidR="00490056" w:rsidRPr="00C6387A" w:rsidRDefault="009324D1" w:rsidP="00C6387A">
      <w:pPr>
        <w:pStyle w:val="Heading2"/>
        <w:rPr>
          <w:rFonts w:cs="Arial"/>
          <w:lang w:val="en-GB"/>
        </w:rPr>
      </w:pPr>
      <w:bookmarkStart w:id="18" w:name="_n0hifyj2zscq" w:colFirst="0" w:colLast="0"/>
      <w:bookmarkStart w:id="19" w:name="_Toc225094649"/>
      <w:bookmarkEnd w:id="18"/>
      <w:r w:rsidRPr="00C6387A">
        <w:rPr>
          <w:rFonts w:cs="Arial"/>
          <w:lang w:val="en-GB"/>
        </w:rPr>
        <w:t>3.4 Firm Strategy, Structure &amp; Rivalry</w:t>
      </w:r>
      <w:bookmarkEnd w:id="19"/>
    </w:p>
    <w:p w14:paraId="2314B9F2" w14:textId="1C9C335D" w:rsidR="00490056" w:rsidRPr="00C6387A" w:rsidRDefault="009324D1" w:rsidP="00C6387A">
      <w:pPr>
        <w:rPr>
          <w:rFonts w:cs="Arial"/>
          <w:lang w:val="en-GB"/>
        </w:rPr>
      </w:pPr>
      <w:r w:rsidRPr="00C6387A">
        <w:rPr>
          <w:rFonts w:cs="Arial"/>
          <w:lang w:val="en-GB"/>
        </w:rPr>
        <w:t xml:space="preserve">The Indian fintech market is typified by intensive competition and accelerated innovation, which portray an elevated firm approach path and opposition competitors (Deloitte, 2025). The competition among players like </w:t>
      </w:r>
      <w:r w:rsidR="0055631C" w:rsidRPr="00C6387A">
        <w:rPr>
          <w:rFonts w:cs="Arial"/>
          <w:lang w:val="en-GB"/>
        </w:rPr>
        <w:t>P</w:t>
      </w:r>
      <w:r w:rsidRPr="00C6387A">
        <w:rPr>
          <w:rFonts w:cs="Arial"/>
          <w:lang w:val="en-GB"/>
        </w:rPr>
        <w:t>hone</w:t>
      </w:r>
      <w:r w:rsidR="0055631C" w:rsidRPr="00C6387A">
        <w:rPr>
          <w:rFonts w:cs="Arial"/>
          <w:lang w:val="en-GB"/>
        </w:rPr>
        <w:t>P</w:t>
      </w:r>
      <w:r w:rsidRPr="00C6387A">
        <w:rPr>
          <w:rFonts w:cs="Arial"/>
          <w:lang w:val="en-GB"/>
        </w:rPr>
        <w:t xml:space="preserve">e, Google Pay, and Paytm is stiff in the area of market share and this guarantees that the players constantly innovate in terms of the user interface, security and services provided. </w:t>
      </w:r>
      <w:r w:rsidR="0055631C" w:rsidRPr="00C6387A">
        <w:rPr>
          <w:rFonts w:cs="Arial"/>
          <w:lang w:val="en-GB"/>
        </w:rPr>
        <w:t>D</w:t>
      </w:r>
      <w:r w:rsidRPr="00C6387A">
        <w:rPr>
          <w:rFonts w:cs="Arial"/>
          <w:lang w:val="en-GB"/>
        </w:rPr>
        <w:t>ifferent firms have different approaches to strategy to ensure they are competitive. PhonePe is working on creating a full-fledged financial ecosystem, which would combine financial services like insurance, lending, and wealth management to increase user experience and monetisation (PhonePe, 2025). As opposed to that, Google Pay utilises its Android integration to offer its users a seamless experience, whereas Paytm is focused on diversifying into banking and financial services (LinkedIn, 2025). Rivalry is healthy since companies constantly keep investing in technology, marketing and collaborations to acquire and develop users. This, however, results in low profit margins and higher costs of operation. Comprehensively, the competitive force will keep the industry efficient and innovative, and market powerhouses</w:t>
      </w:r>
      <w:r w:rsidR="0055631C" w:rsidRPr="00C6387A">
        <w:rPr>
          <w:rFonts w:cs="Arial"/>
          <w:lang w:val="en-GB"/>
        </w:rPr>
        <w:t>,</w:t>
      </w:r>
      <w:r w:rsidRPr="00C6387A">
        <w:rPr>
          <w:rFonts w:cs="Arial"/>
          <w:lang w:val="en-GB"/>
        </w:rPr>
        <w:t xml:space="preserve"> such as PhonePe gain power to reinforce their positioning and respond to the changes in the market.</w:t>
      </w:r>
    </w:p>
    <w:p w14:paraId="6D2E39E0" w14:textId="1E423FB2" w:rsidR="00490056" w:rsidRPr="00C6387A" w:rsidRDefault="009324D1" w:rsidP="00C6387A">
      <w:pPr>
        <w:rPr>
          <w:rFonts w:cs="Arial"/>
          <w:lang w:val="en-GB"/>
        </w:rPr>
      </w:pPr>
      <w:r w:rsidRPr="00C6387A">
        <w:rPr>
          <w:rFonts w:cs="Arial"/>
          <w:lang w:val="en-GB"/>
        </w:rPr>
        <w:t>The policies of the government are most crucial in contributing to the competitiveness of financial technology in India, with the contributions of regulations and digital efforts (Vijayagopal et al. 2024). Financial stability is maintained by the Reserve Bank of India (RBI), which regulates payment systems, data security and the limits of transactions. Projects like Digital India, Jan Dhan Yojana, and encouraging UPI have gone a long way in increasing the pace of financial inclusion and uptake of the digital world. Also, the government has established a set of frameworks like Aadhaar-based identification and e-KYC, which allow easy onboarding and minimise operational obstacles in the corn belt of fintech companies. This healthy regulatory ecosystem has made it easy to grow in a short period and still keep the systems stable to the advantage of platforms such as PhonePe. Bhatia et al. (2023) indicate</w:t>
      </w:r>
      <w:r w:rsidR="006B413E" w:rsidRPr="00C6387A">
        <w:rPr>
          <w:rFonts w:cs="Arial"/>
          <w:lang w:val="en-GB"/>
        </w:rPr>
        <w:t>d</w:t>
      </w:r>
      <w:r w:rsidRPr="00C6387A">
        <w:rPr>
          <w:rFonts w:cs="Arial"/>
          <w:lang w:val="en-GB"/>
        </w:rPr>
        <w:t xml:space="preserve"> that the COVID-19 pandemic is an unpredictable event that has increased the pace of the adoption of digital payments in India. Lockdowns and social </w:t>
      </w:r>
      <w:r w:rsidRPr="00C6387A">
        <w:rPr>
          <w:rFonts w:cs="Arial"/>
          <w:lang w:val="en-GB"/>
        </w:rPr>
        <w:lastRenderedPageBreak/>
        <w:t>distancing increased the use of contactless transactions, which greatly increased UPI usage and fintech adoption. Such a rapid change brought about long-term changes in behaviour and advantageous applications like PhonePe.</w:t>
      </w:r>
    </w:p>
    <w:p w14:paraId="216F32B9" w14:textId="7DC75AFF" w:rsidR="00490056" w:rsidRPr="00C6387A" w:rsidRDefault="009324D1" w:rsidP="00C6387A">
      <w:pPr>
        <w:pStyle w:val="Heading1"/>
        <w:rPr>
          <w:rFonts w:cs="Arial"/>
          <w:lang w:val="en-GB"/>
        </w:rPr>
      </w:pPr>
      <w:bookmarkStart w:id="20" w:name="_phdw2d7b02we" w:colFirst="0" w:colLast="0"/>
      <w:bookmarkStart w:id="21" w:name="_Toc225094650"/>
      <w:bookmarkEnd w:id="20"/>
      <w:r w:rsidRPr="00C6387A">
        <w:rPr>
          <w:rFonts w:cs="Arial"/>
          <w:lang w:val="en-GB"/>
        </w:rPr>
        <w:t>4. Company Analysis: Phone</w:t>
      </w:r>
      <w:r w:rsidR="006B413E" w:rsidRPr="00C6387A">
        <w:rPr>
          <w:rFonts w:cs="Arial"/>
          <w:lang w:val="en-GB"/>
        </w:rPr>
        <w:t>P</w:t>
      </w:r>
      <w:r w:rsidRPr="00C6387A">
        <w:rPr>
          <w:rFonts w:cs="Arial"/>
          <w:lang w:val="en-GB"/>
        </w:rPr>
        <w:t>e</w:t>
      </w:r>
      <w:bookmarkEnd w:id="21"/>
    </w:p>
    <w:p w14:paraId="41F9AFDC" w14:textId="77777777" w:rsidR="00490056" w:rsidRPr="00C6387A" w:rsidRDefault="009324D1" w:rsidP="00C6387A">
      <w:pPr>
        <w:pStyle w:val="Heading2"/>
        <w:rPr>
          <w:rFonts w:cs="Arial"/>
          <w:lang w:val="en-GB"/>
        </w:rPr>
      </w:pPr>
      <w:bookmarkStart w:id="22" w:name="_81b5jxli6jbz" w:colFirst="0" w:colLast="0"/>
      <w:bookmarkStart w:id="23" w:name="_Toc225094651"/>
      <w:bookmarkEnd w:id="22"/>
      <w:r w:rsidRPr="00C6387A">
        <w:rPr>
          <w:rFonts w:cs="Arial"/>
          <w:lang w:val="en-GB"/>
        </w:rPr>
        <w:t>4.1 Company Overview</w:t>
      </w:r>
      <w:bookmarkEnd w:id="23"/>
    </w:p>
    <w:p w14:paraId="3D6F6C4F" w14:textId="77777777" w:rsidR="000A79D0" w:rsidRPr="00C6387A" w:rsidRDefault="009324D1" w:rsidP="00C6387A">
      <w:pPr>
        <w:rPr>
          <w:rFonts w:cs="Arial"/>
          <w:lang w:val="en-GB"/>
        </w:rPr>
      </w:pPr>
      <w:r w:rsidRPr="00C6387A">
        <w:rPr>
          <w:rFonts w:cs="Arial"/>
          <w:lang w:val="en-GB"/>
        </w:rPr>
        <w:t>PhonePe is a major Indian fintech company, which is majority owned by Walmart and was established in 2015 and functions as a major participant in the booming digital payments Brazil (Reuters, 2026). The company originally specialised in the transaction that is Unified Payments Interface (UPI)-based, but has now progressed to a full-fledged financial services platform, which includes insurance, lending, wealth management, and merchant services. PhonePe boasts over 600 million registered users, over 47 million merchants, among other numbers (PhonePe, 2025). Thus, providing a unique scale to its service</w:t>
      </w:r>
      <w:r w:rsidR="000A79D0" w:rsidRPr="00C6387A">
        <w:rPr>
          <w:rFonts w:cs="Arial"/>
          <w:lang w:val="en-GB"/>
        </w:rPr>
        <w:t xml:space="preserve"> </w:t>
      </w:r>
      <w:r w:rsidRPr="00C6387A">
        <w:rPr>
          <w:rFonts w:cs="Arial"/>
          <w:lang w:val="en-GB"/>
        </w:rPr>
        <w:t xml:space="preserve">makes it a dominating UPI provider in the Indian market. </w:t>
      </w:r>
    </w:p>
    <w:p w14:paraId="22DC5DCB" w14:textId="46275C76" w:rsidR="00490056" w:rsidRPr="00C6387A" w:rsidRDefault="009324D1" w:rsidP="00C6387A">
      <w:pPr>
        <w:rPr>
          <w:rFonts w:cs="Arial"/>
          <w:lang w:val="en-GB"/>
        </w:rPr>
      </w:pPr>
      <w:r w:rsidRPr="00C6387A">
        <w:rPr>
          <w:rFonts w:cs="Arial"/>
          <w:lang w:val="en-GB"/>
        </w:rPr>
        <w:t xml:space="preserve">In India, with estimated market shares of between 45 to 48 % by transaction volume, surpassing the likes of Google Pay and Paytm (Verma, 2026). It has a rate of processing close to 9.8 billion transactions each month, and the value of transactions is close to </w:t>
      </w:r>
      <w:r w:rsidR="001C09B3" w:rsidRPr="00C6387A">
        <w:rPr>
          <w:rFonts w:cs="Arial"/>
          <w:lang w:val="en-GB"/>
        </w:rPr>
        <w:t xml:space="preserve">INR </w:t>
      </w:r>
      <w:r w:rsidRPr="00C6387A">
        <w:rPr>
          <w:rFonts w:cs="Arial"/>
          <w:lang w:val="en-GB"/>
        </w:rPr>
        <w:t xml:space="preserve">13 lakh crore monthly, which depicts the level of its operation and efficiency (Harsh Upadhyay, 2026). Furthermore, the merchant payment transaction volume at PhonePe reached approximately </w:t>
      </w:r>
      <w:r w:rsidR="001C09B3" w:rsidRPr="00C6387A">
        <w:rPr>
          <w:rFonts w:cs="Arial"/>
          <w:lang w:val="en-GB"/>
        </w:rPr>
        <w:t xml:space="preserve">INR </w:t>
      </w:r>
      <w:r w:rsidRPr="00C6387A">
        <w:rPr>
          <w:rFonts w:cs="Arial"/>
          <w:lang w:val="en-GB"/>
        </w:rPr>
        <w:t xml:space="preserve">112 trillion in FY2025, indicating strong penetration across the consumer and business markets (Newindianexpress, 2026). In general, the large user base, extensive merchant network, and diversified services make </w:t>
      </w:r>
      <w:r w:rsidR="00E16901" w:rsidRPr="00C6387A">
        <w:rPr>
          <w:rFonts w:cs="Arial"/>
          <w:lang w:val="en-GB"/>
        </w:rPr>
        <w:t>PhonePe</w:t>
      </w:r>
      <w:r w:rsidRPr="00C6387A">
        <w:rPr>
          <w:rFonts w:cs="Arial"/>
          <w:lang w:val="en-GB"/>
        </w:rPr>
        <w:t xml:space="preserve"> a key </w:t>
      </w:r>
      <w:r w:rsidR="00E16901" w:rsidRPr="00C6387A">
        <w:rPr>
          <w:rFonts w:cs="Arial"/>
          <w:lang w:val="en-GB"/>
        </w:rPr>
        <w:t>factor</w:t>
      </w:r>
      <w:r w:rsidRPr="00C6387A">
        <w:rPr>
          <w:rFonts w:cs="Arial"/>
          <w:lang w:val="en-GB"/>
        </w:rPr>
        <w:t xml:space="preserve"> in the fintech sector in India, providing a basis for further strategic and environmental analysis in the subsequent sections.</w:t>
      </w:r>
    </w:p>
    <w:p w14:paraId="7B070A89" w14:textId="77777777" w:rsidR="00490056" w:rsidRPr="00C6387A" w:rsidRDefault="009324D1" w:rsidP="00C6387A">
      <w:pPr>
        <w:pStyle w:val="Heading2"/>
        <w:rPr>
          <w:rFonts w:cs="Arial"/>
          <w:lang w:val="en-GB"/>
        </w:rPr>
      </w:pPr>
      <w:bookmarkStart w:id="24" w:name="_94rngvmrer4l" w:colFirst="0" w:colLast="0"/>
      <w:bookmarkStart w:id="25" w:name="_Toc225094652"/>
      <w:bookmarkEnd w:id="24"/>
      <w:r w:rsidRPr="00C6387A">
        <w:rPr>
          <w:rFonts w:cs="Arial"/>
          <w:lang w:val="en-GB"/>
        </w:rPr>
        <w:t>4.2 Market Attractiveness of India</w:t>
      </w:r>
      <w:bookmarkEnd w:id="25"/>
    </w:p>
    <w:p w14:paraId="582C2925" w14:textId="77777777" w:rsidR="00490056" w:rsidRPr="00C6387A" w:rsidRDefault="009324D1" w:rsidP="00C6387A">
      <w:pPr>
        <w:rPr>
          <w:rFonts w:cs="Arial"/>
          <w:lang w:val="en-GB"/>
        </w:rPr>
      </w:pPr>
      <w:r w:rsidRPr="00C6387A">
        <w:rPr>
          <w:rFonts w:cs="Arial"/>
          <w:lang w:val="en-GB"/>
        </w:rPr>
        <w:t>India is one of the most promising markets in fintech in the world because of its size, fast digitalisation rates, and good payment infrastructure. The country has a population of more than 1.4 billion, and more than 850 million people have access to the internet, hence a huge and growing market of customers accessing digital financial services (Bain, 2022). This mass list is even more enhanced by the growing number of smartphone users due to the ability to achieve up to 1 billion users, which will ensure vibrant use of mobile-based payment portals.</w:t>
      </w:r>
    </w:p>
    <w:p w14:paraId="3133688D" w14:textId="77777777" w:rsidR="00490056" w:rsidRPr="00C6387A" w:rsidRDefault="009324D1" w:rsidP="00C6387A">
      <w:pPr>
        <w:jc w:val="center"/>
        <w:rPr>
          <w:rFonts w:cs="Arial"/>
          <w:lang w:val="en-GB"/>
        </w:rPr>
      </w:pPr>
      <w:r w:rsidRPr="00C6387A">
        <w:rPr>
          <w:rFonts w:cs="Arial"/>
          <w:noProof/>
          <w:lang w:val="en-GB"/>
        </w:rPr>
        <w:lastRenderedPageBreak/>
        <w:drawing>
          <wp:inline distT="114300" distB="114300" distL="114300" distR="114300" wp14:anchorId="279F98FC" wp14:editId="30BCB0E6">
            <wp:extent cx="5943600" cy="1854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1854200"/>
                    </a:xfrm>
                    <a:prstGeom prst="rect">
                      <a:avLst/>
                    </a:prstGeom>
                    <a:ln/>
                  </pic:spPr>
                </pic:pic>
              </a:graphicData>
            </a:graphic>
          </wp:inline>
        </w:drawing>
      </w:r>
    </w:p>
    <w:p w14:paraId="1C3EC995" w14:textId="2D61F5F0" w:rsidR="00490056" w:rsidRPr="00C6387A" w:rsidRDefault="009324D1" w:rsidP="00C6387A">
      <w:pPr>
        <w:jc w:val="center"/>
        <w:rPr>
          <w:rFonts w:cs="Arial"/>
          <w:b/>
          <w:bCs/>
          <w:lang w:val="en-GB"/>
        </w:rPr>
      </w:pPr>
      <w:r w:rsidRPr="00C6387A">
        <w:rPr>
          <w:rFonts w:cs="Arial"/>
          <w:b/>
          <w:bCs/>
          <w:lang w:val="en-GB"/>
        </w:rPr>
        <w:t xml:space="preserve">Figure </w:t>
      </w:r>
      <w:r w:rsidR="00E16901" w:rsidRPr="00C6387A">
        <w:rPr>
          <w:rFonts w:cs="Arial"/>
          <w:b/>
          <w:bCs/>
          <w:lang w:val="en-GB"/>
        </w:rPr>
        <w:t>5</w:t>
      </w:r>
      <w:r w:rsidRPr="00C6387A">
        <w:rPr>
          <w:rFonts w:cs="Arial"/>
          <w:b/>
          <w:bCs/>
          <w:lang w:val="en-GB"/>
        </w:rPr>
        <w:t xml:space="preserve">: Digital Payment Transaction Volume </w:t>
      </w:r>
    </w:p>
    <w:p w14:paraId="2FC8233C" w14:textId="77777777" w:rsidR="00490056" w:rsidRPr="00C6387A" w:rsidRDefault="009324D1" w:rsidP="00C6387A">
      <w:pPr>
        <w:jc w:val="center"/>
        <w:rPr>
          <w:rFonts w:cs="Arial"/>
          <w:lang w:val="en-GB"/>
        </w:rPr>
      </w:pPr>
      <w:r w:rsidRPr="00C6387A">
        <w:rPr>
          <w:rFonts w:cs="Arial"/>
          <w:lang w:val="en-GB"/>
        </w:rPr>
        <w:t>(Source: PIB, 2023)</w:t>
      </w:r>
    </w:p>
    <w:p w14:paraId="2BFC80ED" w14:textId="20D6A2A7" w:rsidR="00490056" w:rsidRPr="00C6387A" w:rsidRDefault="009324D1" w:rsidP="00C6387A">
      <w:pPr>
        <w:rPr>
          <w:rFonts w:cs="Arial"/>
          <w:lang w:val="en-GB"/>
        </w:rPr>
      </w:pPr>
      <w:r w:rsidRPr="00C6387A">
        <w:rPr>
          <w:rFonts w:cs="Arial"/>
          <w:lang w:val="en-GB"/>
        </w:rPr>
        <w:t xml:space="preserve">Unified Payments Interface (UPI) is a factor that has made India one of the most attractive markets, as it facilitates low-cost, instant transactions between millions of users. The UPI transaction volumes have increased at a phenomenal level to over </w:t>
      </w:r>
      <w:r w:rsidR="00781594" w:rsidRPr="00C6387A">
        <w:rPr>
          <w:rFonts w:cs="Arial"/>
          <w:lang w:val="en-GB"/>
        </w:rPr>
        <w:t xml:space="preserve">INR </w:t>
      </w:r>
      <w:r w:rsidRPr="00C6387A">
        <w:rPr>
          <w:rFonts w:cs="Arial"/>
          <w:lang w:val="en-GB"/>
        </w:rPr>
        <w:t xml:space="preserve">18,737 crore yearly transactions with a 44% CAGR of growth, which is a high trust level of the consumer and scalability (PIB, 2023). </w:t>
      </w:r>
    </w:p>
    <w:p w14:paraId="10EACC8E" w14:textId="77777777" w:rsidR="00490056" w:rsidRPr="00C6387A" w:rsidRDefault="009324D1" w:rsidP="00C6387A">
      <w:pPr>
        <w:jc w:val="center"/>
        <w:rPr>
          <w:rFonts w:cs="Arial"/>
          <w:lang w:val="en-GB"/>
        </w:rPr>
      </w:pPr>
      <w:r w:rsidRPr="00C6387A">
        <w:rPr>
          <w:rFonts w:cs="Arial"/>
          <w:noProof/>
          <w:lang w:val="en-GB"/>
        </w:rPr>
        <w:drawing>
          <wp:inline distT="114300" distB="114300" distL="114300" distR="114300" wp14:anchorId="51DB279E" wp14:editId="5F8BBDDA">
            <wp:extent cx="5943600" cy="3238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238500"/>
                    </a:xfrm>
                    <a:prstGeom prst="rect">
                      <a:avLst/>
                    </a:prstGeom>
                    <a:ln/>
                  </pic:spPr>
                </pic:pic>
              </a:graphicData>
            </a:graphic>
          </wp:inline>
        </w:drawing>
      </w:r>
    </w:p>
    <w:p w14:paraId="1AB62FDE" w14:textId="76D42828" w:rsidR="00490056" w:rsidRPr="00C6387A" w:rsidRDefault="009324D1" w:rsidP="00C6387A">
      <w:pPr>
        <w:jc w:val="center"/>
        <w:rPr>
          <w:rFonts w:cs="Arial"/>
          <w:b/>
          <w:bCs/>
          <w:lang w:val="en-GB"/>
        </w:rPr>
      </w:pPr>
      <w:r w:rsidRPr="00C6387A">
        <w:rPr>
          <w:rFonts w:cs="Arial"/>
          <w:b/>
          <w:bCs/>
          <w:lang w:val="en-GB"/>
        </w:rPr>
        <w:t xml:space="preserve">Figure </w:t>
      </w:r>
      <w:r w:rsidR="00E16901" w:rsidRPr="00C6387A">
        <w:rPr>
          <w:rFonts w:cs="Arial"/>
          <w:b/>
          <w:bCs/>
          <w:lang w:val="en-GB"/>
        </w:rPr>
        <w:t>6</w:t>
      </w:r>
      <w:r w:rsidRPr="00C6387A">
        <w:rPr>
          <w:rFonts w:cs="Arial"/>
          <w:b/>
          <w:bCs/>
          <w:lang w:val="en-GB"/>
        </w:rPr>
        <w:t>: India Fintech Market Size and Share</w:t>
      </w:r>
    </w:p>
    <w:p w14:paraId="5A5707AD" w14:textId="77777777" w:rsidR="00490056" w:rsidRPr="00C6387A" w:rsidRDefault="009324D1" w:rsidP="00C6387A">
      <w:pPr>
        <w:jc w:val="center"/>
        <w:rPr>
          <w:rFonts w:cs="Arial"/>
          <w:lang w:val="en-GB"/>
        </w:rPr>
      </w:pPr>
      <w:r w:rsidRPr="00C6387A">
        <w:rPr>
          <w:rFonts w:cs="Arial"/>
          <w:lang w:val="en-GB"/>
        </w:rPr>
        <w:t>(Source: Mordor Intelligence, 2025)</w:t>
      </w:r>
    </w:p>
    <w:p w14:paraId="57CE623F" w14:textId="77777777" w:rsidR="00490056" w:rsidRPr="00C6387A" w:rsidRDefault="009324D1" w:rsidP="00C6387A">
      <w:pPr>
        <w:rPr>
          <w:rFonts w:cs="Arial"/>
          <w:lang w:val="en-GB"/>
        </w:rPr>
      </w:pPr>
      <w:r w:rsidRPr="00C6387A">
        <w:rPr>
          <w:rFonts w:cs="Arial"/>
          <w:lang w:val="en-GB"/>
        </w:rPr>
        <w:t xml:space="preserve">Furthermore, the fintech market per se is also expected to expand much, and will exceed USD 109 billion by 2031, which shows the potential for long-term growth (Mordor </w:t>
      </w:r>
      <w:r w:rsidRPr="00C6387A">
        <w:rPr>
          <w:rFonts w:cs="Arial"/>
          <w:lang w:val="en-GB"/>
        </w:rPr>
        <w:lastRenderedPageBreak/>
        <w:t>Intelligence, 2025). The high demand, the technological infrastructure, as well as a sustained digital adoption, can ensure the sustenance of a highly favourable operating environment despite high competition between major players. This forms a positive atmosphere in which the operation of PhonePe can be scaled, the market share will be secured, and the position of the leader in the Indian fintech industry will be maintained.</w:t>
      </w:r>
    </w:p>
    <w:p w14:paraId="239BE208" w14:textId="150779FC" w:rsidR="00490056" w:rsidRPr="00C6387A" w:rsidRDefault="009324D1" w:rsidP="00C6387A">
      <w:pPr>
        <w:pStyle w:val="Heading2"/>
        <w:rPr>
          <w:rFonts w:cs="Arial"/>
          <w:lang w:val="en-GB"/>
        </w:rPr>
      </w:pPr>
      <w:bookmarkStart w:id="26" w:name="_g5le2h5txlvp" w:colFirst="0" w:colLast="0"/>
      <w:bookmarkStart w:id="27" w:name="_Toc225094653"/>
      <w:bookmarkEnd w:id="26"/>
      <w:r w:rsidRPr="00C6387A">
        <w:rPr>
          <w:rFonts w:cs="Arial"/>
          <w:lang w:val="en-GB"/>
        </w:rPr>
        <w:t xml:space="preserve">4.3 Pestle Analysis – </w:t>
      </w:r>
      <w:r w:rsidR="003D392C" w:rsidRPr="00C6387A">
        <w:rPr>
          <w:rFonts w:cs="Arial"/>
          <w:lang w:val="en-GB"/>
        </w:rPr>
        <w:t>PhonePe</w:t>
      </w:r>
      <w:r w:rsidRPr="00C6387A">
        <w:rPr>
          <w:rFonts w:cs="Arial"/>
          <w:lang w:val="en-GB"/>
        </w:rPr>
        <w:t xml:space="preserve"> In India</w:t>
      </w:r>
      <w:bookmarkEnd w:id="27"/>
    </w:p>
    <w:tbl>
      <w:tblPr>
        <w:tblStyle w:val="TableGrid"/>
        <w:tblW w:w="9918" w:type="dxa"/>
        <w:jc w:val="center"/>
        <w:tblLook w:val="04A0" w:firstRow="1" w:lastRow="0" w:firstColumn="1" w:lastColumn="0" w:noHBand="0" w:noVBand="1"/>
      </w:tblPr>
      <w:tblGrid>
        <w:gridCol w:w="1883"/>
        <w:gridCol w:w="8035"/>
      </w:tblGrid>
      <w:tr w:rsidR="00B4528E" w:rsidRPr="00C6387A" w14:paraId="08308BC3" w14:textId="77777777" w:rsidTr="00657DEF">
        <w:trPr>
          <w:jc w:val="center"/>
        </w:trPr>
        <w:tc>
          <w:tcPr>
            <w:tcW w:w="0" w:type="auto"/>
            <w:hideMark/>
          </w:tcPr>
          <w:p w14:paraId="74042D82" w14:textId="77777777" w:rsidR="00B4528E" w:rsidRPr="00C6387A" w:rsidRDefault="00B4528E" w:rsidP="00C6387A">
            <w:pPr>
              <w:spacing w:after="160" w:line="360" w:lineRule="auto"/>
              <w:rPr>
                <w:rFonts w:cs="Arial"/>
                <w:b/>
                <w:bCs/>
                <w:lang w:val="en-GB"/>
              </w:rPr>
            </w:pPr>
            <w:r w:rsidRPr="00C6387A">
              <w:rPr>
                <w:rFonts w:cs="Arial"/>
                <w:b/>
                <w:bCs/>
                <w:lang w:val="en-GB"/>
              </w:rPr>
              <w:t>Factor</w:t>
            </w:r>
          </w:p>
        </w:tc>
        <w:tc>
          <w:tcPr>
            <w:tcW w:w="8035" w:type="dxa"/>
            <w:hideMark/>
          </w:tcPr>
          <w:p w14:paraId="5F52D7E0" w14:textId="77777777" w:rsidR="00B4528E" w:rsidRPr="00C6387A" w:rsidRDefault="00B4528E" w:rsidP="00C6387A">
            <w:pPr>
              <w:spacing w:after="160" w:line="360" w:lineRule="auto"/>
              <w:rPr>
                <w:rFonts w:cs="Arial"/>
                <w:b/>
                <w:bCs/>
                <w:lang w:val="en-GB"/>
              </w:rPr>
            </w:pPr>
            <w:r w:rsidRPr="00C6387A">
              <w:rPr>
                <w:rFonts w:cs="Arial"/>
                <w:b/>
                <w:bCs/>
                <w:lang w:val="en-GB"/>
              </w:rPr>
              <w:t xml:space="preserve">Descriptions </w:t>
            </w:r>
          </w:p>
        </w:tc>
      </w:tr>
      <w:tr w:rsidR="00B4528E" w:rsidRPr="00C6387A" w14:paraId="1C5E253B" w14:textId="77777777" w:rsidTr="00657DEF">
        <w:trPr>
          <w:jc w:val="center"/>
        </w:trPr>
        <w:tc>
          <w:tcPr>
            <w:tcW w:w="0" w:type="auto"/>
            <w:hideMark/>
          </w:tcPr>
          <w:p w14:paraId="496E7415" w14:textId="77777777" w:rsidR="00B4528E" w:rsidRPr="00C6387A" w:rsidRDefault="00B4528E" w:rsidP="00C6387A">
            <w:pPr>
              <w:spacing w:after="160" w:line="360" w:lineRule="auto"/>
              <w:rPr>
                <w:rFonts w:cs="Arial"/>
                <w:lang w:val="en-GB"/>
              </w:rPr>
            </w:pPr>
            <w:r w:rsidRPr="00C6387A">
              <w:rPr>
                <w:rFonts w:cs="Arial"/>
                <w:b/>
                <w:bCs/>
                <w:lang w:val="en-GB"/>
              </w:rPr>
              <w:t>Political</w:t>
            </w:r>
          </w:p>
        </w:tc>
        <w:tc>
          <w:tcPr>
            <w:tcW w:w="8035" w:type="dxa"/>
            <w:hideMark/>
          </w:tcPr>
          <w:p w14:paraId="2D6824F8"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Strong government push via </w:t>
            </w:r>
            <w:r w:rsidRPr="00C6387A">
              <w:rPr>
                <w:rFonts w:ascii="Arial" w:hAnsi="Arial" w:cs="Arial"/>
                <w:i/>
                <w:iCs/>
                <w:lang w:val="en-GB"/>
              </w:rPr>
              <w:t>Digital India</w:t>
            </w:r>
            <w:r w:rsidRPr="00C6387A">
              <w:rPr>
                <w:rFonts w:ascii="Arial" w:hAnsi="Arial" w:cs="Arial"/>
                <w:lang w:val="en-GB"/>
              </w:rPr>
              <w:t xml:space="preserve"> initiative </w:t>
            </w:r>
          </w:p>
          <w:p w14:paraId="0F5F01AF"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Financial inclusion through schemes like Jan Dhan Yojana </w:t>
            </w:r>
          </w:p>
          <w:p w14:paraId="4AD043E8"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Stable democratic governance supports business continuity </w:t>
            </w:r>
          </w:p>
          <w:p w14:paraId="32C9F100"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Policy-driven fintech ecosystem development </w:t>
            </w:r>
          </w:p>
          <w:p w14:paraId="082F5F0D"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Over 55.90 Crore Jan Dhan accounts opened to promote financial inclusion (PIB, 2025)</w:t>
            </w:r>
          </w:p>
        </w:tc>
      </w:tr>
      <w:tr w:rsidR="00B4528E" w:rsidRPr="00C6387A" w14:paraId="76A17EA9" w14:textId="77777777" w:rsidTr="00657DEF">
        <w:trPr>
          <w:jc w:val="center"/>
        </w:trPr>
        <w:tc>
          <w:tcPr>
            <w:tcW w:w="0" w:type="auto"/>
            <w:hideMark/>
          </w:tcPr>
          <w:p w14:paraId="62C7020D" w14:textId="77777777" w:rsidR="00B4528E" w:rsidRPr="00C6387A" w:rsidRDefault="00B4528E" w:rsidP="00C6387A">
            <w:pPr>
              <w:spacing w:after="160" w:line="360" w:lineRule="auto"/>
              <w:rPr>
                <w:rFonts w:cs="Arial"/>
                <w:lang w:val="en-GB"/>
              </w:rPr>
            </w:pPr>
            <w:r w:rsidRPr="00C6387A">
              <w:rPr>
                <w:rFonts w:cs="Arial"/>
                <w:b/>
                <w:bCs/>
                <w:lang w:val="en-GB"/>
              </w:rPr>
              <w:t>Economic</w:t>
            </w:r>
          </w:p>
        </w:tc>
        <w:tc>
          <w:tcPr>
            <w:tcW w:w="8035" w:type="dxa"/>
            <w:hideMark/>
          </w:tcPr>
          <w:p w14:paraId="07A6A0B7"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India GDP growth projected at 6.5% (Tradingeconomics, 2025) </w:t>
            </w:r>
          </w:p>
          <w:p w14:paraId="1E7046DA"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Rapid expansion of middle-income population </w:t>
            </w:r>
          </w:p>
          <w:p w14:paraId="545ADFC7"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Growth of digital economy and e-commerce </w:t>
            </w:r>
          </w:p>
          <w:p w14:paraId="3D47B32E"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Cost-efficient digital transactions vs traditional banking </w:t>
            </w:r>
          </w:p>
          <w:p w14:paraId="02B1B60B"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India’s digital economy expected to contribute 20% of GDP by 2026 (Peoplematters, 2025)</w:t>
            </w:r>
          </w:p>
        </w:tc>
      </w:tr>
      <w:tr w:rsidR="00B4528E" w:rsidRPr="00C6387A" w14:paraId="4776A922" w14:textId="77777777" w:rsidTr="00657DEF">
        <w:trPr>
          <w:jc w:val="center"/>
        </w:trPr>
        <w:tc>
          <w:tcPr>
            <w:tcW w:w="0" w:type="auto"/>
            <w:hideMark/>
          </w:tcPr>
          <w:p w14:paraId="2C852238" w14:textId="77777777" w:rsidR="00B4528E" w:rsidRPr="00C6387A" w:rsidRDefault="00B4528E" w:rsidP="00C6387A">
            <w:pPr>
              <w:spacing w:after="160" w:line="360" w:lineRule="auto"/>
              <w:rPr>
                <w:rFonts w:cs="Arial"/>
                <w:lang w:val="en-GB"/>
              </w:rPr>
            </w:pPr>
            <w:r w:rsidRPr="00C6387A">
              <w:rPr>
                <w:rFonts w:cs="Arial"/>
                <w:b/>
                <w:bCs/>
                <w:lang w:val="en-GB"/>
              </w:rPr>
              <w:t>Social</w:t>
            </w:r>
          </w:p>
        </w:tc>
        <w:tc>
          <w:tcPr>
            <w:tcW w:w="8035" w:type="dxa"/>
            <w:hideMark/>
          </w:tcPr>
          <w:p w14:paraId="0A7E7C77"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Large youth population driving fintech adoption </w:t>
            </w:r>
          </w:p>
          <w:p w14:paraId="31798499"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Increasing smartphone usage across demographics </w:t>
            </w:r>
          </w:p>
          <w:p w14:paraId="1DE0B13C"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Changing consumer preference towards cashless payments </w:t>
            </w:r>
          </w:p>
          <w:p w14:paraId="4FFC017E"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Growing trust in digital platforms </w:t>
            </w:r>
          </w:p>
          <w:p w14:paraId="11D22F8B"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India has over 65% population below age 35 (PIB, 2025b)</w:t>
            </w:r>
          </w:p>
        </w:tc>
      </w:tr>
      <w:tr w:rsidR="00B4528E" w:rsidRPr="00C6387A" w14:paraId="1890654D" w14:textId="77777777" w:rsidTr="00657DEF">
        <w:trPr>
          <w:jc w:val="center"/>
        </w:trPr>
        <w:tc>
          <w:tcPr>
            <w:tcW w:w="0" w:type="auto"/>
            <w:hideMark/>
          </w:tcPr>
          <w:p w14:paraId="2E435BB0" w14:textId="77777777" w:rsidR="00B4528E" w:rsidRPr="00C6387A" w:rsidRDefault="00B4528E" w:rsidP="00C6387A">
            <w:pPr>
              <w:spacing w:after="160" w:line="360" w:lineRule="auto"/>
              <w:rPr>
                <w:rFonts w:cs="Arial"/>
                <w:lang w:val="en-GB"/>
              </w:rPr>
            </w:pPr>
            <w:r w:rsidRPr="00C6387A">
              <w:rPr>
                <w:rFonts w:cs="Arial"/>
                <w:b/>
                <w:bCs/>
                <w:lang w:val="en-GB"/>
              </w:rPr>
              <w:t>Technological</w:t>
            </w:r>
          </w:p>
        </w:tc>
        <w:tc>
          <w:tcPr>
            <w:tcW w:w="8035" w:type="dxa"/>
            <w:hideMark/>
          </w:tcPr>
          <w:p w14:paraId="69213CB6"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Advanced UPI real-time payment system </w:t>
            </w:r>
          </w:p>
          <w:p w14:paraId="3B2300C9"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Expanding internet and mobile infrastructure </w:t>
            </w:r>
          </w:p>
          <w:p w14:paraId="48E203B9"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Growth of AI and data-driven fintech solutions </w:t>
            </w:r>
          </w:p>
          <w:p w14:paraId="21B5AED8"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 xml:space="preserve">Strong startup and innovation ecosystem </w:t>
            </w:r>
          </w:p>
          <w:p w14:paraId="520157C1" w14:textId="77777777" w:rsidR="00B4528E" w:rsidRPr="00C6387A" w:rsidRDefault="00B4528E" w:rsidP="00C6387A">
            <w:pPr>
              <w:pStyle w:val="ListParagraph"/>
              <w:numPr>
                <w:ilvl w:val="0"/>
                <w:numId w:val="3"/>
              </w:numPr>
              <w:spacing w:after="0" w:line="360" w:lineRule="auto"/>
              <w:jc w:val="both"/>
              <w:rPr>
                <w:rFonts w:ascii="Arial" w:hAnsi="Arial" w:cs="Arial"/>
                <w:lang w:val="en-GB"/>
              </w:rPr>
            </w:pPr>
            <w:r w:rsidRPr="00C6387A">
              <w:rPr>
                <w:rFonts w:ascii="Arial" w:hAnsi="Arial" w:cs="Arial"/>
                <w:lang w:val="en-GB"/>
              </w:rPr>
              <w:t>India has over 900 million internet subscribers (IBEF, 2025)</w:t>
            </w:r>
          </w:p>
        </w:tc>
      </w:tr>
      <w:tr w:rsidR="00B4528E" w:rsidRPr="00C6387A" w14:paraId="01E17256" w14:textId="77777777" w:rsidTr="00657DEF">
        <w:trPr>
          <w:jc w:val="center"/>
        </w:trPr>
        <w:tc>
          <w:tcPr>
            <w:tcW w:w="0" w:type="auto"/>
            <w:hideMark/>
          </w:tcPr>
          <w:p w14:paraId="768AFACF" w14:textId="77777777" w:rsidR="00B4528E" w:rsidRPr="00C6387A" w:rsidRDefault="00B4528E" w:rsidP="00C6387A">
            <w:pPr>
              <w:spacing w:after="160" w:line="360" w:lineRule="auto"/>
              <w:rPr>
                <w:rFonts w:cs="Arial"/>
                <w:lang w:val="en-GB"/>
              </w:rPr>
            </w:pPr>
            <w:r w:rsidRPr="00C6387A">
              <w:rPr>
                <w:rFonts w:cs="Arial"/>
                <w:b/>
                <w:bCs/>
                <w:lang w:val="en-GB"/>
              </w:rPr>
              <w:lastRenderedPageBreak/>
              <w:t>Legal</w:t>
            </w:r>
          </w:p>
        </w:tc>
        <w:tc>
          <w:tcPr>
            <w:tcW w:w="8035" w:type="dxa"/>
            <w:hideMark/>
          </w:tcPr>
          <w:p w14:paraId="4CC4CE1C" w14:textId="77777777" w:rsidR="00B4528E" w:rsidRPr="00C6387A" w:rsidRDefault="00B4528E" w:rsidP="00C6387A">
            <w:pPr>
              <w:pStyle w:val="ListParagraph"/>
              <w:numPr>
                <w:ilvl w:val="0"/>
                <w:numId w:val="2"/>
              </w:numPr>
              <w:spacing w:after="0" w:line="360" w:lineRule="auto"/>
              <w:jc w:val="both"/>
              <w:rPr>
                <w:rFonts w:ascii="Arial" w:hAnsi="Arial" w:cs="Arial"/>
                <w:lang w:val="en-GB"/>
              </w:rPr>
            </w:pPr>
            <w:r w:rsidRPr="00C6387A">
              <w:rPr>
                <w:rFonts w:ascii="Arial" w:hAnsi="Arial" w:cs="Arial"/>
                <w:lang w:val="en-GB"/>
              </w:rPr>
              <w:t xml:space="preserve">RBI regulates digital payments and fintech operations </w:t>
            </w:r>
          </w:p>
          <w:p w14:paraId="3523EC34" w14:textId="77777777" w:rsidR="00B4528E" w:rsidRPr="00C6387A" w:rsidRDefault="00B4528E" w:rsidP="00C6387A">
            <w:pPr>
              <w:pStyle w:val="ListParagraph"/>
              <w:numPr>
                <w:ilvl w:val="0"/>
                <w:numId w:val="2"/>
              </w:numPr>
              <w:spacing w:after="0" w:line="360" w:lineRule="auto"/>
              <w:jc w:val="both"/>
              <w:rPr>
                <w:rFonts w:ascii="Arial" w:hAnsi="Arial" w:cs="Arial"/>
                <w:lang w:val="en-GB"/>
              </w:rPr>
            </w:pPr>
            <w:r w:rsidRPr="00C6387A">
              <w:rPr>
                <w:rFonts w:ascii="Arial" w:hAnsi="Arial" w:cs="Arial"/>
                <w:lang w:val="en-GB"/>
              </w:rPr>
              <w:t>Data protection frameworks emerging (</w:t>
            </w:r>
            <w:r w:rsidRPr="00C6387A">
              <w:rPr>
                <w:rFonts w:ascii="Arial" w:hAnsi="Arial" w:cs="Arial"/>
                <w:i/>
                <w:iCs/>
                <w:lang w:val="en-GB"/>
              </w:rPr>
              <w:t>DPDP Act 2023</w:t>
            </w:r>
            <w:r w:rsidRPr="00C6387A">
              <w:rPr>
                <w:rFonts w:ascii="Arial" w:hAnsi="Arial" w:cs="Arial"/>
                <w:lang w:val="en-GB"/>
              </w:rPr>
              <w:t xml:space="preserve">) </w:t>
            </w:r>
          </w:p>
          <w:p w14:paraId="3E294D2C" w14:textId="77777777" w:rsidR="00B4528E" w:rsidRPr="00C6387A" w:rsidRDefault="00B4528E" w:rsidP="00C6387A">
            <w:pPr>
              <w:pStyle w:val="ListParagraph"/>
              <w:numPr>
                <w:ilvl w:val="0"/>
                <w:numId w:val="2"/>
              </w:numPr>
              <w:spacing w:after="0" w:line="360" w:lineRule="auto"/>
              <w:jc w:val="both"/>
              <w:rPr>
                <w:rFonts w:ascii="Arial" w:hAnsi="Arial" w:cs="Arial"/>
                <w:lang w:val="en-GB"/>
              </w:rPr>
            </w:pPr>
            <w:r w:rsidRPr="00C6387A">
              <w:rPr>
                <w:rFonts w:ascii="Arial" w:hAnsi="Arial" w:cs="Arial"/>
                <w:lang w:val="en-GB"/>
              </w:rPr>
              <w:t xml:space="preserve">UPI market share cap (30%) proposed for players </w:t>
            </w:r>
          </w:p>
          <w:p w14:paraId="5182795C" w14:textId="77777777" w:rsidR="00B4528E" w:rsidRPr="00C6387A" w:rsidRDefault="00B4528E" w:rsidP="00C6387A">
            <w:pPr>
              <w:pStyle w:val="ListParagraph"/>
              <w:numPr>
                <w:ilvl w:val="0"/>
                <w:numId w:val="2"/>
              </w:numPr>
              <w:spacing w:after="0" w:line="360" w:lineRule="auto"/>
              <w:jc w:val="both"/>
              <w:rPr>
                <w:rFonts w:ascii="Arial" w:hAnsi="Arial" w:cs="Arial"/>
                <w:lang w:val="en-GB"/>
              </w:rPr>
            </w:pPr>
            <w:r w:rsidRPr="00C6387A">
              <w:rPr>
                <w:rFonts w:ascii="Arial" w:hAnsi="Arial" w:cs="Arial"/>
                <w:lang w:val="en-GB"/>
              </w:rPr>
              <w:t xml:space="preserve">Compliance requirements for KYC and security </w:t>
            </w:r>
          </w:p>
          <w:p w14:paraId="1576993D" w14:textId="77777777" w:rsidR="00B4528E" w:rsidRPr="00C6387A" w:rsidRDefault="00B4528E" w:rsidP="00C6387A">
            <w:pPr>
              <w:pStyle w:val="ListParagraph"/>
              <w:numPr>
                <w:ilvl w:val="0"/>
                <w:numId w:val="2"/>
              </w:numPr>
              <w:spacing w:after="0" w:line="360" w:lineRule="auto"/>
              <w:jc w:val="both"/>
              <w:rPr>
                <w:rFonts w:ascii="Arial" w:hAnsi="Arial" w:cs="Arial"/>
                <w:lang w:val="en-GB"/>
              </w:rPr>
            </w:pPr>
            <w:r w:rsidRPr="00C6387A">
              <w:rPr>
                <w:rFonts w:ascii="Arial" w:hAnsi="Arial" w:cs="Arial"/>
                <w:lang w:val="en-GB"/>
              </w:rPr>
              <w:t>RBI mandates 100% KYC compliance for digital financial services</w:t>
            </w:r>
          </w:p>
        </w:tc>
      </w:tr>
      <w:tr w:rsidR="00B4528E" w:rsidRPr="00C6387A" w14:paraId="39FE0037" w14:textId="77777777" w:rsidTr="00657DEF">
        <w:trPr>
          <w:jc w:val="center"/>
        </w:trPr>
        <w:tc>
          <w:tcPr>
            <w:tcW w:w="0" w:type="auto"/>
            <w:hideMark/>
          </w:tcPr>
          <w:p w14:paraId="40EBF10F" w14:textId="77777777" w:rsidR="00B4528E" w:rsidRPr="00C6387A" w:rsidRDefault="00B4528E" w:rsidP="00C6387A">
            <w:pPr>
              <w:spacing w:after="160" w:line="360" w:lineRule="auto"/>
              <w:rPr>
                <w:rFonts w:cs="Arial"/>
                <w:lang w:val="en-GB"/>
              </w:rPr>
            </w:pPr>
            <w:r w:rsidRPr="00C6387A">
              <w:rPr>
                <w:rFonts w:cs="Arial"/>
                <w:b/>
                <w:bCs/>
                <w:lang w:val="en-GB"/>
              </w:rPr>
              <w:t>Environmental</w:t>
            </w:r>
          </w:p>
        </w:tc>
        <w:tc>
          <w:tcPr>
            <w:tcW w:w="8035" w:type="dxa"/>
            <w:hideMark/>
          </w:tcPr>
          <w:p w14:paraId="368B9F8C" w14:textId="77777777" w:rsidR="00B4528E" w:rsidRPr="00C6387A" w:rsidRDefault="00B4528E" w:rsidP="00C6387A">
            <w:pPr>
              <w:pStyle w:val="ListParagraph"/>
              <w:numPr>
                <w:ilvl w:val="0"/>
                <w:numId w:val="1"/>
              </w:numPr>
              <w:spacing w:after="0" w:line="360" w:lineRule="auto"/>
              <w:jc w:val="both"/>
              <w:rPr>
                <w:rFonts w:ascii="Arial" w:hAnsi="Arial" w:cs="Arial"/>
                <w:lang w:val="en-GB"/>
              </w:rPr>
            </w:pPr>
            <w:r w:rsidRPr="00C6387A">
              <w:rPr>
                <w:rFonts w:ascii="Arial" w:hAnsi="Arial" w:cs="Arial"/>
                <w:lang w:val="en-GB"/>
              </w:rPr>
              <w:t xml:space="preserve">Digital payments reduce paper usage and carbon footprint </w:t>
            </w:r>
          </w:p>
          <w:p w14:paraId="25749933" w14:textId="77777777" w:rsidR="00B4528E" w:rsidRPr="00C6387A" w:rsidRDefault="00B4528E" w:rsidP="00C6387A">
            <w:pPr>
              <w:pStyle w:val="ListParagraph"/>
              <w:numPr>
                <w:ilvl w:val="0"/>
                <w:numId w:val="1"/>
              </w:numPr>
              <w:spacing w:after="0" w:line="360" w:lineRule="auto"/>
              <w:jc w:val="both"/>
              <w:rPr>
                <w:rFonts w:ascii="Arial" w:hAnsi="Arial" w:cs="Arial"/>
                <w:lang w:val="en-GB"/>
              </w:rPr>
            </w:pPr>
            <w:r w:rsidRPr="00C6387A">
              <w:rPr>
                <w:rFonts w:ascii="Arial" w:hAnsi="Arial" w:cs="Arial"/>
                <w:lang w:val="en-GB"/>
              </w:rPr>
              <w:t xml:space="preserve">Low physical infrastructure requirements </w:t>
            </w:r>
          </w:p>
          <w:p w14:paraId="0525FD1E" w14:textId="77777777" w:rsidR="00B4528E" w:rsidRPr="00C6387A" w:rsidRDefault="00B4528E" w:rsidP="00C6387A">
            <w:pPr>
              <w:pStyle w:val="ListParagraph"/>
              <w:numPr>
                <w:ilvl w:val="0"/>
                <w:numId w:val="1"/>
              </w:numPr>
              <w:spacing w:after="0" w:line="360" w:lineRule="auto"/>
              <w:jc w:val="both"/>
              <w:rPr>
                <w:rFonts w:ascii="Arial" w:hAnsi="Arial" w:cs="Arial"/>
                <w:lang w:val="en-GB"/>
              </w:rPr>
            </w:pPr>
            <w:r w:rsidRPr="00C6387A">
              <w:rPr>
                <w:rFonts w:ascii="Arial" w:hAnsi="Arial" w:cs="Arial"/>
                <w:lang w:val="en-GB"/>
              </w:rPr>
              <w:t xml:space="preserve">Supports sustainable financial ecosystems </w:t>
            </w:r>
          </w:p>
          <w:p w14:paraId="1D6C153C" w14:textId="77777777" w:rsidR="00B4528E" w:rsidRPr="00C6387A" w:rsidRDefault="00B4528E" w:rsidP="00C6387A">
            <w:pPr>
              <w:pStyle w:val="ListParagraph"/>
              <w:numPr>
                <w:ilvl w:val="0"/>
                <w:numId w:val="1"/>
              </w:numPr>
              <w:spacing w:after="0" w:line="360" w:lineRule="auto"/>
              <w:jc w:val="both"/>
              <w:rPr>
                <w:rFonts w:ascii="Arial" w:hAnsi="Arial" w:cs="Arial"/>
                <w:lang w:val="en-GB"/>
              </w:rPr>
            </w:pPr>
            <w:r w:rsidRPr="00C6387A">
              <w:rPr>
                <w:rFonts w:ascii="Arial" w:hAnsi="Arial" w:cs="Arial"/>
                <w:lang w:val="en-GB"/>
              </w:rPr>
              <w:t xml:space="preserve">Minimal environmental regulatory pressure </w:t>
            </w:r>
          </w:p>
          <w:p w14:paraId="56774E27" w14:textId="77777777" w:rsidR="00B4528E" w:rsidRPr="00C6387A" w:rsidRDefault="00B4528E" w:rsidP="00C6387A">
            <w:pPr>
              <w:pStyle w:val="ListParagraph"/>
              <w:numPr>
                <w:ilvl w:val="0"/>
                <w:numId w:val="1"/>
              </w:numPr>
              <w:spacing w:after="0" w:line="360" w:lineRule="auto"/>
              <w:jc w:val="both"/>
              <w:rPr>
                <w:rFonts w:ascii="Arial" w:hAnsi="Arial" w:cs="Arial"/>
                <w:lang w:val="en-GB"/>
              </w:rPr>
            </w:pPr>
            <w:r w:rsidRPr="00C6387A">
              <w:rPr>
                <w:rFonts w:ascii="Arial" w:hAnsi="Arial" w:cs="Arial"/>
                <w:lang w:val="en-GB"/>
              </w:rPr>
              <w:t xml:space="preserve">Digital transactions reduce up to 70% paper-based processes in banking </w:t>
            </w:r>
          </w:p>
        </w:tc>
      </w:tr>
    </w:tbl>
    <w:p w14:paraId="6CB7F43D" w14:textId="7C0E52AB" w:rsidR="00B4528E" w:rsidRPr="00C6387A" w:rsidRDefault="00B4528E" w:rsidP="00C6387A">
      <w:pPr>
        <w:jc w:val="center"/>
        <w:rPr>
          <w:rFonts w:cs="Arial"/>
          <w:b/>
          <w:bCs/>
          <w:lang w:val="en-GB"/>
        </w:rPr>
      </w:pPr>
      <w:r w:rsidRPr="00C6387A">
        <w:rPr>
          <w:rFonts w:cs="Arial"/>
          <w:b/>
          <w:bCs/>
          <w:lang w:val="en-GB"/>
        </w:rPr>
        <w:t>Table 1: PESTLE</w:t>
      </w:r>
    </w:p>
    <w:p w14:paraId="58D284B1" w14:textId="4B18C8CB" w:rsidR="00B4528E" w:rsidRPr="00C6387A" w:rsidRDefault="00B4528E" w:rsidP="00C6387A">
      <w:pPr>
        <w:jc w:val="center"/>
        <w:rPr>
          <w:rFonts w:cs="Arial"/>
          <w:lang w:val="en-GB"/>
        </w:rPr>
      </w:pPr>
      <w:r w:rsidRPr="00C6387A">
        <w:rPr>
          <w:rFonts w:cs="Arial"/>
          <w:lang w:val="en-GB"/>
        </w:rPr>
        <w:t>(Source: Self-developed)</w:t>
      </w:r>
    </w:p>
    <w:p w14:paraId="2E3B09E6" w14:textId="0AA9DDB2" w:rsidR="00490056" w:rsidRPr="00C6387A" w:rsidRDefault="009324D1" w:rsidP="00C6387A">
      <w:pPr>
        <w:rPr>
          <w:rFonts w:cs="Arial"/>
          <w:lang w:val="en-GB"/>
        </w:rPr>
      </w:pPr>
      <w:r w:rsidRPr="00C6387A">
        <w:rPr>
          <w:rFonts w:cs="Arial"/>
          <w:lang w:val="en-GB"/>
        </w:rPr>
        <w:t>The political climate in India is a big enabler of fintech growth by the state-led efforts in digitalisation and financial inclusion programs that reduce barriers to entry and increase the base of users on platforms like PhonePe</w:t>
      </w:r>
      <w:r w:rsidR="00981A47" w:rsidRPr="00C6387A">
        <w:rPr>
          <w:rFonts w:cs="Arial"/>
          <w:lang w:val="en-GB"/>
        </w:rPr>
        <w:t xml:space="preserve"> (PIB, 2025)</w:t>
      </w:r>
      <w:r w:rsidRPr="00C6387A">
        <w:rPr>
          <w:rFonts w:cs="Arial"/>
          <w:lang w:val="en-GB"/>
        </w:rPr>
        <w:t>. Nevertheless, the high reliance on government policies creates structural uncertainty because the competitive situation may be changed quickly due to changes in the regulations. This is in line with the evidence that policy-oriented markets tend to restrict firm independence and strategic capabilities in the developing economies (Brown et al. 2021). India has good growth prospects that lead to scalable business models in fintech due to digitalisation and increased consumption, which is economically good. However, the ongoing income inequality is a structural constraint in the sense that unequal buying power among segments is a constraint on homogeneous adoption. According to Vasile and Manta (2025), fintech development in emerging markets is usually limited by socio-economic differences, which impact long-term inclusiveness and profitability.</w:t>
      </w:r>
    </w:p>
    <w:p w14:paraId="29F790DA" w14:textId="586E276A" w:rsidR="00490056" w:rsidRPr="00C6387A" w:rsidRDefault="009324D1" w:rsidP="00C6387A">
      <w:pPr>
        <w:rPr>
          <w:rFonts w:cs="Arial"/>
          <w:lang w:val="en-GB"/>
        </w:rPr>
      </w:pPr>
      <w:r w:rsidRPr="00C6387A">
        <w:rPr>
          <w:rFonts w:cs="Arial"/>
          <w:lang w:val="en-GB"/>
        </w:rPr>
        <w:t xml:space="preserve">Socially, the demographic benefits, like a youthful and technology-focused population, make the introduction of digital payments faster. Nonetheless, the rural-urban divide is a major obstacle, and infrastructural as well as literacy barriers inhibit infiltration in underserved areas. Digital financial inclusion research notes that these inequalities may make markets less mature and diminish network effects necessary to platform-based </w:t>
      </w:r>
      <w:r w:rsidRPr="00C6387A">
        <w:rPr>
          <w:rFonts w:cs="Arial"/>
          <w:lang w:val="en-GB"/>
        </w:rPr>
        <w:lastRenderedPageBreak/>
        <w:t>designs (Katsamakas and Sánchez-Cartas, 2022). The Indian digital infrastructure is also highly efficient and scalable, which makes the running of the operations of PhonePe stronger technologically. Nevertheless, the increased use of digital systems increases the risk of cybersecurity, which may affect user trust and platform reliability. On this matter, Oladinni and Odumuwagun (2025) note</w:t>
      </w:r>
      <w:r w:rsidR="00981A47" w:rsidRPr="00C6387A">
        <w:rPr>
          <w:rFonts w:cs="Arial"/>
          <w:lang w:val="en-GB"/>
        </w:rPr>
        <w:t>d</w:t>
      </w:r>
      <w:r w:rsidRPr="00C6387A">
        <w:rPr>
          <w:rFonts w:cs="Arial"/>
          <w:lang w:val="en-GB"/>
        </w:rPr>
        <w:t xml:space="preserve"> that the exposure of fintech ecosystems to cyber threats increases with the </w:t>
      </w:r>
      <w:r w:rsidR="00236DB3" w:rsidRPr="00C6387A">
        <w:rPr>
          <w:rFonts w:cs="Arial"/>
          <w:lang w:val="en-GB"/>
        </w:rPr>
        <w:t>number</w:t>
      </w:r>
      <w:r w:rsidRPr="00C6387A">
        <w:rPr>
          <w:rFonts w:cs="Arial"/>
          <w:lang w:val="en-GB"/>
        </w:rPr>
        <w:t xml:space="preserve"> of transactions</w:t>
      </w:r>
      <w:r w:rsidR="00981A47" w:rsidRPr="00C6387A">
        <w:rPr>
          <w:rFonts w:cs="Arial"/>
          <w:lang w:val="en-GB"/>
        </w:rPr>
        <w:t xml:space="preserve">. This, therefore, </w:t>
      </w:r>
      <w:r w:rsidRPr="00C6387A">
        <w:rPr>
          <w:rFonts w:cs="Arial"/>
          <w:lang w:val="en-GB"/>
        </w:rPr>
        <w:t>requir</w:t>
      </w:r>
      <w:r w:rsidR="00981A47" w:rsidRPr="00C6387A">
        <w:rPr>
          <w:rFonts w:cs="Arial"/>
          <w:lang w:val="en-GB"/>
        </w:rPr>
        <w:t>es</w:t>
      </w:r>
      <w:r w:rsidRPr="00C6387A">
        <w:rPr>
          <w:rFonts w:cs="Arial"/>
          <w:lang w:val="en-GB"/>
        </w:rPr>
        <w:t xml:space="preserve"> an upward adjustment (Lee and Shin, 2018). Regulatory frameworks are used to provide stability in the market, but also limit strategy and compliance costs. The changing policies, especially those regarding data regulation and competition regulation, pose a risk to the dominance of firms. Iyelolu et al. (2024) report</w:t>
      </w:r>
      <w:r w:rsidR="00981A47" w:rsidRPr="00C6387A">
        <w:rPr>
          <w:rFonts w:cs="Arial"/>
          <w:lang w:val="en-GB"/>
        </w:rPr>
        <w:t>ed</w:t>
      </w:r>
      <w:r w:rsidRPr="00C6387A">
        <w:rPr>
          <w:rFonts w:cs="Arial"/>
          <w:lang w:val="en-GB"/>
        </w:rPr>
        <w:t xml:space="preserve"> that even though regulation can increase trust, over-regulation can hinder innovation and decrease competitive dynamism. Comprehensively, India is an extremely favourable fintech setting, but structural risks of regulation, inequality, and technological vulnerability must be addressed through constant strategy changing without ceasing to be in the leadership.</w:t>
      </w:r>
    </w:p>
    <w:p w14:paraId="197CBBF0" w14:textId="77777777" w:rsidR="00490056" w:rsidRPr="00C6387A" w:rsidRDefault="009324D1" w:rsidP="00C6387A">
      <w:pPr>
        <w:pStyle w:val="Heading2"/>
        <w:rPr>
          <w:rFonts w:cs="Arial"/>
          <w:lang w:val="en-GB"/>
        </w:rPr>
      </w:pPr>
      <w:bookmarkStart w:id="28" w:name="_tu8g61qf7nuy" w:colFirst="0" w:colLast="0"/>
      <w:bookmarkStart w:id="29" w:name="_Toc225094654"/>
      <w:bookmarkEnd w:id="28"/>
      <w:r w:rsidRPr="00C6387A">
        <w:rPr>
          <w:rFonts w:cs="Arial"/>
          <w:lang w:val="en-GB"/>
        </w:rPr>
        <w:t>4.4 Opportunities for PhonePe</w:t>
      </w:r>
      <w:bookmarkEnd w:id="29"/>
    </w:p>
    <w:p w14:paraId="61429744" w14:textId="77777777" w:rsidR="00490056" w:rsidRPr="00C6387A" w:rsidRDefault="009324D1" w:rsidP="00C6387A">
      <w:pPr>
        <w:rPr>
          <w:rFonts w:cs="Arial"/>
          <w:lang w:val="en-GB"/>
        </w:rPr>
      </w:pPr>
      <w:r w:rsidRPr="00C6387A">
        <w:rPr>
          <w:rFonts w:cs="Arial"/>
          <w:lang w:val="en-GB"/>
        </w:rPr>
        <w:t>The changing fintech landscape in India opens up tremendous growth opportunities to PhonePe, especially in rural expansion and service diversification. The main opportunity is to move into rural markets, which are unexploited and are only just beginning to adopt digital payments, and in which the high rates of smartphone penetration and the government-driven financial inclusion efforts contribute to this market (Umeaduma, 2023). This helps PhonePe to acquire new classes of users and enhance network effects. Moreover, the company has significant opportunities to expand in the related financial services, including insurance, lending and wealth management.</w:t>
      </w:r>
    </w:p>
    <w:p w14:paraId="52B1E491" w14:textId="29EE66A7" w:rsidR="00490056" w:rsidRPr="00C6387A" w:rsidRDefault="009324D1" w:rsidP="00C6387A">
      <w:pPr>
        <w:rPr>
          <w:rFonts w:cs="Arial"/>
          <w:lang w:val="en-GB"/>
        </w:rPr>
      </w:pPr>
      <w:r w:rsidRPr="00C6387A">
        <w:rPr>
          <w:rFonts w:cs="Arial"/>
          <w:lang w:val="en-GB"/>
        </w:rPr>
        <w:t xml:space="preserve">PhonePe has the opportunity to implement the cross-selling strategy due to its significant number of users, as it can raise the customer lifetime value and boost the revenue streams. This shift is further justified by the development of the digital economy and embedded finance in India, which allows fintech companies to transform into multi-service financial venues. Stefanelli and Manta (2023) </w:t>
      </w:r>
      <w:r w:rsidR="00126BE6" w:rsidRPr="00C6387A">
        <w:rPr>
          <w:rFonts w:cs="Arial"/>
          <w:lang w:val="en-GB"/>
        </w:rPr>
        <w:t>added</w:t>
      </w:r>
      <w:r w:rsidRPr="00C6387A">
        <w:rPr>
          <w:rFonts w:cs="Arial"/>
          <w:lang w:val="en-GB"/>
        </w:rPr>
        <w:t xml:space="preserve"> that the development of digital banking and open financial ecosystems opens up new possibilities of further integration with consumers and merchants. PhonePe is also in a better position to compete as it is in a position to offer several services on one platform. Nevertheless, the achievement will </w:t>
      </w:r>
      <w:r w:rsidRPr="00C6387A">
        <w:rPr>
          <w:rFonts w:cs="Arial"/>
          <w:lang w:val="en-GB"/>
        </w:rPr>
        <w:lastRenderedPageBreak/>
        <w:t>rely on a reasonable balance between growth and efficiency in operations. All in all, these structural trends generate good long-term growth opportunities for PhonePe in the Indian fintech pond.</w:t>
      </w:r>
    </w:p>
    <w:p w14:paraId="0D9A78DA" w14:textId="77777777" w:rsidR="00490056" w:rsidRPr="00C6387A" w:rsidRDefault="009324D1" w:rsidP="00C6387A">
      <w:pPr>
        <w:pStyle w:val="Heading2"/>
        <w:rPr>
          <w:rFonts w:cs="Arial"/>
          <w:lang w:val="en-GB"/>
        </w:rPr>
      </w:pPr>
      <w:bookmarkStart w:id="30" w:name="_tl2xosvg9083" w:colFirst="0" w:colLast="0"/>
      <w:bookmarkStart w:id="31" w:name="_Toc225094655"/>
      <w:bookmarkEnd w:id="30"/>
      <w:r w:rsidRPr="00C6387A">
        <w:rPr>
          <w:rFonts w:cs="Arial"/>
          <w:lang w:val="en-GB"/>
        </w:rPr>
        <w:t>4.5 Challenges</w:t>
      </w:r>
      <w:bookmarkEnd w:id="31"/>
    </w:p>
    <w:p w14:paraId="7A1B056E" w14:textId="52349DDC" w:rsidR="00490056" w:rsidRPr="00C6387A" w:rsidRDefault="009324D1" w:rsidP="00C6387A">
      <w:pPr>
        <w:rPr>
          <w:rFonts w:cs="Arial"/>
          <w:lang w:val="en-GB"/>
        </w:rPr>
      </w:pPr>
      <w:r w:rsidRPr="00C6387A">
        <w:rPr>
          <w:rFonts w:cs="Arial"/>
          <w:lang w:val="en-GB"/>
        </w:rPr>
        <w:t>PhonePe has high growth potential, but it has a number of critical challenges that could affect its survival in the long run. The main threat is the existence of strong competitors, Google Pay and Paytm, who together control the UPI ecosystem and form a highly competitive and margin-sensitive environment. Such fierce competition reduces the possibility of monetisation since the vast majority of UPI transactions are free, which continues to pose a constant profitability threat to fintech companies. Another significant limitation is regulatory pressure. The suggested 30% market share cap on UPI puts major players under uncertainty, which may compel them to redistribute transactions and shorten the scale benefits (Kalra, 2025). These interventions accentuate the conflict between market development and competition policy, which can limit the leadership of PhonePe.</w:t>
      </w:r>
    </w:p>
    <w:p w14:paraId="79AC3CAD" w14:textId="04266C2D" w:rsidR="00490056" w:rsidRPr="00C6387A" w:rsidRDefault="009324D1" w:rsidP="00C6387A">
      <w:pPr>
        <w:rPr>
          <w:rFonts w:cs="Arial"/>
          <w:lang w:val="en-GB"/>
        </w:rPr>
      </w:pPr>
      <w:r w:rsidRPr="00C6387A">
        <w:rPr>
          <w:rFonts w:cs="Arial"/>
          <w:lang w:val="en-GB"/>
        </w:rPr>
        <w:t>There are also operational risks that can be seen through real incidents. An example is the successful FreeFall of a large PhonePe outage that occurred in 2025, which affected transactions because the system could not handle traffic-related issues, and this aspect makes infrastructure resilience an issue (Dubey, 2025). Equally, several platforms have gone offline nationwide due to UPI, indicating vulnerabilities in digitised payment systems on a system-wide level. Moreover, there are more and more cases of cyber fraud, such as blacklisting of more than 300,000 SIM cards attributed to fraud, indicating a rise in cybersecurity risks (Times of India, 2025). More importantly, these risks indicate that, although PhonePe will enjoy the advantage of scale and market leadership, it will rely on regulatory flexibility, technology strength, and the capacity to create profitable business models that are not associated with payment.</w:t>
      </w:r>
    </w:p>
    <w:p w14:paraId="5FA0B274" w14:textId="77777777" w:rsidR="00490056" w:rsidRPr="00C6387A" w:rsidRDefault="009324D1" w:rsidP="00C6387A">
      <w:pPr>
        <w:pStyle w:val="Heading2"/>
        <w:rPr>
          <w:rFonts w:cs="Arial"/>
          <w:lang w:val="en-GB"/>
        </w:rPr>
      </w:pPr>
      <w:bookmarkStart w:id="32" w:name="_f9tm08xpe9wa" w:colFirst="0" w:colLast="0"/>
      <w:bookmarkStart w:id="33" w:name="_Toc225094656"/>
      <w:bookmarkEnd w:id="32"/>
      <w:r w:rsidRPr="00C6387A">
        <w:rPr>
          <w:rFonts w:cs="Arial"/>
          <w:lang w:val="en-GB"/>
        </w:rPr>
        <w:t>4.6 Competitive Position Analysis</w:t>
      </w:r>
      <w:bookmarkEnd w:id="33"/>
    </w:p>
    <w:p w14:paraId="32EB04DA" w14:textId="3655EBA6" w:rsidR="00490056" w:rsidRPr="00C6387A" w:rsidRDefault="009324D1" w:rsidP="00C6387A">
      <w:pPr>
        <w:rPr>
          <w:rFonts w:cs="Arial"/>
          <w:lang w:val="en-GB"/>
        </w:rPr>
      </w:pPr>
      <w:r w:rsidRPr="00C6387A">
        <w:rPr>
          <w:rFonts w:cs="Arial"/>
          <w:lang w:val="en-GB"/>
        </w:rPr>
        <w:t>The UPI ecosystem in India has a high degree of concentration with the presence of PhonePe, Google Pay, and Paytm, which, combined, the three companies command more than 85-90</w:t>
      </w:r>
      <w:r w:rsidR="00654796" w:rsidRPr="00C6387A">
        <w:rPr>
          <w:rFonts w:cs="Arial"/>
          <w:lang w:val="en-GB"/>
        </w:rPr>
        <w:t>%</w:t>
      </w:r>
      <w:r w:rsidRPr="00C6387A">
        <w:rPr>
          <w:rFonts w:cs="Arial"/>
          <w:lang w:val="en-GB"/>
        </w:rPr>
        <w:t xml:space="preserve"> of the overall transaction value. The market is dominated by PhonePe with a share of about 45</w:t>
      </w:r>
      <w:r w:rsidR="00242A0F" w:rsidRPr="00C6387A">
        <w:rPr>
          <w:rFonts w:cs="Arial"/>
          <w:lang w:val="en-GB"/>
        </w:rPr>
        <w:t>-4</w:t>
      </w:r>
      <w:r w:rsidRPr="00C6387A">
        <w:rPr>
          <w:rFonts w:cs="Arial"/>
          <w:lang w:val="en-GB"/>
        </w:rPr>
        <w:t xml:space="preserve">8% with an average transaction of about 9.810 billion deals per </w:t>
      </w:r>
      <w:r w:rsidRPr="00C6387A">
        <w:rPr>
          <w:rFonts w:cs="Arial"/>
          <w:lang w:val="en-GB"/>
        </w:rPr>
        <w:lastRenderedPageBreak/>
        <w:t>month</w:t>
      </w:r>
      <w:r w:rsidR="002D6C0D" w:rsidRPr="00C6387A">
        <w:rPr>
          <w:rFonts w:cs="Arial"/>
          <w:lang w:val="en-GB"/>
        </w:rPr>
        <w:t xml:space="preserve">. This is followed by </w:t>
      </w:r>
      <w:r w:rsidRPr="00C6387A">
        <w:rPr>
          <w:rFonts w:cs="Arial"/>
          <w:lang w:val="en-GB"/>
        </w:rPr>
        <w:t>Google Pay with 33</w:t>
      </w:r>
      <w:r w:rsidR="00242A0F" w:rsidRPr="00C6387A">
        <w:rPr>
          <w:rFonts w:cs="Arial"/>
          <w:lang w:val="en-GB"/>
        </w:rPr>
        <w:t>-</w:t>
      </w:r>
      <w:r w:rsidRPr="00C6387A">
        <w:rPr>
          <w:rFonts w:cs="Arial"/>
          <w:lang w:val="en-GB"/>
        </w:rPr>
        <w:t>35% and Paytm with 7</w:t>
      </w:r>
      <w:r w:rsidR="00242A0F" w:rsidRPr="00C6387A">
        <w:rPr>
          <w:rFonts w:cs="Arial"/>
          <w:lang w:val="en-GB"/>
        </w:rPr>
        <w:t>-</w:t>
      </w:r>
      <w:r w:rsidRPr="00C6387A">
        <w:rPr>
          <w:rFonts w:cs="Arial"/>
          <w:lang w:val="en-GB"/>
        </w:rPr>
        <w:t>8</w:t>
      </w:r>
      <w:r w:rsidR="002D6C0D" w:rsidRPr="00C6387A">
        <w:rPr>
          <w:rFonts w:cs="Arial"/>
          <w:lang w:val="en-GB"/>
        </w:rPr>
        <w:t>%</w:t>
      </w:r>
      <w:r w:rsidRPr="00C6387A">
        <w:rPr>
          <w:rFonts w:cs="Arial"/>
          <w:lang w:val="en-GB"/>
        </w:rPr>
        <w:t>, which shows that the market is highly hierarchical (Verma, 2026). The competitive edge of PhonePe is the large network of merchants and ecosystem diversification, which enables the company to transcend beyond payments into financial services. By comparison, Google Pay is aimed at achieving a top level of integration into the Android platform, which will improve the convenience of the user but restrict service diversification. Paytm uses the hybrid approach, that is, it provides payment and banking services but has issues related to lower market share and reduced network effects.</w:t>
      </w:r>
    </w:p>
    <w:tbl>
      <w:tblPr>
        <w:tblStyle w:val="TableGrid"/>
        <w:tblW w:w="0" w:type="auto"/>
        <w:tblLook w:val="04A0" w:firstRow="1" w:lastRow="0" w:firstColumn="1" w:lastColumn="0" w:noHBand="0" w:noVBand="1"/>
      </w:tblPr>
      <w:tblGrid>
        <w:gridCol w:w="2373"/>
        <w:gridCol w:w="2765"/>
        <w:gridCol w:w="2185"/>
        <w:gridCol w:w="2027"/>
      </w:tblGrid>
      <w:tr w:rsidR="00236DB3" w:rsidRPr="00C6387A" w14:paraId="24BA0FBA" w14:textId="77777777" w:rsidTr="00236DB3">
        <w:tc>
          <w:tcPr>
            <w:tcW w:w="0" w:type="auto"/>
            <w:hideMark/>
          </w:tcPr>
          <w:p w14:paraId="669FFF15" w14:textId="77777777" w:rsidR="00236DB3" w:rsidRPr="00C6387A" w:rsidRDefault="00236DB3" w:rsidP="00C6387A">
            <w:pPr>
              <w:spacing w:after="160" w:line="360" w:lineRule="auto"/>
              <w:rPr>
                <w:rFonts w:cs="Arial"/>
                <w:b/>
                <w:bCs/>
                <w:color w:val="000000" w:themeColor="text1"/>
              </w:rPr>
            </w:pPr>
            <w:r w:rsidRPr="00C6387A">
              <w:rPr>
                <w:rFonts w:cs="Arial"/>
                <w:b/>
                <w:bCs/>
                <w:color w:val="000000" w:themeColor="text1"/>
              </w:rPr>
              <w:t>Factor</w:t>
            </w:r>
          </w:p>
        </w:tc>
        <w:tc>
          <w:tcPr>
            <w:tcW w:w="0" w:type="auto"/>
            <w:hideMark/>
          </w:tcPr>
          <w:p w14:paraId="2309BCFF" w14:textId="77777777" w:rsidR="00236DB3" w:rsidRPr="00C6387A" w:rsidRDefault="00236DB3" w:rsidP="00C6387A">
            <w:pPr>
              <w:spacing w:after="160" w:line="360" w:lineRule="auto"/>
              <w:rPr>
                <w:rFonts w:cs="Arial"/>
                <w:b/>
                <w:bCs/>
                <w:color w:val="000000" w:themeColor="text1"/>
              </w:rPr>
            </w:pPr>
            <w:r w:rsidRPr="00C6387A">
              <w:rPr>
                <w:rFonts w:cs="Arial"/>
                <w:b/>
                <w:bCs/>
                <w:color w:val="000000" w:themeColor="text1"/>
              </w:rPr>
              <w:t>PhonePe</w:t>
            </w:r>
          </w:p>
        </w:tc>
        <w:tc>
          <w:tcPr>
            <w:tcW w:w="0" w:type="auto"/>
            <w:hideMark/>
          </w:tcPr>
          <w:p w14:paraId="47A4397C" w14:textId="77777777" w:rsidR="00236DB3" w:rsidRPr="00C6387A" w:rsidRDefault="00236DB3" w:rsidP="00C6387A">
            <w:pPr>
              <w:spacing w:after="160" w:line="360" w:lineRule="auto"/>
              <w:rPr>
                <w:rFonts w:cs="Arial"/>
                <w:b/>
                <w:bCs/>
                <w:color w:val="000000" w:themeColor="text1"/>
              </w:rPr>
            </w:pPr>
            <w:r w:rsidRPr="00C6387A">
              <w:rPr>
                <w:rFonts w:cs="Arial"/>
                <w:b/>
                <w:bCs/>
                <w:color w:val="000000" w:themeColor="text1"/>
              </w:rPr>
              <w:t>Google Pay</w:t>
            </w:r>
          </w:p>
        </w:tc>
        <w:tc>
          <w:tcPr>
            <w:tcW w:w="0" w:type="auto"/>
            <w:hideMark/>
          </w:tcPr>
          <w:p w14:paraId="023E2264" w14:textId="77777777" w:rsidR="00236DB3" w:rsidRPr="00C6387A" w:rsidRDefault="00236DB3" w:rsidP="00C6387A">
            <w:pPr>
              <w:spacing w:after="160" w:line="360" w:lineRule="auto"/>
              <w:rPr>
                <w:rFonts w:cs="Arial"/>
                <w:b/>
                <w:bCs/>
                <w:color w:val="000000" w:themeColor="text1"/>
              </w:rPr>
            </w:pPr>
            <w:r w:rsidRPr="00C6387A">
              <w:rPr>
                <w:rFonts w:cs="Arial"/>
                <w:b/>
                <w:bCs/>
                <w:color w:val="000000" w:themeColor="text1"/>
              </w:rPr>
              <w:t>Paytm</w:t>
            </w:r>
          </w:p>
        </w:tc>
      </w:tr>
      <w:tr w:rsidR="00236DB3" w:rsidRPr="00C6387A" w14:paraId="40E12493" w14:textId="77777777" w:rsidTr="00236DB3">
        <w:tc>
          <w:tcPr>
            <w:tcW w:w="0" w:type="auto"/>
            <w:hideMark/>
          </w:tcPr>
          <w:p w14:paraId="10FA0B4C"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Market Share</w:t>
            </w:r>
          </w:p>
        </w:tc>
        <w:tc>
          <w:tcPr>
            <w:tcW w:w="0" w:type="auto"/>
            <w:hideMark/>
          </w:tcPr>
          <w:p w14:paraId="639019FB"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45–48%</w:t>
            </w:r>
          </w:p>
        </w:tc>
        <w:tc>
          <w:tcPr>
            <w:tcW w:w="0" w:type="auto"/>
            <w:hideMark/>
          </w:tcPr>
          <w:p w14:paraId="2A4194F1"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33–35%</w:t>
            </w:r>
          </w:p>
        </w:tc>
        <w:tc>
          <w:tcPr>
            <w:tcW w:w="0" w:type="auto"/>
            <w:hideMark/>
          </w:tcPr>
          <w:p w14:paraId="30FBA477"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7–8%</w:t>
            </w:r>
          </w:p>
        </w:tc>
      </w:tr>
      <w:tr w:rsidR="00236DB3" w:rsidRPr="00C6387A" w14:paraId="68CFE5BF" w14:textId="77777777" w:rsidTr="00236DB3">
        <w:tc>
          <w:tcPr>
            <w:tcW w:w="0" w:type="auto"/>
            <w:hideMark/>
          </w:tcPr>
          <w:p w14:paraId="1844EFD9"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Monthly Transactions</w:t>
            </w:r>
          </w:p>
        </w:tc>
        <w:tc>
          <w:tcPr>
            <w:tcW w:w="0" w:type="auto"/>
            <w:hideMark/>
          </w:tcPr>
          <w:p w14:paraId="27B22682"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9.8B</w:t>
            </w:r>
          </w:p>
        </w:tc>
        <w:tc>
          <w:tcPr>
            <w:tcW w:w="0" w:type="auto"/>
            <w:hideMark/>
          </w:tcPr>
          <w:p w14:paraId="787C186C"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7.2B</w:t>
            </w:r>
          </w:p>
        </w:tc>
        <w:tc>
          <w:tcPr>
            <w:tcW w:w="0" w:type="auto"/>
            <w:hideMark/>
          </w:tcPr>
          <w:p w14:paraId="4BC1E736"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1.6B</w:t>
            </w:r>
          </w:p>
        </w:tc>
      </w:tr>
      <w:tr w:rsidR="00236DB3" w:rsidRPr="00C6387A" w14:paraId="29BF61B9" w14:textId="77777777" w:rsidTr="00236DB3">
        <w:tc>
          <w:tcPr>
            <w:tcW w:w="0" w:type="auto"/>
            <w:hideMark/>
          </w:tcPr>
          <w:p w14:paraId="0AADB625"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Strategy</w:t>
            </w:r>
          </w:p>
        </w:tc>
        <w:tc>
          <w:tcPr>
            <w:tcW w:w="0" w:type="auto"/>
            <w:hideMark/>
          </w:tcPr>
          <w:p w14:paraId="4531502E"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Ecosystem expansion</w:t>
            </w:r>
          </w:p>
        </w:tc>
        <w:tc>
          <w:tcPr>
            <w:tcW w:w="0" w:type="auto"/>
            <w:hideMark/>
          </w:tcPr>
          <w:p w14:paraId="0FDDCB08"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Platform integration</w:t>
            </w:r>
          </w:p>
        </w:tc>
        <w:tc>
          <w:tcPr>
            <w:tcW w:w="0" w:type="auto"/>
            <w:hideMark/>
          </w:tcPr>
          <w:p w14:paraId="4AC2AEF9"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Diversified fintech</w:t>
            </w:r>
          </w:p>
        </w:tc>
      </w:tr>
      <w:tr w:rsidR="00236DB3" w:rsidRPr="00C6387A" w14:paraId="2D81C275" w14:textId="77777777" w:rsidTr="00236DB3">
        <w:tc>
          <w:tcPr>
            <w:tcW w:w="0" w:type="auto"/>
            <w:hideMark/>
          </w:tcPr>
          <w:p w14:paraId="2E14B2D3"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Strength</w:t>
            </w:r>
          </w:p>
        </w:tc>
        <w:tc>
          <w:tcPr>
            <w:tcW w:w="0" w:type="auto"/>
            <w:hideMark/>
          </w:tcPr>
          <w:p w14:paraId="6B1D2077"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Merchant network + scale</w:t>
            </w:r>
          </w:p>
        </w:tc>
        <w:tc>
          <w:tcPr>
            <w:tcW w:w="0" w:type="auto"/>
            <w:hideMark/>
          </w:tcPr>
          <w:p w14:paraId="577370F0"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Android integration</w:t>
            </w:r>
          </w:p>
        </w:tc>
        <w:tc>
          <w:tcPr>
            <w:tcW w:w="0" w:type="auto"/>
            <w:hideMark/>
          </w:tcPr>
          <w:p w14:paraId="02C07CD6"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Financial services</w:t>
            </w:r>
          </w:p>
        </w:tc>
      </w:tr>
      <w:tr w:rsidR="00236DB3" w:rsidRPr="00C6387A" w14:paraId="7E127786" w14:textId="77777777" w:rsidTr="00236DB3">
        <w:tc>
          <w:tcPr>
            <w:tcW w:w="0" w:type="auto"/>
            <w:hideMark/>
          </w:tcPr>
          <w:p w14:paraId="660DDC7E"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Position</w:t>
            </w:r>
          </w:p>
        </w:tc>
        <w:tc>
          <w:tcPr>
            <w:tcW w:w="0" w:type="auto"/>
            <w:hideMark/>
          </w:tcPr>
          <w:p w14:paraId="3CD0C463"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Market Leader</w:t>
            </w:r>
          </w:p>
        </w:tc>
        <w:tc>
          <w:tcPr>
            <w:tcW w:w="0" w:type="auto"/>
            <w:hideMark/>
          </w:tcPr>
          <w:p w14:paraId="300AD20C"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Strong Challenger</w:t>
            </w:r>
          </w:p>
        </w:tc>
        <w:tc>
          <w:tcPr>
            <w:tcW w:w="0" w:type="auto"/>
            <w:hideMark/>
          </w:tcPr>
          <w:p w14:paraId="2A28E629" w14:textId="77777777" w:rsidR="00236DB3" w:rsidRPr="00C6387A" w:rsidRDefault="00236DB3" w:rsidP="00C6387A">
            <w:pPr>
              <w:spacing w:after="160" w:line="360" w:lineRule="auto"/>
              <w:rPr>
                <w:rFonts w:cs="Arial"/>
                <w:color w:val="000000" w:themeColor="text1"/>
              </w:rPr>
            </w:pPr>
            <w:r w:rsidRPr="00C6387A">
              <w:rPr>
                <w:rFonts w:cs="Arial"/>
                <w:color w:val="000000" w:themeColor="text1"/>
              </w:rPr>
              <w:t>Niche Player</w:t>
            </w:r>
          </w:p>
        </w:tc>
      </w:tr>
    </w:tbl>
    <w:p w14:paraId="4951EA8D" w14:textId="4620DBF6" w:rsidR="00236DB3" w:rsidRPr="00C6387A" w:rsidRDefault="00236DB3" w:rsidP="00C6387A">
      <w:pPr>
        <w:jc w:val="center"/>
        <w:rPr>
          <w:rFonts w:cs="Arial"/>
          <w:b/>
          <w:bCs/>
          <w:lang w:val="en-GB"/>
        </w:rPr>
      </w:pPr>
      <w:r w:rsidRPr="00C6387A">
        <w:rPr>
          <w:rFonts w:cs="Arial"/>
          <w:b/>
          <w:bCs/>
          <w:lang w:val="en-GB"/>
        </w:rPr>
        <w:t>Table 2: Competitive Position Analysis</w:t>
      </w:r>
    </w:p>
    <w:p w14:paraId="1325584D" w14:textId="3E015A15" w:rsidR="00236DB3" w:rsidRPr="00C6387A" w:rsidRDefault="00236DB3" w:rsidP="00C6387A">
      <w:pPr>
        <w:jc w:val="center"/>
        <w:rPr>
          <w:rFonts w:cs="Arial"/>
          <w:lang w:val="en-GB"/>
        </w:rPr>
      </w:pPr>
      <w:r w:rsidRPr="00C6387A">
        <w:rPr>
          <w:rFonts w:cs="Arial"/>
          <w:lang w:val="en-GB"/>
        </w:rPr>
        <w:t>(Source: self-developed)</w:t>
      </w:r>
    </w:p>
    <w:p w14:paraId="7D25EA92" w14:textId="77777777" w:rsidR="00490056" w:rsidRPr="00C6387A" w:rsidRDefault="009324D1" w:rsidP="00C6387A">
      <w:pPr>
        <w:pStyle w:val="Heading2"/>
        <w:rPr>
          <w:rFonts w:cs="Arial"/>
          <w:lang w:val="en-GB"/>
        </w:rPr>
      </w:pPr>
      <w:bookmarkStart w:id="34" w:name="_vzurv5pdeb9n" w:colFirst="0" w:colLast="0"/>
      <w:bookmarkStart w:id="35" w:name="_Toc225094657"/>
      <w:bookmarkEnd w:id="34"/>
      <w:r w:rsidRPr="00C6387A">
        <w:rPr>
          <w:rFonts w:cs="Arial"/>
          <w:lang w:val="en-GB"/>
        </w:rPr>
        <w:t>4.7 Critical Evaluation &amp; Strategic Assessment</w:t>
      </w:r>
      <w:bookmarkEnd w:id="35"/>
    </w:p>
    <w:p w14:paraId="32A4D8E7" w14:textId="052F7F3B" w:rsidR="00490056" w:rsidRPr="00C6387A" w:rsidRDefault="00242A0F" w:rsidP="00C6387A">
      <w:pPr>
        <w:rPr>
          <w:rFonts w:cs="Arial"/>
          <w:lang w:val="en-GB"/>
        </w:rPr>
      </w:pPr>
      <w:r w:rsidRPr="00C6387A">
        <w:rPr>
          <w:rFonts w:cs="Arial"/>
          <w:lang w:val="en-GB"/>
        </w:rPr>
        <w:t xml:space="preserve">As per </w:t>
      </w:r>
      <w:r w:rsidRPr="00C6387A">
        <w:rPr>
          <w:rFonts w:cs="Arial"/>
          <w:color w:val="222222"/>
          <w:shd w:val="clear" w:color="auto" w:fill="FFFFFF"/>
        </w:rPr>
        <w:t>Gaikwad</w:t>
      </w:r>
      <w:r w:rsidRPr="00C6387A">
        <w:rPr>
          <w:rFonts w:cs="Arial"/>
          <w:lang w:val="en-GB"/>
        </w:rPr>
        <w:t xml:space="preserve"> (2024), t</w:t>
      </w:r>
      <w:r w:rsidR="009324D1" w:rsidRPr="00C6387A">
        <w:rPr>
          <w:rFonts w:cs="Arial"/>
          <w:lang w:val="en-GB"/>
        </w:rPr>
        <w:t xml:space="preserve">he success of PhonePe can be explained by the early-mover status in the ecosystem of UPI and close relationships with merchants, as well as the further development towards financial services, which helped the company develop an extensive digital ecosystem. More importantly, its capacity to grow fast without losing user interest has reinforced network effects, which produce consumer switching costs. It is questionable as to whether this growth will be maintained. Although the level of transactions keeps increasing, profitability is a significant issue as the UPI model thrives on minimal or no transaction fees. As the latest industry news suggests, even the most successful parties fail to monetise their huge user base, which points to structural </w:t>
      </w:r>
      <w:r w:rsidR="009324D1" w:rsidRPr="00C6387A">
        <w:rPr>
          <w:rFonts w:cs="Arial"/>
          <w:lang w:val="en-GB"/>
        </w:rPr>
        <w:lastRenderedPageBreak/>
        <w:t>restrictions of a business model (Reuters, 2025). This would indicate that diversification in the financial services is not merely an opportunity, but a requirement towards survival in the long term.</w:t>
      </w:r>
    </w:p>
    <w:p w14:paraId="7921E51D" w14:textId="7A5CFBC4" w:rsidR="00490056" w:rsidRPr="00C6387A" w:rsidRDefault="009324D1" w:rsidP="00C6387A">
      <w:pPr>
        <w:rPr>
          <w:rFonts w:cs="Arial"/>
          <w:lang w:val="en-GB"/>
        </w:rPr>
      </w:pPr>
      <w:r w:rsidRPr="00C6387A">
        <w:rPr>
          <w:rFonts w:cs="Arial"/>
          <w:lang w:val="en-GB"/>
        </w:rPr>
        <w:t>In addition, the regulatory forces, including suggested market share limits and growing compliance demands, threaten the dominance of PhonePe. The threat of GooglePay is still serious, and both companies are losing market shares to new entrants at a slow pace. It means that the leadership of the market is not fully safe (Sharma, 2026). In general, the strategic position of PhonePe is quite strong yet not uncontested. Most importantly, its success in future will be determined by how it is able to innovate beyond payments, be profitable and adjust to regulatory and competition pressures, and the prospects look optimistic but with caution.</w:t>
      </w:r>
    </w:p>
    <w:p w14:paraId="245F8984" w14:textId="77777777" w:rsidR="00490056" w:rsidRPr="00C6387A" w:rsidRDefault="009324D1" w:rsidP="00C6387A">
      <w:pPr>
        <w:pStyle w:val="Heading2"/>
        <w:rPr>
          <w:rFonts w:cs="Arial"/>
          <w:lang w:val="en-GB"/>
        </w:rPr>
      </w:pPr>
      <w:bookmarkStart w:id="36" w:name="_4swhwu9y8t8d" w:colFirst="0" w:colLast="0"/>
      <w:bookmarkStart w:id="37" w:name="_Toc225094658"/>
      <w:bookmarkEnd w:id="36"/>
      <w:r w:rsidRPr="00C6387A">
        <w:rPr>
          <w:rFonts w:cs="Arial"/>
          <w:lang w:val="en-GB"/>
        </w:rPr>
        <w:t>5. Conclusion</w:t>
      </w:r>
      <w:bookmarkEnd w:id="37"/>
    </w:p>
    <w:p w14:paraId="090F0144" w14:textId="77777777" w:rsidR="001B291C" w:rsidRPr="00C6387A" w:rsidRDefault="00236DB3" w:rsidP="00C6387A">
      <w:pPr>
        <w:rPr>
          <w:rFonts w:cs="Arial"/>
          <w:lang w:val="en-GB"/>
        </w:rPr>
      </w:pPr>
      <w:r w:rsidRPr="00C6387A">
        <w:rPr>
          <w:rFonts w:cs="Arial"/>
          <w:lang w:val="en-GB"/>
        </w:rPr>
        <w:t xml:space="preserve">The fintech sector in India has shown an unprecedented pace of development owing to the high rate of digitalisation, the government policies favourable to it, and the adoption of real-time payment systems, including UPI, by the populace. The industry has become an extremely competitive and innovative ecosystem with a high network effect and entry barriers. In this landscape, there are a few strong players, who have a large share of transaction volumes and this is the oligopoly market structure, where scale and technological capability are determinants of competitive advantage. PhonePe has so far proved to be the market leader among these players with its huge number of users, robust merchant base, and strategic diversification of its financial services. The capacity to use the digital infrastructure of India and achieve the mass take up has strengthened its dominant status. </w:t>
      </w:r>
    </w:p>
    <w:p w14:paraId="256F4D14" w14:textId="1FB048E6" w:rsidR="00236DB3" w:rsidRPr="00C6387A" w:rsidRDefault="00236DB3" w:rsidP="00C6387A">
      <w:pPr>
        <w:rPr>
          <w:rFonts w:cs="Arial"/>
          <w:lang w:val="en-GB"/>
        </w:rPr>
      </w:pPr>
      <w:r w:rsidRPr="00C6387A">
        <w:rPr>
          <w:rFonts w:cs="Arial"/>
          <w:lang w:val="en-GB"/>
        </w:rPr>
        <w:t xml:space="preserve">Nevertheless, not everything is smooth sailing in this leadership with the growth of regulatory controls, competition and the inability to monetise payment services, which are still influencing the dynamics of the industry. In general, the future perspective of PhonePe is good but conditional. Although the growth of the Indian digital economy is expected to continue, which will provide the company with substantial growth potential, the long-term sustainability will rely on whether the company can provide additional non-payment growth, increase profitability, and adjust to the constantly changing regulatory </w:t>
      </w:r>
      <w:r w:rsidRPr="00C6387A">
        <w:rPr>
          <w:rFonts w:cs="Arial"/>
          <w:lang w:val="en-GB"/>
        </w:rPr>
        <w:lastRenderedPageBreak/>
        <w:t>landscape. This implies that leadership sustainability will involve agility in strategy and value creation.</w:t>
      </w:r>
    </w:p>
    <w:p w14:paraId="48E96610" w14:textId="77777777" w:rsidR="001B291C" w:rsidRPr="00C6387A" w:rsidRDefault="001B291C" w:rsidP="00C6387A">
      <w:pPr>
        <w:rPr>
          <w:rFonts w:cs="Arial"/>
          <w:lang w:val="en-GB"/>
        </w:rPr>
      </w:pPr>
    </w:p>
    <w:p w14:paraId="002B49B9" w14:textId="77777777" w:rsidR="00490056" w:rsidRPr="00C6387A" w:rsidRDefault="009324D1" w:rsidP="00C6387A">
      <w:pPr>
        <w:pStyle w:val="Heading1"/>
        <w:rPr>
          <w:rFonts w:cs="Arial"/>
          <w:lang w:val="en-GB"/>
        </w:rPr>
      </w:pPr>
      <w:bookmarkStart w:id="38" w:name="_4z8o2s8c3l2q" w:colFirst="0" w:colLast="0"/>
      <w:bookmarkStart w:id="39" w:name="_Toc225094659"/>
      <w:bookmarkEnd w:id="38"/>
      <w:r w:rsidRPr="00C6387A">
        <w:rPr>
          <w:rFonts w:cs="Arial"/>
          <w:lang w:val="en-GB"/>
        </w:rPr>
        <w:t>Part 2: Reflection</w:t>
      </w:r>
      <w:bookmarkEnd w:id="39"/>
      <w:r w:rsidRPr="00C6387A">
        <w:rPr>
          <w:rFonts w:cs="Arial"/>
          <w:lang w:val="en-GB"/>
        </w:rPr>
        <w:t xml:space="preserve"> </w:t>
      </w:r>
    </w:p>
    <w:p w14:paraId="17B7FD99" w14:textId="77777777" w:rsidR="00490056" w:rsidRPr="00C6387A" w:rsidRDefault="009324D1" w:rsidP="00C6387A">
      <w:pPr>
        <w:pStyle w:val="Heading2"/>
        <w:rPr>
          <w:rFonts w:cs="Arial"/>
          <w:lang w:val="en-GB"/>
        </w:rPr>
      </w:pPr>
      <w:bookmarkStart w:id="40" w:name="_po9ikjkcayiv" w:colFirst="0" w:colLast="0"/>
      <w:bookmarkStart w:id="41" w:name="_Toc225094660"/>
      <w:bookmarkEnd w:id="40"/>
      <w:r w:rsidRPr="00C6387A">
        <w:rPr>
          <w:rFonts w:cs="Arial"/>
          <w:lang w:val="en-GB"/>
        </w:rPr>
        <w:t>2.1 Concrete Experience</w:t>
      </w:r>
      <w:bookmarkEnd w:id="41"/>
    </w:p>
    <w:p w14:paraId="0888A3B0" w14:textId="6D3C9070" w:rsidR="00490056" w:rsidRPr="00C6387A" w:rsidRDefault="009324D1" w:rsidP="00C6387A">
      <w:pPr>
        <w:rPr>
          <w:rFonts w:cs="Arial"/>
          <w:lang w:val="en-GB"/>
        </w:rPr>
      </w:pPr>
      <w:r w:rsidRPr="00C6387A">
        <w:rPr>
          <w:rFonts w:cs="Arial"/>
          <w:lang w:val="en-GB"/>
        </w:rPr>
        <w:t>In this assignment, I did a lot of research on the fintech sector in India, paying particular attention to the case of PhonePe as one of the most popular digital payment systems. A mixture of academic journal articles, government reports, and industry data helped me comprehend the trend in the market, rivalry, and control systems. To begin with, it was quite difficult to find credible and more recent sources in the beginning, since the field of fintech is actively developing, and data can easily be outdated at any given time. I was also required to use theoretical models like Porter's Diamond Model and the PESTLE analysis. I was conversant with the models through lectures, but I struggled to put them into practice in a real situation. As an illustration, there were more complex analyses that had to be made to directly connect macroeconomic factors to the success of the operation of PhonePe. This experience made me realise that there is a disparity between theory and practice. Lombardi et al. (2021) state</w:t>
      </w:r>
      <w:r w:rsidR="008205A3" w:rsidRPr="00C6387A">
        <w:rPr>
          <w:rFonts w:cs="Arial"/>
          <w:lang w:val="en-GB"/>
        </w:rPr>
        <w:t>d</w:t>
      </w:r>
      <w:r w:rsidRPr="00C6387A">
        <w:rPr>
          <w:rFonts w:cs="Arial"/>
          <w:lang w:val="en-GB"/>
        </w:rPr>
        <w:t xml:space="preserve"> that learning is most effective when one is exposed to an experience. I also found this to be true during this assignment.</w:t>
      </w:r>
    </w:p>
    <w:p w14:paraId="7CFC5541" w14:textId="77777777" w:rsidR="00490056" w:rsidRPr="00C6387A" w:rsidRDefault="009324D1" w:rsidP="00C6387A">
      <w:pPr>
        <w:pStyle w:val="Heading2"/>
        <w:rPr>
          <w:rFonts w:cs="Arial"/>
          <w:lang w:val="en-GB"/>
        </w:rPr>
      </w:pPr>
      <w:bookmarkStart w:id="42" w:name="_o4lm9w61h8c0" w:colFirst="0" w:colLast="0"/>
      <w:bookmarkStart w:id="43" w:name="_Toc225094661"/>
      <w:bookmarkEnd w:id="42"/>
      <w:r w:rsidRPr="00C6387A">
        <w:rPr>
          <w:rFonts w:cs="Arial"/>
          <w:lang w:val="en-GB"/>
        </w:rPr>
        <w:t>2.2 Reflective Observation</w:t>
      </w:r>
      <w:bookmarkEnd w:id="43"/>
    </w:p>
    <w:p w14:paraId="775FAB75" w14:textId="4392504E" w:rsidR="00490056" w:rsidRPr="00C6387A" w:rsidRDefault="009324D1" w:rsidP="00C6387A">
      <w:pPr>
        <w:rPr>
          <w:rFonts w:cs="Arial"/>
          <w:lang w:val="en-GB"/>
        </w:rPr>
      </w:pPr>
      <w:r w:rsidRPr="00C6387A">
        <w:rPr>
          <w:rFonts w:cs="Arial"/>
          <w:lang w:val="en-GB"/>
        </w:rPr>
        <w:t xml:space="preserve">Considering my strategy, I understood that I paid too much attention to explaining information instead of analysing it critically. The initial version I wrote contained much statistical information, which, however, I did not fully consider in relation to the strategy and performance of PhonePe. Moving on, I learned to be more conscious of the significance of critical thinking, and I began to doubt what the information that I was consuming was implying. The other problem that I encountered was that I had to have a distinct structure and still avoid repetition of various sections. The assignment also meant that I needed to use various frameworks, so I needed to make sure that each section of the assignment brought in new insights and did not cover the same points. I have also observed that at the onset of my work, I had to rely a lot on the industry reports, </w:t>
      </w:r>
      <w:r w:rsidR="00F12A41" w:rsidRPr="00C6387A">
        <w:rPr>
          <w:rFonts w:cs="Arial"/>
          <w:lang w:val="en-GB"/>
        </w:rPr>
        <w:t>which</w:t>
      </w:r>
      <w:r w:rsidRPr="00C6387A">
        <w:rPr>
          <w:rFonts w:cs="Arial"/>
          <w:lang w:val="en-GB"/>
        </w:rPr>
        <w:t xml:space="preserve"> made my work not as academically rigorous.</w:t>
      </w:r>
      <w:r w:rsidR="00F12A41" w:rsidRPr="00C6387A">
        <w:rPr>
          <w:rFonts w:cs="Arial"/>
          <w:lang w:val="en-GB"/>
        </w:rPr>
        <w:t xml:space="preserve"> Elaborate research has helped me to </w:t>
      </w:r>
      <w:r w:rsidR="00756D16" w:rsidRPr="00C6387A">
        <w:rPr>
          <w:rFonts w:cs="Arial"/>
          <w:lang w:val="en-GB"/>
        </w:rPr>
        <w:t xml:space="preserve">stand to my analysis that </w:t>
      </w:r>
      <w:r w:rsidR="00F12A41" w:rsidRPr="00C6387A">
        <w:rPr>
          <w:rFonts w:cs="Arial"/>
          <w:lang w:val="en-GB"/>
        </w:rPr>
        <w:t xml:space="preserve">PhonePe </w:t>
      </w:r>
      <w:r w:rsidR="00756D16" w:rsidRPr="00C6387A">
        <w:rPr>
          <w:rFonts w:cs="Arial"/>
          <w:lang w:val="en-GB"/>
        </w:rPr>
        <w:t xml:space="preserve">is indeed the one to </w:t>
      </w:r>
      <w:r w:rsidR="00F12A41" w:rsidRPr="00C6387A">
        <w:rPr>
          <w:rFonts w:cs="Arial"/>
          <w:lang w:val="en-GB"/>
        </w:rPr>
        <w:t xml:space="preserve">dominate the Indian UPI </w:t>
      </w:r>
      <w:r w:rsidR="00756D16" w:rsidRPr="00C6387A">
        <w:rPr>
          <w:rFonts w:cs="Arial"/>
          <w:lang w:val="en-GB"/>
        </w:rPr>
        <w:t xml:space="preserve">ecosystem. </w:t>
      </w:r>
      <w:r w:rsidR="00756D16" w:rsidRPr="00C6387A">
        <w:rPr>
          <w:rFonts w:cs="Arial"/>
          <w:lang w:val="en-GB"/>
        </w:rPr>
        <w:lastRenderedPageBreak/>
        <w:t xml:space="preserve">This company has succeeded in maintaining a consistency </w:t>
      </w:r>
      <w:r w:rsidR="00F12A41" w:rsidRPr="00C6387A">
        <w:rPr>
          <w:rFonts w:cs="Arial"/>
          <w:lang w:val="en-GB"/>
        </w:rPr>
        <w:t>with transaction volume share</w:t>
      </w:r>
      <w:r w:rsidR="00756D16" w:rsidRPr="00C6387A">
        <w:rPr>
          <w:rFonts w:cs="Arial"/>
          <w:lang w:val="en-GB"/>
        </w:rPr>
        <w:t>s</w:t>
      </w:r>
      <w:r w:rsidR="00F12A41" w:rsidRPr="00C6387A">
        <w:rPr>
          <w:rFonts w:cs="Arial"/>
          <w:lang w:val="en-GB"/>
        </w:rPr>
        <w:t>.</w:t>
      </w:r>
      <w:r w:rsidRPr="00C6387A">
        <w:rPr>
          <w:rFonts w:cs="Arial"/>
          <w:lang w:val="en-GB"/>
        </w:rPr>
        <w:t xml:space="preserve"> </w:t>
      </w:r>
      <w:r w:rsidR="006862AF" w:rsidRPr="00C6387A">
        <w:rPr>
          <w:rFonts w:cs="Arial"/>
          <w:lang w:val="en-GB"/>
        </w:rPr>
        <w:t>At the same time</w:t>
      </w:r>
      <w:r w:rsidRPr="00C6387A">
        <w:rPr>
          <w:rFonts w:cs="Arial"/>
          <w:lang w:val="en-GB"/>
        </w:rPr>
        <w:t>, I used</w:t>
      </w:r>
      <w:r w:rsidR="000F1827" w:rsidRPr="00C6387A">
        <w:rPr>
          <w:rFonts w:cs="Arial"/>
          <w:lang w:val="en-GB"/>
        </w:rPr>
        <w:t xml:space="preserve"> and relied on several</w:t>
      </w:r>
      <w:r w:rsidRPr="00C6387A">
        <w:rPr>
          <w:rFonts w:cs="Arial"/>
          <w:lang w:val="en-GB"/>
        </w:rPr>
        <w:t xml:space="preserve"> journal articles to make my arguments stronger. This reflection process also made me realise that, to write academic texts, one needs to evaluate critically and organise well. Reflective practice is also the key component of higher-order thinking development (Whalen and Paez, 2021).</w:t>
      </w:r>
    </w:p>
    <w:p w14:paraId="2C419BDE" w14:textId="77777777" w:rsidR="00490056" w:rsidRPr="00C6387A" w:rsidRDefault="009324D1" w:rsidP="00C6387A">
      <w:pPr>
        <w:pStyle w:val="Heading2"/>
        <w:rPr>
          <w:rFonts w:cs="Arial"/>
          <w:lang w:val="en-GB"/>
        </w:rPr>
      </w:pPr>
      <w:bookmarkStart w:id="44" w:name="_8cuvi05nsyzm" w:colFirst="0" w:colLast="0"/>
      <w:bookmarkStart w:id="45" w:name="_Toc225094662"/>
      <w:bookmarkEnd w:id="44"/>
      <w:r w:rsidRPr="00C6387A">
        <w:rPr>
          <w:rFonts w:cs="Arial"/>
          <w:lang w:val="en-GB"/>
        </w:rPr>
        <w:t>2.3 Abstract Conceptualisation</w:t>
      </w:r>
      <w:bookmarkEnd w:id="45"/>
    </w:p>
    <w:p w14:paraId="6C0570EF" w14:textId="379AE13A" w:rsidR="00490056" w:rsidRPr="00C6387A" w:rsidRDefault="009324D1" w:rsidP="00C6387A">
      <w:pPr>
        <w:rPr>
          <w:rFonts w:cs="Arial"/>
          <w:lang w:val="en-GB"/>
        </w:rPr>
      </w:pPr>
      <w:r w:rsidRPr="00C6387A">
        <w:rPr>
          <w:rFonts w:cs="Arial"/>
          <w:lang w:val="en-GB"/>
        </w:rPr>
        <w:t>Through this experience, I have gained several valuable lessons about the learning topic and my learning process. First, I understood that such theoretical frameworks as PESTLE and Porter's Diamond Model are not descriptive tools. They are also analytical frameworks that assist in explaining how various factors contribute to business success. The application of these models to the PhonePe enabled me to appreciate the interaction of political support, technological infrastructure and market demand in order to develop a competitive advantage. Second, I was able to understand the need to combine theory and empirical evidence. I could not just provide the data but interpret it and analyse it against bigger concepts. Turgunbaev (2025)</w:t>
      </w:r>
      <w:r w:rsidR="008205A3" w:rsidRPr="00C6387A">
        <w:rPr>
          <w:rFonts w:cs="Arial"/>
          <w:lang w:val="en-GB"/>
        </w:rPr>
        <w:t xml:space="preserve"> </w:t>
      </w:r>
      <w:r w:rsidRPr="00C6387A">
        <w:rPr>
          <w:rFonts w:cs="Arial"/>
          <w:lang w:val="en-GB"/>
        </w:rPr>
        <w:t>point</w:t>
      </w:r>
      <w:r w:rsidR="008205A3" w:rsidRPr="00C6387A">
        <w:rPr>
          <w:rFonts w:cs="Arial"/>
          <w:lang w:val="en-GB"/>
        </w:rPr>
        <w:t>ed</w:t>
      </w:r>
      <w:r w:rsidRPr="00C6387A">
        <w:rPr>
          <w:rFonts w:cs="Arial"/>
          <w:lang w:val="en-GB"/>
        </w:rPr>
        <w:t xml:space="preserve"> out that deep learning takes place when students relate theoretical material to practical applications. Moreover, I also learned more about the fintech business of emerging markets. I noted that the government policy, digital infrastructure, and consumer behaviour are very important factors that influence the development of industries. The success of fintech is not only determined by technological preparedness but also by institutional support. These lessons have enhanced my skills in analysing complex business environments in a critical and organised approach.</w:t>
      </w:r>
    </w:p>
    <w:p w14:paraId="27CA6023" w14:textId="77777777" w:rsidR="00490056" w:rsidRPr="00C6387A" w:rsidRDefault="009324D1" w:rsidP="00C6387A">
      <w:pPr>
        <w:pStyle w:val="Heading2"/>
        <w:rPr>
          <w:rFonts w:cs="Arial"/>
          <w:lang w:val="en-GB"/>
        </w:rPr>
      </w:pPr>
      <w:bookmarkStart w:id="46" w:name="_7tuo0imbf5vp" w:colFirst="0" w:colLast="0"/>
      <w:bookmarkStart w:id="47" w:name="_Toc225094663"/>
      <w:bookmarkEnd w:id="46"/>
      <w:r w:rsidRPr="00C6387A">
        <w:rPr>
          <w:rFonts w:cs="Arial"/>
          <w:lang w:val="en-GB"/>
        </w:rPr>
        <w:t>2.4 Active Experimentation</w:t>
      </w:r>
      <w:bookmarkEnd w:id="47"/>
    </w:p>
    <w:p w14:paraId="19D6D3FE" w14:textId="77777777" w:rsidR="00490056" w:rsidRPr="00C6387A" w:rsidRDefault="009324D1" w:rsidP="00C6387A">
      <w:pPr>
        <w:rPr>
          <w:rFonts w:cs="Arial"/>
          <w:lang w:val="en-GB"/>
        </w:rPr>
      </w:pPr>
      <w:r w:rsidRPr="00C6387A">
        <w:rPr>
          <w:rFonts w:cs="Arial"/>
          <w:lang w:val="en-GB"/>
        </w:rPr>
        <w:t xml:space="preserve">In my future assignments, I will do things differently based on what I have learned. To begin with, I will ensure that I incorporate critical analysis at the very onset as opposed to adding it at a later stage when the revision is done. This will assist me in making better and more coherent arguments. Secondly, I will enhance my research plan by focusing on scholarly journal articles and industry data that will provide credibility and profundity. I also intend to improve my time management as I realised that when working with big data, it is necessary to plan. Moreover, I am going to be more concerned with the organisation of my work to prevent repetition and ensure logical progression between sections. </w:t>
      </w:r>
      <w:r w:rsidRPr="00C6387A">
        <w:rPr>
          <w:rFonts w:cs="Arial"/>
          <w:lang w:val="en-GB"/>
        </w:rPr>
        <w:lastRenderedPageBreak/>
        <w:t>Professionally, this assignment has enabled me to be more competent when it comes to applying analytical frameworks to practical business issues. Michaelsen et al. (2023) note that learning becomes most effective when the involved individuals are ready to apply the knowledge to a new situation. Thus, I will apply these competencies in my educational activities in the future and in professional life, especially in those areas that require strategic analysis and decision-making.</w:t>
      </w:r>
    </w:p>
    <w:p w14:paraId="618F705E" w14:textId="77777777" w:rsidR="00490056" w:rsidRPr="00C6387A" w:rsidRDefault="009324D1" w:rsidP="00C6387A">
      <w:pPr>
        <w:rPr>
          <w:rFonts w:cs="Arial"/>
          <w:lang w:val="en-GB"/>
        </w:rPr>
      </w:pPr>
      <w:r w:rsidRPr="00C6387A">
        <w:rPr>
          <w:rFonts w:cs="Arial"/>
          <w:lang w:val="en-GB"/>
        </w:rPr>
        <w:br w:type="page"/>
      </w:r>
    </w:p>
    <w:p w14:paraId="1AB0C7ED" w14:textId="77777777" w:rsidR="00D9285F" w:rsidRPr="00C6387A" w:rsidRDefault="00D9285F" w:rsidP="00C6387A">
      <w:pPr>
        <w:pStyle w:val="Heading1"/>
        <w:rPr>
          <w:rFonts w:cs="Arial"/>
          <w:lang w:val="en-GB"/>
        </w:rPr>
      </w:pPr>
      <w:bookmarkStart w:id="48" w:name="_Toc225094664"/>
      <w:r w:rsidRPr="00C6387A">
        <w:rPr>
          <w:rFonts w:cs="Arial"/>
          <w:lang w:val="en-GB"/>
        </w:rPr>
        <w:lastRenderedPageBreak/>
        <w:t>References</w:t>
      </w:r>
      <w:bookmarkEnd w:id="48"/>
      <w:r w:rsidRPr="00C6387A">
        <w:rPr>
          <w:rFonts w:cs="Arial"/>
          <w:lang w:val="en-GB"/>
        </w:rPr>
        <w:t xml:space="preserve"> </w:t>
      </w:r>
    </w:p>
    <w:p w14:paraId="368F1978" w14:textId="77777777" w:rsidR="008205A3" w:rsidRPr="00C6387A" w:rsidRDefault="008205A3" w:rsidP="00C6387A">
      <w:pPr>
        <w:spacing w:after="160"/>
        <w:rPr>
          <w:rFonts w:cs="Arial"/>
          <w:color w:val="222222"/>
          <w:shd w:val="clear" w:color="auto" w:fill="FFFFFF"/>
        </w:rPr>
      </w:pPr>
      <w:r w:rsidRPr="00C6387A">
        <w:rPr>
          <w:rFonts w:cs="Arial"/>
          <w:color w:val="222222"/>
          <w:shd w:val="clear" w:color="auto" w:fill="FFFFFF"/>
        </w:rPr>
        <w:t>Gaikwad, V., 2024. Google Pay and Phonepe. </w:t>
      </w:r>
      <w:r w:rsidRPr="00C6387A">
        <w:rPr>
          <w:rFonts w:cs="Arial"/>
          <w:i/>
          <w:iCs/>
          <w:color w:val="222222"/>
          <w:shd w:val="clear" w:color="auto" w:fill="FFFFFF"/>
        </w:rPr>
        <w:t>Smart Technologies and Innovations in E-Business</w:t>
      </w:r>
      <w:r w:rsidRPr="00C6387A">
        <w:rPr>
          <w:rFonts w:cs="Arial"/>
          <w:color w:val="222222"/>
          <w:shd w:val="clear" w:color="auto" w:fill="FFFFFF"/>
        </w:rPr>
        <w:t xml:space="preserve">, p.166. </w:t>
      </w:r>
      <w:hyperlink r:id="rId15" w:history="1">
        <w:r w:rsidRPr="00C6387A">
          <w:rPr>
            <w:rStyle w:val="Hyperlink"/>
            <w:rFonts w:cs="Arial"/>
            <w:shd w:val="clear" w:color="auto" w:fill="FFFFFF"/>
          </w:rPr>
          <w:t>https://books.google.com/books?hl=en&amp;lr=&amp;id=_ngVEQAAQBAJ&amp;oi=fnd&amp;pg=PA166&amp;dq=PhonePe+has,+as+a+strategic+move,+in+india&amp;ots=15e-Hy3ERp&amp;sig=2hh3DM95gBg0YefCUydf_qYOfKg</w:t>
        </w:r>
      </w:hyperlink>
      <w:r w:rsidRPr="00C6387A">
        <w:rPr>
          <w:rFonts w:cs="Arial"/>
          <w:color w:val="222222"/>
          <w:shd w:val="clear" w:color="auto" w:fill="FFFFFF"/>
        </w:rPr>
        <w:t xml:space="preserve"> </w:t>
      </w:r>
    </w:p>
    <w:p w14:paraId="2AD0EB1C" w14:textId="77777777" w:rsidR="008205A3" w:rsidRPr="00C6387A" w:rsidRDefault="008205A3" w:rsidP="00C6387A">
      <w:pPr>
        <w:spacing w:after="160"/>
        <w:rPr>
          <w:rFonts w:cs="Arial"/>
        </w:rPr>
      </w:pPr>
      <w:r w:rsidRPr="00C6387A">
        <w:rPr>
          <w:rFonts w:cs="Arial"/>
        </w:rPr>
        <w:t xml:space="preserve">Ambuli, T.V., 2025. FIN TECH FOR THE UNBANKED: BRIDGING THE FINANCIAL DIVIDE THROUGH MOBILE PLATFORMS. </w:t>
      </w:r>
      <w:r w:rsidRPr="00C6387A">
        <w:rPr>
          <w:rFonts w:cs="Arial"/>
          <w:i/>
          <w:iCs/>
        </w:rPr>
        <w:t>Global Dimensions of Multidisciplinary Research</w:t>
      </w:r>
      <w:r w:rsidRPr="00C6387A">
        <w:rPr>
          <w:rFonts w:cs="Arial"/>
        </w:rPr>
        <w:t>, p.133.</w:t>
      </w:r>
      <w:hyperlink r:id="rId16" w:anchor="page=141" w:history="1">
        <w:r w:rsidRPr="00C6387A">
          <w:rPr>
            <w:rStyle w:val="Hyperlink"/>
            <w:rFonts w:cs="Arial"/>
          </w:rPr>
          <w:t xml:space="preserve"> https://www.researchgate.net/profile/Ankit-Patel-28/publication/397273581_Global_Dimensions_of_Multidisciplinary_Research/links/690aa90fc900be105cbf4cac/Global-Dimensions-of-Multidisciplinary-Research.pdf#page=141</w:t>
        </w:r>
      </w:hyperlink>
    </w:p>
    <w:p w14:paraId="2BD854D5" w14:textId="77777777" w:rsidR="008205A3" w:rsidRPr="00C6387A" w:rsidRDefault="008205A3" w:rsidP="00C6387A">
      <w:pPr>
        <w:spacing w:after="160"/>
        <w:rPr>
          <w:rFonts w:cs="Arial"/>
        </w:rPr>
      </w:pPr>
      <w:r w:rsidRPr="00C6387A">
        <w:rPr>
          <w:rFonts w:cs="Arial"/>
        </w:rPr>
        <w:t xml:space="preserve">Verma, A. (2026). </w:t>
      </w:r>
      <w:r w:rsidRPr="00C6387A">
        <w:rPr>
          <w:rFonts w:cs="Arial"/>
          <w:i/>
          <w:iCs/>
        </w:rPr>
        <w:t>UPI Apps Market Share 2026 – Transactions Data &amp; Growth Trends.</w:t>
      </w:r>
      <w:r w:rsidRPr="00C6387A">
        <w:rPr>
          <w:rFonts w:cs="Arial"/>
        </w:rPr>
        <w:t xml:space="preserve"> Available at: </w:t>
      </w:r>
      <w:hyperlink r:id="rId17" w:history="1">
        <w:r w:rsidRPr="00C6387A">
          <w:rPr>
            <w:rStyle w:val="Hyperlink"/>
            <w:rFonts w:cs="Arial"/>
          </w:rPr>
          <w:t xml:space="preserve"> https://www.oxigenwallet.com/upi/apps-market-share</w:t>
        </w:r>
      </w:hyperlink>
      <w:r w:rsidRPr="00C6387A">
        <w:rPr>
          <w:rFonts w:cs="Arial"/>
        </w:rPr>
        <w:t xml:space="preserve"> [Accessed on: 10.03.2026]</w:t>
      </w:r>
    </w:p>
    <w:p w14:paraId="253B4A0B" w14:textId="77777777" w:rsidR="008205A3" w:rsidRPr="00C6387A" w:rsidRDefault="008205A3" w:rsidP="00C6387A">
      <w:pPr>
        <w:rPr>
          <w:rFonts w:cs="Arial"/>
        </w:rPr>
      </w:pPr>
      <w:r w:rsidRPr="00C6387A">
        <w:rPr>
          <w:rFonts w:cs="Arial"/>
        </w:rPr>
        <w:t xml:space="preserve">Bain, (2022). </w:t>
      </w:r>
      <w:r w:rsidRPr="00C6387A">
        <w:rPr>
          <w:rFonts w:cs="Arial"/>
          <w:i/>
          <w:iCs/>
        </w:rPr>
        <w:t xml:space="preserve">India Fintech Report 2022: Sailing Through Turbulent Tides. </w:t>
      </w:r>
      <w:r w:rsidRPr="00C6387A">
        <w:rPr>
          <w:rFonts w:cs="Arial"/>
        </w:rPr>
        <w:t xml:space="preserve">Available at:  </w:t>
      </w:r>
      <w:hyperlink r:id="rId18" w:history="1">
        <w:r w:rsidRPr="00C6387A">
          <w:rPr>
            <w:rStyle w:val="Hyperlink"/>
            <w:rFonts w:cs="Arial"/>
          </w:rPr>
          <w:t>https://www.bain.com/insights/india-fintech-report-2022-sailing-through-turbulent-tides</w:t>
        </w:r>
      </w:hyperlink>
      <w:r w:rsidRPr="00C6387A">
        <w:rPr>
          <w:rFonts w:cs="Arial"/>
        </w:rPr>
        <w:t xml:space="preserve"> [Accessed on: 10.03.2026]</w:t>
      </w:r>
    </w:p>
    <w:p w14:paraId="6E945997" w14:textId="77777777" w:rsidR="008205A3" w:rsidRPr="00C6387A" w:rsidRDefault="008205A3" w:rsidP="00C6387A">
      <w:pPr>
        <w:spacing w:after="160"/>
        <w:rPr>
          <w:rFonts w:cs="Arial"/>
        </w:rPr>
      </w:pPr>
      <w:r w:rsidRPr="00C6387A">
        <w:rPr>
          <w:rFonts w:cs="Arial"/>
        </w:rPr>
        <w:t xml:space="preserve">Bhatia, S., Singh, N. and Liebana-Cabanillas, F., 2023. Intermittent continued adoption of digital payment services during the COVID-19 induced pandemic. </w:t>
      </w:r>
      <w:r w:rsidRPr="00C6387A">
        <w:rPr>
          <w:rFonts w:cs="Arial"/>
          <w:i/>
          <w:iCs/>
        </w:rPr>
        <w:t>International Journal of Human–Computer Interaction</w:t>
      </w:r>
      <w:r w:rsidRPr="00C6387A">
        <w:rPr>
          <w:rFonts w:cs="Arial"/>
        </w:rPr>
        <w:t xml:space="preserve">, </w:t>
      </w:r>
      <w:r w:rsidRPr="00C6387A">
        <w:rPr>
          <w:rFonts w:cs="Arial"/>
          <w:i/>
          <w:iCs/>
        </w:rPr>
        <w:t>39</w:t>
      </w:r>
      <w:r w:rsidRPr="00C6387A">
        <w:rPr>
          <w:rFonts w:cs="Arial"/>
        </w:rPr>
        <w:t>(14), pp.2905-2919.</w:t>
      </w:r>
      <w:hyperlink r:id="rId19" w:history="1">
        <w:r w:rsidRPr="00C6387A">
          <w:rPr>
            <w:rStyle w:val="Hyperlink"/>
            <w:rFonts w:cs="Arial"/>
          </w:rPr>
          <w:t xml:space="preserve"> https://www.tandfonline.com/doi/pdf/10.1080/10447318.2022.2087671?casa_token=rezo7g5NkKoAAAAA:BudILlkyj7NAN2wR49mWIeJ_uMCo2_pOleZZWPSOXpr6AlhMEaMk-iVuEzJxtdS7BquSerx9oVaZ</w:t>
        </w:r>
      </w:hyperlink>
    </w:p>
    <w:p w14:paraId="4C3DEEA4" w14:textId="77777777" w:rsidR="008205A3" w:rsidRPr="00C6387A" w:rsidRDefault="008205A3" w:rsidP="00C6387A">
      <w:pPr>
        <w:rPr>
          <w:rFonts w:cs="Arial"/>
        </w:rPr>
      </w:pPr>
      <w:r w:rsidRPr="00C6387A">
        <w:rPr>
          <w:rFonts w:cs="Arial"/>
        </w:rPr>
        <w:t xml:space="preserve">Brown, R., Davis, J., Anderson, W. and Anwar, A., 2021. Entrepreneurship Under Regulation: How Public Funding Shapes Governance in Tech Startups. </w:t>
      </w:r>
      <w:hyperlink r:id="rId20" w:history="1">
        <w:r w:rsidRPr="00C6387A">
          <w:rPr>
            <w:rStyle w:val="Hyperlink"/>
            <w:rFonts w:cs="Arial"/>
          </w:rPr>
          <w:t>https://www.researchgate.net/profile/Abbas-Anwar-2/publication/399957403_Entrepreneurship_Under_Regulation_How_Public_Funding_Shapes_Governance_in_Tech_Startups/links/69711973ac604d40d0e4cf16/Entrepreneurship-Under-Regulation-How-Public-Funding-Shapes-Governance-in-Tech-Startups.pdf</w:t>
        </w:r>
      </w:hyperlink>
      <w:r w:rsidRPr="00C6387A">
        <w:rPr>
          <w:rFonts w:cs="Arial"/>
        </w:rPr>
        <w:t xml:space="preserve">  </w:t>
      </w:r>
    </w:p>
    <w:p w14:paraId="7EF8DBEC" w14:textId="77777777" w:rsidR="008205A3" w:rsidRPr="00C6387A" w:rsidRDefault="008205A3" w:rsidP="00C6387A">
      <w:pPr>
        <w:spacing w:after="160"/>
        <w:rPr>
          <w:rFonts w:cs="Arial"/>
        </w:rPr>
      </w:pPr>
      <w:r w:rsidRPr="00C6387A">
        <w:rPr>
          <w:rFonts w:cs="Arial"/>
        </w:rPr>
        <w:lastRenderedPageBreak/>
        <w:t xml:space="preserve">Datamintelligence, (2025). </w:t>
      </w:r>
      <w:r w:rsidRPr="00C6387A">
        <w:rPr>
          <w:rFonts w:cs="Arial"/>
          <w:i/>
          <w:iCs/>
        </w:rPr>
        <w:t>UPI-driven digital payments market.</w:t>
      </w:r>
      <w:r w:rsidRPr="00C6387A">
        <w:rPr>
          <w:rFonts w:cs="Arial"/>
        </w:rPr>
        <w:t xml:space="preserve"> Available at: </w:t>
      </w:r>
      <w:hyperlink r:id="rId21" w:history="1">
        <w:r w:rsidRPr="00C6387A">
          <w:rPr>
            <w:rStyle w:val="Hyperlink"/>
            <w:rFonts w:cs="Arial"/>
          </w:rPr>
          <w:t xml:space="preserve"> https://www.datamintelligence.com/research-report/india-fintech-and-upi-payments-market</w:t>
        </w:r>
      </w:hyperlink>
      <w:r w:rsidRPr="00C6387A">
        <w:rPr>
          <w:rFonts w:cs="Arial"/>
        </w:rPr>
        <w:t xml:space="preserve"> [Accessed on: 10.03.2026]</w:t>
      </w:r>
    </w:p>
    <w:p w14:paraId="2C19DE7A" w14:textId="77777777" w:rsidR="008205A3" w:rsidRPr="00C6387A" w:rsidRDefault="008205A3" w:rsidP="00C6387A">
      <w:pPr>
        <w:spacing w:after="160"/>
        <w:rPr>
          <w:rFonts w:cs="Arial"/>
        </w:rPr>
      </w:pPr>
      <w:r w:rsidRPr="00C6387A">
        <w:rPr>
          <w:rFonts w:cs="Arial"/>
        </w:rPr>
        <w:t xml:space="preserve">Economic Times, (2025). </w:t>
      </w:r>
      <w:r w:rsidRPr="00C6387A">
        <w:rPr>
          <w:rFonts w:cs="Arial"/>
          <w:i/>
          <w:iCs/>
        </w:rPr>
        <w:t>Unified Payments Interface (UPI) transactions.</w:t>
      </w:r>
      <w:r w:rsidRPr="00C6387A">
        <w:rPr>
          <w:rFonts w:cs="Arial"/>
        </w:rPr>
        <w:t xml:space="preserve"> Available at: </w:t>
      </w:r>
      <w:hyperlink r:id="rId22" w:history="1">
        <w:r w:rsidRPr="00C6387A">
          <w:rPr>
            <w:rStyle w:val="Hyperlink"/>
            <w:rFonts w:cs="Arial"/>
          </w:rPr>
          <w:t xml:space="preserve"> https://bfsi.economictimes.indiatimes.com/articles/upi-sets-record-with-216-billion-transactions-in-december-2025/126284623</w:t>
        </w:r>
      </w:hyperlink>
      <w:r w:rsidRPr="00C6387A">
        <w:rPr>
          <w:rFonts w:cs="Arial"/>
        </w:rPr>
        <w:t xml:space="preserve"> [Accessed on: 10.03.2026]</w:t>
      </w:r>
    </w:p>
    <w:p w14:paraId="7778BDF7" w14:textId="77777777" w:rsidR="008205A3" w:rsidRPr="00C6387A" w:rsidRDefault="008205A3" w:rsidP="00C6387A">
      <w:pPr>
        <w:spacing w:after="160"/>
        <w:rPr>
          <w:rFonts w:cs="Arial"/>
        </w:rPr>
      </w:pPr>
      <w:r w:rsidRPr="00C6387A">
        <w:rPr>
          <w:rFonts w:cs="Arial"/>
        </w:rPr>
        <w:t xml:space="preserve">Financial Services, (2024). </w:t>
      </w:r>
      <w:r w:rsidRPr="00C6387A">
        <w:rPr>
          <w:rFonts w:cs="Arial"/>
          <w:i/>
          <w:iCs/>
        </w:rPr>
        <w:t>Progress in Digital Payment Transactions: .</w:t>
      </w:r>
      <w:r w:rsidRPr="00C6387A">
        <w:rPr>
          <w:rFonts w:cs="Arial"/>
        </w:rPr>
        <w:t xml:space="preserve"> Available at: </w:t>
      </w:r>
      <w:hyperlink r:id="rId23" w:history="1">
        <w:r w:rsidRPr="00C6387A">
          <w:rPr>
            <w:rStyle w:val="Hyperlink"/>
            <w:rFonts w:cs="Arial"/>
          </w:rPr>
          <w:t xml:space="preserve"> https://financialservices.gov.in/beta/en/page/digital-payments</w:t>
        </w:r>
      </w:hyperlink>
      <w:r w:rsidRPr="00C6387A">
        <w:rPr>
          <w:rFonts w:cs="Arial"/>
        </w:rPr>
        <w:t> [Accessed on: 10.03.2026]   </w:t>
      </w:r>
    </w:p>
    <w:p w14:paraId="6E1CB027" w14:textId="77777777" w:rsidR="008205A3" w:rsidRPr="00C6387A" w:rsidRDefault="008205A3" w:rsidP="00C6387A">
      <w:pPr>
        <w:rPr>
          <w:rFonts w:cs="Arial"/>
        </w:rPr>
      </w:pPr>
      <w:r w:rsidRPr="00C6387A">
        <w:rPr>
          <w:rFonts w:cs="Arial"/>
        </w:rPr>
        <w:t xml:space="preserve">IBEF, (2025). </w:t>
      </w:r>
      <w:r w:rsidRPr="00C6387A">
        <w:rPr>
          <w:rFonts w:cs="Arial"/>
          <w:i/>
          <w:iCs/>
        </w:rPr>
        <w:t>India's internet users to exceed 900 million in 2025, driven. Available</w:t>
      </w:r>
      <w:r w:rsidRPr="00C6387A">
        <w:rPr>
          <w:rFonts w:cs="Arial"/>
        </w:rPr>
        <w:t xml:space="preserve"> at:  </w:t>
      </w:r>
      <w:hyperlink r:id="rId24" w:history="1">
        <w:r w:rsidRPr="00C6387A">
          <w:rPr>
            <w:rStyle w:val="Hyperlink"/>
            <w:rFonts w:cs="Arial"/>
          </w:rPr>
          <w:t>https://www.ibef.org/news/india-s-internet-users-to-exceed-900-million-in-2025-driven-by-indic-languages</w:t>
        </w:r>
      </w:hyperlink>
      <w:r w:rsidRPr="00C6387A">
        <w:rPr>
          <w:rFonts w:cs="Arial"/>
        </w:rPr>
        <w:t xml:space="preserve"> [Accessed on: 10.03.2026]</w:t>
      </w:r>
    </w:p>
    <w:p w14:paraId="5D9EB915" w14:textId="77777777" w:rsidR="008205A3" w:rsidRPr="00C6387A" w:rsidRDefault="008205A3" w:rsidP="00C6387A">
      <w:pPr>
        <w:spacing w:after="160"/>
        <w:rPr>
          <w:rFonts w:cs="Arial"/>
        </w:rPr>
      </w:pPr>
      <w:r w:rsidRPr="00C6387A">
        <w:rPr>
          <w:rFonts w:cs="Arial"/>
        </w:rPr>
        <w:t xml:space="preserve">IBEF, (2025).  </w:t>
      </w:r>
      <w:r w:rsidRPr="00C6387A">
        <w:rPr>
          <w:rFonts w:cs="Arial"/>
          <w:i/>
          <w:iCs/>
        </w:rPr>
        <w:t>M-Governance Revolution: Mobile Apps Empowering Indian Citizens.</w:t>
      </w:r>
      <w:r w:rsidRPr="00C6387A">
        <w:rPr>
          <w:rFonts w:cs="Arial"/>
        </w:rPr>
        <w:t xml:space="preserve"> Available at: </w:t>
      </w:r>
      <w:hyperlink r:id="rId25" w:history="1">
        <w:r w:rsidRPr="00C6387A">
          <w:rPr>
            <w:rStyle w:val="Hyperlink"/>
            <w:rFonts w:cs="Arial"/>
          </w:rPr>
          <w:t xml:space="preserve"> https://www.ibef.org/blogs/m-governance-revolution-mobile-apps-empowering-indian-citizens</w:t>
        </w:r>
      </w:hyperlink>
      <w:r w:rsidRPr="00C6387A">
        <w:rPr>
          <w:rFonts w:cs="Arial"/>
        </w:rPr>
        <w:t xml:space="preserve"> [Accessed on: 10.03.2026]</w:t>
      </w:r>
    </w:p>
    <w:p w14:paraId="2D2F50A4" w14:textId="77777777" w:rsidR="008205A3" w:rsidRPr="00C6387A" w:rsidRDefault="008205A3" w:rsidP="00C6387A">
      <w:pPr>
        <w:spacing w:after="160"/>
        <w:rPr>
          <w:rFonts w:cs="Arial"/>
        </w:rPr>
      </w:pPr>
      <w:r w:rsidRPr="00C6387A">
        <w:rPr>
          <w:rFonts w:cs="Arial"/>
        </w:rPr>
        <w:t xml:space="preserve">IBEF, (2025a). </w:t>
      </w:r>
      <w:r w:rsidRPr="00C6387A">
        <w:rPr>
          <w:rFonts w:cs="Arial"/>
          <w:i/>
          <w:iCs/>
        </w:rPr>
        <w:t>Electronic and Computer Software Industry and Exports.</w:t>
      </w:r>
      <w:r w:rsidRPr="00C6387A">
        <w:rPr>
          <w:rFonts w:cs="Arial"/>
        </w:rPr>
        <w:t xml:space="preserve"> Available at: </w:t>
      </w:r>
      <w:hyperlink r:id="rId26" w:history="1">
        <w:r w:rsidRPr="00C6387A">
          <w:rPr>
            <w:rStyle w:val="Hyperlink"/>
            <w:rFonts w:cs="Arial"/>
          </w:rPr>
          <w:t xml:space="preserve"> https://www.ibef.org/exports/electronic-and-computer-software-industry-in-india</w:t>
        </w:r>
      </w:hyperlink>
      <w:r w:rsidRPr="00C6387A">
        <w:rPr>
          <w:rFonts w:cs="Arial"/>
        </w:rPr>
        <w:t xml:space="preserve"> [Accessed on: 10.03.2026]</w:t>
      </w:r>
    </w:p>
    <w:p w14:paraId="0B3580A5" w14:textId="77777777" w:rsidR="008205A3" w:rsidRPr="00C6387A" w:rsidRDefault="008205A3" w:rsidP="00C6387A">
      <w:pPr>
        <w:rPr>
          <w:rFonts w:cs="Arial"/>
        </w:rPr>
      </w:pPr>
      <w:r w:rsidRPr="00C6387A">
        <w:rPr>
          <w:rFonts w:cs="Arial"/>
        </w:rPr>
        <w:t xml:space="preserve">Imarc Group, (2025).  </w:t>
      </w:r>
      <w:r w:rsidRPr="00C6387A">
        <w:rPr>
          <w:rFonts w:cs="Arial"/>
          <w:i/>
          <w:iCs/>
        </w:rPr>
        <w:t>India Fintech Market Size, Share, Trends and Forecast by Deployment Mode, Technology, Application, End User, and Region, 2026-2034.</w:t>
      </w:r>
      <w:r w:rsidRPr="00C6387A">
        <w:rPr>
          <w:rFonts w:cs="Arial"/>
        </w:rPr>
        <w:t xml:space="preserve"> Available at: </w:t>
      </w:r>
      <w:hyperlink r:id="rId27" w:history="1">
        <w:r w:rsidRPr="00C6387A">
          <w:rPr>
            <w:rStyle w:val="Hyperlink"/>
            <w:rFonts w:cs="Arial"/>
          </w:rPr>
          <w:t xml:space="preserve"> https://www.imarcgroup.com/india-fintech-market</w:t>
        </w:r>
      </w:hyperlink>
      <w:r w:rsidRPr="00C6387A">
        <w:rPr>
          <w:rFonts w:cs="Arial"/>
        </w:rPr>
        <w:t xml:space="preserve"> [Accessed on: 10.03.2026]</w:t>
      </w:r>
    </w:p>
    <w:p w14:paraId="1E94DDFC" w14:textId="77777777" w:rsidR="008205A3" w:rsidRPr="00C6387A" w:rsidRDefault="008205A3" w:rsidP="00C6387A">
      <w:pPr>
        <w:rPr>
          <w:rFonts w:cs="Arial"/>
        </w:rPr>
      </w:pPr>
      <w:r w:rsidRPr="00C6387A">
        <w:rPr>
          <w:rFonts w:cs="Arial"/>
        </w:rPr>
        <w:t>Iyelolu, T.V., Agu, E.E., Idemudia, C. and Ijomah, T.I., 2024. Legal innovations in FinTech: Advancing financial services through regulatory reform. </w:t>
      </w:r>
      <w:r w:rsidRPr="00C6387A">
        <w:rPr>
          <w:rFonts w:cs="Arial"/>
          <w:i/>
          <w:iCs/>
        </w:rPr>
        <w:t>Finance &amp; Accounting Research Journal</w:t>
      </w:r>
      <w:r w:rsidRPr="00C6387A">
        <w:rPr>
          <w:rFonts w:cs="Arial"/>
        </w:rPr>
        <w:t>, </w:t>
      </w:r>
      <w:r w:rsidRPr="00C6387A">
        <w:rPr>
          <w:rFonts w:cs="Arial"/>
          <w:i/>
          <w:iCs/>
        </w:rPr>
        <w:t>6</w:t>
      </w:r>
      <w:r w:rsidRPr="00C6387A">
        <w:rPr>
          <w:rFonts w:cs="Arial"/>
        </w:rPr>
        <w:t xml:space="preserve">(8), pp.1310-1319. </w:t>
      </w:r>
      <w:hyperlink r:id="rId28" w:history="1">
        <w:r w:rsidRPr="00C6387A">
          <w:rPr>
            <w:rStyle w:val="Hyperlink"/>
            <w:rFonts w:cs="Arial"/>
          </w:rPr>
          <w:t>https://www.researchgate.net/profile/Tochukwu-Ijomah-2/publication/383847839_Legal_innovations_in_FinTech_Advancing_financial_services_through_regulatory_reform/links/66dc4778b1606e24c21248d7/Legal-innovations-in-FinTech-Advancing-financial-services-through-regulatory-reform.pdf</w:t>
        </w:r>
      </w:hyperlink>
      <w:r w:rsidRPr="00C6387A">
        <w:rPr>
          <w:rFonts w:cs="Arial"/>
        </w:rPr>
        <w:t xml:space="preserve"> </w:t>
      </w:r>
    </w:p>
    <w:p w14:paraId="5014CE2F" w14:textId="77777777" w:rsidR="008205A3" w:rsidRPr="00C6387A" w:rsidRDefault="008205A3" w:rsidP="00C6387A">
      <w:pPr>
        <w:rPr>
          <w:rFonts w:cs="Arial"/>
        </w:rPr>
      </w:pPr>
      <w:r w:rsidRPr="00C6387A">
        <w:rPr>
          <w:rFonts w:cs="Arial"/>
        </w:rPr>
        <w:lastRenderedPageBreak/>
        <w:t xml:space="preserve">Kalra, J. (2024). </w:t>
      </w:r>
      <w:r w:rsidRPr="00C6387A">
        <w:rPr>
          <w:rFonts w:cs="Arial"/>
          <w:i/>
          <w:iCs/>
        </w:rPr>
        <w:t>India delays UPI payments market share cap in relief for Walmart-backed PhonePe, Google Pay.</w:t>
      </w:r>
      <w:r w:rsidRPr="00C6387A">
        <w:rPr>
          <w:rFonts w:cs="Arial"/>
        </w:rPr>
        <w:t xml:space="preserve"> Available at:   </w:t>
      </w:r>
      <w:hyperlink r:id="rId29" w:history="1">
        <w:r w:rsidRPr="00C6387A">
          <w:rPr>
            <w:rStyle w:val="Hyperlink"/>
            <w:rFonts w:cs="Arial"/>
          </w:rPr>
          <w:t>https://www.reuters.com/technology/india-delays-upi-payments-market-share-cap-relief-walmart-backed-phonepe-google-2024-12-31</w:t>
        </w:r>
      </w:hyperlink>
      <w:r w:rsidRPr="00C6387A">
        <w:rPr>
          <w:rFonts w:cs="Arial"/>
        </w:rPr>
        <w:t xml:space="preserve"> [Accessed on: 10.03.2026]</w:t>
      </w:r>
    </w:p>
    <w:p w14:paraId="4936BF69" w14:textId="77777777" w:rsidR="008205A3" w:rsidRPr="00C6387A" w:rsidRDefault="008205A3" w:rsidP="00C6387A">
      <w:pPr>
        <w:rPr>
          <w:rFonts w:cs="Arial"/>
        </w:rPr>
      </w:pPr>
      <w:r w:rsidRPr="00C6387A">
        <w:rPr>
          <w:rFonts w:cs="Arial"/>
        </w:rPr>
        <w:t>Katsamakas, E. and Sánchez-Cartas, J.M., 2022. Network formation and financial inclusion in P2P lending: A computational model. </w:t>
      </w:r>
      <w:r w:rsidRPr="00C6387A">
        <w:rPr>
          <w:rFonts w:cs="Arial"/>
          <w:i/>
          <w:iCs/>
        </w:rPr>
        <w:t>Systems</w:t>
      </w:r>
      <w:r w:rsidRPr="00C6387A">
        <w:rPr>
          <w:rFonts w:cs="Arial"/>
        </w:rPr>
        <w:t>, </w:t>
      </w:r>
      <w:r w:rsidRPr="00C6387A">
        <w:rPr>
          <w:rFonts w:cs="Arial"/>
          <w:i/>
          <w:iCs/>
        </w:rPr>
        <w:t>10</w:t>
      </w:r>
      <w:r w:rsidRPr="00C6387A">
        <w:rPr>
          <w:rFonts w:cs="Arial"/>
        </w:rPr>
        <w:t xml:space="preserve">(5), p.155. </w:t>
      </w:r>
      <w:hyperlink r:id="rId30" w:history="1">
        <w:r w:rsidRPr="00C6387A">
          <w:rPr>
            <w:rStyle w:val="Hyperlink"/>
            <w:rFonts w:cs="Arial"/>
          </w:rPr>
          <w:t>https://www.mdpi.com/2079-8954/10/5/155</w:t>
        </w:r>
      </w:hyperlink>
      <w:r w:rsidRPr="00C6387A">
        <w:rPr>
          <w:rFonts w:cs="Arial"/>
        </w:rPr>
        <w:t xml:space="preserve"> </w:t>
      </w:r>
    </w:p>
    <w:p w14:paraId="5459ECEB" w14:textId="77777777" w:rsidR="008205A3" w:rsidRPr="00C6387A" w:rsidRDefault="008205A3" w:rsidP="00C6387A">
      <w:pPr>
        <w:spacing w:after="160"/>
        <w:rPr>
          <w:rFonts w:cs="Arial"/>
        </w:rPr>
      </w:pPr>
      <w:r w:rsidRPr="00C6387A">
        <w:rPr>
          <w:rFonts w:cs="Arial"/>
        </w:rPr>
        <w:t xml:space="preserve">Linkedin, (2025). </w:t>
      </w:r>
      <w:r w:rsidRPr="00C6387A">
        <w:rPr>
          <w:rFonts w:cs="Arial"/>
          <w:i/>
          <w:iCs/>
        </w:rPr>
        <w:t xml:space="preserve">Art. 3: </w:t>
      </w:r>
      <w:r w:rsidRPr="00C6387A">
        <w:rPr>
          <w:rFonts w:ascii="Segoe UI Emoji" w:hAnsi="Segoe UI Emoji" w:cs="Segoe UI Emoji"/>
          <w:i/>
          <w:iCs/>
        </w:rPr>
        <w:t>💰</w:t>
      </w:r>
      <w:r w:rsidRPr="00C6387A">
        <w:rPr>
          <w:rFonts w:cs="Arial"/>
          <w:i/>
          <w:iCs/>
        </w:rPr>
        <w:t xml:space="preserve"> Fintech Rivals Square Up: PhonePe and Google Pay in India's Digital Payments Surge. </w:t>
      </w:r>
      <w:r w:rsidRPr="00C6387A">
        <w:rPr>
          <w:rFonts w:cs="Arial"/>
        </w:rPr>
        <w:t xml:space="preserve">Available at: </w:t>
      </w:r>
      <w:hyperlink r:id="rId31" w:history="1">
        <w:r w:rsidRPr="00C6387A">
          <w:rPr>
            <w:rStyle w:val="Hyperlink"/>
            <w:rFonts w:cs="Arial"/>
          </w:rPr>
          <w:t>https://www. linkedin.com/pulse/art-3-fintech-rivals-square-up-phonepe-google-pay-indias-rahul-kumar-jwaec</w:t>
        </w:r>
      </w:hyperlink>
      <w:r w:rsidRPr="00C6387A">
        <w:rPr>
          <w:rFonts w:cs="Arial"/>
        </w:rPr>
        <w:t xml:space="preserve"> [Accessed on: 10.03.2026]</w:t>
      </w:r>
    </w:p>
    <w:p w14:paraId="18E2E20B" w14:textId="77777777" w:rsidR="008205A3" w:rsidRPr="00C6387A" w:rsidRDefault="008205A3" w:rsidP="00C6387A">
      <w:pPr>
        <w:rPr>
          <w:rFonts w:cs="Arial"/>
        </w:rPr>
      </w:pPr>
      <w:r w:rsidRPr="00C6387A">
        <w:rPr>
          <w:rFonts w:cs="Arial"/>
        </w:rPr>
        <w:t>Lombardi, D., Shipley, T.F. and Astronomy Team, Biology Team, Chemistry Team, Engineering Team, Geography Team, Geoscience Team, and Physics Team, 2021. The curious construct of active learning. </w:t>
      </w:r>
      <w:r w:rsidRPr="00C6387A">
        <w:rPr>
          <w:rFonts w:cs="Arial"/>
          <w:i/>
          <w:iCs/>
        </w:rPr>
        <w:t>Psychological Science in the Public Interest</w:t>
      </w:r>
      <w:r w:rsidRPr="00C6387A">
        <w:rPr>
          <w:rFonts w:cs="Arial"/>
        </w:rPr>
        <w:t>, </w:t>
      </w:r>
      <w:r w:rsidRPr="00C6387A">
        <w:rPr>
          <w:rFonts w:cs="Arial"/>
          <w:i/>
          <w:iCs/>
        </w:rPr>
        <w:t>22</w:t>
      </w:r>
      <w:r w:rsidRPr="00C6387A">
        <w:rPr>
          <w:rFonts w:cs="Arial"/>
        </w:rPr>
        <w:t xml:space="preserve">(1), pp.8-43. </w:t>
      </w:r>
      <w:hyperlink r:id="rId32" w:history="1">
        <w:r w:rsidRPr="00C6387A">
          <w:rPr>
            <w:rStyle w:val="Hyperlink"/>
            <w:rFonts w:cs="Arial"/>
          </w:rPr>
          <w:t>https://journals.sagepub.com/doi/pdf/10.1177/1529100620973974?casa_token=qCrsSMjXqCwAAAAA:-1owayB-2dPSSFPoXCYIWvmUqbfr_S32S2_OOYwSijWd1TJTpkX9P3VN9WBFQ39TMZHrxXEqsBE</w:t>
        </w:r>
      </w:hyperlink>
      <w:r w:rsidRPr="00C6387A">
        <w:rPr>
          <w:rFonts w:cs="Arial"/>
        </w:rPr>
        <w:t xml:space="preserve"> </w:t>
      </w:r>
    </w:p>
    <w:p w14:paraId="53067E56" w14:textId="77777777" w:rsidR="008205A3" w:rsidRPr="00C6387A" w:rsidRDefault="008205A3" w:rsidP="00C6387A">
      <w:pPr>
        <w:rPr>
          <w:rFonts w:cs="Arial"/>
        </w:rPr>
      </w:pPr>
      <w:r w:rsidRPr="00C6387A">
        <w:rPr>
          <w:rFonts w:cs="Arial"/>
        </w:rPr>
        <w:t xml:space="preserve">Mittal, M. (2025). </w:t>
      </w:r>
      <w:r w:rsidRPr="00C6387A">
        <w:rPr>
          <w:rFonts w:cs="Arial"/>
          <w:i/>
          <w:iCs/>
        </w:rPr>
        <w:t>80% of UPI volumes concentrated with two app providers, fintech body writes to FinMin</w:t>
      </w:r>
      <w:r w:rsidRPr="00C6387A">
        <w:rPr>
          <w:rFonts w:cs="Arial"/>
        </w:rPr>
        <w:t xml:space="preserve">. Available at: </w:t>
      </w:r>
      <w:hyperlink r:id="rId33" w:history="1">
        <w:r w:rsidRPr="00C6387A">
          <w:rPr>
            <w:rStyle w:val="Hyperlink"/>
            <w:rFonts w:cs="Arial"/>
          </w:rPr>
          <w:t xml:space="preserve"> https://www.moneycontrol.com/news/business/economy/80-of-upi-volumes-concentrated-with-two-app-providers-fintech-body-writes-to-finmin-13642450.html</w:t>
        </w:r>
      </w:hyperlink>
      <w:r w:rsidRPr="00C6387A">
        <w:rPr>
          <w:rFonts w:cs="Arial"/>
        </w:rPr>
        <w:t xml:space="preserve"> [Accessed on: 10.03.2026]</w:t>
      </w:r>
    </w:p>
    <w:p w14:paraId="3B2987E1" w14:textId="77777777" w:rsidR="008205A3" w:rsidRPr="00C6387A" w:rsidRDefault="008205A3" w:rsidP="00C6387A">
      <w:pPr>
        <w:rPr>
          <w:rFonts w:cs="Arial"/>
        </w:rPr>
      </w:pPr>
      <w:r w:rsidRPr="00C6387A">
        <w:rPr>
          <w:rFonts w:cs="Arial"/>
        </w:rPr>
        <w:t>Michaelsen, L.K., Parmelee, D.X., Levine, R.E. and McMahon, K.K. eds., 2023. </w:t>
      </w:r>
      <w:r w:rsidRPr="00C6387A">
        <w:rPr>
          <w:rFonts w:cs="Arial"/>
          <w:i/>
          <w:iCs/>
        </w:rPr>
        <w:t>Team-based learning for health professions education: A guide to using small groups for improving learning</w:t>
      </w:r>
      <w:r w:rsidRPr="00C6387A">
        <w:rPr>
          <w:rFonts w:cs="Arial"/>
        </w:rPr>
        <w:t xml:space="preserve">. Taylor &amp; Francis. </w:t>
      </w:r>
      <w:hyperlink r:id="rId34" w:history="1">
        <w:r w:rsidRPr="00C6387A">
          <w:rPr>
            <w:rStyle w:val="Hyperlink"/>
            <w:rFonts w:cs="Arial"/>
          </w:rPr>
          <w:t>https://pdfs.semanticscholar.org/2c29/ced2c01d701d39fdf116adad073b20a7be99.pdf</w:t>
        </w:r>
      </w:hyperlink>
      <w:r w:rsidRPr="00C6387A">
        <w:rPr>
          <w:rFonts w:cs="Arial"/>
        </w:rPr>
        <w:t xml:space="preserve"> </w:t>
      </w:r>
    </w:p>
    <w:p w14:paraId="434E8606" w14:textId="77777777" w:rsidR="008205A3" w:rsidRPr="00C6387A" w:rsidRDefault="008205A3" w:rsidP="00C6387A">
      <w:pPr>
        <w:rPr>
          <w:rFonts w:cs="Arial"/>
        </w:rPr>
      </w:pPr>
      <w:r w:rsidRPr="00C6387A">
        <w:rPr>
          <w:rFonts w:cs="Arial"/>
        </w:rPr>
        <w:t xml:space="preserve">Mordor Intelligence, (2025). </w:t>
      </w:r>
      <w:r w:rsidRPr="00C6387A">
        <w:rPr>
          <w:rFonts w:cs="Arial"/>
          <w:i/>
          <w:iCs/>
        </w:rPr>
        <w:t>India Fintech Market Size and Sharev. Available</w:t>
      </w:r>
      <w:r w:rsidRPr="00C6387A">
        <w:rPr>
          <w:rFonts w:cs="Arial"/>
        </w:rPr>
        <w:t xml:space="preserve"> at:  </w:t>
      </w:r>
      <w:hyperlink r:id="rId35" w:history="1">
        <w:r w:rsidRPr="00C6387A">
          <w:rPr>
            <w:rStyle w:val="Hyperlink"/>
            <w:rFonts w:cs="Arial"/>
          </w:rPr>
          <w:t>https://www.mordorintelligence.com/industry-reports/india-fintech-market</w:t>
        </w:r>
      </w:hyperlink>
      <w:r w:rsidRPr="00C6387A">
        <w:rPr>
          <w:rFonts w:cs="Arial"/>
        </w:rPr>
        <w:t xml:space="preserve"> [Accessed on: 10.03.2026]</w:t>
      </w:r>
    </w:p>
    <w:p w14:paraId="3678725E" w14:textId="77777777" w:rsidR="008205A3" w:rsidRPr="00C6387A" w:rsidRDefault="008205A3" w:rsidP="00C6387A">
      <w:pPr>
        <w:rPr>
          <w:rFonts w:cs="Arial"/>
        </w:rPr>
      </w:pPr>
      <w:r w:rsidRPr="00C6387A">
        <w:rPr>
          <w:rFonts w:cs="Arial"/>
        </w:rPr>
        <w:lastRenderedPageBreak/>
        <w:t xml:space="preserve">Dubey, N. (2025). </w:t>
      </w:r>
      <w:r w:rsidRPr="00C6387A">
        <w:rPr>
          <w:rFonts w:cs="Arial"/>
          <w:i/>
          <w:iCs/>
        </w:rPr>
        <w:t>PhonePe outage rekindles debate on UPI market cap: Should NPCI finally act?</w:t>
      </w:r>
      <w:r w:rsidRPr="00C6387A">
        <w:rPr>
          <w:rFonts w:cs="Arial"/>
        </w:rPr>
        <w:t xml:space="preserve">  Available at: </w:t>
      </w:r>
      <w:hyperlink r:id="rId36" w:history="1">
        <w:r w:rsidRPr="00C6387A">
          <w:rPr>
            <w:rStyle w:val="Hyperlink"/>
            <w:rFonts w:cs="Arial"/>
          </w:rPr>
          <w:t>https://www.fortuneindia.com/personal-finance/banking/phonepe-outage-rekindles-debate-on-upi-market-cap-should-npci-finally-act/123072</w:t>
        </w:r>
      </w:hyperlink>
      <w:r w:rsidRPr="00C6387A">
        <w:rPr>
          <w:rFonts w:cs="Arial"/>
        </w:rPr>
        <w:t xml:space="preserve"> [Accessed on: 10.03.2026]</w:t>
      </w:r>
    </w:p>
    <w:p w14:paraId="45C83FFD" w14:textId="77777777" w:rsidR="008205A3" w:rsidRPr="00C6387A" w:rsidRDefault="008205A3" w:rsidP="00C6387A">
      <w:pPr>
        <w:rPr>
          <w:rFonts w:cs="Arial"/>
        </w:rPr>
      </w:pPr>
      <w:r w:rsidRPr="00C6387A">
        <w:rPr>
          <w:rFonts w:cs="Arial"/>
        </w:rPr>
        <w:t xml:space="preserve">Newindianexpress, (2026). </w:t>
      </w:r>
      <w:r w:rsidRPr="00C6387A">
        <w:rPr>
          <w:rFonts w:cs="Arial"/>
          <w:i/>
          <w:iCs/>
        </w:rPr>
        <w:t>Phonepe’s non-core revenue share growing steadily, chipping in now around 14 per cent.</w:t>
      </w:r>
      <w:r w:rsidRPr="00C6387A">
        <w:rPr>
          <w:rFonts w:cs="Arial"/>
        </w:rPr>
        <w:t xml:space="preserve"> Available at:  </w:t>
      </w:r>
      <w:hyperlink r:id="rId37" w:history="1">
        <w:r w:rsidRPr="00C6387A">
          <w:rPr>
            <w:rStyle w:val="Hyperlink"/>
            <w:rFonts w:cs="Arial"/>
          </w:rPr>
          <w:t>https://www.newindianexpress.com/business/2026/Mar/08/phonepes-non-core-revenue-share-growing-steadily-chipping-in-now-around-14-per-cent</w:t>
        </w:r>
      </w:hyperlink>
      <w:r w:rsidRPr="00C6387A">
        <w:rPr>
          <w:rFonts w:cs="Arial"/>
        </w:rPr>
        <w:t xml:space="preserve">  [Accessed on: 10.03.2026]</w:t>
      </w:r>
    </w:p>
    <w:p w14:paraId="2E4B9D76" w14:textId="77777777" w:rsidR="008205A3" w:rsidRPr="00C6387A" w:rsidRDefault="008205A3" w:rsidP="00C6387A">
      <w:pPr>
        <w:spacing w:after="160"/>
        <w:rPr>
          <w:rFonts w:cs="Arial"/>
        </w:rPr>
      </w:pPr>
      <w:r w:rsidRPr="00C6387A">
        <w:rPr>
          <w:rFonts w:cs="Arial"/>
        </w:rPr>
        <w:t xml:space="preserve">Inamdar, N. (2025). </w:t>
      </w:r>
      <w:r w:rsidRPr="00C6387A">
        <w:rPr>
          <w:rFonts w:cs="Arial"/>
          <w:i/>
          <w:iCs/>
        </w:rPr>
        <w:t>Billion Indians have no spending money - report.</w:t>
      </w:r>
      <w:r w:rsidRPr="00C6387A">
        <w:rPr>
          <w:rFonts w:cs="Arial"/>
        </w:rPr>
        <w:t xml:space="preserve"> Available at: </w:t>
      </w:r>
      <w:hyperlink r:id="rId38" w:history="1">
        <w:r w:rsidRPr="00C6387A">
          <w:rPr>
            <w:rStyle w:val="Hyperlink"/>
            <w:rFonts w:cs="Arial"/>
          </w:rPr>
          <w:t xml:space="preserve"> https://www.bbc.com/news/articles/c8rk5d7ekjmo</w:t>
        </w:r>
      </w:hyperlink>
      <w:r w:rsidRPr="00C6387A">
        <w:rPr>
          <w:rFonts w:cs="Arial"/>
        </w:rPr>
        <w:t xml:space="preserve"> [Accessed on: 10.03.2026]</w:t>
      </w:r>
    </w:p>
    <w:p w14:paraId="25E47576" w14:textId="77777777" w:rsidR="008205A3" w:rsidRPr="00C6387A" w:rsidRDefault="008205A3" w:rsidP="00C6387A">
      <w:pPr>
        <w:rPr>
          <w:rFonts w:cs="Arial"/>
        </w:rPr>
      </w:pPr>
      <w:r w:rsidRPr="00C6387A">
        <w:rPr>
          <w:rFonts w:cs="Arial"/>
        </w:rPr>
        <w:t>Oladinni, A. and Odumuwagun, O.O., 2025. Enhancing cybersecurity in fintech: safeguarding financial data against evolving threats and vulnerabilities. </w:t>
      </w:r>
      <w:r w:rsidRPr="00C6387A">
        <w:rPr>
          <w:rFonts w:cs="Arial"/>
          <w:i/>
          <w:iCs/>
        </w:rPr>
        <w:t>International Journal of Computer Applications Technology and Research</w:t>
      </w:r>
      <w:r w:rsidRPr="00C6387A">
        <w:rPr>
          <w:rFonts w:cs="Arial"/>
        </w:rPr>
        <w:t>, </w:t>
      </w:r>
      <w:r w:rsidRPr="00C6387A">
        <w:rPr>
          <w:rFonts w:cs="Arial"/>
          <w:i/>
          <w:iCs/>
        </w:rPr>
        <w:t>14</w:t>
      </w:r>
      <w:r w:rsidRPr="00C6387A">
        <w:rPr>
          <w:rFonts w:cs="Arial"/>
        </w:rPr>
        <w:t xml:space="preserve">(1), pp.62-78. </w:t>
      </w:r>
      <w:hyperlink r:id="rId39" w:history="1">
        <w:r w:rsidRPr="00C6387A">
          <w:rPr>
            <w:rStyle w:val="Hyperlink"/>
            <w:rFonts w:cs="Arial"/>
          </w:rPr>
          <w:t>https://www.researchgate.net/profile/Olanrewaju-Odumuwagun/publication/388189905_Enhancing_Cybersecurity_in_FinTech_Safeguarding_Financial_Data_Against_Evolving_Threats_and_Vulnerabilities/links/678e67b375d4ab477e510fde/Enhancing-Cybersecurity-in-FinTech-Safeguarding-Financial-Data-Against-Evolving-Threats-and-Vulnerabilities.pdf</w:t>
        </w:r>
      </w:hyperlink>
      <w:r w:rsidRPr="00C6387A">
        <w:rPr>
          <w:rFonts w:cs="Arial"/>
        </w:rPr>
        <w:t xml:space="preserve"> </w:t>
      </w:r>
    </w:p>
    <w:p w14:paraId="487AEF2E" w14:textId="77777777" w:rsidR="008205A3" w:rsidRPr="00C6387A" w:rsidRDefault="008205A3" w:rsidP="00C6387A">
      <w:pPr>
        <w:rPr>
          <w:rFonts w:cs="Arial"/>
        </w:rPr>
      </w:pPr>
      <w:r w:rsidRPr="00C6387A">
        <w:rPr>
          <w:rFonts w:cs="Arial"/>
        </w:rPr>
        <w:t xml:space="preserve">Sharma, P. (2026). </w:t>
      </w:r>
      <w:r w:rsidRPr="00C6387A">
        <w:rPr>
          <w:rFonts w:cs="Arial"/>
          <w:i/>
          <w:iCs/>
        </w:rPr>
        <w:t>UPI In December: PhonePe, Google Pay Lose Market Share For The Seventh Consecutive Month.</w:t>
      </w:r>
      <w:r w:rsidRPr="00C6387A">
        <w:rPr>
          <w:rFonts w:cs="Arial"/>
        </w:rPr>
        <w:t xml:space="preserve"> Available at:   </w:t>
      </w:r>
      <w:hyperlink r:id="rId40" w:history="1">
        <w:r w:rsidRPr="00C6387A">
          <w:rPr>
            <w:rStyle w:val="Hyperlink"/>
            <w:rFonts w:cs="Arial"/>
          </w:rPr>
          <w:t>https://inc42.com/buzz/upi-in-december-phonepe-google-pay-lose-market-share-for-the-seventh-consecutive-month</w:t>
        </w:r>
      </w:hyperlink>
      <w:r w:rsidRPr="00C6387A">
        <w:rPr>
          <w:rFonts w:cs="Arial"/>
        </w:rPr>
        <w:t xml:space="preserve"> </w:t>
      </w:r>
    </w:p>
    <w:p w14:paraId="2F36A435" w14:textId="77777777" w:rsidR="008205A3" w:rsidRPr="00C6387A" w:rsidRDefault="008205A3" w:rsidP="00C6387A">
      <w:pPr>
        <w:rPr>
          <w:rFonts w:cs="Arial"/>
        </w:rPr>
      </w:pPr>
      <w:r w:rsidRPr="00C6387A">
        <w:rPr>
          <w:rFonts w:cs="Arial"/>
        </w:rPr>
        <w:t xml:space="preserve">Peoplematters, (2025). </w:t>
      </w:r>
      <w:r w:rsidRPr="00C6387A">
        <w:rPr>
          <w:rFonts w:cs="Arial"/>
          <w:i/>
          <w:iCs/>
        </w:rPr>
        <w:t>India's digital economy to reach 20% of GDP by 2030: Report.</w:t>
      </w:r>
      <w:r w:rsidRPr="00C6387A">
        <w:rPr>
          <w:rFonts w:cs="Arial"/>
        </w:rPr>
        <w:t xml:space="preserve"> Available at:  </w:t>
      </w:r>
      <w:hyperlink r:id="rId41" w:anchor=":~:text=India's%20digital%20economy%20is%20projected,a%20senior%20government%20official%20said" w:history="1">
        <w:r w:rsidRPr="00C6387A">
          <w:rPr>
            <w:rStyle w:val="Hyperlink"/>
            <w:rFonts w:cs="Arial"/>
          </w:rPr>
          <w:t>https://www.peoplematters.in/news/economy-policy/indias-digital-economy-to-reach-20percent-of-gdp-by-2030-report-48858#:~:text=India's%20digital%20economy%20is%20projected,a%20senior%20government%20official%20said</w:t>
        </w:r>
      </w:hyperlink>
      <w:r w:rsidRPr="00C6387A">
        <w:rPr>
          <w:rFonts w:cs="Arial"/>
        </w:rPr>
        <w:t>. [Accessed on: 10.03.2026]</w:t>
      </w:r>
    </w:p>
    <w:p w14:paraId="5E465FB1" w14:textId="77777777" w:rsidR="008205A3" w:rsidRPr="00C6387A" w:rsidRDefault="008205A3" w:rsidP="00C6387A">
      <w:pPr>
        <w:spacing w:after="160"/>
        <w:rPr>
          <w:rFonts w:cs="Arial"/>
        </w:rPr>
      </w:pPr>
      <w:r w:rsidRPr="00C6387A">
        <w:rPr>
          <w:rFonts w:cs="Arial"/>
        </w:rPr>
        <w:t xml:space="preserve">Phonepe, (2024). </w:t>
      </w:r>
      <w:r w:rsidRPr="00C6387A">
        <w:rPr>
          <w:rFonts w:cs="Arial"/>
          <w:i/>
          <w:iCs/>
        </w:rPr>
        <w:t>ANNUAL REPORT.</w:t>
      </w:r>
      <w:r w:rsidRPr="00C6387A">
        <w:rPr>
          <w:rFonts w:cs="Arial"/>
        </w:rPr>
        <w:t xml:space="preserve"> Available at: </w:t>
      </w:r>
      <w:hyperlink r:id="rId42" w:history="1">
        <w:r w:rsidRPr="00C6387A">
          <w:rPr>
            <w:rStyle w:val="Hyperlink"/>
            <w:rFonts w:cs="Arial"/>
          </w:rPr>
          <w:t xml:space="preserve"> https://www.phonepe.com/press/annual-report/PhonePe-Annual-Report-FY-23-24.pdf</w:t>
        </w:r>
      </w:hyperlink>
      <w:r w:rsidRPr="00C6387A">
        <w:rPr>
          <w:rFonts w:cs="Arial"/>
        </w:rPr>
        <w:t xml:space="preserve"> [Accessed on: 10.03.2026]</w:t>
      </w:r>
    </w:p>
    <w:p w14:paraId="4CD1EC5B" w14:textId="77777777" w:rsidR="008205A3" w:rsidRPr="00C6387A" w:rsidRDefault="008205A3" w:rsidP="00C6387A">
      <w:pPr>
        <w:rPr>
          <w:rFonts w:cs="Arial"/>
        </w:rPr>
      </w:pPr>
      <w:r w:rsidRPr="00C6387A">
        <w:rPr>
          <w:rFonts w:cs="Arial"/>
        </w:rPr>
        <w:lastRenderedPageBreak/>
        <w:t xml:space="preserve">Phonepe, (2025). </w:t>
      </w:r>
      <w:r w:rsidRPr="00C6387A">
        <w:rPr>
          <w:rFonts w:cs="Arial"/>
          <w:i/>
          <w:iCs/>
        </w:rPr>
        <w:t>PhonePe 2025: The Year at a Glance.</w:t>
      </w:r>
      <w:r w:rsidRPr="00C6387A">
        <w:rPr>
          <w:rFonts w:cs="Arial"/>
        </w:rPr>
        <w:t xml:space="preserve"> Available at:  </w:t>
      </w:r>
      <w:hyperlink r:id="rId43" w:history="1">
        <w:r w:rsidRPr="00C6387A">
          <w:rPr>
            <w:rStyle w:val="Hyperlink"/>
            <w:rFonts w:cs="Arial"/>
          </w:rPr>
          <w:t>https://www.phonepe.com/blog/milestones/phonepe-2025-the-year-at-a-glance</w:t>
        </w:r>
      </w:hyperlink>
      <w:r w:rsidRPr="00C6387A">
        <w:rPr>
          <w:rFonts w:cs="Arial"/>
        </w:rPr>
        <w:t xml:space="preserve"> [Accessed on: 10.03.2026]</w:t>
      </w:r>
    </w:p>
    <w:p w14:paraId="2C653DD8" w14:textId="77777777" w:rsidR="008205A3" w:rsidRPr="00C6387A" w:rsidRDefault="008205A3" w:rsidP="00C6387A">
      <w:pPr>
        <w:rPr>
          <w:rFonts w:cs="Arial"/>
        </w:rPr>
      </w:pPr>
      <w:r w:rsidRPr="00C6387A">
        <w:rPr>
          <w:rFonts w:cs="Arial"/>
        </w:rPr>
        <w:t xml:space="preserve">PIB, (2023). </w:t>
      </w:r>
      <w:r w:rsidRPr="00C6387A">
        <w:rPr>
          <w:rFonts w:cs="Arial"/>
          <w:i/>
          <w:iCs/>
        </w:rPr>
        <w:t>DFS drives expansion of digital payments in India and abroad.</w:t>
      </w:r>
      <w:r w:rsidRPr="00C6387A">
        <w:rPr>
          <w:rFonts w:cs="Arial"/>
        </w:rPr>
        <w:t xml:space="preserve"> Available at:  </w:t>
      </w:r>
      <w:hyperlink r:id="rId44" w:history="1">
        <w:r w:rsidRPr="00C6387A">
          <w:rPr>
            <w:rStyle w:val="Hyperlink"/>
            <w:rFonts w:cs="Arial"/>
          </w:rPr>
          <w:t>https://www.pib.gov.in/PressReleseDetailm.aspx?PRID=2057013</w:t>
        </w:r>
      </w:hyperlink>
      <w:r w:rsidRPr="00C6387A">
        <w:rPr>
          <w:rFonts w:cs="Arial"/>
        </w:rPr>
        <w:t xml:space="preserve"> [Accessed on: 10.03.2026]</w:t>
      </w:r>
    </w:p>
    <w:p w14:paraId="430258B1" w14:textId="77777777" w:rsidR="008205A3" w:rsidRPr="00C6387A" w:rsidRDefault="008205A3" w:rsidP="00C6387A">
      <w:pPr>
        <w:rPr>
          <w:rFonts w:cs="Arial"/>
        </w:rPr>
      </w:pPr>
      <w:r w:rsidRPr="00C6387A">
        <w:rPr>
          <w:rFonts w:cs="Arial"/>
        </w:rPr>
        <w:t xml:space="preserve">PIB, (2025), </w:t>
      </w:r>
      <w:r w:rsidRPr="00C6387A">
        <w:rPr>
          <w:rFonts w:cs="Arial"/>
          <w:i/>
          <w:iCs/>
        </w:rPr>
        <w:t>Over 55.90 Crore Jan Dhan Accounts Opened since 2014.</w:t>
      </w:r>
      <w:r w:rsidRPr="00C6387A">
        <w:rPr>
          <w:rFonts w:cs="Arial"/>
        </w:rPr>
        <w:t xml:space="preserve"> Available at:  </w:t>
      </w:r>
      <w:hyperlink r:id="rId45" w:history="1">
        <w:r w:rsidRPr="00C6387A">
          <w:rPr>
            <w:rStyle w:val="Hyperlink"/>
            <w:rFonts w:cs="Arial"/>
          </w:rPr>
          <w:t>https://www.pib.gov.in/PressReleasePage.aspx?PRID=2152230</w:t>
        </w:r>
      </w:hyperlink>
      <w:r w:rsidRPr="00C6387A">
        <w:rPr>
          <w:rFonts w:cs="Arial"/>
        </w:rPr>
        <w:t xml:space="preserve"> [Accessed on: 10.03.2026]</w:t>
      </w:r>
    </w:p>
    <w:p w14:paraId="4C11543E" w14:textId="77777777" w:rsidR="008205A3" w:rsidRPr="00C6387A" w:rsidRDefault="008205A3" w:rsidP="00C6387A">
      <w:pPr>
        <w:spacing w:after="160"/>
        <w:rPr>
          <w:rFonts w:cs="Arial"/>
        </w:rPr>
      </w:pPr>
      <w:r w:rsidRPr="00C6387A">
        <w:rPr>
          <w:rFonts w:cs="Arial"/>
        </w:rPr>
        <w:t xml:space="preserve">PIB, (2025). </w:t>
      </w:r>
      <w:r w:rsidRPr="00C6387A">
        <w:rPr>
          <w:rFonts w:cs="Arial"/>
          <w:i/>
          <w:iCs/>
        </w:rPr>
        <w:t>UPI: India’s Digital Revolution Goes Global.</w:t>
      </w:r>
      <w:r w:rsidRPr="00C6387A">
        <w:rPr>
          <w:rFonts w:cs="Arial"/>
        </w:rPr>
        <w:t xml:space="preserve"> Available at: </w:t>
      </w:r>
      <w:hyperlink r:id="rId46" w:history="1">
        <w:r w:rsidRPr="00C6387A">
          <w:rPr>
            <w:rStyle w:val="Hyperlink"/>
            <w:rFonts w:cs="Arial"/>
          </w:rPr>
          <w:t xml:space="preserve"> https://www.pib.gov.in/FeaturesDeatils.aspx?NoteId=155224&amp;ModuleId=2&amp;reg=3&amp;lang=2</w:t>
        </w:r>
      </w:hyperlink>
      <w:r w:rsidRPr="00C6387A">
        <w:rPr>
          <w:rFonts w:cs="Arial"/>
        </w:rPr>
        <w:t xml:space="preserve"> [Accessed on: 10.03.2026]</w:t>
      </w:r>
    </w:p>
    <w:p w14:paraId="4FD9B579" w14:textId="77777777" w:rsidR="008205A3" w:rsidRPr="00C6387A" w:rsidRDefault="008205A3" w:rsidP="00C6387A">
      <w:pPr>
        <w:rPr>
          <w:rFonts w:cs="Arial"/>
        </w:rPr>
      </w:pPr>
      <w:r w:rsidRPr="00C6387A">
        <w:rPr>
          <w:rFonts w:cs="Arial"/>
        </w:rPr>
        <w:t xml:space="preserve">PIB, (2025b). </w:t>
      </w:r>
      <w:r w:rsidRPr="00C6387A">
        <w:rPr>
          <w:rFonts w:cs="Arial"/>
          <w:i/>
          <w:iCs/>
        </w:rPr>
        <w:t>India's Growing Focus on Youth and Sports. Available</w:t>
      </w:r>
      <w:r w:rsidRPr="00C6387A">
        <w:rPr>
          <w:rFonts w:cs="Arial"/>
        </w:rPr>
        <w:t xml:space="preserve"> at:  </w:t>
      </w:r>
      <w:hyperlink r:id="rId47" w:history="1">
        <w:r w:rsidRPr="00C6387A">
          <w:rPr>
            <w:rStyle w:val="Hyperlink"/>
            <w:rFonts w:cs="Arial"/>
          </w:rPr>
          <w:t>https://www.pib.gov.in/FactsheetDetails.aspx?Id=149107</w:t>
        </w:r>
      </w:hyperlink>
      <w:r w:rsidRPr="00C6387A">
        <w:rPr>
          <w:rFonts w:cs="Arial"/>
        </w:rPr>
        <w:t xml:space="preserve"> [Accessed on: 10.03.2026]</w:t>
      </w:r>
    </w:p>
    <w:p w14:paraId="6E13D2D3" w14:textId="77777777" w:rsidR="008205A3" w:rsidRPr="00C6387A" w:rsidRDefault="008205A3" w:rsidP="00C6387A">
      <w:pPr>
        <w:spacing w:after="160"/>
        <w:rPr>
          <w:rFonts w:cs="Arial"/>
        </w:rPr>
      </w:pPr>
      <w:r w:rsidRPr="00C6387A">
        <w:rPr>
          <w:rFonts w:cs="Arial"/>
        </w:rPr>
        <w:t xml:space="preserve">PWC, (2025).  </w:t>
      </w:r>
      <w:r w:rsidRPr="00C6387A">
        <w:rPr>
          <w:rFonts w:cs="Arial"/>
          <w:i/>
          <w:iCs/>
        </w:rPr>
        <w:t>Digital lending innovation.</w:t>
      </w:r>
      <w:r w:rsidRPr="00C6387A">
        <w:rPr>
          <w:rFonts w:cs="Arial"/>
        </w:rPr>
        <w:t xml:space="preserve"> Available at: </w:t>
      </w:r>
      <w:hyperlink r:id="rId48" w:history="1">
        <w:r w:rsidRPr="00C6387A">
          <w:rPr>
            <w:rStyle w:val="Hyperlink"/>
            <w:rFonts w:cs="Arial"/>
          </w:rPr>
          <w:t xml:space="preserve"> https://www.pwc.in/assets/pdfs/consulting/financial-services/fintech/publications/the-changing-face-of-financial-services-growth-of-fintech-in-india-v2.pdf</w:t>
        </w:r>
      </w:hyperlink>
      <w:r w:rsidRPr="00C6387A">
        <w:rPr>
          <w:rFonts w:cs="Arial"/>
        </w:rPr>
        <w:t xml:space="preserve"> [Accessed on: 10.03.2026]</w:t>
      </w:r>
    </w:p>
    <w:p w14:paraId="098BC9C3" w14:textId="77777777" w:rsidR="008205A3" w:rsidRPr="00C6387A" w:rsidRDefault="008205A3" w:rsidP="00C6387A">
      <w:pPr>
        <w:rPr>
          <w:rFonts w:cs="Arial"/>
        </w:rPr>
      </w:pPr>
      <w:r w:rsidRPr="00C6387A">
        <w:rPr>
          <w:rFonts w:cs="Arial"/>
        </w:rPr>
        <w:t xml:space="preserve">Reuters, (2025).  </w:t>
      </w:r>
      <w:r w:rsidRPr="00C6387A">
        <w:rPr>
          <w:rFonts w:cs="Arial"/>
          <w:i/>
          <w:iCs/>
        </w:rPr>
        <w:t>Exclusive: Walmart-backed PhonePe targets up to $10.5 billion valuation in India IPO, sources say.</w:t>
      </w:r>
      <w:r w:rsidRPr="00C6387A">
        <w:rPr>
          <w:rFonts w:cs="Arial"/>
        </w:rPr>
        <w:t xml:space="preserve"> Available at: </w:t>
      </w:r>
      <w:hyperlink r:id="rId49" w:history="1">
        <w:r w:rsidRPr="00C6387A">
          <w:rPr>
            <w:rStyle w:val="Hyperlink"/>
            <w:rFonts w:cs="Arial"/>
          </w:rPr>
          <w:t>https://www.reuters.com/world/india/walmart-backed-phonepe-targets-up-105-billion-valuation-india-ipo-sources-say-2026-03-04</w:t>
        </w:r>
      </w:hyperlink>
      <w:r w:rsidRPr="00C6387A">
        <w:rPr>
          <w:rFonts w:cs="Arial"/>
        </w:rPr>
        <w:t xml:space="preserve"> [Accessed on: 10.03.2026]</w:t>
      </w:r>
    </w:p>
    <w:p w14:paraId="52C800E6" w14:textId="77777777" w:rsidR="008205A3" w:rsidRPr="00C6387A" w:rsidRDefault="008205A3" w:rsidP="00C6387A">
      <w:pPr>
        <w:rPr>
          <w:rFonts w:cs="Arial"/>
        </w:rPr>
      </w:pPr>
      <w:r w:rsidRPr="00C6387A">
        <w:rPr>
          <w:rFonts w:cs="Arial"/>
        </w:rPr>
        <w:t>Stefanelli, V. and Manta, F., 2023. Digital financial services and open banking innovation: are banks becoming ‘invisible’?. </w:t>
      </w:r>
      <w:r w:rsidRPr="00C6387A">
        <w:rPr>
          <w:rFonts w:cs="Arial"/>
          <w:i/>
          <w:iCs/>
        </w:rPr>
        <w:t>Global Business Review</w:t>
      </w:r>
      <w:r w:rsidRPr="00C6387A">
        <w:rPr>
          <w:rFonts w:cs="Arial"/>
        </w:rPr>
        <w:t xml:space="preserve">, p.09721509231151491. </w:t>
      </w:r>
      <w:hyperlink r:id="rId50" w:history="1">
        <w:r w:rsidRPr="00C6387A">
          <w:rPr>
            <w:rStyle w:val="Hyperlink"/>
            <w:rFonts w:cs="Arial"/>
          </w:rPr>
          <w:t>https://journals.sagepub.com/doi/pdf/10.1177/09721509231151491?casa_token=_gD1Nr0YU-0AAAAA:b_SVgCOHqpFmzhT-C3rm5m_0gwO7wrN1yAqw8elYOUeqOlnfmDW9et7_GLzs8oSgAbyo9EuOOVk</w:t>
        </w:r>
      </w:hyperlink>
      <w:r w:rsidRPr="00C6387A">
        <w:rPr>
          <w:rFonts w:cs="Arial"/>
        </w:rPr>
        <w:t xml:space="preserve"> </w:t>
      </w:r>
    </w:p>
    <w:p w14:paraId="5DD76732" w14:textId="26A9596F" w:rsidR="008205A3" w:rsidRPr="00C6387A" w:rsidRDefault="008205A3" w:rsidP="00C6387A">
      <w:pPr>
        <w:spacing w:after="160"/>
        <w:rPr>
          <w:rFonts w:cs="Arial"/>
        </w:rPr>
      </w:pPr>
      <w:r w:rsidRPr="00C6387A">
        <w:rPr>
          <w:rFonts w:cs="Arial"/>
        </w:rPr>
        <w:t xml:space="preserve">Chaturvedi, S. (2024). </w:t>
      </w:r>
      <w:r w:rsidRPr="00C6387A">
        <w:rPr>
          <w:rFonts w:cs="Arial"/>
          <w:i/>
          <w:iCs/>
        </w:rPr>
        <w:t>Digital Leadership for a Viksit Bharat 2047: Fostering Innovation, Shaping Tomorrow</w:t>
      </w:r>
      <w:hyperlink r:id="rId51" w:history="1">
        <w:r w:rsidRPr="00C6387A">
          <w:rPr>
            <w:rStyle w:val="Hyperlink"/>
            <w:rFonts w:cs="Arial"/>
          </w:rPr>
          <w:t>. Available at:  https://indiafoundation.in/articles-and-</w:t>
        </w:r>
        <w:r w:rsidRPr="00C6387A">
          <w:rPr>
            <w:rStyle w:val="Hyperlink"/>
            <w:rFonts w:cs="Arial"/>
          </w:rPr>
          <w:lastRenderedPageBreak/>
          <w:t>commentaries/digital-leadership-for-a-viksit-bharat-2047-fostering-innovation-shaping-tomorrow/</w:t>
        </w:r>
      </w:hyperlink>
      <w:r w:rsidRPr="00C6387A">
        <w:rPr>
          <w:rFonts w:cs="Arial"/>
        </w:rPr>
        <w:t xml:space="preserve"> [Accessed on: 10.03.2026]</w:t>
      </w:r>
    </w:p>
    <w:p w14:paraId="2B9EDBBB" w14:textId="77777777" w:rsidR="008205A3" w:rsidRPr="00C6387A" w:rsidRDefault="008205A3" w:rsidP="00C6387A">
      <w:pPr>
        <w:rPr>
          <w:rFonts w:cs="Arial"/>
        </w:rPr>
      </w:pPr>
      <w:r w:rsidRPr="00C6387A">
        <w:rPr>
          <w:rFonts w:cs="Arial"/>
        </w:rPr>
        <w:t>Times of India, (2025</w:t>
      </w:r>
      <w:r w:rsidRPr="00C6387A">
        <w:rPr>
          <w:rFonts w:cs="Arial"/>
          <w:i/>
          <w:iCs/>
        </w:rPr>
        <w:t>). Financial institutions are implementing FRI-based preventive</w:t>
      </w:r>
      <w:r w:rsidRPr="00C6387A">
        <w:rPr>
          <w:rFonts w:cs="Arial"/>
        </w:rPr>
        <w:t xml:space="preserve">. Available at: </w:t>
      </w:r>
      <w:hyperlink r:id="rId52" w:history="1">
        <w:r w:rsidRPr="00C6387A">
          <w:rPr>
            <w:rStyle w:val="Hyperlink"/>
            <w:rFonts w:cs="Arial"/>
          </w:rPr>
          <w:t>https://timesofindia.indiatimes.com/business/cybersecurity/financial-risk-indicator-used-to-crack-down-on-digital-scams-dot-blacklists-over-3-lakh-fraud-linked-sims-phonepe-paytm-hdfc-among-users/articleshow/123110286.cms</w:t>
        </w:r>
      </w:hyperlink>
      <w:r w:rsidRPr="00C6387A">
        <w:rPr>
          <w:rFonts w:cs="Arial"/>
        </w:rPr>
        <w:t xml:space="preserve"> [Accessed on: 10.03.2026]</w:t>
      </w:r>
    </w:p>
    <w:p w14:paraId="0860645C" w14:textId="77777777" w:rsidR="008205A3" w:rsidRPr="00C6387A" w:rsidRDefault="008205A3" w:rsidP="00C6387A">
      <w:pPr>
        <w:spacing w:after="160"/>
        <w:rPr>
          <w:rFonts w:cs="Arial"/>
        </w:rPr>
      </w:pPr>
      <w:r w:rsidRPr="00C6387A">
        <w:rPr>
          <w:rFonts w:cs="Arial"/>
        </w:rPr>
        <w:t xml:space="preserve">Santana, T. (2025). </w:t>
      </w:r>
      <w:r w:rsidRPr="00C6387A">
        <w:rPr>
          <w:rFonts w:cs="Arial"/>
          <w:i/>
          <w:iCs/>
        </w:rPr>
        <w:t>India’s cash-resilient, digitally rising environment.</w:t>
      </w:r>
      <w:r w:rsidRPr="00C6387A">
        <w:rPr>
          <w:rFonts w:cs="Arial"/>
        </w:rPr>
        <w:t xml:space="preserve"> Available at: </w:t>
      </w:r>
      <w:hyperlink r:id="rId53" w:history="1">
        <w:r w:rsidRPr="00C6387A">
          <w:rPr>
            <w:rStyle w:val="Hyperlink"/>
            <w:rFonts w:cs="Arial"/>
          </w:rPr>
          <w:t xml:space="preserve"> https://paymentscmi.com/insights/india-2025-ecommerce-payments-trends</w:t>
        </w:r>
      </w:hyperlink>
      <w:r w:rsidRPr="00C6387A">
        <w:rPr>
          <w:rFonts w:cs="Arial"/>
        </w:rPr>
        <w:t xml:space="preserve"> [Accessed on: 10.03.2026]</w:t>
      </w:r>
    </w:p>
    <w:p w14:paraId="74F6E593" w14:textId="77777777" w:rsidR="008205A3" w:rsidRPr="00C6387A" w:rsidRDefault="008205A3" w:rsidP="00C6387A">
      <w:pPr>
        <w:rPr>
          <w:rFonts w:cs="Arial"/>
        </w:rPr>
      </w:pPr>
      <w:r w:rsidRPr="00C6387A">
        <w:rPr>
          <w:rFonts w:cs="Arial"/>
        </w:rPr>
        <w:t xml:space="preserve">Tradingeconomics, (2025). </w:t>
      </w:r>
      <w:r w:rsidRPr="00C6387A">
        <w:rPr>
          <w:rFonts w:cs="Arial"/>
          <w:i/>
          <w:iCs/>
        </w:rPr>
        <w:t>World Bank Raises India's FY2025/26 Growth Forecast.</w:t>
      </w:r>
      <w:r w:rsidRPr="00C6387A">
        <w:rPr>
          <w:rFonts w:cs="Arial"/>
        </w:rPr>
        <w:t xml:space="preserve"> Available at: </w:t>
      </w:r>
      <w:hyperlink r:id="rId54" w:history="1">
        <w:r w:rsidRPr="00C6387A">
          <w:rPr>
            <w:rStyle w:val="Hyperlink"/>
            <w:rFonts w:cs="Arial"/>
          </w:rPr>
          <w:t>https://tradingeconomics.com/india/news/news/491153</w:t>
        </w:r>
      </w:hyperlink>
      <w:r w:rsidRPr="00C6387A">
        <w:rPr>
          <w:rFonts w:cs="Arial"/>
        </w:rPr>
        <w:t xml:space="preserve"> [Accessed on: 10.03.2026]</w:t>
      </w:r>
    </w:p>
    <w:p w14:paraId="3ED23588" w14:textId="77777777" w:rsidR="008205A3" w:rsidRPr="00C6387A" w:rsidRDefault="008205A3" w:rsidP="00C6387A">
      <w:pPr>
        <w:rPr>
          <w:rFonts w:cs="Arial"/>
        </w:rPr>
      </w:pPr>
      <w:r w:rsidRPr="00C6387A">
        <w:rPr>
          <w:rFonts w:cs="Arial"/>
        </w:rPr>
        <w:t>Turgunbaev, R., 2025. Enhancing student understanding of artificial intelligence through practical neural network applications. </w:t>
      </w:r>
      <w:r w:rsidRPr="00C6387A">
        <w:rPr>
          <w:rFonts w:cs="Arial"/>
          <w:i/>
          <w:iCs/>
        </w:rPr>
        <w:t>Academic Journal of Science, Technology and Education</w:t>
      </w:r>
      <w:r w:rsidRPr="00C6387A">
        <w:rPr>
          <w:rFonts w:cs="Arial"/>
        </w:rPr>
        <w:t>, </w:t>
      </w:r>
      <w:r w:rsidRPr="00C6387A">
        <w:rPr>
          <w:rFonts w:cs="Arial"/>
          <w:i/>
          <w:iCs/>
        </w:rPr>
        <w:t>1</w:t>
      </w:r>
      <w:r w:rsidRPr="00C6387A">
        <w:rPr>
          <w:rFonts w:cs="Arial"/>
        </w:rPr>
        <w:t xml:space="preserve">(6), pp.36-40. </w:t>
      </w:r>
      <w:hyperlink r:id="rId55" w:history="1">
        <w:r w:rsidRPr="00C6387A">
          <w:rPr>
            <w:rStyle w:val="Hyperlink"/>
            <w:rFonts w:cs="Arial"/>
          </w:rPr>
          <w:t>https://integrumpublication.org/index.php/ajste/article/download/67/69</w:t>
        </w:r>
      </w:hyperlink>
      <w:r w:rsidRPr="00C6387A">
        <w:rPr>
          <w:rFonts w:cs="Arial"/>
        </w:rPr>
        <w:t xml:space="preserve"> </w:t>
      </w:r>
    </w:p>
    <w:p w14:paraId="215C896F" w14:textId="77777777" w:rsidR="008205A3" w:rsidRPr="00C6387A" w:rsidRDefault="008205A3" w:rsidP="00C6387A">
      <w:pPr>
        <w:rPr>
          <w:rFonts w:cs="Arial"/>
        </w:rPr>
      </w:pPr>
      <w:r w:rsidRPr="00C6387A">
        <w:rPr>
          <w:rFonts w:cs="Arial"/>
        </w:rPr>
        <w:t>Umeaduma, C.M.G., 2023. Financial inclusion strategies for poverty reduction and economic empowerment in underbanked rural populations globally. </w:t>
      </w:r>
      <w:r w:rsidRPr="00C6387A">
        <w:rPr>
          <w:rFonts w:cs="Arial"/>
          <w:i/>
          <w:iCs/>
        </w:rPr>
        <w:t>World Journal of Advanced Research and Reviews</w:t>
      </w:r>
      <w:r w:rsidRPr="00C6387A">
        <w:rPr>
          <w:rFonts w:cs="Arial"/>
        </w:rPr>
        <w:t>, </w:t>
      </w:r>
      <w:r w:rsidRPr="00C6387A">
        <w:rPr>
          <w:rFonts w:cs="Arial"/>
          <w:i/>
          <w:iCs/>
        </w:rPr>
        <w:t>18</w:t>
      </w:r>
      <w:r w:rsidRPr="00C6387A">
        <w:rPr>
          <w:rFonts w:cs="Arial"/>
        </w:rPr>
        <w:t xml:space="preserve">(1), pp.1263-80. </w:t>
      </w:r>
    </w:p>
    <w:p w14:paraId="761137CB" w14:textId="77777777" w:rsidR="008205A3" w:rsidRPr="00C6387A" w:rsidRDefault="008205A3" w:rsidP="00C6387A">
      <w:pPr>
        <w:spacing w:after="160"/>
        <w:rPr>
          <w:rFonts w:cs="Arial"/>
        </w:rPr>
      </w:pPr>
      <w:r w:rsidRPr="00C6387A">
        <w:rPr>
          <w:rFonts w:cs="Arial"/>
        </w:rPr>
        <w:t>Vasile, V. and Manta, O., 2025. FinTech and AI as Opportunities for a Sustainable Economy. </w:t>
      </w:r>
      <w:r w:rsidRPr="00C6387A">
        <w:rPr>
          <w:rFonts w:cs="Arial"/>
          <w:i/>
          <w:iCs/>
        </w:rPr>
        <w:t>FinTech</w:t>
      </w:r>
      <w:r w:rsidRPr="00C6387A">
        <w:rPr>
          <w:rFonts w:cs="Arial"/>
        </w:rPr>
        <w:t>, </w:t>
      </w:r>
      <w:r w:rsidRPr="00C6387A">
        <w:rPr>
          <w:rFonts w:cs="Arial"/>
          <w:i/>
          <w:iCs/>
        </w:rPr>
        <w:t>4</w:t>
      </w:r>
      <w:r w:rsidRPr="00C6387A">
        <w:rPr>
          <w:rFonts w:cs="Arial"/>
        </w:rPr>
        <w:t xml:space="preserve">(2), p.10. </w:t>
      </w:r>
      <w:hyperlink r:id="rId56" w:history="1">
        <w:r w:rsidRPr="00C6387A">
          <w:rPr>
            <w:rStyle w:val="Hyperlink"/>
            <w:rFonts w:cs="Arial"/>
          </w:rPr>
          <w:t>https://www.mdpi.com/2674-1032/4/2/10</w:t>
        </w:r>
      </w:hyperlink>
      <w:r w:rsidRPr="00C6387A">
        <w:rPr>
          <w:rFonts w:cs="Arial"/>
        </w:rPr>
        <w:t xml:space="preserve"> </w:t>
      </w:r>
    </w:p>
    <w:p w14:paraId="0D966A19" w14:textId="77777777" w:rsidR="008205A3" w:rsidRPr="00C6387A" w:rsidRDefault="008205A3" w:rsidP="00C6387A">
      <w:pPr>
        <w:spacing w:after="160"/>
        <w:rPr>
          <w:rFonts w:cs="Arial"/>
        </w:rPr>
      </w:pPr>
      <w:r w:rsidRPr="00C6387A">
        <w:rPr>
          <w:rFonts w:cs="Arial"/>
        </w:rPr>
        <w:t xml:space="preserve">Vidani, J., 2024. A study on the rise and recent development in unified payments interface. </w:t>
      </w:r>
      <w:r w:rsidRPr="00C6387A">
        <w:rPr>
          <w:rFonts w:cs="Arial"/>
          <w:i/>
          <w:iCs/>
        </w:rPr>
        <w:t>Available at SSRN 4849785</w:t>
      </w:r>
      <w:r w:rsidRPr="00C6387A">
        <w:rPr>
          <w:rFonts w:cs="Arial"/>
        </w:rPr>
        <w:t>.</w:t>
      </w:r>
      <w:hyperlink r:id="rId57" w:history="1">
        <w:r w:rsidRPr="00C6387A">
          <w:rPr>
            <w:rStyle w:val="Hyperlink"/>
            <w:rFonts w:cs="Arial"/>
          </w:rPr>
          <w:t xml:space="preserve"> https://papers.ssrn.com/sol3/Delivery.cfm?abstractid=4849785</w:t>
        </w:r>
        <w:r w:rsidRPr="00C6387A">
          <w:rPr>
            <w:rStyle w:val="Hyperlink"/>
            <w:rFonts w:cs="Arial"/>
          </w:rPr>
          <w:br/>
        </w:r>
      </w:hyperlink>
      <w:r w:rsidRPr="00C6387A">
        <w:rPr>
          <w:rFonts w:cs="Arial"/>
        </w:rPr>
        <w:t xml:space="preserve">Koppolu, H.K.R., 2021. Leveraging 5G Services for Next-Generation Telecom and Media Innovation. </w:t>
      </w:r>
      <w:r w:rsidRPr="00C6387A">
        <w:rPr>
          <w:rFonts w:cs="Arial"/>
          <w:i/>
          <w:iCs/>
        </w:rPr>
        <w:t>International Journal of Scientific Research and Modern Technology</w:t>
      </w:r>
      <w:r w:rsidRPr="00C6387A">
        <w:rPr>
          <w:rFonts w:cs="Arial"/>
        </w:rPr>
        <w:t>, pp.89-106.</w:t>
      </w:r>
      <w:hyperlink r:id="rId58" w:history="1">
        <w:r w:rsidRPr="00C6387A">
          <w:rPr>
            <w:rStyle w:val="Hyperlink"/>
            <w:rFonts w:cs="Arial"/>
          </w:rPr>
          <w:t xml:space="preserve"> https://www.academia.edu/download/122790191/Leveraging_5G_Services_2_.pdf</w:t>
        </w:r>
      </w:hyperlink>
    </w:p>
    <w:p w14:paraId="5E710497" w14:textId="77777777" w:rsidR="008205A3" w:rsidRPr="00C6387A" w:rsidRDefault="008205A3" w:rsidP="00C6387A">
      <w:pPr>
        <w:spacing w:after="160"/>
        <w:rPr>
          <w:rFonts w:cs="Arial"/>
        </w:rPr>
      </w:pPr>
      <w:r w:rsidRPr="00C6387A">
        <w:rPr>
          <w:rFonts w:cs="Arial"/>
        </w:rPr>
        <w:lastRenderedPageBreak/>
        <w:t xml:space="preserve">Vijayagopal, P., Jain, B. and Ayinippully Viswanathan, S., 2024. Regulations and fintech: A comparative study of the developed and developing countries. </w:t>
      </w:r>
      <w:r w:rsidRPr="00C6387A">
        <w:rPr>
          <w:rFonts w:cs="Arial"/>
          <w:i/>
          <w:iCs/>
        </w:rPr>
        <w:t>Journal of Risk and Financial Management</w:t>
      </w:r>
      <w:r w:rsidRPr="00C6387A">
        <w:rPr>
          <w:rFonts w:cs="Arial"/>
        </w:rPr>
        <w:t xml:space="preserve">, </w:t>
      </w:r>
      <w:r w:rsidRPr="00C6387A">
        <w:rPr>
          <w:rFonts w:cs="Arial"/>
          <w:i/>
          <w:iCs/>
        </w:rPr>
        <w:t>17</w:t>
      </w:r>
      <w:r w:rsidRPr="00C6387A">
        <w:rPr>
          <w:rFonts w:cs="Arial"/>
        </w:rPr>
        <w:t>(8), p.324.</w:t>
      </w:r>
      <w:hyperlink r:id="rId59" w:history="1">
        <w:r w:rsidRPr="00C6387A">
          <w:rPr>
            <w:rStyle w:val="Hyperlink"/>
            <w:rFonts w:cs="Arial"/>
          </w:rPr>
          <w:t xml:space="preserve"> https://www.mdpi.com/1911-8074/17/8/324</w:t>
        </w:r>
      </w:hyperlink>
      <w:r w:rsidRPr="00C6387A">
        <w:rPr>
          <w:rFonts w:cs="Arial"/>
        </w:rPr>
        <w:t>  </w:t>
      </w:r>
    </w:p>
    <w:p w14:paraId="30CA07F2" w14:textId="77777777" w:rsidR="008205A3" w:rsidRPr="00C6387A" w:rsidRDefault="008205A3" w:rsidP="00C6387A">
      <w:pPr>
        <w:rPr>
          <w:rFonts w:cs="Arial"/>
        </w:rPr>
      </w:pPr>
      <w:r w:rsidRPr="00C6387A">
        <w:rPr>
          <w:rFonts w:cs="Arial"/>
        </w:rPr>
        <w:t>Whalen, K. and Paez, A., 2021. Student perceptions of reflection and the acquisition of higher-order thinking skills in a university sustainability course. </w:t>
      </w:r>
      <w:r w:rsidRPr="00C6387A">
        <w:rPr>
          <w:rFonts w:cs="Arial"/>
          <w:i/>
          <w:iCs/>
        </w:rPr>
        <w:t>Journal of Geography in Higher Education</w:t>
      </w:r>
      <w:r w:rsidRPr="00C6387A">
        <w:rPr>
          <w:rFonts w:cs="Arial"/>
        </w:rPr>
        <w:t>, </w:t>
      </w:r>
      <w:r w:rsidRPr="00C6387A">
        <w:rPr>
          <w:rFonts w:cs="Arial"/>
          <w:i/>
          <w:iCs/>
        </w:rPr>
        <w:t>45</w:t>
      </w:r>
      <w:r w:rsidRPr="00C6387A">
        <w:rPr>
          <w:rFonts w:cs="Arial"/>
        </w:rPr>
        <w:t xml:space="preserve">(1), pp.108-127. </w:t>
      </w:r>
      <w:hyperlink r:id="rId60" w:history="1">
        <w:r w:rsidRPr="00C6387A">
          <w:rPr>
            <w:rStyle w:val="Hyperlink"/>
            <w:rFonts w:cs="Arial"/>
          </w:rPr>
          <w:t>https://www.tandfonline.com/doi/pdf/10.1080/03098265.2020.1804843?casa_token=lSibEcwFn9IAAAAA:EEiBe8irezkHH1_-0J2jdD1MeMFXqMcttjvGGcdb2c46YH2BDRR8lEa7QFxXh3SJVJc_AxPkWBDA</w:t>
        </w:r>
      </w:hyperlink>
      <w:r w:rsidRPr="00C6387A">
        <w:rPr>
          <w:rFonts w:cs="Arial"/>
        </w:rPr>
        <w:t xml:space="preserve"> </w:t>
      </w:r>
    </w:p>
    <w:p w14:paraId="519FA8C1" w14:textId="77777777" w:rsidR="008205A3" w:rsidRPr="00C6387A" w:rsidRDefault="008205A3" w:rsidP="00C6387A">
      <w:pPr>
        <w:spacing w:after="160"/>
        <w:rPr>
          <w:rFonts w:cs="Arial"/>
        </w:rPr>
      </w:pPr>
      <w:r w:rsidRPr="00C6387A">
        <w:rPr>
          <w:rFonts w:cs="Arial"/>
        </w:rPr>
        <w:t>Economic Times, (2025).</w:t>
      </w:r>
      <w:r w:rsidRPr="00C6387A">
        <w:rPr>
          <w:rFonts w:cs="Arial"/>
          <w:i/>
          <w:iCs/>
        </w:rPr>
        <w:t xml:space="preserve"> Digital payments comprise 99.8% of total transactions volume in H1 2025: RBI. </w:t>
      </w:r>
      <w:r w:rsidRPr="00C6387A">
        <w:rPr>
          <w:rFonts w:cs="Arial"/>
        </w:rPr>
        <w:t xml:space="preserve">Available at: </w:t>
      </w:r>
      <w:hyperlink r:id="rId61" w:history="1">
        <w:r w:rsidRPr="00C6387A">
          <w:rPr>
            <w:rStyle w:val="Hyperlink"/>
            <w:rFonts w:cs="Arial"/>
          </w:rPr>
          <w:t xml:space="preserve"> https://economictimes.indiatimes.com/news/economy/finance/digital-payments-comprise-99-8-of-total-transactions-volume-in-h1-2025-upi-transactions-rbi/articleshow/124760861.cms?utm_source=chatgpt.com&amp;from=mdr</w:t>
        </w:r>
      </w:hyperlink>
      <w:r w:rsidRPr="00C6387A">
        <w:rPr>
          <w:rFonts w:cs="Arial"/>
        </w:rPr>
        <w:t xml:space="preserve"> [Accessed on: 10.03.2026]</w:t>
      </w:r>
    </w:p>
    <w:p w14:paraId="7519C5C8" w14:textId="77777777" w:rsidR="008205A3" w:rsidRPr="00C6387A" w:rsidRDefault="008205A3" w:rsidP="00C6387A">
      <w:pPr>
        <w:spacing w:after="160"/>
        <w:rPr>
          <w:rFonts w:cs="Arial"/>
          <w:color w:val="222222"/>
          <w:shd w:val="clear" w:color="auto" w:fill="FFFFFF"/>
        </w:rPr>
      </w:pPr>
      <w:r w:rsidRPr="00C6387A">
        <w:rPr>
          <w:rFonts w:cs="Arial"/>
          <w:color w:val="222222"/>
          <w:shd w:val="clear" w:color="auto" w:fill="FFFFFF"/>
        </w:rPr>
        <w:t>Verma, K., Kumar, R., Rao, A.P. and Ranjan, R., 2023, December. Efficient e-KYC authentication system: Redefining customer verification in digital banking. In </w:t>
      </w:r>
      <w:r w:rsidRPr="00C6387A">
        <w:rPr>
          <w:rFonts w:cs="Arial"/>
          <w:i/>
          <w:iCs/>
          <w:color w:val="222222"/>
          <w:shd w:val="clear" w:color="auto" w:fill="FFFFFF"/>
        </w:rPr>
        <w:t>2023 9th International Conference on Signal Processing and Communication (ICSC)</w:t>
      </w:r>
      <w:r w:rsidRPr="00C6387A">
        <w:rPr>
          <w:rFonts w:cs="Arial"/>
          <w:color w:val="222222"/>
          <w:shd w:val="clear" w:color="auto" w:fill="FFFFFF"/>
        </w:rPr>
        <w:t xml:space="preserve"> (pp. 319-324). IEEE. </w:t>
      </w:r>
      <w:hyperlink r:id="rId62" w:history="1">
        <w:r w:rsidRPr="00C6387A">
          <w:rPr>
            <w:rStyle w:val="Hyperlink"/>
            <w:rFonts w:cs="Arial"/>
            <w:shd w:val="clear" w:color="auto" w:fill="FFFFFF"/>
          </w:rPr>
          <w:t>https://ieeexplore.ieee.org/abstract/document/10441596/</w:t>
        </w:r>
      </w:hyperlink>
      <w:r w:rsidRPr="00C6387A">
        <w:rPr>
          <w:rFonts w:cs="Arial"/>
          <w:color w:val="222222"/>
          <w:shd w:val="clear" w:color="auto" w:fill="FFFFFF"/>
        </w:rPr>
        <w:t xml:space="preserve"> </w:t>
      </w:r>
    </w:p>
    <w:p w14:paraId="78C58968" w14:textId="77777777" w:rsidR="008205A3" w:rsidRPr="00C6387A" w:rsidRDefault="008205A3" w:rsidP="00C6387A">
      <w:pPr>
        <w:spacing w:after="160"/>
        <w:rPr>
          <w:rFonts w:cs="Arial"/>
        </w:rPr>
      </w:pPr>
      <w:r w:rsidRPr="00C6387A">
        <w:rPr>
          <w:rFonts w:cs="Arial"/>
        </w:rPr>
        <w:t>Times of India, (2024).</w:t>
      </w:r>
      <w:r w:rsidRPr="00C6387A">
        <w:rPr>
          <w:rFonts w:cs="Arial"/>
          <w:i/>
          <w:iCs/>
        </w:rPr>
        <w:t xml:space="preserve"> The country produces over 1.5 million engineering graduates annually. </w:t>
      </w:r>
      <w:r w:rsidRPr="00C6387A">
        <w:rPr>
          <w:rFonts w:cs="Arial"/>
        </w:rPr>
        <w:t xml:space="preserve">Available at: </w:t>
      </w:r>
      <w:hyperlink r:id="rId63" w:history="1">
        <w:r w:rsidRPr="00C6387A">
          <w:rPr>
            <w:rStyle w:val="Hyperlink"/>
            <w:rFonts w:cs="Arial"/>
          </w:rPr>
          <w:t xml:space="preserve"> https://timesofindia.indiatimes.com/education/news/pursuing-engineering-once-a-fad-now-a-dilemma-only-10-percent-of-15-lakh-graduates-likely-to-land-jobs-this year/articleshow/114686084.cms</w:t>
        </w:r>
      </w:hyperlink>
      <w:r w:rsidRPr="00C6387A">
        <w:rPr>
          <w:rFonts w:cs="Arial"/>
        </w:rPr>
        <w:t> [Accessed on: 10.03.2026]</w:t>
      </w:r>
    </w:p>
    <w:p w14:paraId="4D354F72" w14:textId="77777777" w:rsidR="008205A3" w:rsidRPr="00C6387A" w:rsidRDefault="008205A3" w:rsidP="00C6387A">
      <w:pPr>
        <w:spacing w:after="160"/>
        <w:rPr>
          <w:rFonts w:cs="Arial"/>
        </w:rPr>
      </w:pPr>
      <w:r w:rsidRPr="00C6387A">
        <w:rPr>
          <w:rFonts w:cs="Arial"/>
        </w:rPr>
        <w:t xml:space="preserve">Harsh Upadhyay, (2026). </w:t>
      </w:r>
      <w:r w:rsidRPr="00C6387A">
        <w:rPr>
          <w:rFonts w:cs="Arial"/>
          <w:i/>
          <w:iCs/>
        </w:rPr>
        <w:t xml:space="preserve">PhonePe hits 9.8 Bn UPI transactions in December; BHIM overtakes CRED. </w:t>
      </w:r>
      <w:r w:rsidRPr="00C6387A">
        <w:rPr>
          <w:rFonts w:cs="Arial"/>
        </w:rPr>
        <w:t xml:space="preserve">Available at:  </w:t>
      </w:r>
      <w:hyperlink r:id="rId64" w:history="1">
        <w:r w:rsidRPr="00C6387A">
          <w:rPr>
            <w:rStyle w:val="Hyperlink"/>
            <w:rFonts w:cs="Arial"/>
          </w:rPr>
          <w:t>https://entrackr.com/news/phonepe-hits-98-bn-upi-transactions-in-december-bhim-overtakes-cred-11013847</w:t>
        </w:r>
      </w:hyperlink>
      <w:r w:rsidRPr="00C6387A">
        <w:rPr>
          <w:rFonts w:cs="Arial"/>
        </w:rPr>
        <w:t xml:space="preserve"> [Accessed on: 10.03.2026]</w:t>
      </w:r>
    </w:p>
    <w:sectPr w:rsidR="008205A3" w:rsidRPr="00C6387A">
      <w:footerReference w:type="default" r:id="rId6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5B491" w14:textId="77777777" w:rsidR="00B80E7D" w:rsidRDefault="00B80E7D" w:rsidP="00E16901">
      <w:pPr>
        <w:spacing w:line="240" w:lineRule="auto"/>
      </w:pPr>
      <w:r>
        <w:separator/>
      </w:r>
    </w:p>
  </w:endnote>
  <w:endnote w:type="continuationSeparator" w:id="0">
    <w:p w14:paraId="26AB7EC3" w14:textId="77777777" w:rsidR="00B80E7D" w:rsidRDefault="00B80E7D" w:rsidP="00E169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F1E2884B-9884-4392-8FD6-71A00D459825}"/>
    <w:embedBold r:id="rId2" w:fontKey="{1DA3CBBE-798A-4A81-A8E3-26E193A61A5E}"/>
    <w:embedItalic r:id="rId3" w:fontKey="{FB89FFA1-36BD-4496-B932-026C952151CA}"/>
  </w:font>
  <w:font w:name="Calibri">
    <w:panose1 w:val="020F0502020204030204"/>
    <w:charset w:val="00"/>
    <w:family w:val="swiss"/>
    <w:pitch w:val="variable"/>
    <w:sig w:usb0="E4002EFF" w:usb1="C200247B" w:usb2="00000009" w:usb3="00000000" w:csb0="000001FF" w:csb1="00000000"/>
    <w:embedRegular r:id="rId4" w:fontKey="{B5E1B77C-CDE5-4FA9-B28C-185574D4891F}"/>
  </w:font>
  <w:font w:name="Segoe UI Emoji">
    <w:panose1 w:val="020B0502040204020203"/>
    <w:charset w:val="00"/>
    <w:family w:val="swiss"/>
    <w:pitch w:val="variable"/>
    <w:sig w:usb0="00000003" w:usb1="02000000" w:usb2="08000000" w:usb3="00000000" w:csb0="00000001" w:csb1="00000000"/>
    <w:embedItalic r:id="rId5" w:fontKey="{1EEF7BBD-1B0A-4644-A419-AF4993DD32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3472796"/>
      <w:docPartObj>
        <w:docPartGallery w:val="Page Numbers (Bottom of Page)"/>
        <w:docPartUnique/>
      </w:docPartObj>
    </w:sdtPr>
    <w:sdtEndPr>
      <w:rPr>
        <w:noProof/>
        <w:sz w:val="20"/>
        <w:szCs w:val="20"/>
      </w:rPr>
    </w:sdtEndPr>
    <w:sdtContent>
      <w:p w14:paraId="6D837C98" w14:textId="38FC5D63" w:rsidR="00E16901" w:rsidRPr="00E16901" w:rsidRDefault="00E16901">
        <w:pPr>
          <w:pStyle w:val="Footer"/>
          <w:jc w:val="right"/>
          <w:rPr>
            <w:sz w:val="20"/>
            <w:szCs w:val="20"/>
          </w:rPr>
        </w:pPr>
        <w:r w:rsidRPr="00E16901">
          <w:rPr>
            <w:sz w:val="20"/>
            <w:szCs w:val="20"/>
          </w:rPr>
          <w:fldChar w:fldCharType="begin"/>
        </w:r>
        <w:r w:rsidRPr="00E16901">
          <w:rPr>
            <w:sz w:val="20"/>
            <w:szCs w:val="20"/>
          </w:rPr>
          <w:instrText xml:space="preserve"> PAGE   \* MERGEFORMAT </w:instrText>
        </w:r>
        <w:r w:rsidRPr="00E16901">
          <w:rPr>
            <w:sz w:val="20"/>
            <w:szCs w:val="20"/>
          </w:rPr>
          <w:fldChar w:fldCharType="separate"/>
        </w:r>
        <w:r w:rsidRPr="00E16901">
          <w:rPr>
            <w:noProof/>
            <w:sz w:val="20"/>
            <w:szCs w:val="20"/>
          </w:rPr>
          <w:t>2</w:t>
        </w:r>
        <w:r w:rsidRPr="00E16901">
          <w:rPr>
            <w:noProof/>
            <w:sz w:val="20"/>
            <w:szCs w:val="20"/>
          </w:rPr>
          <w:fldChar w:fldCharType="end"/>
        </w:r>
      </w:p>
    </w:sdtContent>
  </w:sdt>
  <w:p w14:paraId="402015A1" w14:textId="77777777" w:rsidR="00E16901" w:rsidRDefault="00E16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CBC8C" w14:textId="77777777" w:rsidR="00B80E7D" w:rsidRDefault="00B80E7D" w:rsidP="00E16901">
      <w:pPr>
        <w:spacing w:line="240" w:lineRule="auto"/>
      </w:pPr>
      <w:r>
        <w:separator/>
      </w:r>
    </w:p>
  </w:footnote>
  <w:footnote w:type="continuationSeparator" w:id="0">
    <w:p w14:paraId="2BEBBB0F" w14:textId="77777777" w:rsidR="00B80E7D" w:rsidRDefault="00B80E7D" w:rsidP="00E169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042E1"/>
    <w:multiLevelType w:val="hybridMultilevel"/>
    <w:tmpl w:val="F93619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4E65B60"/>
    <w:multiLevelType w:val="hybridMultilevel"/>
    <w:tmpl w:val="7B3630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71A7008"/>
    <w:multiLevelType w:val="hybridMultilevel"/>
    <w:tmpl w:val="4D38B0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60523601">
    <w:abstractNumId w:val="1"/>
  </w:num>
  <w:num w:numId="2" w16cid:durableId="1709256077">
    <w:abstractNumId w:val="0"/>
  </w:num>
  <w:num w:numId="3" w16cid:durableId="987633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0056"/>
    <w:rsid w:val="0001288B"/>
    <w:rsid w:val="000239C8"/>
    <w:rsid w:val="00024890"/>
    <w:rsid w:val="000A79D0"/>
    <w:rsid w:val="000E67A3"/>
    <w:rsid w:val="000F1827"/>
    <w:rsid w:val="00126BE6"/>
    <w:rsid w:val="00131639"/>
    <w:rsid w:val="001B291C"/>
    <w:rsid w:val="001C09B3"/>
    <w:rsid w:val="00236DB3"/>
    <w:rsid w:val="00242A0F"/>
    <w:rsid w:val="002D6C0D"/>
    <w:rsid w:val="002F0367"/>
    <w:rsid w:val="0032152F"/>
    <w:rsid w:val="003D392C"/>
    <w:rsid w:val="00484CB7"/>
    <w:rsid w:val="00490056"/>
    <w:rsid w:val="004B0F11"/>
    <w:rsid w:val="004D560C"/>
    <w:rsid w:val="00544072"/>
    <w:rsid w:val="0055631C"/>
    <w:rsid w:val="00580D27"/>
    <w:rsid w:val="005E07A9"/>
    <w:rsid w:val="00654796"/>
    <w:rsid w:val="00657DEF"/>
    <w:rsid w:val="00664652"/>
    <w:rsid w:val="006862AF"/>
    <w:rsid w:val="006B413E"/>
    <w:rsid w:val="0073186B"/>
    <w:rsid w:val="00737089"/>
    <w:rsid w:val="00756D16"/>
    <w:rsid w:val="00781594"/>
    <w:rsid w:val="00783CE5"/>
    <w:rsid w:val="007851F0"/>
    <w:rsid w:val="008205A3"/>
    <w:rsid w:val="00822869"/>
    <w:rsid w:val="0084451B"/>
    <w:rsid w:val="009324D1"/>
    <w:rsid w:val="009643D4"/>
    <w:rsid w:val="00981A47"/>
    <w:rsid w:val="00A21573"/>
    <w:rsid w:val="00A76AD2"/>
    <w:rsid w:val="00AD3B67"/>
    <w:rsid w:val="00AD694D"/>
    <w:rsid w:val="00AE437E"/>
    <w:rsid w:val="00B230C6"/>
    <w:rsid w:val="00B26B8D"/>
    <w:rsid w:val="00B4528E"/>
    <w:rsid w:val="00B80E7D"/>
    <w:rsid w:val="00C51C15"/>
    <w:rsid w:val="00C6387A"/>
    <w:rsid w:val="00CF3E1D"/>
    <w:rsid w:val="00D9285F"/>
    <w:rsid w:val="00DB7BEE"/>
    <w:rsid w:val="00DD29CF"/>
    <w:rsid w:val="00DD3922"/>
    <w:rsid w:val="00E16453"/>
    <w:rsid w:val="00E16901"/>
    <w:rsid w:val="00ED204C"/>
    <w:rsid w:val="00F12A41"/>
    <w:rsid w:val="00FF35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9C3C4"/>
  <w15:docId w15:val="{4201AC39-F7F8-4FC8-9697-96EC6857D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453"/>
    <w:rPr>
      <w:rFonts w:ascii="Arial" w:hAnsi="Arial"/>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ListParagraph">
    <w:name w:val="List Paragraph"/>
    <w:basedOn w:val="Normal"/>
    <w:uiPriority w:val="34"/>
    <w:qFormat/>
    <w:rsid w:val="00B4528E"/>
    <w:pPr>
      <w:spacing w:after="160" w:line="278" w:lineRule="auto"/>
      <w:ind w:left="720"/>
      <w:contextualSpacing/>
      <w:jc w:val="left"/>
    </w:pPr>
    <w:rPr>
      <w:rFonts w:asciiTheme="minorHAnsi" w:eastAsiaTheme="minorHAnsi" w:hAnsiTheme="minorHAnsi" w:cstheme="minorBidi"/>
      <w:kern w:val="2"/>
      <w:lang w:val="en-IN" w:eastAsia="en-US"/>
      <w14:ligatures w14:val="standardContextual"/>
    </w:rPr>
  </w:style>
  <w:style w:type="table" w:styleId="TableGrid">
    <w:name w:val="Table Grid"/>
    <w:basedOn w:val="TableNormal"/>
    <w:uiPriority w:val="39"/>
    <w:rsid w:val="00B4528E"/>
    <w:pPr>
      <w:spacing w:line="240" w:lineRule="auto"/>
      <w:jc w:val="left"/>
    </w:pPr>
    <w:rPr>
      <w:rFonts w:asciiTheme="minorHAnsi" w:eastAsiaTheme="minorHAnsi" w:hAnsiTheme="minorHAnsi" w:cstheme="minorBidi"/>
      <w:kern w:val="2"/>
      <w:lang w:val="en-IN"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3186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3186B"/>
    <w:pPr>
      <w:spacing w:after="100"/>
    </w:pPr>
  </w:style>
  <w:style w:type="paragraph" w:styleId="TOC2">
    <w:name w:val="toc 2"/>
    <w:basedOn w:val="Normal"/>
    <w:next w:val="Normal"/>
    <w:autoRedefine/>
    <w:uiPriority w:val="39"/>
    <w:unhideWhenUsed/>
    <w:rsid w:val="0073186B"/>
    <w:pPr>
      <w:spacing w:after="100"/>
      <w:ind w:left="240"/>
    </w:pPr>
  </w:style>
  <w:style w:type="character" w:styleId="Hyperlink">
    <w:name w:val="Hyperlink"/>
    <w:basedOn w:val="DefaultParagraphFont"/>
    <w:uiPriority w:val="99"/>
    <w:unhideWhenUsed/>
    <w:rsid w:val="0073186B"/>
    <w:rPr>
      <w:color w:val="0000FF" w:themeColor="hyperlink"/>
      <w:u w:val="single"/>
    </w:rPr>
  </w:style>
  <w:style w:type="paragraph" w:styleId="Header">
    <w:name w:val="header"/>
    <w:basedOn w:val="Normal"/>
    <w:link w:val="HeaderChar"/>
    <w:uiPriority w:val="99"/>
    <w:unhideWhenUsed/>
    <w:rsid w:val="00E16901"/>
    <w:pPr>
      <w:tabs>
        <w:tab w:val="center" w:pos="4513"/>
        <w:tab w:val="right" w:pos="9026"/>
      </w:tabs>
      <w:spacing w:line="240" w:lineRule="auto"/>
    </w:pPr>
  </w:style>
  <w:style w:type="character" w:customStyle="1" w:styleId="HeaderChar">
    <w:name w:val="Header Char"/>
    <w:basedOn w:val="DefaultParagraphFont"/>
    <w:link w:val="Header"/>
    <w:uiPriority w:val="99"/>
    <w:rsid w:val="00E16901"/>
  </w:style>
  <w:style w:type="paragraph" w:styleId="Footer">
    <w:name w:val="footer"/>
    <w:basedOn w:val="Normal"/>
    <w:link w:val="FooterChar"/>
    <w:uiPriority w:val="99"/>
    <w:unhideWhenUsed/>
    <w:rsid w:val="00E16901"/>
    <w:pPr>
      <w:tabs>
        <w:tab w:val="center" w:pos="4513"/>
        <w:tab w:val="right" w:pos="9026"/>
      </w:tabs>
      <w:spacing w:line="240" w:lineRule="auto"/>
    </w:pPr>
  </w:style>
  <w:style w:type="character" w:customStyle="1" w:styleId="FooterChar">
    <w:name w:val="Footer Char"/>
    <w:basedOn w:val="DefaultParagraphFont"/>
    <w:link w:val="Footer"/>
    <w:uiPriority w:val="99"/>
    <w:rsid w:val="00E16901"/>
  </w:style>
  <w:style w:type="character" w:customStyle="1" w:styleId="il">
    <w:name w:val="il"/>
    <w:basedOn w:val="DefaultParagraphFont"/>
    <w:rsid w:val="0032152F"/>
  </w:style>
  <w:style w:type="character" w:styleId="UnresolvedMention">
    <w:name w:val="Unresolved Mention"/>
    <w:basedOn w:val="DefaultParagraphFont"/>
    <w:uiPriority w:val="99"/>
    <w:semiHidden/>
    <w:unhideWhenUsed/>
    <w:rsid w:val="00544072"/>
    <w:rPr>
      <w:color w:val="605E5C"/>
      <w:shd w:val="clear" w:color="auto" w:fill="E1DFDD"/>
    </w:rPr>
  </w:style>
  <w:style w:type="paragraph" w:customStyle="1" w:styleId="Normal1">
    <w:name w:val="Normal1"/>
    <w:rsid w:val="0001288B"/>
    <w:pPr>
      <w:spacing w:line="276" w:lineRule="auto"/>
      <w:jc w:val="left"/>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ibef.org/exports/electronic-and-computer-software-industry-in-india" TargetMode="External"/><Relationship Id="rId21" Type="http://schemas.openxmlformats.org/officeDocument/2006/relationships/hyperlink" Target="https://www.datamintelligence.com/research-report/india-fintech-and-upi-payments-market" TargetMode="External"/><Relationship Id="rId34" Type="http://schemas.openxmlformats.org/officeDocument/2006/relationships/hyperlink" Target="https://pdfs.semanticscholar.org/2c29/ced2c01d701d39fdf116adad073b20a7be99.pdf" TargetMode="External"/><Relationship Id="rId42" Type="http://schemas.openxmlformats.org/officeDocument/2006/relationships/hyperlink" Target="https://www.phonepe.com/press/annual-report/PhonePe-Annual-Report-FY-23-24.pdf" TargetMode="External"/><Relationship Id="rId47" Type="http://schemas.openxmlformats.org/officeDocument/2006/relationships/hyperlink" Target="https://www.pib.gov.in/FactsheetDetails.aspx?Id=149107" TargetMode="External"/><Relationship Id="rId50" Type="http://schemas.openxmlformats.org/officeDocument/2006/relationships/hyperlink" Target="https://journals.sagepub.com/doi/pdf/10.1177/09721509231151491?casa_token=_gD1Nr0YU-0AAAAA:b_SVgCOHqpFmzhT-C3rm5m_0gwO7wrN1yAqw8elYOUeqOlnfmDW9et7_GLzs8oSgAbyo9EuOOVk" TargetMode="External"/><Relationship Id="rId55" Type="http://schemas.openxmlformats.org/officeDocument/2006/relationships/hyperlink" Target="https://integrumpublication.org/index.php/ajste/article/download/67/69" TargetMode="External"/><Relationship Id="rId63" Type="http://schemas.openxmlformats.org/officeDocument/2006/relationships/hyperlink" Target="%20https://timesofindia.indiatimes.com/education/news/pursuing-engineering-once-a-fad-now-a-dilemma-only-10-percent-of-15-lakh-graduates-likely-to-land-jobs-this%20year/articleshow/114686084.cm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Ankit-Patel-28/publication/397273581_Global_Dimensions_of_Multidisciplinary_Research/links/690aa90fc900be105cbf4cac/Global-Dimensions-of-Multidisciplinary-Research.pdf" TargetMode="External"/><Relationship Id="rId29" Type="http://schemas.openxmlformats.org/officeDocument/2006/relationships/hyperlink" Target="https://www.reuters.com/technology/india-delays-upi-payments-market-share-cap-relief-walmart-backed-phonepe-google-2024-12-31" TargetMode="External"/><Relationship Id="rId11" Type="http://schemas.openxmlformats.org/officeDocument/2006/relationships/image" Target="media/image4.png"/><Relationship Id="rId24" Type="http://schemas.openxmlformats.org/officeDocument/2006/relationships/hyperlink" Target="https://www.ibef.org/news/india-s-internet-users-to-exceed-900-million-in-2025-driven-by-indic-languages" TargetMode="External"/><Relationship Id="rId32" Type="http://schemas.openxmlformats.org/officeDocument/2006/relationships/hyperlink" Target="https://journals.sagepub.com/doi/pdf/10.1177/1529100620973974?casa_token=qCrsSMjXqCwAAAAA:-1owayB-2dPSSFPoXCYIWvmUqbfr_S32S2_OOYwSijWd1TJTpkX9P3VN9WBFQ39TMZHrxXEqsBE" TargetMode="External"/><Relationship Id="rId37" Type="http://schemas.openxmlformats.org/officeDocument/2006/relationships/hyperlink" Target="https://www.newindianexpress.com/business/2026/Mar/08/phonepes-non-core-revenue-share-growing-steadily-chipping-in-now-around-14-per-cent" TargetMode="External"/><Relationship Id="rId40" Type="http://schemas.openxmlformats.org/officeDocument/2006/relationships/hyperlink" Target="https://inc42.com/buzz/upi-in-december-phonepe-google-pay-lose-market-share-for-the-seventh-consecutive-month" TargetMode="External"/><Relationship Id="rId45" Type="http://schemas.openxmlformats.org/officeDocument/2006/relationships/hyperlink" Target="https://www.pib.gov.in/PressReleasePage.aspx?PRID=2152230" TargetMode="External"/><Relationship Id="rId53" Type="http://schemas.openxmlformats.org/officeDocument/2006/relationships/hyperlink" Target="https://paymentscmi.com/insights/india-2025-ecommerce-payments-trends" TargetMode="External"/><Relationship Id="rId58" Type="http://schemas.openxmlformats.org/officeDocument/2006/relationships/hyperlink" Target="https://www.academia.edu/download/122790191/Leveraging_5G_Services_2_.pdf"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economictimes.indiatimes.com/news/economy/finance/digital-payments-comprise-99-8-of-total-transactions-volume-in-h1-2025-upi-transactions-rbi/articleshow/124760861.cms?utm_source=chatgpt.com&amp;from=mdr" TargetMode="External"/><Relationship Id="rId19" Type="http://schemas.openxmlformats.org/officeDocument/2006/relationships/hyperlink" Target="https://www.tandfonline.com/doi/pdf/10.1080/10447318.2022.2087671?casa_token=rezo7g5NkKoAAAAA:BudILlkyj7NAN2wR49mWIeJ_uMCo2_pOleZZWPSOXpr6AlhMEaMk-iVuEzJxtdS7BquSerx9oVaZ" TargetMode="External"/><Relationship Id="rId14" Type="http://schemas.openxmlformats.org/officeDocument/2006/relationships/image" Target="media/image7.png"/><Relationship Id="rId22" Type="http://schemas.openxmlformats.org/officeDocument/2006/relationships/hyperlink" Target="https://bfsi.economictimes.indiatimes.com/articles/upi-sets-record-with-216-billion-transactions-in-december-2025/126284623" TargetMode="External"/><Relationship Id="rId27" Type="http://schemas.openxmlformats.org/officeDocument/2006/relationships/hyperlink" Target="https://www.imarcgroup.com/india-fintech-market" TargetMode="External"/><Relationship Id="rId30" Type="http://schemas.openxmlformats.org/officeDocument/2006/relationships/hyperlink" Target="https://www.mdpi.com/2079-8954/10/5/155" TargetMode="External"/><Relationship Id="rId35" Type="http://schemas.openxmlformats.org/officeDocument/2006/relationships/hyperlink" Target="https://www.mordorintelligence.com/industry-reports/india-fintech-market" TargetMode="External"/><Relationship Id="rId43" Type="http://schemas.openxmlformats.org/officeDocument/2006/relationships/hyperlink" Target="https://www.phonepe.com/blog/milestones/phonepe-2025-the-year-at-a-glance" TargetMode="External"/><Relationship Id="rId48" Type="http://schemas.openxmlformats.org/officeDocument/2006/relationships/hyperlink" Target="https://www.pwc.in/assets/pdfs/consulting/financial-services/fintech/publications/the-changing-face-of-financial-services-growth-of-fintech-in-india-v2.pdf" TargetMode="External"/><Relationship Id="rId56" Type="http://schemas.openxmlformats.org/officeDocument/2006/relationships/hyperlink" Target="https://www.mdpi.com/2674-1032/4/2/10" TargetMode="External"/><Relationship Id="rId64" Type="http://schemas.openxmlformats.org/officeDocument/2006/relationships/hyperlink" Target="https://entrackr.com/news/phonepe-hits-98-bn-upi-transactions-in-december-bhim-overtakes-cred-11013847" TargetMode="External"/><Relationship Id="rId8" Type="http://schemas.openxmlformats.org/officeDocument/2006/relationships/image" Target="media/image1.png"/><Relationship Id="rId51" Type="http://schemas.openxmlformats.org/officeDocument/2006/relationships/hyperlink" Target="file:///C:\Users\PREMIUM\Downloads\.%20Available%20at:%20%20https:\indiafoundation.in\articles-and-commentaries\digital-leadership-for-a-viksit-bharat-2047-fostering-innovation-shaping-tomorrow\"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oxigenwallet.com/upi/apps-market-share" TargetMode="External"/><Relationship Id="rId25" Type="http://schemas.openxmlformats.org/officeDocument/2006/relationships/hyperlink" Target="%20https://www.ibef.org/blogs/m-governance-revolution-mobile-apps-empowering-indian-citizens" TargetMode="External"/><Relationship Id="rId33" Type="http://schemas.openxmlformats.org/officeDocument/2006/relationships/hyperlink" Target="https://www.moneycontrol.com/news/business/economy/80-of-upi-volumes-concentrated-with-two-app-providers-fintech-body-writes-to-finmin-13642450.html" TargetMode="External"/><Relationship Id="rId38" Type="http://schemas.openxmlformats.org/officeDocument/2006/relationships/hyperlink" Target="https://www.bbc.com/news/articles/c8rk5d7ekjmo" TargetMode="External"/><Relationship Id="rId46" Type="http://schemas.openxmlformats.org/officeDocument/2006/relationships/hyperlink" Target="%20https://www.pib.gov.in/FeaturesDeatils.aspx?NoteId=155224&amp;ModuleId=2&amp;reg=3&amp;lang=2" TargetMode="External"/><Relationship Id="rId59" Type="http://schemas.openxmlformats.org/officeDocument/2006/relationships/hyperlink" Target="https://www.mdpi.com/1911-8074/17/8/324" TargetMode="External"/><Relationship Id="rId67" Type="http://schemas.openxmlformats.org/officeDocument/2006/relationships/theme" Target="theme/theme1.xml"/><Relationship Id="rId20" Type="http://schemas.openxmlformats.org/officeDocument/2006/relationships/hyperlink" Target="https://www.researchgate.net/profile/Abbas-Anwar-2/publication/399957403_Entrepreneurship_Under_Regulation_How_Public_Funding_Shapes_Governance_in_Tech_Startups/links/69711973ac604d40d0e4cf16/Entrepreneurship-Under-Regulation-How-Public-Funding-Shapes-Governance-in-Tech-Startups.pdf" TargetMode="External"/><Relationship Id="rId41" Type="http://schemas.openxmlformats.org/officeDocument/2006/relationships/hyperlink" Target="https://www.peoplematters.in/news/economy-policy/indias-digital-economy-to-reach-20percent-of-gdp-by-2030-report-48858" TargetMode="External"/><Relationship Id="rId54" Type="http://schemas.openxmlformats.org/officeDocument/2006/relationships/hyperlink" Target="https://tradingeconomics.com/india/news/news/491153" TargetMode="External"/><Relationship Id="rId62" Type="http://schemas.openxmlformats.org/officeDocument/2006/relationships/hyperlink" Target="https://ieeexplore.ieee.org/abstract/document/1044159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ooks.google.com/books?hl=en&amp;lr=&amp;id=_ngVEQAAQBAJ&amp;oi=fnd&amp;pg=PA166&amp;dq=PhonePe+has,+as+a+strategic+move,+in+india&amp;ots=15e-Hy3ERp&amp;sig=2hh3DM95gBg0YefCUydf_qYOfKg" TargetMode="External"/><Relationship Id="rId23" Type="http://schemas.openxmlformats.org/officeDocument/2006/relationships/hyperlink" Target="https://financialservices.gov.in/beta/en/page/digital-payments" TargetMode="External"/><Relationship Id="rId28" Type="http://schemas.openxmlformats.org/officeDocument/2006/relationships/hyperlink" Target="https://www.researchgate.net/profile/Tochukwu-Ijomah-2/publication/383847839_Legal_innovations_in_FinTech_Advancing_financial_services_through_regulatory_reform/links/66dc4778b1606e24c21248d7/Legal-innovations-in-FinTech-Advancing-financial-services-through-regulatory-reform.pdf" TargetMode="External"/><Relationship Id="rId36" Type="http://schemas.openxmlformats.org/officeDocument/2006/relationships/hyperlink" Target="https://www.fortuneindia.com/personal-finance/banking/phonepe-outage-rekindles-debate-on-upi-market-cap-should-npci-finally-act/123072" TargetMode="External"/><Relationship Id="rId49" Type="http://schemas.openxmlformats.org/officeDocument/2006/relationships/hyperlink" Target="https://www.reuters.com/world/india/walmart-backed-phonepe-targets-up-105-billion-valuation-india-ipo-sources-say-2026-03-04" TargetMode="External"/><Relationship Id="rId57" Type="http://schemas.openxmlformats.org/officeDocument/2006/relationships/hyperlink" Target="https://papers.ssrn.com/sol3/Delivery.cfm?abstractid=4849785" TargetMode="External"/><Relationship Id="rId10" Type="http://schemas.openxmlformats.org/officeDocument/2006/relationships/image" Target="media/image3.png"/><Relationship Id="rId31" Type="http://schemas.openxmlformats.org/officeDocument/2006/relationships/hyperlink" Target="https://www.linkedin.com/pulse/art-3-fintech-rivals-square-up-phonepe-google-pay-indias-rahul-kumar-jwaec" TargetMode="External"/><Relationship Id="rId44" Type="http://schemas.openxmlformats.org/officeDocument/2006/relationships/hyperlink" Target="https://www.pib.gov.in/PressReleseDetailm.aspx?PRID=2057013" TargetMode="External"/><Relationship Id="rId52" Type="http://schemas.openxmlformats.org/officeDocument/2006/relationships/hyperlink" Target="https://timesofindia.indiatimes.com/business/cybersecurity/financial-risk-indicator-used-to-crack-down-on-digital-scams-dot-blacklists-over-3-lakh-fraud-linked-sims-phonepe-paytm-hdfc-among-users/articleshow/123110286.cms" TargetMode="External"/><Relationship Id="rId60" Type="http://schemas.openxmlformats.org/officeDocument/2006/relationships/hyperlink" Target="https://www.tandfonline.com/doi/pdf/10.1080/03098265.2020.1804843?casa_token=lSibEcwFn9IAAAAA:EEiBe8irezkHH1_-0J2jdD1MeMFXqMcttjvGGcdb2c46YH2BDRR8lEa7QFxXh3SJVJc_AxPkWBDA"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bain.com/insights/india-fintech-report-2022-sailing-through-turbulent-tides" TargetMode="External"/><Relationship Id="rId39" Type="http://schemas.openxmlformats.org/officeDocument/2006/relationships/hyperlink" Target="https://www.researchgate.net/profile/Olanrewaju-Odumuwagun/publication/388189905_Enhancing_Cybersecurity_in_FinTech_Safeguarding_Financial_Data_Against_Evolving_Threats_and_Vulnerabilities/links/678e67b375d4ab477e510fde/Enhancing-Cybersecurity-in-FinTech-Safeguarding-Financial-Data-Against-Evolving-Threats-and-Vulnerabilities.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A7435A-AB38-4B8C-B628-1428513F9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8544</Words>
  <Characters>48706</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VIVEK</dc:creator>
  <cp:lastModifiedBy>Yashkumar Prakashbhai Dholakiya (2505243)</cp:lastModifiedBy>
  <cp:revision>2</cp:revision>
  <dcterms:created xsi:type="dcterms:W3CDTF">2026-04-26T16:41:00Z</dcterms:created>
  <dcterms:modified xsi:type="dcterms:W3CDTF">2026-04-26T16:41:00Z</dcterms:modified>
</cp:coreProperties>
</file>