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12031F" w14:textId="6491B526" w:rsidR="0036428D" w:rsidRPr="0036428D" w:rsidRDefault="0036428D" w:rsidP="00EB772A">
      <w:pPr>
        <w:jc w:val="center"/>
        <w:rPr>
          <w:rFonts w:ascii="Aparajita" w:hAnsi="Aparajita" w:cs="Aparajita"/>
          <w:sz w:val="48"/>
          <w:szCs w:val="48"/>
        </w:rPr>
      </w:pPr>
      <w:r w:rsidRPr="0036428D">
        <w:rPr>
          <w:rFonts w:ascii="Aparajita" w:hAnsi="Aparajita" w:cs="Aparajita"/>
          <w:sz w:val="48"/>
          <w:szCs w:val="48"/>
        </w:rPr>
        <w:t xml:space="preserve">Nikola Sugarova </w:t>
      </w:r>
    </w:p>
    <w:p w14:paraId="45DF83DD" w14:textId="0C2972B6" w:rsidR="0036428D" w:rsidRDefault="00F60929" w:rsidP="00EB772A">
      <w:pPr>
        <w:jc w:val="center"/>
        <w:rPr>
          <w:rFonts w:ascii="Aparajita" w:hAnsi="Aparajita" w:cs="Aparajita"/>
          <w:sz w:val="48"/>
          <w:szCs w:val="48"/>
        </w:rPr>
      </w:pPr>
      <w:r>
        <w:rPr>
          <w:rFonts w:ascii="Aparajita" w:hAnsi="Aparajita" w:cs="Aparajita"/>
          <w:sz w:val="48"/>
          <w:szCs w:val="48"/>
        </w:rPr>
        <w:t xml:space="preserve">Student No.2219936 </w:t>
      </w:r>
    </w:p>
    <w:p w14:paraId="1EAC295B" w14:textId="2526DA6B" w:rsidR="00F60929" w:rsidRDefault="00F60929" w:rsidP="00EB772A">
      <w:pPr>
        <w:jc w:val="center"/>
        <w:rPr>
          <w:rFonts w:ascii="Aparajita" w:hAnsi="Aparajita" w:cs="Aparajita"/>
          <w:sz w:val="48"/>
          <w:szCs w:val="48"/>
        </w:rPr>
      </w:pPr>
      <w:r>
        <w:rPr>
          <w:rFonts w:ascii="Aparajita" w:hAnsi="Aparajita" w:cs="Aparajita"/>
          <w:sz w:val="48"/>
          <w:szCs w:val="48"/>
        </w:rPr>
        <w:t>30/06/2025</w:t>
      </w:r>
    </w:p>
    <w:p w14:paraId="3D214D40" w14:textId="77777777" w:rsidR="00F60929" w:rsidRPr="0036428D" w:rsidRDefault="00F60929" w:rsidP="00EB772A">
      <w:pPr>
        <w:jc w:val="center"/>
        <w:rPr>
          <w:rFonts w:ascii="Aparajita" w:hAnsi="Aparajita" w:cs="Aparajita"/>
          <w:sz w:val="48"/>
          <w:szCs w:val="48"/>
        </w:rPr>
      </w:pPr>
    </w:p>
    <w:p w14:paraId="71844AE6" w14:textId="77777777" w:rsidR="0036428D" w:rsidRPr="0036428D" w:rsidRDefault="0036428D" w:rsidP="00EB772A">
      <w:pPr>
        <w:jc w:val="center"/>
        <w:rPr>
          <w:rFonts w:ascii="Aparajita" w:hAnsi="Aparajita" w:cs="Aparajita"/>
          <w:sz w:val="28"/>
          <w:szCs w:val="28"/>
        </w:rPr>
      </w:pPr>
    </w:p>
    <w:p w14:paraId="05B53A21" w14:textId="77777777" w:rsidR="0036428D" w:rsidRPr="0036428D" w:rsidRDefault="0036428D" w:rsidP="00EB772A">
      <w:pPr>
        <w:jc w:val="center"/>
        <w:rPr>
          <w:rFonts w:ascii="Aparajita" w:hAnsi="Aparajita" w:cs="Aparajita"/>
          <w:sz w:val="28"/>
          <w:szCs w:val="28"/>
        </w:rPr>
      </w:pPr>
    </w:p>
    <w:p w14:paraId="1E55888F" w14:textId="77777777" w:rsidR="0036428D" w:rsidRPr="0036428D" w:rsidRDefault="0036428D" w:rsidP="00EB772A">
      <w:pPr>
        <w:jc w:val="center"/>
        <w:rPr>
          <w:rFonts w:ascii="Aparajita" w:hAnsi="Aparajita" w:cs="Aparajita"/>
          <w:sz w:val="28"/>
          <w:szCs w:val="28"/>
        </w:rPr>
      </w:pPr>
    </w:p>
    <w:p w14:paraId="759730AA" w14:textId="77777777" w:rsidR="0036428D" w:rsidRPr="0036428D" w:rsidRDefault="0036428D" w:rsidP="00EB772A">
      <w:pPr>
        <w:jc w:val="center"/>
        <w:rPr>
          <w:rFonts w:ascii="Aparajita" w:hAnsi="Aparajita" w:cs="Aparajita"/>
          <w:sz w:val="28"/>
          <w:szCs w:val="28"/>
        </w:rPr>
      </w:pPr>
    </w:p>
    <w:p w14:paraId="6E356BE8" w14:textId="77777777" w:rsidR="0036428D" w:rsidRPr="0036428D" w:rsidRDefault="0036428D" w:rsidP="00EB772A">
      <w:pPr>
        <w:jc w:val="center"/>
        <w:rPr>
          <w:rFonts w:ascii="Aparajita" w:hAnsi="Aparajita" w:cs="Aparajita"/>
          <w:sz w:val="28"/>
          <w:szCs w:val="28"/>
        </w:rPr>
      </w:pPr>
    </w:p>
    <w:p w14:paraId="5ECCD72F" w14:textId="4432DC2C" w:rsidR="00D87C54" w:rsidRPr="0036428D" w:rsidRDefault="00EB772A" w:rsidP="00EB772A">
      <w:pPr>
        <w:jc w:val="center"/>
        <w:rPr>
          <w:rFonts w:ascii="Aparajita" w:hAnsi="Aparajita" w:cs="Aparajita"/>
          <w:sz w:val="36"/>
          <w:szCs w:val="36"/>
        </w:rPr>
      </w:pPr>
      <w:r w:rsidRPr="0036428D">
        <w:rPr>
          <w:rFonts w:ascii="Aparajita" w:hAnsi="Aparajita" w:cs="Aparajita"/>
          <w:sz w:val="36"/>
          <w:szCs w:val="36"/>
        </w:rPr>
        <w:t>The Role of the Hebrew Bible in Judaism and the Significance of Patriarchs and Matriarchs: A Study of Abraham and Sarah</w:t>
      </w:r>
    </w:p>
    <w:p w14:paraId="7AE2FB96" w14:textId="77777777" w:rsidR="0016276A" w:rsidRPr="0036428D" w:rsidRDefault="0016276A" w:rsidP="00EB772A">
      <w:pPr>
        <w:jc w:val="center"/>
        <w:rPr>
          <w:rFonts w:ascii="Aparajita" w:hAnsi="Aparajita" w:cs="Aparajita"/>
          <w:sz w:val="28"/>
          <w:szCs w:val="28"/>
        </w:rPr>
      </w:pPr>
    </w:p>
    <w:p w14:paraId="57B6CA87" w14:textId="75909802" w:rsidR="0016276A" w:rsidRPr="0036428D" w:rsidRDefault="0016276A" w:rsidP="0016276A">
      <w:pPr>
        <w:pStyle w:val="NormalWeb"/>
        <w:rPr>
          <w:rFonts w:ascii="Aparajita" w:hAnsi="Aparajita" w:cs="Aparajita"/>
          <w:b/>
          <w:bCs/>
          <w:sz w:val="28"/>
          <w:szCs w:val="28"/>
        </w:rPr>
      </w:pPr>
      <w:r w:rsidRPr="0036428D">
        <w:rPr>
          <w:rFonts w:ascii="Aparajita" w:hAnsi="Aparajita" w:cs="Aparajita"/>
          <w:b/>
          <w:bCs/>
          <w:sz w:val="28"/>
          <w:szCs w:val="28"/>
        </w:rPr>
        <w:t xml:space="preserve">Introduction </w:t>
      </w:r>
    </w:p>
    <w:p w14:paraId="1A84728A" w14:textId="129191BC" w:rsidR="0016276A" w:rsidRPr="0036428D" w:rsidRDefault="0016276A" w:rsidP="0016276A">
      <w:pPr>
        <w:pStyle w:val="NormalWeb"/>
        <w:rPr>
          <w:rFonts w:ascii="Aparajita" w:hAnsi="Aparajita" w:cs="Aparajita"/>
          <w:sz w:val="28"/>
          <w:szCs w:val="28"/>
        </w:rPr>
      </w:pPr>
      <w:r w:rsidRPr="0036428D">
        <w:rPr>
          <w:rFonts w:ascii="Aparajita" w:hAnsi="Aparajita" w:cs="Aparajita"/>
          <w:sz w:val="28"/>
          <w:szCs w:val="28"/>
        </w:rPr>
        <w:t xml:space="preserve">This report seeks to investigate the ways in which the couple, Abraham and Sarah, embody what the Hebrew Bible (a foundational text in Judaism, the religion it inspired) has come to understand as the role of Israeli patriarchs and matriarchs, respectively, even as it serves as the dash base for its contractual (covenantal) obligations with God, its legal (halachic) structure, and its national psyche. As the archetypal first father and mother, Abraham and Sarah provide an enlightening example concerning the elements of faith, obedience, and legacy. The Hebrew Bible (Tanakh) is a fundamental aspect of Jewish theology and culture and is both the foundation of and most pervasive influence on Jewish thought; its effect is far </w:t>
      </w:r>
      <w:r w:rsidR="00F00D30" w:rsidRPr="0036428D">
        <w:rPr>
          <w:rFonts w:ascii="Aparajita" w:hAnsi="Aparajita" w:cs="Aparajita"/>
          <w:sz w:val="28"/>
          <w:szCs w:val="28"/>
        </w:rPr>
        <w:t>reaching,</w:t>
      </w:r>
      <w:r w:rsidRPr="0036428D">
        <w:rPr>
          <w:rFonts w:ascii="Aparajita" w:hAnsi="Aparajita" w:cs="Aparajita"/>
          <w:sz w:val="28"/>
          <w:szCs w:val="28"/>
        </w:rPr>
        <w:t xml:space="preserve"> and its various dimensions and themes serve as the basis for subsequent Jewish teachings and insights across the ages. Abraham and Sarah were called to leave home, and the miraculous birth of Isaac demonstrates the reliance on divine promise and the inauguration of a chosen people. By examining their narratives, we will shed light on their lasting legacies as exemplars of service, leadership, and partnership in accomplishing God’s covenantal dream for Israel.</w:t>
      </w:r>
    </w:p>
    <w:p w14:paraId="7A4C2909" w14:textId="7A5F8CBE" w:rsidR="008B58B3" w:rsidRPr="0036428D" w:rsidRDefault="008B58B3" w:rsidP="008B58B3">
      <w:pPr>
        <w:pStyle w:val="NormalWeb"/>
        <w:rPr>
          <w:rFonts w:ascii="Aparajita" w:hAnsi="Aparajita" w:cs="Aparajita"/>
          <w:sz w:val="28"/>
          <w:szCs w:val="28"/>
        </w:rPr>
      </w:pPr>
      <w:r w:rsidRPr="0036428D">
        <w:rPr>
          <w:rFonts w:ascii="Aparajita" w:hAnsi="Aparajita" w:cs="Aparajita"/>
          <w:b/>
          <w:bCs/>
          <w:sz w:val="28"/>
          <w:szCs w:val="28"/>
        </w:rPr>
        <w:t>Contribution of the Hebrew Bible to Judaism</w:t>
      </w:r>
      <w:r w:rsidRPr="0036428D">
        <w:rPr>
          <w:rFonts w:ascii="Aparajita" w:hAnsi="Aparajita" w:cs="Aparajita"/>
          <w:sz w:val="28"/>
          <w:szCs w:val="28"/>
        </w:rPr>
        <w:t xml:space="preserve"> </w:t>
      </w:r>
    </w:p>
    <w:p w14:paraId="56CF437E" w14:textId="32529CDA" w:rsidR="008B58B3" w:rsidRPr="0036428D" w:rsidRDefault="008B58B3" w:rsidP="008B58B3">
      <w:pPr>
        <w:pStyle w:val="NormalWeb"/>
        <w:rPr>
          <w:rFonts w:ascii="Aparajita" w:hAnsi="Aparajita" w:cs="Aparajita"/>
          <w:sz w:val="28"/>
          <w:szCs w:val="28"/>
        </w:rPr>
      </w:pPr>
      <w:r w:rsidRPr="0036428D">
        <w:rPr>
          <w:rFonts w:ascii="Aparajita" w:hAnsi="Aparajita" w:cs="Aparajita"/>
          <w:sz w:val="28"/>
          <w:szCs w:val="28"/>
        </w:rPr>
        <w:t xml:space="preserve">The Hebrew Bible, or Tanakh, is the sacred text of the Jewish people and the basis of their religion and history. As the foundation of Jewish teaching and tradition, it is an unsurpassed source of both religious and cultural norms. The Torah (Pentateuch) </w:t>
      </w:r>
      <w:r w:rsidR="0036428D" w:rsidRPr="0036428D">
        <w:rPr>
          <w:rFonts w:ascii="Aparajita" w:hAnsi="Aparajita" w:cs="Aparajita"/>
          <w:sz w:val="28"/>
          <w:szCs w:val="28"/>
        </w:rPr>
        <w:t>is</w:t>
      </w:r>
      <w:r w:rsidRPr="0036428D">
        <w:rPr>
          <w:rFonts w:ascii="Aparajita" w:hAnsi="Aparajita" w:cs="Aparajita"/>
          <w:sz w:val="28"/>
          <w:szCs w:val="28"/>
        </w:rPr>
        <w:t xml:space="preserve"> a direct revelation from God to Moses, is the Jewish scripture, and is the philosophical basis for Jewish law and practice. In the worship service of the synagogue, the Torah is read on a weekly basis upon a rotating annual cycle, allowing these prescriptions (as well as those of the Prophets) to be heard regularly. The Tanakh </w:t>
      </w:r>
      <w:r w:rsidRPr="0036428D">
        <w:rPr>
          <w:rFonts w:ascii="Aparajita" w:hAnsi="Aparajita" w:cs="Aparajita"/>
          <w:sz w:val="28"/>
          <w:szCs w:val="28"/>
        </w:rPr>
        <w:lastRenderedPageBreak/>
        <w:t>(especially as seen via Talmudic and Midrashic traditions) should be studied as part of religious practice and study, deepening the comprehension of the divine will and the ethical principles of the world. The Hebrew Bible also underpins Jewish life with its system of commandments (mitzvot) guiding rituals, ethics, and social justice, creating continuity across generations of Jewry.</w:t>
      </w:r>
    </w:p>
    <w:p w14:paraId="685D111D" w14:textId="77777777" w:rsidR="008B58B3" w:rsidRPr="0036428D" w:rsidRDefault="008B58B3" w:rsidP="008B58B3">
      <w:pPr>
        <w:pStyle w:val="NormalWeb"/>
        <w:rPr>
          <w:rFonts w:ascii="Aparajita" w:hAnsi="Aparajita" w:cs="Aparajita"/>
          <w:sz w:val="28"/>
          <w:szCs w:val="28"/>
        </w:rPr>
      </w:pPr>
      <w:r w:rsidRPr="0036428D">
        <w:rPr>
          <w:rFonts w:ascii="Aparajita" w:hAnsi="Aparajita" w:cs="Aparajita"/>
          <w:sz w:val="28"/>
          <w:szCs w:val="28"/>
        </w:rPr>
        <w:t>Central to the Hebrew Bible is the specific relationship between God and the people Israel through their covenant with God, as a form of monotheism, which states that YHWH is the only god and that God's chosen people (specifically in the Book of Exodus) are the only people with whom YHWH intends to be in relationship. 30:1 God then proclaims YHWH's self-description, translated as "The LORD, The LORD a merciful and gracious God, slow to anger, and abundant in loving kindness and truth", and has the prophet continue the communication of God with Israel by delivering a prophetic utterance (34:27-28). This covenant highlights a two-way relationship, in which Israel’s special standing and obligations are underscored. The Tanakh is not only a complex sacred text but also an invaluable source for reflecting on moral and spiritual signposts, providing commandments and stories that speak to human behaviour, divine justice and the definition of community. The tales of patriarchs, prophets and kings offer models of good and bad behaviour that underpin Jewish ethical values.</w:t>
      </w:r>
    </w:p>
    <w:p w14:paraId="5566654B" w14:textId="77777777" w:rsidR="008B58B3" w:rsidRPr="0036428D" w:rsidRDefault="008B58B3" w:rsidP="008B58B3">
      <w:pPr>
        <w:pStyle w:val="NormalWeb"/>
        <w:rPr>
          <w:rFonts w:ascii="Aparajita" w:hAnsi="Aparajita" w:cs="Aparajita"/>
          <w:sz w:val="28"/>
          <w:szCs w:val="28"/>
        </w:rPr>
      </w:pPr>
      <w:r w:rsidRPr="0036428D">
        <w:rPr>
          <w:rFonts w:ascii="Aparajita" w:hAnsi="Aparajita" w:cs="Aparajita"/>
          <w:sz w:val="28"/>
          <w:szCs w:val="28"/>
        </w:rPr>
        <w:t xml:space="preserve">There are the narrative traditions of the Hebrew Bible itself, which are so important to Jewish self-understanding: they are the stories that create a people as a collective around creation, exodus and exile. According to Michael </w:t>
      </w:r>
      <w:proofErr w:type="spellStart"/>
      <w:r w:rsidRPr="0036428D">
        <w:rPr>
          <w:rFonts w:ascii="Aparajita" w:hAnsi="Aparajita" w:cs="Aparajita"/>
          <w:sz w:val="28"/>
          <w:szCs w:val="28"/>
        </w:rPr>
        <w:t>Fishbane</w:t>
      </w:r>
      <w:proofErr w:type="spellEnd"/>
      <w:r w:rsidRPr="0036428D">
        <w:rPr>
          <w:rFonts w:ascii="Aparajita" w:hAnsi="Aparajita" w:cs="Aparajita"/>
          <w:sz w:val="28"/>
          <w:szCs w:val="28"/>
        </w:rPr>
        <w:t xml:space="preserve"> (2001), the core texts themselves, à la Biblical Interpretation in Ancient Israel, are not stable and are rather in dynamic interpretation, through which Jews can connect the historical and the spiritual to the text. Therefore, the Bible also serves to define and direct Jewish theology, life, and self-understanding so that Jews across the ages know who they are and why they exist, rooted in a promise made long ago and an ongoing divine direction.</w:t>
      </w:r>
    </w:p>
    <w:p w14:paraId="3A52471D" w14:textId="20D99262" w:rsidR="009A50F0" w:rsidRPr="0036428D" w:rsidRDefault="009A50F0" w:rsidP="009A50F0">
      <w:pPr>
        <w:pStyle w:val="NormalWeb"/>
        <w:rPr>
          <w:rFonts w:ascii="Aparajita" w:hAnsi="Aparajita" w:cs="Aparajita"/>
          <w:sz w:val="28"/>
          <w:szCs w:val="28"/>
        </w:rPr>
      </w:pPr>
      <w:r w:rsidRPr="0036428D">
        <w:rPr>
          <w:rFonts w:ascii="Aparajita" w:hAnsi="Aparajita" w:cs="Aparajita"/>
          <w:sz w:val="28"/>
          <w:szCs w:val="28"/>
        </w:rPr>
        <w:t>In Jewish theology, the patriarchs (Avot) and matriarchs (</w:t>
      </w:r>
      <w:proofErr w:type="spellStart"/>
      <w:r w:rsidRPr="0036428D">
        <w:rPr>
          <w:rFonts w:ascii="Aparajita" w:hAnsi="Aparajita" w:cs="Aparajita"/>
          <w:sz w:val="28"/>
          <w:szCs w:val="28"/>
        </w:rPr>
        <w:t>Imahot</w:t>
      </w:r>
      <w:proofErr w:type="spellEnd"/>
      <w:r w:rsidRPr="0036428D">
        <w:rPr>
          <w:rFonts w:ascii="Aparajita" w:hAnsi="Aparajita" w:cs="Aparajita"/>
          <w:sz w:val="28"/>
          <w:szCs w:val="28"/>
        </w:rPr>
        <w:t xml:space="preserve">) </w:t>
      </w:r>
      <w:r w:rsidR="0036428D" w:rsidRPr="0036428D">
        <w:rPr>
          <w:rFonts w:ascii="Aparajita" w:hAnsi="Aparajita" w:cs="Aparajita"/>
          <w:sz w:val="28"/>
          <w:szCs w:val="28"/>
        </w:rPr>
        <w:t>are</w:t>
      </w:r>
      <w:r w:rsidRPr="0036428D">
        <w:rPr>
          <w:rFonts w:ascii="Aparajita" w:hAnsi="Aparajita" w:cs="Aparajita"/>
          <w:sz w:val="28"/>
          <w:szCs w:val="28"/>
        </w:rPr>
        <w:t xml:space="preserve"> role models, and their virtues and deeds are recalled in synagogue services, Jewish lifecycle events, and as ethics and morals of how Jews are to act, think and behave. The use of "</w:t>
      </w:r>
      <w:proofErr w:type="spellStart"/>
      <w:r w:rsidRPr="0036428D">
        <w:rPr>
          <w:rFonts w:ascii="Aparajita" w:hAnsi="Aparajita" w:cs="Aparajita"/>
          <w:sz w:val="28"/>
          <w:szCs w:val="28"/>
        </w:rPr>
        <w:t>Avot</w:t>
      </w:r>
      <w:proofErr w:type="spellEnd"/>
      <w:r w:rsidRPr="0036428D">
        <w:rPr>
          <w:rFonts w:ascii="Aparajita" w:hAnsi="Aparajita" w:cs="Aparajita"/>
          <w:sz w:val="28"/>
          <w:szCs w:val="28"/>
        </w:rPr>
        <w:t xml:space="preserve"> and </w:t>
      </w:r>
      <w:proofErr w:type="spellStart"/>
      <w:r w:rsidRPr="0036428D">
        <w:rPr>
          <w:rFonts w:ascii="Aparajita" w:hAnsi="Aparajita" w:cs="Aparajita"/>
          <w:sz w:val="28"/>
          <w:szCs w:val="28"/>
        </w:rPr>
        <w:t>Imahot</w:t>
      </w:r>
      <w:proofErr w:type="spellEnd"/>
      <w:r w:rsidRPr="0036428D">
        <w:rPr>
          <w:rFonts w:ascii="Aparajita" w:hAnsi="Aparajita" w:cs="Aparajita"/>
          <w:sz w:val="28"/>
          <w:szCs w:val="28"/>
        </w:rPr>
        <w:t>" describes their spiritual and ancestral leadership, as recorded in the early books of the Bible, i.e., Genesis 12–25, in which their lives are but dialectical trials divinely imposed. Patriarchal and matriarchal stories These stories constitute the Jewish national memory, the memory of a faith that is firm, of resilience, and submission to the will of God, and is, as such, the foundation upon which Jewish identity is based.</w:t>
      </w:r>
    </w:p>
    <w:p w14:paraId="017F06BF" w14:textId="674F3350" w:rsidR="009A50F0" w:rsidRPr="0036428D" w:rsidRDefault="009A50F0" w:rsidP="009A50F0">
      <w:pPr>
        <w:pStyle w:val="NormalWeb"/>
        <w:rPr>
          <w:rFonts w:ascii="Aparajita" w:hAnsi="Aparajita" w:cs="Aparajita"/>
          <w:sz w:val="28"/>
          <w:szCs w:val="28"/>
        </w:rPr>
      </w:pPr>
      <w:r w:rsidRPr="0036428D">
        <w:rPr>
          <w:rFonts w:ascii="Aparajita" w:hAnsi="Aparajita" w:cs="Aparajita"/>
          <w:sz w:val="28"/>
          <w:szCs w:val="28"/>
        </w:rPr>
        <w:t xml:space="preserve">They are fundamental to the Jewish liturgy and tradition. Prayers, like the Amidah, refer to "the God of Abraham, Isaac and Jacob," underscoring </w:t>
      </w:r>
      <w:r w:rsidR="0036428D" w:rsidRPr="0036428D">
        <w:rPr>
          <w:rFonts w:ascii="Aparajita" w:hAnsi="Aparajita" w:cs="Aparajita"/>
          <w:sz w:val="28"/>
          <w:szCs w:val="28"/>
        </w:rPr>
        <w:t>living</w:t>
      </w:r>
      <w:r w:rsidRPr="0036428D">
        <w:rPr>
          <w:rFonts w:ascii="Aparajita" w:hAnsi="Aparajita" w:cs="Aparajita"/>
          <w:sz w:val="28"/>
          <w:szCs w:val="28"/>
        </w:rPr>
        <w:t xml:space="preserve"> spiritual aftermath (Babylonian Talmud, </w:t>
      </w:r>
      <w:proofErr w:type="spellStart"/>
      <w:r w:rsidRPr="0036428D">
        <w:rPr>
          <w:rFonts w:ascii="Aparajita" w:hAnsi="Aparajita" w:cs="Aparajita"/>
          <w:sz w:val="28"/>
          <w:szCs w:val="28"/>
        </w:rPr>
        <w:t>Berakhot</w:t>
      </w:r>
      <w:proofErr w:type="spellEnd"/>
      <w:r w:rsidRPr="0036428D">
        <w:rPr>
          <w:rFonts w:ascii="Aparajita" w:hAnsi="Aparajita" w:cs="Aparajita"/>
          <w:sz w:val="28"/>
          <w:szCs w:val="28"/>
        </w:rPr>
        <w:t xml:space="preserve"> 16b). The matriarchs are honoured as well, as they are also essential to the covenantal line. Rabbinic texts, such as </w:t>
      </w:r>
      <w:proofErr w:type="spellStart"/>
      <w:r w:rsidRPr="0036428D">
        <w:rPr>
          <w:rFonts w:ascii="Aparajita" w:hAnsi="Aparajita" w:cs="Aparajita"/>
          <w:sz w:val="28"/>
          <w:szCs w:val="28"/>
        </w:rPr>
        <w:t>Pirkei</w:t>
      </w:r>
      <w:proofErr w:type="spellEnd"/>
      <w:r w:rsidRPr="0036428D">
        <w:rPr>
          <w:rFonts w:ascii="Aparajita" w:hAnsi="Aparajita" w:cs="Aparajita"/>
          <w:sz w:val="28"/>
          <w:szCs w:val="28"/>
        </w:rPr>
        <w:t xml:space="preserve"> </w:t>
      </w:r>
      <w:proofErr w:type="spellStart"/>
      <w:r w:rsidRPr="0036428D">
        <w:rPr>
          <w:rFonts w:ascii="Aparajita" w:hAnsi="Aparajita" w:cs="Aparajita"/>
          <w:sz w:val="28"/>
          <w:szCs w:val="28"/>
        </w:rPr>
        <w:t>Avot</w:t>
      </w:r>
      <w:proofErr w:type="spellEnd"/>
      <w:r w:rsidRPr="0036428D">
        <w:rPr>
          <w:rFonts w:ascii="Aparajita" w:hAnsi="Aparajita" w:cs="Aparajita"/>
          <w:sz w:val="28"/>
          <w:szCs w:val="28"/>
        </w:rPr>
        <w:t xml:space="preserve"> 5:3, proclaim that Abraham’s ten trials exemplify his unimpeachable righteousness </w:t>
      </w:r>
      <w:r w:rsidR="0036428D" w:rsidRPr="0036428D">
        <w:rPr>
          <w:rFonts w:ascii="Aparajita" w:hAnsi="Aparajita" w:cs="Aparajita"/>
          <w:sz w:val="28"/>
          <w:szCs w:val="28"/>
        </w:rPr>
        <w:t>to</w:t>
      </w:r>
      <w:r w:rsidRPr="0036428D">
        <w:rPr>
          <w:rFonts w:ascii="Aparajita" w:hAnsi="Aparajita" w:cs="Aparajita"/>
          <w:sz w:val="28"/>
          <w:szCs w:val="28"/>
        </w:rPr>
        <w:t xml:space="preserve"> serve as a model for future generations. These characters are not only historical but have come to embody archetypes in Jewish history that are retold and reinterpreted in contemporary times to serve as moral and spiritual guidance. The patriarchs and the </w:t>
      </w:r>
      <w:r w:rsidRPr="0036428D">
        <w:rPr>
          <w:rFonts w:ascii="Aparajita" w:hAnsi="Aparajita" w:cs="Aparajita"/>
          <w:sz w:val="28"/>
          <w:szCs w:val="28"/>
        </w:rPr>
        <w:lastRenderedPageBreak/>
        <w:t>matriarchs, through their remembered legacy, are the grounding for Jewish identity, the link between the covenants of the past and the faith and mission of the present.</w:t>
      </w:r>
    </w:p>
    <w:p w14:paraId="6CED22AE" w14:textId="5ADBBA46" w:rsidR="009A50F0" w:rsidRPr="00525A45" w:rsidRDefault="009A50F0" w:rsidP="009A50F0">
      <w:pPr>
        <w:pStyle w:val="NormalWeb"/>
        <w:rPr>
          <w:rFonts w:ascii="Aparajita" w:hAnsi="Aparajita" w:cs="Aparajita"/>
          <w:b/>
          <w:bCs/>
          <w:sz w:val="28"/>
          <w:szCs w:val="28"/>
        </w:rPr>
      </w:pPr>
      <w:r w:rsidRPr="00525A45">
        <w:rPr>
          <w:rFonts w:ascii="Aparajita" w:hAnsi="Aparajita" w:cs="Aparajita"/>
          <w:b/>
          <w:bCs/>
          <w:sz w:val="28"/>
          <w:szCs w:val="28"/>
        </w:rPr>
        <w:t xml:space="preserve">Abraham and Sarah as Models of the Covenant and Faith </w:t>
      </w:r>
    </w:p>
    <w:p w14:paraId="60586E9C" w14:textId="77777777" w:rsidR="009A50F0" w:rsidRPr="0036428D" w:rsidRDefault="009A50F0" w:rsidP="009A50F0">
      <w:pPr>
        <w:pStyle w:val="NormalWeb"/>
        <w:rPr>
          <w:rFonts w:ascii="Aparajita" w:hAnsi="Aparajita" w:cs="Aparajita"/>
          <w:sz w:val="28"/>
          <w:szCs w:val="28"/>
        </w:rPr>
      </w:pPr>
      <w:r w:rsidRPr="0036428D">
        <w:rPr>
          <w:rFonts w:ascii="Aparajita" w:hAnsi="Aparajita" w:cs="Aparajita"/>
          <w:sz w:val="28"/>
          <w:szCs w:val="28"/>
        </w:rPr>
        <w:t>Abraham (and Sarah) are classic models of covenant and faith in the Hebrew Bible, a model of faith as trust in the Divine promise. In Genesis 12, God tells Abraham to go away from his own land, and he promises to give him land and offspring and blessing. Abraham’s faithful lauding, found again in Genesis 15 and 17, identifies him, but not his own son, as the father of a people united by the covenant. The physical tokens of this covenant—circumcision (Genesis 17) and the land—represent God’s long-term commitment and Abraham’s ultimate faithfulness. “Abraham never asks how” Jon D. Levenson (2012) writes in Inheriting Abraham that “his very faith makes him the exemplum of radical trust, and the pole that directs Jewish covenantal theology.”</w:t>
      </w:r>
    </w:p>
    <w:p w14:paraId="5C893538" w14:textId="54BA54D7" w:rsidR="009A50F0" w:rsidRPr="0036428D" w:rsidRDefault="009A50F0" w:rsidP="009A50F0">
      <w:pPr>
        <w:pStyle w:val="NormalWeb"/>
        <w:rPr>
          <w:rFonts w:ascii="Aparajita" w:hAnsi="Aparajita" w:cs="Aparajita"/>
          <w:sz w:val="28"/>
          <w:szCs w:val="28"/>
        </w:rPr>
      </w:pPr>
      <w:r w:rsidRPr="0036428D">
        <w:rPr>
          <w:rFonts w:ascii="Aparajita" w:hAnsi="Aparajita" w:cs="Aparajita"/>
          <w:sz w:val="28"/>
          <w:szCs w:val="28"/>
        </w:rPr>
        <w:t>The child takes the place of the barren Sarah inside the covenant, along the lines of the story from Genesis 18–21. The Akedah, or the binding of Isaac (Genesis 22), stands as the highpoint of Abraham’s faithfulness, the moment when he is willing to sacrifice his son, demonstrating nothing less than complete obedience. Theological interpretations: faith under duress Levenson argues that the Binding is the "central religious symbol of the Judaism" and has been influential in Jewish and Western thinking. Abraham and Sarah’s lives demonstrate in tandem divine promise and human faith that combine to mould Jewish identity and theology in and through their fidelity to God’s covenant that echoes in Jewish tradition and consciousness.</w:t>
      </w:r>
    </w:p>
    <w:p w14:paraId="09CE295D" w14:textId="0B55ACA7" w:rsidR="009A50F0" w:rsidRPr="00525A45" w:rsidRDefault="009A50F0" w:rsidP="009A50F0">
      <w:pPr>
        <w:pStyle w:val="NormalWeb"/>
        <w:rPr>
          <w:rFonts w:ascii="Aparajita" w:hAnsi="Aparajita" w:cs="Aparajita"/>
          <w:b/>
          <w:bCs/>
          <w:sz w:val="28"/>
          <w:szCs w:val="28"/>
        </w:rPr>
      </w:pPr>
      <w:r w:rsidRPr="00525A45">
        <w:rPr>
          <w:rFonts w:ascii="Aparajita" w:hAnsi="Aparajita" w:cs="Aparajita"/>
          <w:b/>
          <w:bCs/>
          <w:sz w:val="28"/>
          <w:szCs w:val="28"/>
        </w:rPr>
        <w:t>Legacy in Jewish Practice and Thought</w:t>
      </w:r>
    </w:p>
    <w:p w14:paraId="4515784D" w14:textId="0AA046C2" w:rsidR="009A50F0" w:rsidRPr="0036428D" w:rsidRDefault="009A50F0" w:rsidP="009A50F0">
      <w:pPr>
        <w:pStyle w:val="NormalWeb"/>
        <w:rPr>
          <w:rFonts w:ascii="Aparajita" w:hAnsi="Aparajita" w:cs="Aparajita"/>
          <w:sz w:val="28"/>
          <w:szCs w:val="28"/>
        </w:rPr>
      </w:pPr>
      <w:r w:rsidRPr="0036428D">
        <w:rPr>
          <w:rFonts w:ascii="Aparajita" w:hAnsi="Aparajita" w:cs="Aparajita"/>
          <w:sz w:val="28"/>
          <w:szCs w:val="28"/>
        </w:rPr>
        <w:t xml:space="preserve">The legacy of Abraham and Sarah has deeply influenced Jewish practice and theology. They are mentioned by name in the Amidah prayer, one of the central texts of liturgy, to tether the worshipper to a God of a covenantal faith. The Cave of the Patriarchs in Hebron, where they and their wives are said to be buried, is one of the most universally recognised sacred sites for Jews, testifying to the powerful hold on the Jewish consciousness of the Patriarchs and Matriarchs. As faith, determination, and submission are personified, they exemplify faith in God’s word and affect Jewish self-understanding. Their ethical contributions—Abraham’s hospitality and his pursuit of justice and Sarah’s resoluteness—reverberate in Judaism. Their lives remain exemplary models of morality, social responsibility, and spiritual dedication </w:t>
      </w:r>
      <w:r w:rsidR="00525A45" w:rsidRPr="0036428D">
        <w:rPr>
          <w:rFonts w:ascii="Aparajita" w:hAnsi="Aparajita" w:cs="Aparajita"/>
          <w:sz w:val="28"/>
          <w:szCs w:val="28"/>
        </w:rPr>
        <w:t>always</w:t>
      </w:r>
      <w:r w:rsidRPr="0036428D">
        <w:rPr>
          <w:rFonts w:ascii="Aparajita" w:hAnsi="Aparajita" w:cs="Aparajita"/>
          <w:sz w:val="28"/>
          <w:szCs w:val="28"/>
        </w:rPr>
        <w:t>.</w:t>
      </w:r>
    </w:p>
    <w:p w14:paraId="2A2C463E" w14:textId="41C726C4" w:rsidR="0036428D" w:rsidRPr="00525A45" w:rsidRDefault="0036428D" w:rsidP="0036428D">
      <w:pPr>
        <w:pStyle w:val="NormalWeb"/>
        <w:rPr>
          <w:rFonts w:ascii="Aparajita" w:hAnsi="Aparajita" w:cs="Aparajita"/>
          <w:b/>
          <w:bCs/>
          <w:sz w:val="28"/>
          <w:szCs w:val="28"/>
        </w:rPr>
      </w:pPr>
      <w:r w:rsidRPr="00525A45">
        <w:rPr>
          <w:rFonts w:ascii="Aparajita" w:hAnsi="Aparajita" w:cs="Aparajita"/>
          <w:b/>
          <w:bCs/>
          <w:sz w:val="28"/>
          <w:szCs w:val="28"/>
        </w:rPr>
        <w:t xml:space="preserve">Conclusion </w:t>
      </w:r>
    </w:p>
    <w:p w14:paraId="7F8F7536" w14:textId="433AAEB2" w:rsidR="0036428D" w:rsidRPr="0036428D" w:rsidRDefault="0036428D" w:rsidP="0036428D">
      <w:pPr>
        <w:pStyle w:val="NormalWeb"/>
        <w:rPr>
          <w:rFonts w:ascii="Aparajita" w:hAnsi="Aparajita" w:cs="Aparajita"/>
          <w:sz w:val="28"/>
          <w:szCs w:val="28"/>
        </w:rPr>
      </w:pPr>
      <w:r w:rsidRPr="0036428D">
        <w:rPr>
          <w:rFonts w:ascii="Aparajita" w:hAnsi="Aparajita" w:cs="Aparajita"/>
          <w:sz w:val="28"/>
          <w:szCs w:val="28"/>
        </w:rPr>
        <w:t xml:space="preserve">Abraham and Sarah become more than historical characters to Judaism; they become theological pivots. Their stories represent the Hebrew Bible’s most fundamental messages: covenant, faith, justice, and struggle. Abraham’s firm belief in the promise of God and Sarah’s strength in eradicating barrenness are all illustrations of faith and collaboration in securing the fulfilment of the divine covenant. Their memory </w:t>
      </w:r>
      <w:r w:rsidR="00525A45" w:rsidRPr="0036428D">
        <w:rPr>
          <w:rFonts w:ascii="Aparajita" w:hAnsi="Aparajita" w:cs="Aparajita"/>
          <w:sz w:val="28"/>
          <w:szCs w:val="28"/>
        </w:rPr>
        <w:t>is</w:t>
      </w:r>
      <w:r w:rsidRPr="0036428D">
        <w:rPr>
          <w:rFonts w:ascii="Aparajita" w:hAnsi="Aparajita" w:cs="Aparajita"/>
          <w:sz w:val="28"/>
          <w:szCs w:val="28"/>
        </w:rPr>
        <w:t xml:space="preserve"> preserved in Jewish prayer, primarily the Amidah and Holy places such as the Cave of Machpelah. As exemplars of hospitality, obedience, and the ways of </w:t>
      </w:r>
      <w:r w:rsidRPr="0036428D">
        <w:rPr>
          <w:rFonts w:ascii="Aparajita" w:hAnsi="Aparajita" w:cs="Aparajita"/>
          <w:sz w:val="28"/>
          <w:szCs w:val="28"/>
        </w:rPr>
        <w:lastRenderedPageBreak/>
        <w:t>moral living, they form Jewish identity and moral life long after their own generation pass, inspiring generations to maintain fidelity, justice, and community responsibility in the pattern of the covenantal vision.”</w:t>
      </w:r>
    </w:p>
    <w:p w14:paraId="3238AD0D" w14:textId="77777777" w:rsidR="0036428D" w:rsidRPr="0036428D" w:rsidRDefault="0036428D" w:rsidP="0036428D">
      <w:pPr>
        <w:spacing w:before="100" w:beforeAutospacing="1" w:after="100" w:afterAutospacing="1" w:line="240" w:lineRule="auto"/>
        <w:outlineLvl w:val="0"/>
        <w:rPr>
          <w:rFonts w:ascii="Aparajita" w:eastAsia="Times New Roman" w:hAnsi="Aparajita" w:cs="Aparajita"/>
          <w:b/>
          <w:bCs/>
          <w:kern w:val="36"/>
          <w:sz w:val="28"/>
          <w:szCs w:val="28"/>
          <w:lang w:eastAsia="en-GB"/>
          <w14:ligatures w14:val="none"/>
        </w:rPr>
      </w:pPr>
      <w:r w:rsidRPr="0036428D">
        <w:rPr>
          <w:rFonts w:ascii="Aparajita" w:eastAsia="Times New Roman" w:hAnsi="Aparajita" w:cs="Aparajita"/>
          <w:b/>
          <w:bCs/>
          <w:kern w:val="36"/>
          <w:sz w:val="28"/>
          <w:szCs w:val="28"/>
          <w:lang w:eastAsia="en-GB"/>
          <w14:ligatures w14:val="none"/>
        </w:rPr>
        <w:t>References</w:t>
      </w:r>
    </w:p>
    <w:p w14:paraId="43539288" w14:textId="77777777" w:rsidR="0036428D" w:rsidRPr="0036428D" w:rsidRDefault="0036428D" w:rsidP="0036428D">
      <w:pPr>
        <w:spacing w:before="100" w:beforeAutospacing="1" w:after="100" w:afterAutospacing="1" w:line="240" w:lineRule="auto"/>
        <w:outlineLvl w:val="1"/>
        <w:rPr>
          <w:rFonts w:ascii="Aparajita" w:eastAsia="Times New Roman" w:hAnsi="Aparajita" w:cs="Aparajita"/>
          <w:b/>
          <w:bCs/>
          <w:kern w:val="0"/>
          <w:sz w:val="28"/>
          <w:szCs w:val="28"/>
          <w:lang w:eastAsia="en-GB"/>
          <w14:ligatures w14:val="none"/>
        </w:rPr>
      </w:pPr>
      <w:r w:rsidRPr="0036428D">
        <w:rPr>
          <w:rFonts w:ascii="Aparajita" w:eastAsia="Times New Roman" w:hAnsi="Aparajita" w:cs="Aparajita"/>
          <w:b/>
          <w:bCs/>
          <w:kern w:val="0"/>
          <w:sz w:val="28"/>
          <w:szCs w:val="28"/>
          <w:lang w:eastAsia="en-GB"/>
          <w14:ligatures w14:val="none"/>
        </w:rPr>
        <w:t>Primary Sources (Biblical)</w:t>
      </w:r>
    </w:p>
    <w:p w14:paraId="782937D4" w14:textId="77777777" w:rsidR="0036428D" w:rsidRPr="0036428D" w:rsidRDefault="0036428D" w:rsidP="0036428D">
      <w:pPr>
        <w:spacing w:before="100" w:beforeAutospacing="1" w:after="100" w:afterAutospacing="1" w:line="240" w:lineRule="auto"/>
        <w:rPr>
          <w:rFonts w:ascii="Aparajita" w:eastAsia="Times New Roman" w:hAnsi="Aparajita" w:cs="Aparajita"/>
          <w:kern w:val="0"/>
          <w:sz w:val="28"/>
          <w:szCs w:val="28"/>
          <w:lang w:eastAsia="en-GB"/>
          <w14:ligatures w14:val="none"/>
        </w:rPr>
      </w:pPr>
      <w:r w:rsidRPr="0036428D">
        <w:rPr>
          <w:rFonts w:ascii="Aparajita" w:eastAsia="Times New Roman" w:hAnsi="Aparajita" w:cs="Aparajita"/>
          <w:kern w:val="0"/>
          <w:sz w:val="28"/>
          <w:szCs w:val="28"/>
          <w:lang w:eastAsia="en-GB"/>
          <w14:ligatures w14:val="none"/>
        </w:rPr>
        <w:t>The Holy Bible: New Revised Standard Version. (1989). Nashville: Thomas Nelson Publishers. (Genesis 12–25).</w:t>
      </w:r>
      <w:r w:rsidRPr="0036428D">
        <w:rPr>
          <w:rFonts w:ascii="Aparajita" w:eastAsia="Times New Roman" w:hAnsi="Aparajita" w:cs="Aparajita"/>
          <w:kern w:val="0"/>
          <w:sz w:val="28"/>
          <w:szCs w:val="28"/>
          <w:lang w:eastAsia="en-GB"/>
          <w14:ligatures w14:val="none"/>
        </w:rPr>
        <w:br/>
        <w:t>The Holy Bible: New Revised Standard Version. (1989). Nashville: Thomas Nelson Publishers. (Genesis 18).</w:t>
      </w:r>
      <w:r w:rsidRPr="0036428D">
        <w:rPr>
          <w:rFonts w:ascii="Aparajita" w:eastAsia="Times New Roman" w:hAnsi="Aparajita" w:cs="Aparajita"/>
          <w:kern w:val="0"/>
          <w:sz w:val="28"/>
          <w:szCs w:val="28"/>
          <w:lang w:eastAsia="en-GB"/>
          <w14:ligatures w14:val="none"/>
        </w:rPr>
        <w:br/>
        <w:t>The Holy Bible: New Revised Standard Version. (1989). Nashville: Thomas Nelson Publishers. (Genesis 21).</w:t>
      </w:r>
      <w:r w:rsidRPr="0036428D">
        <w:rPr>
          <w:rFonts w:ascii="Aparajita" w:eastAsia="Times New Roman" w:hAnsi="Aparajita" w:cs="Aparajita"/>
          <w:kern w:val="0"/>
          <w:sz w:val="28"/>
          <w:szCs w:val="28"/>
          <w:lang w:eastAsia="en-GB"/>
          <w14:ligatures w14:val="none"/>
        </w:rPr>
        <w:br/>
        <w:t>The Holy Bible: New Revised Standard Version. (1989). Nashville: Thomas Nelson Publishers. (Genesis 22).</w:t>
      </w:r>
      <w:r w:rsidRPr="0036428D">
        <w:rPr>
          <w:rFonts w:ascii="Aparajita" w:eastAsia="Times New Roman" w:hAnsi="Aparajita" w:cs="Aparajita"/>
          <w:kern w:val="0"/>
          <w:sz w:val="28"/>
          <w:szCs w:val="28"/>
          <w:lang w:eastAsia="en-GB"/>
          <w14:ligatures w14:val="none"/>
        </w:rPr>
        <w:br/>
        <w:t>The Holy Bible: New Revised Standard Version. (1989). Nashville: Thomas Nelson Publishers. (Exodus 19:5–6).</w:t>
      </w:r>
    </w:p>
    <w:p w14:paraId="604FCAB5" w14:textId="77777777" w:rsidR="0036428D" w:rsidRPr="0036428D" w:rsidRDefault="0036428D" w:rsidP="0036428D">
      <w:pPr>
        <w:spacing w:before="100" w:beforeAutospacing="1" w:after="100" w:afterAutospacing="1" w:line="240" w:lineRule="auto"/>
        <w:outlineLvl w:val="1"/>
        <w:rPr>
          <w:rFonts w:ascii="Aparajita" w:eastAsia="Times New Roman" w:hAnsi="Aparajita" w:cs="Aparajita"/>
          <w:b/>
          <w:bCs/>
          <w:kern w:val="0"/>
          <w:sz w:val="28"/>
          <w:szCs w:val="28"/>
          <w:lang w:eastAsia="en-GB"/>
          <w14:ligatures w14:val="none"/>
        </w:rPr>
      </w:pPr>
      <w:r w:rsidRPr="0036428D">
        <w:rPr>
          <w:rFonts w:ascii="Aparajita" w:eastAsia="Times New Roman" w:hAnsi="Aparajita" w:cs="Aparajita"/>
          <w:b/>
          <w:bCs/>
          <w:kern w:val="0"/>
          <w:sz w:val="28"/>
          <w:szCs w:val="28"/>
          <w:lang w:eastAsia="en-GB"/>
          <w14:ligatures w14:val="none"/>
        </w:rPr>
        <w:t>Secondary Sources (Academic)</w:t>
      </w:r>
    </w:p>
    <w:p w14:paraId="702063FB" w14:textId="0DDD9FF8" w:rsidR="0036428D" w:rsidRPr="0036428D" w:rsidRDefault="0036428D" w:rsidP="0036428D">
      <w:pPr>
        <w:spacing w:before="100" w:beforeAutospacing="1" w:after="100" w:afterAutospacing="1" w:line="240" w:lineRule="auto"/>
        <w:rPr>
          <w:rFonts w:ascii="Aparajita" w:eastAsia="Times New Roman" w:hAnsi="Aparajita" w:cs="Aparajita"/>
          <w:kern w:val="0"/>
          <w:sz w:val="28"/>
          <w:szCs w:val="28"/>
          <w:lang w:eastAsia="en-GB"/>
          <w14:ligatures w14:val="none"/>
        </w:rPr>
      </w:pPr>
      <w:proofErr w:type="spellStart"/>
      <w:r w:rsidRPr="0036428D">
        <w:rPr>
          <w:rFonts w:ascii="Aparajita" w:eastAsia="Times New Roman" w:hAnsi="Aparajita" w:cs="Aparajita"/>
          <w:kern w:val="0"/>
          <w:sz w:val="28"/>
          <w:szCs w:val="28"/>
          <w:lang w:eastAsia="en-GB"/>
          <w14:ligatures w14:val="none"/>
        </w:rPr>
        <w:t>Brettler</w:t>
      </w:r>
      <w:proofErr w:type="spellEnd"/>
      <w:r w:rsidRPr="0036428D">
        <w:rPr>
          <w:rFonts w:ascii="Aparajita" w:eastAsia="Times New Roman" w:hAnsi="Aparajita" w:cs="Aparajita"/>
          <w:kern w:val="0"/>
          <w:sz w:val="28"/>
          <w:szCs w:val="28"/>
          <w:lang w:eastAsia="en-GB"/>
          <w14:ligatures w14:val="none"/>
        </w:rPr>
        <w:t xml:space="preserve">, M. Z. (2005). </w:t>
      </w:r>
      <w:r w:rsidRPr="0036428D">
        <w:rPr>
          <w:rFonts w:ascii="Aparajita" w:eastAsia="Times New Roman" w:hAnsi="Aparajita" w:cs="Aparajita"/>
          <w:i/>
          <w:iCs/>
          <w:kern w:val="0"/>
          <w:sz w:val="28"/>
          <w:szCs w:val="28"/>
          <w:lang w:eastAsia="en-GB"/>
          <w14:ligatures w14:val="none"/>
        </w:rPr>
        <w:t>How to read the Jewish Bible</w:t>
      </w:r>
      <w:r w:rsidRPr="0036428D">
        <w:rPr>
          <w:rFonts w:ascii="Aparajita" w:eastAsia="Times New Roman" w:hAnsi="Aparajita" w:cs="Aparajita"/>
          <w:kern w:val="0"/>
          <w:sz w:val="28"/>
          <w:szCs w:val="28"/>
          <w:lang w:eastAsia="en-GB"/>
          <w14:ligatures w14:val="none"/>
        </w:rPr>
        <w:t xml:space="preserve">. </w:t>
      </w:r>
      <w:r w:rsidRPr="0036428D">
        <w:rPr>
          <w:rFonts w:ascii="Aparajita" w:eastAsia="Times New Roman" w:hAnsi="Aparajita" w:cs="Aparajita"/>
          <w:kern w:val="0"/>
          <w:sz w:val="28"/>
          <w:szCs w:val="28"/>
          <w:lang w:eastAsia="en-GB"/>
          <w14:ligatures w14:val="none"/>
        </w:rPr>
        <w:br/>
        <w:t xml:space="preserve">Encyclopaedia Judaica. (2007). ‘Abraham’, in M. Berenbaum &amp; F. Skolnik (eds), vol. 1, pp. 305–310. </w:t>
      </w:r>
      <w:r w:rsidRPr="0036428D">
        <w:rPr>
          <w:rFonts w:ascii="Aparajita" w:eastAsia="Times New Roman" w:hAnsi="Aparajita" w:cs="Aparajita"/>
          <w:kern w:val="0"/>
          <w:sz w:val="28"/>
          <w:szCs w:val="28"/>
          <w:lang w:eastAsia="en-GB"/>
          <w14:ligatures w14:val="none"/>
        </w:rPr>
        <w:br/>
        <w:t xml:space="preserve">Encyclopaedia Judaica. (2007). ‘Sarah’, in M. Berenbaum &amp; F. Skolnik (eds), vol. 18, pp. 56–58. </w:t>
      </w:r>
      <w:r w:rsidRPr="0036428D">
        <w:rPr>
          <w:rFonts w:ascii="Aparajita" w:eastAsia="Times New Roman" w:hAnsi="Aparajita" w:cs="Aparajita"/>
          <w:kern w:val="0"/>
          <w:sz w:val="28"/>
          <w:szCs w:val="28"/>
          <w:lang w:eastAsia="en-GB"/>
          <w14:ligatures w14:val="none"/>
        </w:rPr>
        <w:br/>
        <w:t xml:space="preserve">Frymer-Kensky, T. (2002). </w:t>
      </w:r>
      <w:r w:rsidRPr="0036428D">
        <w:rPr>
          <w:rFonts w:ascii="Aparajita" w:eastAsia="Times New Roman" w:hAnsi="Aparajita" w:cs="Aparajita"/>
          <w:i/>
          <w:iCs/>
          <w:kern w:val="0"/>
          <w:sz w:val="28"/>
          <w:szCs w:val="28"/>
          <w:lang w:eastAsia="en-GB"/>
          <w14:ligatures w14:val="none"/>
        </w:rPr>
        <w:t>Reading the women of the Bible: A new interpretation of their stories</w:t>
      </w:r>
      <w:r w:rsidRPr="0036428D">
        <w:rPr>
          <w:rFonts w:ascii="Aparajita" w:eastAsia="Times New Roman" w:hAnsi="Aparajita" w:cs="Aparajita"/>
          <w:kern w:val="0"/>
          <w:sz w:val="28"/>
          <w:szCs w:val="28"/>
          <w:lang w:eastAsia="en-GB"/>
          <w14:ligatures w14:val="none"/>
        </w:rPr>
        <w:t>. New York: Schocken Books.</w:t>
      </w:r>
      <w:r w:rsidRPr="0036428D">
        <w:rPr>
          <w:rFonts w:ascii="Aparajita" w:eastAsia="Times New Roman" w:hAnsi="Aparajita" w:cs="Aparajita"/>
          <w:kern w:val="0"/>
          <w:sz w:val="28"/>
          <w:szCs w:val="28"/>
          <w:lang w:eastAsia="en-GB"/>
          <w14:ligatures w14:val="none"/>
        </w:rPr>
        <w:br/>
        <w:t xml:space="preserve">Kaminsky, J. S. (2007). </w:t>
      </w:r>
      <w:r w:rsidRPr="0036428D">
        <w:rPr>
          <w:rFonts w:ascii="Aparajita" w:eastAsia="Times New Roman" w:hAnsi="Aparajita" w:cs="Aparajita"/>
          <w:i/>
          <w:iCs/>
          <w:kern w:val="0"/>
          <w:sz w:val="28"/>
          <w:szCs w:val="28"/>
          <w:lang w:eastAsia="en-GB"/>
          <w14:ligatures w14:val="none"/>
        </w:rPr>
        <w:t>Yet I loved Jacob: Reclaiming the biblical concept of election</w:t>
      </w:r>
      <w:r w:rsidRPr="0036428D">
        <w:rPr>
          <w:rFonts w:ascii="Aparajita" w:eastAsia="Times New Roman" w:hAnsi="Aparajita" w:cs="Aparajita"/>
          <w:kern w:val="0"/>
          <w:sz w:val="28"/>
          <w:szCs w:val="28"/>
          <w:lang w:eastAsia="en-GB"/>
          <w14:ligatures w14:val="none"/>
        </w:rPr>
        <w:t xml:space="preserve">. Nashville: </w:t>
      </w:r>
      <w:r w:rsidRPr="0036428D">
        <w:rPr>
          <w:rFonts w:ascii="Aparajita" w:eastAsia="Times New Roman" w:hAnsi="Aparajita" w:cs="Aparajita"/>
          <w:kern w:val="0"/>
          <w:sz w:val="28"/>
          <w:szCs w:val="28"/>
          <w:lang w:eastAsia="en-GB"/>
          <w14:ligatures w14:val="none"/>
        </w:rPr>
        <w:br/>
        <w:t xml:space="preserve">Levenson, J. D. (2012). </w:t>
      </w:r>
      <w:r w:rsidRPr="0036428D">
        <w:rPr>
          <w:rFonts w:ascii="Aparajita" w:eastAsia="Times New Roman" w:hAnsi="Aparajita" w:cs="Aparajita"/>
          <w:i/>
          <w:iCs/>
          <w:kern w:val="0"/>
          <w:sz w:val="28"/>
          <w:szCs w:val="28"/>
          <w:lang w:eastAsia="en-GB"/>
          <w14:ligatures w14:val="none"/>
        </w:rPr>
        <w:t>Inheriting Abraham: The legacy of the patriarch in Judaism, Christianity, and Islam</w:t>
      </w:r>
      <w:r w:rsidRPr="0036428D">
        <w:rPr>
          <w:rFonts w:ascii="Aparajita" w:eastAsia="Times New Roman" w:hAnsi="Aparajita" w:cs="Aparajita"/>
          <w:kern w:val="0"/>
          <w:sz w:val="28"/>
          <w:szCs w:val="28"/>
          <w:lang w:eastAsia="en-GB"/>
          <w14:ligatures w14:val="none"/>
        </w:rPr>
        <w:t xml:space="preserve">. </w:t>
      </w:r>
      <w:r w:rsidRPr="0036428D">
        <w:rPr>
          <w:rFonts w:ascii="Aparajita" w:eastAsia="Times New Roman" w:hAnsi="Aparajita" w:cs="Aparajita"/>
          <w:kern w:val="0"/>
          <w:sz w:val="28"/>
          <w:szCs w:val="28"/>
          <w:lang w:eastAsia="en-GB"/>
          <w14:ligatures w14:val="none"/>
        </w:rPr>
        <w:br/>
      </w:r>
      <w:proofErr w:type="spellStart"/>
      <w:r w:rsidRPr="0036428D">
        <w:rPr>
          <w:rFonts w:ascii="Aparajita" w:eastAsia="Times New Roman" w:hAnsi="Aparajita" w:cs="Aparajita"/>
          <w:kern w:val="0"/>
          <w:sz w:val="28"/>
          <w:szCs w:val="28"/>
          <w:lang w:eastAsia="en-GB"/>
          <w14:ligatures w14:val="none"/>
        </w:rPr>
        <w:t>MyJewishLearning</w:t>
      </w:r>
      <w:proofErr w:type="spellEnd"/>
      <w:r w:rsidRPr="0036428D">
        <w:rPr>
          <w:rFonts w:ascii="Aparajita" w:eastAsia="Times New Roman" w:hAnsi="Aparajita" w:cs="Aparajita"/>
          <w:kern w:val="0"/>
          <w:sz w:val="28"/>
          <w:szCs w:val="28"/>
          <w:lang w:eastAsia="en-GB"/>
          <w14:ligatures w14:val="none"/>
        </w:rPr>
        <w:t xml:space="preserve">. (n.d.). </w:t>
      </w:r>
      <w:r w:rsidRPr="0036428D">
        <w:rPr>
          <w:rFonts w:ascii="Aparajita" w:eastAsia="Times New Roman" w:hAnsi="Aparajita" w:cs="Aparajita"/>
          <w:i/>
          <w:iCs/>
          <w:kern w:val="0"/>
          <w:sz w:val="28"/>
          <w:szCs w:val="28"/>
          <w:lang w:eastAsia="en-GB"/>
          <w14:ligatures w14:val="none"/>
        </w:rPr>
        <w:t>Abraham: The first patriarch</w:t>
      </w:r>
      <w:r w:rsidRPr="0036428D">
        <w:rPr>
          <w:rFonts w:ascii="Aparajita" w:eastAsia="Times New Roman" w:hAnsi="Aparajita" w:cs="Aparajita"/>
          <w:kern w:val="0"/>
          <w:sz w:val="28"/>
          <w:szCs w:val="28"/>
          <w:lang w:eastAsia="en-GB"/>
          <w14:ligatures w14:val="none"/>
        </w:rPr>
        <w:t>.</w:t>
      </w:r>
      <w:r w:rsidRPr="0036428D">
        <w:rPr>
          <w:rFonts w:ascii="Aparajita" w:eastAsia="Times New Roman" w:hAnsi="Aparajita" w:cs="Aparajita"/>
          <w:kern w:val="0"/>
          <w:sz w:val="28"/>
          <w:szCs w:val="28"/>
          <w:lang w:eastAsia="en-GB"/>
          <w14:ligatures w14:val="none"/>
        </w:rPr>
        <w:br/>
      </w:r>
      <w:proofErr w:type="spellStart"/>
      <w:r w:rsidRPr="0036428D">
        <w:rPr>
          <w:rFonts w:ascii="Aparajita" w:eastAsia="Times New Roman" w:hAnsi="Aparajita" w:cs="Aparajita"/>
          <w:kern w:val="0"/>
          <w:sz w:val="28"/>
          <w:szCs w:val="28"/>
          <w:lang w:eastAsia="en-GB"/>
          <w14:ligatures w14:val="none"/>
        </w:rPr>
        <w:t>MyJewishLearning</w:t>
      </w:r>
      <w:proofErr w:type="spellEnd"/>
      <w:r w:rsidRPr="0036428D">
        <w:rPr>
          <w:rFonts w:ascii="Aparajita" w:eastAsia="Times New Roman" w:hAnsi="Aparajita" w:cs="Aparajita"/>
          <w:kern w:val="0"/>
          <w:sz w:val="28"/>
          <w:szCs w:val="28"/>
          <w:lang w:eastAsia="en-GB"/>
          <w14:ligatures w14:val="none"/>
        </w:rPr>
        <w:t xml:space="preserve">. (n.d.). </w:t>
      </w:r>
      <w:r w:rsidRPr="0036428D">
        <w:rPr>
          <w:rFonts w:ascii="Aparajita" w:eastAsia="Times New Roman" w:hAnsi="Aparajita" w:cs="Aparajita"/>
          <w:i/>
          <w:iCs/>
          <w:kern w:val="0"/>
          <w:sz w:val="28"/>
          <w:szCs w:val="28"/>
          <w:lang w:eastAsia="en-GB"/>
          <w14:ligatures w14:val="none"/>
        </w:rPr>
        <w:t>Sarah: The first matriarch</w:t>
      </w:r>
      <w:r w:rsidRPr="0036428D">
        <w:rPr>
          <w:rFonts w:ascii="Aparajita" w:eastAsia="Times New Roman" w:hAnsi="Aparajita" w:cs="Aparajita"/>
          <w:kern w:val="0"/>
          <w:sz w:val="28"/>
          <w:szCs w:val="28"/>
          <w:lang w:eastAsia="en-GB"/>
          <w14:ligatures w14:val="none"/>
        </w:rPr>
        <w:t>.</w:t>
      </w:r>
      <w:r w:rsidRPr="0036428D">
        <w:rPr>
          <w:rFonts w:ascii="Aparajita" w:eastAsia="Times New Roman" w:hAnsi="Aparajita" w:cs="Aparajita"/>
          <w:kern w:val="0"/>
          <w:sz w:val="28"/>
          <w:szCs w:val="28"/>
          <w:lang w:eastAsia="en-GB"/>
          <w14:ligatures w14:val="none"/>
        </w:rPr>
        <w:br/>
        <w:t xml:space="preserve">Sarna, N. M. (1989). </w:t>
      </w:r>
      <w:r w:rsidRPr="0036428D">
        <w:rPr>
          <w:rFonts w:ascii="Aparajita" w:eastAsia="Times New Roman" w:hAnsi="Aparajita" w:cs="Aparajita"/>
          <w:i/>
          <w:iCs/>
          <w:kern w:val="0"/>
          <w:sz w:val="28"/>
          <w:szCs w:val="28"/>
          <w:lang w:eastAsia="en-GB"/>
          <w14:ligatures w14:val="none"/>
        </w:rPr>
        <w:t>The JPS Torah commentary: Genesis</w:t>
      </w:r>
      <w:r w:rsidRPr="0036428D">
        <w:rPr>
          <w:rFonts w:ascii="Aparajita" w:eastAsia="Times New Roman" w:hAnsi="Aparajita" w:cs="Aparajita"/>
          <w:kern w:val="0"/>
          <w:sz w:val="28"/>
          <w:szCs w:val="28"/>
          <w:lang w:eastAsia="en-GB"/>
          <w14:ligatures w14:val="none"/>
        </w:rPr>
        <w:t>. Philadelphia: Jewish Publication Society.</w:t>
      </w:r>
      <w:r w:rsidRPr="0036428D">
        <w:rPr>
          <w:rFonts w:ascii="Aparajita" w:eastAsia="Times New Roman" w:hAnsi="Aparajita" w:cs="Aparajita"/>
          <w:kern w:val="0"/>
          <w:sz w:val="28"/>
          <w:szCs w:val="28"/>
          <w:lang w:eastAsia="en-GB"/>
          <w14:ligatures w14:val="none"/>
        </w:rPr>
        <w:br/>
        <w:t xml:space="preserve">Trible, P. (1984). </w:t>
      </w:r>
      <w:r w:rsidRPr="0036428D">
        <w:rPr>
          <w:rFonts w:ascii="Aparajita" w:eastAsia="Times New Roman" w:hAnsi="Aparajita" w:cs="Aparajita"/>
          <w:i/>
          <w:iCs/>
          <w:kern w:val="0"/>
          <w:sz w:val="28"/>
          <w:szCs w:val="28"/>
          <w:lang w:eastAsia="en-GB"/>
          <w14:ligatures w14:val="none"/>
        </w:rPr>
        <w:t>Texts of terror: Literary-feminist readings of biblical narratives</w:t>
      </w:r>
      <w:r w:rsidRPr="0036428D">
        <w:rPr>
          <w:rFonts w:ascii="Aparajita" w:eastAsia="Times New Roman" w:hAnsi="Aparajita" w:cs="Aparajita"/>
          <w:kern w:val="0"/>
          <w:sz w:val="28"/>
          <w:szCs w:val="28"/>
          <w:lang w:eastAsia="en-GB"/>
          <w14:ligatures w14:val="none"/>
        </w:rPr>
        <w:t xml:space="preserve">. </w:t>
      </w:r>
    </w:p>
    <w:p w14:paraId="6D6A5ED6" w14:textId="77777777" w:rsidR="009A50F0" w:rsidRPr="0036428D" w:rsidRDefault="009A50F0" w:rsidP="009A50F0">
      <w:pPr>
        <w:pStyle w:val="NormalWeb"/>
        <w:rPr>
          <w:rFonts w:ascii="Aparajita" w:hAnsi="Aparajita" w:cs="Aparajita"/>
          <w:sz w:val="28"/>
          <w:szCs w:val="28"/>
        </w:rPr>
      </w:pPr>
    </w:p>
    <w:p w14:paraId="16CB9BCF" w14:textId="77777777" w:rsidR="009A50F0" w:rsidRPr="0036428D" w:rsidRDefault="009A50F0" w:rsidP="009A50F0">
      <w:pPr>
        <w:pStyle w:val="NormalWeb"/>
        <w:rPr>
          <w:rFonts w:ascii="Aparajita" w:hAnsi="Aparajita" w:cs="Aparajita"/>
          <w:sz w:val="28"/>
          <w:szCs w:val="28"/>
        </w:rPr>
      </w:pPr>
      <w:r w:rsidRPr="0036428D">
        <w:rPr>
          <w:rFonts w:ascii="Aparajita" w:hAnsi="Aparajita" w:cs="Aparajita"/>
          <w:sz w:val="28"/>
          <w:szCs w:val="28"/>
        </w:rPr>
        <w:t> </w:t>
      </w:r>
    </w:p>
    <w:p w14:paraId="48521888" w14:textId="135417E3" w:rsidR="00F00D30" w:rsidRPr="0036428D" w:rsidRDefault="00F00D30" w:rsidP="00F00D30">
      <w:pPr>
        <w:pStyle w:val="NormalWeb"/>
        <w:rPr>
          <w:rFonts w:ascii="Aparajita" w:hAnsi="Aparajita" w:cs="Aparajita"/>
          <w:sz w:val="28"/>
          <w:szCs w:val="28"/>
        </w:rPr>
      </w:pPr>
    </w:p>
    <w:p w14:paraId="5F3D4DEF" w14:textId="77777777" w:rsidR="00F00D30" w:rsidRPr="0036428D" w:rsidRDefault="00F00D30" w:rsidP="0016276A">
      <w:pPr>
        <w:pStyle w:val="NormalWeb"/>
        <w:rPr>
          <w:rFonts w:ascii="Aparajita" w:hAnsi="Aparajita" w:cs="Aparajita"/>
          <w:sz w:val="28"/>
          <w:szCs w:val="28"/>
        </w:rPr>
      </w:pPr>
    </w:p>
    <w:p w14:paraId="0ECCAD80" w14:textId="77777777" w:rsidR="0016276A" w:rsidRPr="0036428D" w:rsidRDefault="0016276A" w:rsidP="0016276A">
      <w:pPr>
        <w:rPr>
          <w:rFonts w:ascii="Aparajita" w:hAnsi="Aparajita" w:cs="Aparajita"/>
          <w:sz w:val="28"/>
          <w:szCs w:val="28"/>
        </w:rPr>
      </w:pPr>
    </w:p>
    <w:sectPr w:rsidR="0016276A" w:rsidRPr="003642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18BAB" w14:textId="77777777" w:rsidR="00AF76C9" w:rsidRDefault="00AF76C9" w:rsidP="00AF76C9">
      <w:pPr>
        <w:spacing w:after="0" w:line="240" w:lineRule="auto"/>
      </w:pPr>
      <w:r>
        <w:separator/>
      </w:r>
    </w:p>
  </w:endnote>
  <w:endnote w:type="continuationSeparator" w:id="0">
    <w:p w14:paraId="0F9DCF92" w14:textId="77777777" w:rsidR="00AF76C9" w:rsidRDefault="00AF76C9" w:rsidP="00AF7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arajita">
    <w:altName w:val="Noto Serif Yezidi"/>
    <w:panose1 w:val="02020603050405020304"/>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9E2F1B" w14:textId="77777777" w:rsidR="00AF76C9" w:rsidRDefault="00AF76C9" w:rsidP="00AF76C9">
      <w:pPr>
        <w:spacing w:after="0" w:line="240" w:lineRule="auto"/>
      </w:pPr>
      <w:r>
        <w:separator/>
      </w:r>
    </w:p>
  </w:footnote>
  <w:footnote w:type="continuationSeparator" w:id="0">
    <w:p w14:paraId="6E875EA8" w14:textId="77777777" w:rsidR="00AF76C9" w:rsidRDefault="00AF76C9" w:rsidP="00AF76C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removePersonalInformation/>
  <w:removeDateAndTime/>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72A"/>
    <w:rsid w:val="0016276A"/>
    <w:rsid w:val="0034449E"/>
    <w:rsid w:val="0036428D"/>
    <w:rsid w:val="00525A45"/>
    <w:rsid w:val="008B58B3"/>
    <w:rsid w:val="009A50F0"/>
    <w:rsid w:val="00AF76C9"/>
    <w:rsid w:val="00D87C54"/>
    <w:rsid w:val="00EA5099"/>
    <w:rsid w:val="00EB772A"/>
    <w:rsid w:val="00F00D30"/>
    <w:rsid w:val="00F60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3443A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77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77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77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77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77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77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77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77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77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77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77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77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77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77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77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77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77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772A"/>
    <w:rPr>
      <w:rFonts w:eastAsiaTheme="majorEastAsia" w:cstheme="majorBidi"/>
      <w:color w:val="272727" w:themeColor="text1" w:themeTint="D8"/>
    </w:rPr>
  </w:style>
  <w:style w:type="paragraph" w:styleId="Title">
    <w:name w:val="Title"/>
    <w:basedOn w:val="Normal"/>
    <w:next w:val="Normal"/>
    <w:link w:val="TitleChar"/>
    <w:uiPriority w:val="10"/>
    <w:qFormat/>
    <w:rsid w:val="00EB77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77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77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77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772A"/>
    <w:pPr>
      <w:spacing w:before="160"/>
      <w:jc w:val="center"/>
    </w:pPr>
    <w:rPr>
      <w:i/>
      <w:iCs/>
      <w:color w:val="404040" w:themeColor="text1" w:themeTint="BF"/>
    </w:rPr>
  </w:style>
  <w:style w:type="character" w:customStyle="1" w:styleId="QuoteChar">
    <w:name w:val="Quote Char"/>
    <w:basedOn w:val="DefaultParagraphFont"/>
    <w:link w:val="Quote"/>
    <w:uiPriority w:val="29"/>
    <w:rsid w:val="00EB772A"/>
    <w:rPr>
      <w:i/>
      <w:iCs/>
      <w:color w:val="404040" w:themeColor="text1" w:themeTint="BF"/>
    </w:rPr>
  </w:style>
  <w:style w:type="paragraph" w:styleId="ListParagraph">
    <w:name w:val="List Paragraph"/>
    <w:basedOn w:val="Normal"/>
    <w:uiPriority w:val="34"/>
    <w:qFormat/>
    <w:rsid w:val="00EB772A"/>
    <w:pPr>
      <w:ind w:left="720"/>
      <w:contextualSpacing/>
    </w:pPr>
  </w:style>
  <w:style w:type="character" w:styleId="IntenseEmphasis">
    <w:name w:val="Intense Emphasis"/>
    <w:basedOn w:val="DefaultParagraphFont"/>
    <w:uiPriority w:val="21"/>
    <w:qFormat/>
    <w:rsid w:val="00EB772A"/>
    <w:rPr>
      <w:i/>
      <w:iCs/>
      <w:color w:val="0F4761" w:themeColor="accent1" w:themeShade="BF"/>
    </w:rPr>
  </w:style>
  <w:style w:type="paragraph" w:styleId="IntenseQuote">
    <w:name w:val="Intense Quote"/>
    <w:basedOn w:val="Normal"/>
    <w:next w:val="Normal"/>
    <w:link w:val="IntenseQuoteChar"/>
    <w:uiPriority w:val="30"/>
    <w:qFormat/>
    <w:rsid w:val="00EB77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772A"/>
    <w:rPr>
      <w:i/>
      <w:iCs/>
      <w:color w:val="0F4761" w:themeColor="accent1" w:themeShade="BF"/>
    </w:rPr>
  </w:style>
  <w:style w:type="character" w:styleId="IntenseReference">
    <w:name w:val="Intense Reference"/>
    <w:basedOn w:val="DefaultParagraphFont"/>
    <w:uiPriority w:val="32"/>
    <w:qFormat/>
    <w:rsid w:val="00EB772A"/>
    <w:rPr>
      <w:b/>
      <w:bCs/>
      <w:smallCaps/>
      <w:color w:val="0F4761" w:themeColor="accent1" w:themeShade="BF"/>
      <w:spacing w:val="5"/>
    </w:rPr>
  </w:style>
  <w:style w:type="paragraph" w:styleId="NormalWeb">
    <w:name w:val="Normal (Web)"/>
    <w:basedOn w:val="Normal"/>
    <w:uiPriority w:val="99"/>
    <w:semiHidden/>
    <w:unhideWhenUsed/>
    <w:rsid w:val="0016276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AF76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6C9"/>
  </w:style>
  <w:style w:type="paragraph" w:styleId="Footer">
    <w:name w:val="footer"/>
    <w:basedOn w:val="Normal"/>
    <w:link w:val="FooterChar"/>
    <w:uiPriority w:val="99"/>
    <w:unhideWhenUsed/>
    <w:rsid w:val="00AF76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6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442468">
      <w:bodyDiv w:val="1"/>
      <w:marLeft w:val="0"/>
      <w:marRight w:val="0"/>
      <w:marTop w:val="0"/>
      <w:marBottom w:val="0"/>
      <w:divBdr>
        <w:top w:val="none" w:sz="0" w:space="0" w:color="auto"/>
        <w:left w:val="none" w:sz="0" w:space="0" w:color="auto"/>
        <w:bottom w:val="none" w:sz="0" w:space="0" w:color="auto"/>
        <w:right w:val="none" w:sz="0" w:space="0" w:color="auto"/>
      </w:divBdr>
    </w:div>
    <w:div w:id="517424969">
      <w:bodyDiv w:val="1"/>
      <w:marLeft w:val="0"/>
      <w:marRight w:val="0"/>
      <w:marTop w:val="0"/>
      <w:marBottom w:val="0"/>
      <w:divBdr>
        <w:top w:val="none" w:sz="0" w:space="0" w:color="auto"/>
        <w:left w:val="none" w:sz="0" w:space="0" w:color="auto"/>
        <w:bottom w:val="none" w:sz="0" w:space="0" w:color="auto"/>
        <w:right w:val="none" w:sz="0" w:space="0" w:color="auto"/>
      </w:divBdr>
    </w:div>
    <w:div w:id="730008570">
      <w:bodyDiv w:val="1"/>
      <w:marLeft w:val="0"/>
      <w:marRight w:val="0"/>
      <w:marTop w:val="0"/>
      <w:marBottom w:val="0"/>
      <w:divBdr>
        <w:top w:val="none" w:sz="0" w:space="0" w:color="auto"/>
        <w:left w:val="none" w:sz="0" w:space="0" w:color="auto"/>
        <w:bottom w:val="none" w:sz="0" w:space="0" w:color="auto"/>
        <w:right w:val="none" w:sz="0" w:space="0" w:color="auto"/>
      </w:divBdr>
    </w:div>
    <w:div w:id="774642824">
      <w:bodyDiv w:val="1"/>
      <w:marLeft w:val="0"/>
      <w:marRight w:val="0"/>
      <w:marTop w:val="0"/>
      <w:marBottom w:val="0"/>
      <w:divBdr>
        <w:top w:val="none" w:sz="0" w:space="0" w:color="auto"/>
        <w:left w:val="none" w:sz="0" w:space="0" w:color="auto"/>
        <w:bottom w:val="none" w:sz="0" w:space="0" w:color="auto"/>
        <w:right w:val="none" w:sz="0" w:space="0" w:color="auto"/>
      </w:divBdr>
    </w:div>
    <w:div w:id="1078526052">
      <w:bodyDiv w:val="1"/>
      <w:marLeft w:val="0"/>
      <w:marRight w:val="0"/>
      <w:marTop w:val="0"/>
      <w:marBottom w:val="0"/>
      <w:divBdr>
        <w:top w:val="none" w:sz="0" w:space="0" w:color="auto"/>
        <w:left w:val="none" w:sz="0" w:space="0" w:color="auto"/>
        <w:bottom w:val="none" w:sz="0" w:space="0" w:color="auto"/>
        <w:right w:val="none" w:sz="0" w:space="0" w:color="auto"/>
      </w:divBdr>
    </w:div>
    <w:div w:id="1562247708">
      <w:bodyDiv w:val="1"/>
      <w:marLeft w:val="0"/>
      <w:marRight w:val="0"/>
      <w:marTop w:val="0"/>
      <w:marBottom w:val="0"/>
      <w:divBdr>
        <w:top w:val="none" w:sz="0" w:space="0" w:color="auto"/>
        <w:left w:val="none" w:sz="0" w:space="0" w:color="auto"/>
        <w:bottom w:val="none" w:sz="0" w:space="0" w:color="auto"/>
        <w:right w:val="none" w:sz="0" w:space="0" w:color="auto"/>
      </w:divBdr>
    </w:div>
    <w:div w:id="1581479342">
      <w:bodyDiv w:val="1"/>
      <w:marLeft w:val="0"/>
      <w:marRight w:val="0"/>
      <w:marTop w:val="0"/>
      <w:marBottom w:val="0"/>
      <w:divBdr>
        <w:top w:val="none" w:sz="0" w:space="0" w:color="auto"/>
        <w:left w:val="none" w:sz="0" w:space="0" w:color="auto"/>
        <w:bottom w:val="none" w:sz="0" w:space="0" w:color="auto"/>
        <w:right w:val="none" w:sz="0" w:space="0" w:color="auto"/>
      </w:divBdr>
    </w:div>
    <w:div w:id="1691252733">
      <w:bodyDiv w:val="1"/>
      <w:marLeft w:val="0"/>
      <w:marRight w:val="0"/>
      <w:marTop w:val="0"/>
      <w:marBottom w:val="0"/>
      <w:divBdr>
        <w:top w:val="none" w:sz="0" w:space="0" w:color="auto"/>
        <w:left w:val="none" w:sz="0" w:space="0" w:color="auto"/>
        <w:bottom w:val="none" w:sz="0" w:space="0" w:color="auto"/>
        <w:right w:val="none" w:sz="0" w:space="0" w:color="auto"/>
      </w:divBdr>
    </w:div>
    <w:div w:id="1984190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1554</Words>
  <Characters>8862</Characters>
  <Application>Microsoft Office Word</Application>
  <DocSecurity>0</DocSecurity>
  <Lines>73</Lines>
  <Paragraphs>20</Paragraphs>
  <ScaleCrop>false</ScaleCrop>
  <Company/>
  <LinksUpToDate>false</LinksUpToDate>
  <CharactersWithSpaces>10396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2025-06-29T11:37:00Z</dcterms:created>
  <dcterms:modified xsi:type="dcterms:W3CDTF">2025-06-29T11:37:00Z</dcterms:modified>
</cp:coreProperties>
</file>