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rPr>
          <w:rFonts w:hint="default" w:ascii="Times New Roman" w:hAnsi="Times New Roman" w:cs="Times New Roman"/>
          <w:sz w:val="28"/>
          <w:szCs w:val="28"/>
        </w:rPr>
      </w:pPr>
    </w:p>
    <w:p>
      <w:pPr>
        <w:jc w:val="both"/>
        <w:rPr>
          <w:rFonts w:hint="default" w:ascii="Times New Roman" w:hAnsi="Times New Roman" w:cs="Times New Roman"/>
          <w:sz w:val="28"/>
          <w:szCs w:val="28"/>
        </w:rPr>
      </w:pPr>
    </w:p>
    <w:p>
      <w:pPr>
        <w:spacing w:line="480" w:lineRule="auto"/>
        <w:jc w:val="center"/>
        <w:rPr>
          <w:rFonts w:hint="default" w:eastAsia="Calibri" w:cs="Times New Roman" w:asciiTheme="minorAscii" w:hAnsiTheme="minorAscii"/>
          <w:b/>
          <w:sz w:val="48"/>
          <w:szCs w:val="48"/>
          <w:lang w:val="en-GB" w:eastAsia="en-US"/>
        </w:rPr>
      </w:pPr>
      <w:r>
        <w:rPr>
          <w:rFonts w:hint="default" w:ascii="Times New Roman" w:hAnsi="Times New Roman" w:cs="Times New Roman"/>
          <w:b/>
          <w:bCs w:val="0"/>
          <w:i/>
          <w:iCs/>
          <w:sz w:val="48"/>
          <w:szCs w:val="48"/>
          <w:lang w:val="en-GB" w:eastAsia="en-US"/>
        </w:rPr>
        <w:t>Unilever reinvents strategic direction by delivering innovative Client Server</w:t>
      </w:r>
    </w:p>
    <w:p>
      <w:pPr>
        <w:jc w:val="center"/>
        <w:rPr>
          <w:rFonts w:hint="default" w:eastAsia="宋体" w:cs="Times New Roman" w:asciiTheme="minorAscii" w:hAnsiTheme="minorAscii"/>
          <w:b/>
          <w:sz w:val="28"/>
          <w:szCs w:val="28"/>
          <w:lang w:val="en-GB" w:eastAsia="zh-CN"/>
        </w:rPr>
      </w:pPr>
      <w:r>
        <w:rPr>
          <w:rFonts w:hint="default" w:eastAsia="宋体" w:cs="Times New Roman" w:asciiTheme="minorAscii" w:hAnsiTheme="minorAscii"/>
          <w:b/>
          <w:sz w:val="28"/>
          <w:szCs w:val="28"/>
          <w:lang w:val="en-GB" w:eastAsia="zh-CN"/>
        </w:rPr>
        <w:drawing>
          <wp:inline distT="0" distB="0" distL="114300" distR="114300">
            <wp:extent cx="6645275" cy="4432300"/>
            <wp:effectExtent l="0" t="0" r="9525" b="0"/>
            <wp:docPr id="5" name="图片 5" descr="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图片 1"/>
                    <pic:cNvPicPr>
                      <a:picLocks noChangeAspect="1"/>
                    </pic:cNvPicPr>
                  </pic:nvPicPr>
                  <pic:blipFill>
                    <a:blip r:embed="rId6"/>
                    <a:stretch>
                      <a:fillRect/>
                    </a:stretch>
                  </pic:blipFill>
                  <pic:spPr>
                    <a:xfrm>
                      <a:off x="0" y="0"/>
                      <a:ext cx="6645275" cy="4432300"/>
                    </a:xfrm>
                    <a:prstGeom prst="rect">
                      <a:avLst/>
                    </a:prstGeom>
                  </pic:spPr>
                </pic:pic>
              </a:graphicData>
            </a:graphic>
          </wp:inline>
        </w:drawing>
      </w:r>
    </w:p>
    <w:p>
      <w:pPr>
        <w:pStyle w:val="2"/>
        <w:bidi w:val="0"/>
        <w:jc w:val="center"/>
        <w:rPr>
          <w:rFonts w:hint="default" w:ascii="Times New Roman" w:hAnsi="Times New Roman" w:cs="Times New Roman"/>
          <w:b/>
          <w:bCs w:val="0"/>
          <w:sz w:val="52"/>
          <w:szCs w:val="52"/>
        </w:rPr>
      </w:pPr>
      <w:r>
        <w:rPr>
          <w:rFonts w:hint="default" w:ascii="Times New Roman" w:hAnsi="Times New Roman" w:cs="Times New Roman"/>
          <w:b/>
          <w:bCs w:val="0"/>
          <w:sz w:val="52"/>
          <w:szCs w:val="52"/>
        </w:rPr>
        <w:t>July 2023</w:t>
      </w:r>
    </w:p>
    <w:p>
      <w:pPr>
        <w:pStyle w:val="3"/>
        <w:bidi w:val="0"/>
        <w:rPr>
          <w:rFonts w:hint="default" w:asciiTheme="minorAscii" w:hAnsiTheme="minorAscii"/>
          <w:sz w:val="28"/>
          <w:szCs w:val="28"/>
        </w:rPr>
      </w:pPr>
    </w:p>
    <w:p>
      <w:pPr>
        <w:pStyle w:val="3"/>
        <w:bidi w:val="0"/>
        <w:rPr>
          <w:rFonts w:hint="default" w:ascii="Times New Roman" w:hAnsi="Times New Roman" w:cs="Times New Roman"/>
          <w:b/>
          <w:bCs w:val="0"/>
          <w:sz w:val="28"/>
          <w:szCs w:val="28"/>
          <w:lang w:val="en-US" w:eastAsia="zh-CN"/>
        </w:rPr>
      </w:pPr>
      <w:r>
        <w:rPr>
          <w:rFonts w:hint="default" w:ascii="Times New Roman" w:hAnsi="Times New Roman" w:cs="Times New Roman"/>
          <w:b/>
          <w:bCs w:val="0"/>
          <w:sz w:val="28"/>
          <w:szCs w:val="28"/>
          <w:lang w:val="en-US" w:eastAsia="zh-CN"/>
        </w:rPr>
        <w:t>MODULE NAME:Strategic Management</w:t>
      </w:r>
    </w:p>
    <w:p>
      <w:pPr>
        <w:pStyle w:val="3"/>
        <w:bidi w:val="0"/>
        <w:rPr>
          <w:rFonts w:hint="default" w:ascii="Times New Roman" w:hAnsi="Times New Roman" w:cs="Times New Roman"/>
          <w:b/>
          <w:bCs w:val="0"/>
          <w:sz w:val="28"/>
          <w:szCs w:val="28"/>
          <w:lang w:val="en-US" w:eastAsia="zh-CN"/>
        </w:rPr>
      </w:pPr>
      <w:r>
        <w:rPr>
          <w:rFonts w:hint="default" w:ascii="Times New Roman" w:hAnsi="Times New Roman" w:cs="Times New Roman"/>
          <w:b/>
          <w:bCs w:val="0"/>
          <w:sz w:val="28"/>
          <w:szCs w:val="28"/>
          <w:lang w:val="en-US" w:eastAsia="zh-CN"/>
        </w:rPr>
        <w:t>NAME:Jiaoxiu Liu</w:t>
      </w:r>
      <w:bookmarkStart w:id="27" w:name="_GoBack"/>
      <w:bookmarkEnd w:id="27"/>
    </w:p>
    <w:p>
      <w:pPr>
        <w:pStyle w:val="3"/>
        <w:bidi w:val="0"/>
        <w:rPr>
          <w:b/>
          <w:bCs w:val="0"/>
        </w:rPr>
      </w:pPr>
      <w:r>
        <w:rPr>
          <w:rFonts w:hint="default" w:ascii="Times New Roman" w:hAnsi="Times New Roman" w:cs="Times New Roman"/>
          <w:b/>
          <w:bCs w:val="0"/>
          <w:sz w:val="28"/>
          <w:szCs w:val="28"/>
          <w:lang w:val="en-US" w:eastAsia="zh-CN"/>
        </w:rPr>
        <w:t>STUDENT NUMBER:2234155</w:t>
      </w:r>
    </w:p>
    <w:p/>
    <w:p/>
    <w:p/>
    <w:p/>
    <w:p/>
    <w:sdt>
      <w:sdtPr>
        <w:rPr>
          <w:rFonts w:ascii="宋体" w:hAnsi="宋体" w:eastAsia="宋体" w:cstheme="minorBidi"/>
          <w:sz w:val="21"/>
          <w:lang w:val="en-US" w:eastAsia="zh-CN" w:bidi="ar-SA"/>
        </w:rPr>
        <w:id w:val="147469673"/>
        <w15:color w:val="DBDBDB"/>
        <w:docPartObj>
          <w:docPartGallery w:val="Table of Contents"/>
          <w:docPartUnique/>
        </w:docPartObj>
      </w:sdtPr>
      <w:sdtEndPr>
        <w:rPr>
          <w:rFonts w:hint="default" w:ascii="Times New Roman" w:hAnsi="Times New Roman" w:cs="Times New Roman" w:eastAsiaTheme="minorEastAsia"/>
          <w:sz w:val="24"/>
          <w:szCs w:val="24"/>
          <w:lang w:val="en-US" w:eastAsia="zh-CN" w:bidi="ar-SA"/>
        </w:rPr>
      </w:sdtEndPr>
      <w:sdtContent>
        <w:p>
          <w:pPr>
            <w:spacing w:before="0" w:beforeLines="0" w:after="0" w:afterLines="0" w:line="360" w:lineRule="auto"/>
            <w:ind w:left="0" w:leftChars="0" w:right="0" w:rightChars="0" w:firstLine="0" w:firstLineChars="0"/>
            <w:jc w:val="center"/>
            <w:rPr>
              <w:rFonts w:hint="default" w:ascii="Times New Roman" w:hAnsi="Times New Roman" w:cs="Times New Roman"/>
              <w:sz w:val="24"/>
              <w:szCs w:val="24"/>
              <w:lang w:val="en-MY"/>
            </w:rPr>
          </w:pPr>
          <w:r>
            <w:rPr>
              <w:rFonts w:hint="default" w:ascii="Times New Roman" w:hAnsi="Times New Roman" w:eastAsia="宋体" w:cs="Times New Roman"/>
              <w:sz w:val="24"/>
              <w:szCs w:val="24"/>
              <w:lang w:val="en-MY" w:eastAsia="zh-CN" w:bidi="ar-SA"/>
            </w:rPr>
            <w:t>Table of Content</w:t>
          </w:r>
        </w:p>
        <w:p>
          <w:pPr>
            <w:pStyle w:val="9"/>
            <w:tabs>
              <w:tab w:val="right" w:leader="dot" w:pos="1046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p>
        <w:p>
          <w:pPr>
            <w:pStyle w:val="8"/>
            <w:tabs>
              <w:tab w:val="right" w:leader="dot" w:pos="1046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_Toc17280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MY"/>
            </w:rPr>
            <w:t>Executive 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_Toc17280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III</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1046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_Toc23997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rPr>
            <w:t>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_Toc23997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1046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_Toc13923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rPr>
            <w:t>Internal and External Strategic Analysis and Evaluation of Unilever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_Toc13923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1046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_Toc15180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rPr>
            <w:t>Mission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_Toc15180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1046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_Toc12594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rPr>
            <w:t>Vision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_Toc12594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1046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_Toc28174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rPr>
            <w:t>Value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_Toc28174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1046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_Toc5760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rPr>
            <w:t>Company’s objective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_Toc5760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1046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_Toc4112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rPr>
            <w:t>Corporate Social Responsibility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_Toc4112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1046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_Toc23260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rPr>
            <w:t>Customers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_Toc23260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1046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_Toc25455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rPr>
            <w:t>Employees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_Toc25455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1046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_Toc8317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rPr>
            <w:t>Suppliers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_Toc8317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1046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_Toc28657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rPr>
            <w:t>Porter's Generic Strategies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_Toc28657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1046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_Toc3307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rPr>
            <w:t>Cost leadership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_Toc3307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1046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_Toc30314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rPr>
            <w:t>Differentiation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_Toc30314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1046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_Toc4435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rPr>
            <w:t>Focus Differentiation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_Toc4435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1046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_Toc12379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rPr>
            <w:t>Focus Cost Leadership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_Toc12379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1046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_Toc25133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rPr>
            <w:t>Porter's five forces of competitive position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_Toc25133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1046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_Toc17767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rPr>
            <w:t>Low customer barganing power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_Toc17767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1046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_Toc346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rPr>
            <w:t>Moderate Threat of Substitutes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_Toc346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1046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_Toc28050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rPr>
            <w:t>High Competitive Rivalry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_Toc28050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1046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_Toc5603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rPr>
            <w:t>Low Supplier barganing power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_Toc5603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5"/>
            <w:tabs>
              <w:tab w:val="right" w:leader="dot" w:pos="1046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_Toc11887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rPr>
            <w:t>Moderate Threat of New Entrance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_Toc11887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1046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_Toc26369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rPr>
            <w:t>SWOT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_Toc26369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1046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_Toc21146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rPr>
            <w:t>PESTLE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_Toc21146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1046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_Toc15383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rPr>
            <w:t>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_Toc15383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1046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_Toc30262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rPr>
            <w:t>Recommendations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_Toc30262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8"/>
            <w:tabs>
              <w:tab w:val="right" w:leader="dot" w:pos="10466"/>
            </w:tabs>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_Toc12738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rPr>
            <w:t>References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_Toc12738 \h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fldChar w:fldCharType="end"/>
          </w:r>
        </w:p>
      </w:sdtContent>
    </w:sdt>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rPr>
          <w:rFonts w:hint="default" w:ascii="Times New Roman" w:hAnsi="Times New Roman" w:cs="Times New Roman"/>
          <w:sz w:val="24"/>
          <w:szCs w:val="24"/>
        </w:rPr>
      </w:pPr>
    </w:p>
    <w:p>
      <w:pPr>
        <w:pStyle w:val="2"/>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MY"/>
        </w:rPr>
      </w:pPr>
      <w:bookmarkStart w:id="0" w:name="_Toc17280"/>
      <w:r>
        <w:rPr>
          <w:rFonts w:hint="default" w:ascii="Times New Roman" w:hAnsi="Times New Roman" w:cs="Times New Roman"/>
          <w:sz w:val="24"/>
          <w:szCs w:val="24"/>
          <w:lang w:val="en-MY"/>
        </w:rPr>
        <w:t>Executive Summary</w:t>
      </w:r>
      <w:bookmarkEnd w:id="0"/>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MY"/>
        </w:rPr>
      </w:pPr>
      <w:r>
        <w:rPr>
          <w:rFonts w:hint="default" w:ascii="Times New Roman" w:hAnsi="Times New Roman" w:cs="Times New Roman"/>
          <w:sz w:val="24"/>
          <w:szCs w:val="24"/>
          <w:lang w:val="en-MY"/>
        </w:rPr>
        <w:t>This report provides a comprehensive overview of Unilever, focusing on its internal and external strategic analysis, mission, vision, values, objectives, corporate social responsibility, customers, employees, suppliers, Porter's Generic Strategies, Porter's Five Forces analysis, SWOT analysis, PESTLE analysis, and concludes with recommendations for the company. Unilever is a multinational consumer goods company committed to sustainable growth and responsible practices. With a mission to meet daily needs while making a positive impact, Unilever envisions a future where its products enhance lives and reduce environmental impact. Guided by values of integrity and respect, the company focuses on delivering financial performance and creating value for stakeholders. By integrating sustainability and promoting social inclusivity, Unilever fulfills its corporate social responsibility. Strategic partnerships with suppliers, customer-centric approaches, and the adoption of competitive strategies contribute to Unilever's success as a global leader in the industry.</w:t>
      </w:r>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pPr>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rPr>
        <w:sectPr>
          <w:footerReference r:id="rId3" w:type="default"/>
          <w:pgSz w:w="11906" w:h="16838"/>
          <w:pgMar w:top="720" w:right="720" w:bottom="720" w:left="720" w:header="720" w:footer="720" w:gutter="0"/>
          <w:pgNumType w:fmt="upperRoman" w:start="1"/>
          <w:cols w:space="720" w:num="1"/>
          <w:docGrid w:linePitch="360" w:charSpace="0"/>
        </w:sectPr>
      </w:pPr>
    </w:p>
    <w:p>
      <w:pPr>
        <w:pStyle w:val="2"/>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rPr>
      </w:pPr>
      <w:bookmarkStart w:id="1" w:name="_Toc23997"/>
      <w:r>
        <w:rPr>
          <w:rFonts w:hint="default" w:ascii="Times New Roman" w:hAnsi="Times New Roman" w:cs="Times New Roman"/>
          <w:sz w:val="24"/>
          <w:szCs w:val="24"/>
          <w:lang w:val="en-US"/>
        </w:rPr>
        <w:t>Introduction</w:t>
      </w:r>
      <w:bookmarkEnd w:id="1"/>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The COVID-19 pandemic has had a profound impact on various aspects of human life, including work, education, and business. Governments and organizations are working to find solutions to continue these activities, although at a reduced intensity (Bailey and Breslin, 2021). In today's business world, strategic planning is crucial for companies. It involves creating a well-defined plan that incorporates the company's mission and vision. With intense competition, entrepreneurs use different strategic tools to overcome obstacles and achieve their goals. Once a plan is established, the organization must create a consistent framework for future operations. Unilever, a leading consumer goods manufacturer, serves as a case study for analyzing their strategic approach and managerial development (Zou, 2021).</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In our daily lives, we consume a significant amount of products that are divided into numerous brands. This proliferation of brands, accompanied by their well-known trademarks, greatly contributes to our overall satisfaction and enjoyment of our lifestyles. The success of a business depends on its strategic decisions, shaping its future direction. Unilever, as a prominent market leader, has taken on the responsibility of manufacturing a wide range of products to enhance people's quality of life (Bocken and Short, 2021). Unilever's core objective is to offer superior goods that ensure maximum customer satisfaction. With ownership of over 400 brands, Unilever strives to provide consumers with an enhanced sense of well-being (Kpoku, 2021). By improving physical appearances and nurturing their senses, Unilever actively contributes to the development of a healthier life for its customers. Hence, Unilever's primary focus is on creating a sustainable way of living, making it the most sought-after brand for almost every product or service they offer.</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Unilever, a renowned company, specializes in the production and sale of consumer goods such as cleaning products, beverages, and personal care items (Benfratello and Shiqian, 2021). The firm was established in 1929 through the merger of a soap manufacturer and a margarine manufacturer. Unilever is listed on two stock exchanges, namely Unilever PLC in London and Unilever NV in Rotterdam (Chandra and Jatmika, 2022). The company is committed to making sustainable living the standard and places great importance on attributes that give its products a competitive advantage. Unilever's business model stands out due to its significant upfront investments, which can only be recovered over a longer period of time (Fawcett and Waller, 2015). While the corporation has achieved its financial goals and fulfilled its social and environmental responsibilities, this approach has led to a complex set of challenges. The main difficulty lies in the company's ability to sustain its delicate balance in the future. Recognizing the need for greater measures, the company's management has acknowledged the importance of addressing water usage and greenhouse gas emissions to fulfill its objectives. Despite certain limitations in the strategy, Unilever CEO Paul Polman considers the Unilever Sustainable Living Plan (USLP) to be making good progress (Murphy, 2018). The strategic management process can be defined as the generation of fresh ideas related to key objectives and their implementation by high-level executives. This is demonstrated by the upper-level managers who hold positions in the company. Business strategies also take into consideration the assets and the environment in which the business operates. Following a thorough assessment, the company undertakes activities aimed at creating and sustaining competitive advantages.</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drawing>
          <wp:anchor distT="0" distB="0" distL="114300" distR="114300" simplePos="0" relativeHeight="251659264" behindDoc="1" locked="0" layoutInCell="1" allowOverlap="1">
            <wp:simplePos x="0" y="0"/>
            <wp:positionH relativeFrom="column">
              <wp:posOffset>1114425</wp:posOffset>
            </wp:positionH>
            <wp:positionV relativeFrom="paragraph">
              <wp:posOffset>226695</wp:posOffset>
            </wp:positionV>
            <wp:extent cx="4676775" cy="3001645"/>
            <wp:effectExtent l="0" t="0" r="9525" b="8255"/>
            <wp:wrapThrough wrapText="bothSides">
              <wp:wrapPolygon>
                <wp:start x="0" y="0"/>
                <wp:lineTo x="0" y="21522"/>
                <wp:lineTo x="21556" y="21522"/>
                <wp:lineTo x="21556" y="0"/>
                <wp:lineTo x="0" y="0"/>
              </wp:wrapPolygon>
            </wp:wrapThrough>
            <wp:docPr id="1" name="Picture 1" descr="Strategic Management Process 6 Ste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trategic Management Process 6 Steps"/>
                    <pic:cNvPicPr>
                      <a:picLocks noChangeAspect="1"/>
                    </pic:cNvPicPr>
                  </pic:nvPicPr>
                  <pic:blipFill>
                    <a:blip r:embed="rId7"/>
                    <a:srcRect l="3189" t="4480" r="4690" b="7280"/>
                    <a:stretch>
                      <a:fillRect/>
                    </a:stretch>
                  </pic:blipFill>
                  <pic:spPr>
                    <a:xfrm>
                      <a:off x="0" y="0"/>
                      <a:ext cx="4676775" cy="3001645"/>
                    </a:xfrm>
                    <a:prstGeom prst="rect">
                      <a:avLst/>
                    </a:prstGeom>
                  </pic:spPr>
                </pic:pic>
              </a:graphicData>
            </a:graphic>
          </wp:anchor>
        </w:drawing>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rPr>
      </w:pPr>
    </w:p>
    <w:p>
      <w:pPr>
        <w:pageBreakBefore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lang w:val="en-US"/>
        </w:rPr>
      </w:pPr>
    </w:p>
    <w:p>
      <w:pPr>
        <w:pageBreakBefore w:val="0"/>
        <w:kinsoku/>
        <w:wordWrap/>
        <w:overflowPunct/>
        <w:topLinePunct w:val="0"/>
        <w:autoSpaceDE/>
        <w:autoSpaceDN/>
        <w:bidi w:val="0"/>
        <w:adjustRightInd/>
        <w:snapToGrid/>
        <w:spacing w:line="480" w:lineRule="auto"/>
        <w:jc w:val="center"/>
        <w:textAlignment w:val="auto"/>
        <w:rPr>
          <w:rFonts w:hint="default" w:ascii="Times New Roman" w:hAnsi="Times New Roman" w:cs="Times New Roman"/>
          <w:sz w:val="24"/>
          <w:szCs w:val="24"/>
          <w:lang w:val="en-US"/>
        </w:rPr>
      </w:pPr>
      <w:r>
        <w:rPr>
          <w:rFonts w:hint="default" w:ascii="Times New Roman" w:hAnsi="Times New Roman" w:cs="Times New Roman"/>
          <w:sz w:val="24"/>
          <w:szCs w:val="24"/>
          <w:lang w:val="en-US"/>
        </w:rPr>
        <w:t>Figure 1: 6 Steps of Strategic Management (higherstudyorg, 2017)</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lang w:val="en-US"/>
        </w:rPr>
      </w:pPr>
    </w:p>
    <w:p>
      <w:pPr>
        <w:pStyle w:val="2"/>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rPr>
      </w:pPr>
      <w:bookmarkStart w:id="2" w:name="_Toc13923"/>
      <w:r>
        <w:rPr>
          <w:rFonts w:hint="default" w:ascii="Times New Roman" w:hAnsi="Times New Roman" w:cs="Times New Roman"/>
          <w:sz w:val="24"/>
          <w:szCs w:val="24"/>
          <w:lang w:val="en-US"/>
        </w:rPr>
        <w:t>Internal and External Strategic Analysis and Evaluation of Unilever</w:t>
      </w:r>
      <w:bookmarkEnd w:id="2"/>
    </w:p>
    <w:p>
      <w:pPr>
        <w:pStyle w:val="3"/>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single"/>
          <w:lang w:val="en-US"/>
        </w:rPr>
      </w:pPr>
      <w:bookmarkStart w:id="3" w:name="_Toc15180"/>
      <w:r>
        <w:rPr>
          <w:rFonts w:hint="default" w:ascii="Times New Roman" w:hAnsi="Times New Roman" w:cs="Times New Roman"/>
          <w:sz w:val="24"/>
          <w:szCs w:val="24"/>
          <w:u w:val="single"/>
          <w:lang w:val="en-US"/>
        </w:rPr>
        <w:t>Mission Analysis</w:t>
      </w:r>
      <w:bookmarkEnd w:id="3"/>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r>
        <w:rPr>
          <w:rFonts w:hint="default" w:ascii="Times New Roman" w:hAnsi="Times New Roman" w:cs="Times New Roman"/>
          <w:sz w:val="24"/>
          <w:szCs w:val="24"/>
          <w:u w:val="none"/>
          <w:lang w:val="en-US"/>
        </w:rPr>
        <w:t>Unilever's mission is to improve people's lives by providing Vitality through personal care, hygiene, and nutrition (Mirvis, 2011). They strive to meet diverse needs and help individuals lead prosperous and obstacle-free lives. Unilever's commitment extends globally, supporting people's fundamental requirements for food and nutrition. By delivering their services to diverse populations, Unilever has gained widespread recognition, becoming one of Europe's largest companies and generating substantial revenue (Mirvis, 2011).</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r>
        <w:rPr>
          <w:rFonts w:hint="default" w:ascii="Times New Roman" w:hAnsi="Times New Roman" w:cs="Times New Roman"/>
          <w:sz w:val="24"/>
          <w:szCs w:val="24"/>
          <w:u w:val="none"/>
          <w:lang w:val="en-US"/>
        </w:rPr>
        <w:t>In 2009, Unilever adopted a sustainable living system. They aim to double their business while actively addressing environmental concerns and minimizing their impact on the planet (Whiteman, Walker and Perego, 2013). Sustainability and social issues are key priorities for Unilever, guiding their business practices.</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r>
        <w:rPr>
          <w:rFonts w:hint="default" w:ascii="Times New Roman" w:hAnsi="Times New Roman" w:cs="Times New Roman"/>
          <w:sz w:val="24"/>
          <w:szCs w:val="24"/>
          <w:u w:val="none"/>
          <w:lang w:val="en-US"/>
        </w:rPr>
        <w:t>Unilever leverages its diverse range of expertise and knowledgeable individuals across various regions to offer high-quality products that make a positive difference (Spreitzer, 2006). They collaborate with industry partners and believe that by leveraging their presence and multiple brands, they can bring about change and become an integral part of people's lives. Unilever recognizes their responsibility as a business to contribute to society and address global challenges. They are proud to contribute to a more sustainable and equitable planet.</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p>
    <w:p>
      <w:pPr>
        <w:pStyle w:val="3"/>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single"/>
          <w:lang w:val="en-US"/>
        </w:rPr>
      </w:pPr>
      <w:bookmarkStart w:id="4" w:name="_Toc12594"/>
      <w:r>
        <w:rPr>
          <w:rFonts w:hint="default" w:ascii="Times New Roman" w:hAnsi="Times New Roman" w:cs="Times New Roman"/>
          <w:sz w:val="24"/>
          <w:szCs w:val="24"/>
          <w:u w:val="single"/>
          <w:lang w:val="en-US"/>
        </w:rPr>
        <w:t>Vision Analysis</w:t>
      </w:r>
      <w:bookmarkEnd w:id="4"/>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r>
        <w:rPr>
          <w:rFonts w:hint="default" w:ascii="Times New Roman" w:hAnsi="Times New Roman" w:cs="Times New Roman"/>
          <w:sz w:val="24"/>
          <w:szCs w:val="24"/>
          <w:u w:val="none"/>
          <w:lang w:val="en-US"/>
        </w:rPr>
        <w:t>During its development, Unilever incorporated a forward-looking vision statement that emphasized the goal of "making sustainable living commonplace." This vision was carefully chosen by Unilever to primarily focus on sustainability for its customers in the United Kingdom (Bhattacharya, 2019). To realize this vision, the company engaged in various initiatives, such as enhancing convenience by reducing product prices and ensuring timely delivery to customers. These efforts have enabled Unilever to maintain its leading position in the industry up to the present day. Currently, the company continues to strive towards its vision by prioritizing prompt product delivery and maintaining competitive pricing to retain its customer base and avoid losing them to rival companies.</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p>
    <w:p>
      <w:pPr>
        <w:pStyle w:val="3"/>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single"/>
          <w:lang w:val="en-US"/>
        </w:rPr>
      </w:pPr>
      <w:bookmarkStart w:id="5" w:name="_Toc28174"/>
      <w:r>
        <w:rPr>
          <w:rFonts w:hint="default" w:ascii="Times New Roman" w:hAnsi="Times New Roman" w:cs="Times New Roman"/>
          <w:sz w:val="24"/>
          <w:szCs w:val="24"/>
          <w:u w:val="single"/>
          <w:lang w:val="en-US"/>
        </w:rPr>
        <w:t>Value analysis</w:t>
      </w:r>
      <w:bookmarkEnd w:id="5"/>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r>
        <w:rPr>
          <w:rFonts w:hint="default" w:ascii="Times New Roman" w:hAnsi="Times New Roman" w:cs="Times New Roman"/>
          <w:sz w:val="24"/>
          <w:szCs w:val="24"/>
          <w:u w:val="none"/>
          <w:lang w:val="en-US"/>
        </w:rPr>
        <w:t>Establishing and adhering to key values is crucial for successful company development. Unilever's four essential business values are integrity, responsibility, pioneering, and respect (Cetinelli, 2016). Integrity fosters honesty, while responsibility ensures employees fulfill their roles effectively. Pioneering encourages innovation and implementing new ideas. Respect promotes collaboration, leading to timely product delivery. These values drive growth, efficiency, and productivity within the organization.</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p>
    <w:p>
      <w:pPr>
        <w:pStyle w:val="3"/>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single"/>
          <w:lang w:val="en-US"/>
        </w:rPr>
      </w:pPr>
      <w:bookmarkStart w:id="6" w:name="_Toc5760"/>
      <w:r>
        <w:rPr>
          <w:rFonts w:hint="default" w:ascii="Times New Roman" w:hAnsi="Times New Roman" w:cs="Times New Roman"/>
          <w:sz w:val="24"/>
          <w:szCs w:val="24"/>
          <w:u w:val="single"/>
          <w:lang w:val="en-US"/>
        </w:rPr>
        <w:t>Company’s objective analysis</w:t>
      </w:r>
      <w:bookmarkEnd w:id="6"/>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r>
        <w:rPr>
          <w:rFonts w:hint="default" w:ascii="Times New Roman" w:hAnsi="Times New Roman" w:cs="Times New Roman"/>
          <w:sz w:val="24"/>
          <w:szCs w:val="24"/>
          <w:u w:val="none"/>
          <w:lang w:val="en-US"/>
        </w:rPr>
        <w:t>Unilever's primary goal is to improve the well-being and quality of life for individuals, particularly in terms of hygiene (Newson, et al., 2013). To promote better health, the company manufactures a range of food products that are low in cholesterol and other harmful substances, thereby minimizing potential adverse effects on consumers' health in the long run. Moreover, Unilever ensures that any product it sells meets stringent criteria for both nutritional balance and safety, guaranteeing that people can consume them without any concerns (Eden, 2011).</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r>
        <w:rPr>
          <w:rFonts w:hint="default" w:ascii="Times New Roman" w:hAnsi="Times New Roman" w:cs="Times New Roman"/>
          <w:sz w:val="24"/>
          <w:szCs w:val="24"/>
          <w:u w:val="none"/>
          <w:lang w:val="en-US"/>
        </w:rPr>
        <w:t>Additionally, the company strives to enhance people's living conditions, ultimately raising their standards of living. To achieve this, Unilever offers a diverse selection of soaps and detergents, enabling individuals to purchase and maintain clean and hygienic living environments. By providing these products, Unilever supports people in their pursuit of improved living standards.</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p>
    <w:p>
      <w:pPr>
        <w:pStyle w:val="3"/>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single"/>
          <w:lang w:val="en-US"/>
        </w:rPr>
      </w:pPr>
      <w:bookmarkStart w:id="7" w:name="_Toc4112"/>
      <w:r>
        <w:rPr>
          <w:rFonts w:hint="default" w:ascii="Times New Roman" w:hAnsi="Times New Roman" w:cs="Times New Roman"/>
          <w:sz w:val="24"/>
          <w:szCs w:val="24"/>
          <w:u w:val="single"/>
          <w:lang w:val="en-US"/>
        </w:rPr>
        <w:t>Corporate Social Responsibility</w:t>
      </w:r>
      <w:bookmarkEnd w:id="7"/>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r>
        <w:rPr>
          <w:rFonts w:hint="default" w:ascii="Times New Roman" w:hAnsi="Times New Roman" w:cs="Times New Roman"/>
          <w:sz w:val="24"/>
          <w:szCs w:val="24"/>
          <w:u w:val="none"/>
          <w:lang w:val="en-US"/>
        </w:rPr>
        <w:t>Unilever adopts a comprehensive strategy to fulfill its ethical responsibilities. This strategy aims to uphold the business's ethical values, with a specific focus on meeting the needs and priorities of customers as stakeholders</w:t>
      </w:r>
      <w:r>
        <w:rPr>
          <w:rFonts w:hint="default" w:ascii="Times New Roman" w:hAnsi="Times New Roman" w:cs="Times New Roman"/>
          <w:sz w:val="24"/>
          <w:szCs w:val="24"/>
          <w:u w:val="none"/>
          <w:lang w:val="en-MY"/>
        </w:rPr>
        <w:t xml:space="preserve"> (Piercy and Lane, 2009)</w:t>
      </w:r>
      <w:r>
        <w:rPr>
          <w:rFonts w:hint="default" w:ascii="Times New Roman" w:hAnsi="Times New Roman" w:cs="Times New Roman"/>
          <w:sz w:val="24"/>
          <w:szCs w:val="24"/>
          <w:u w:val="none"/>
          <w:lang w:val="en-US"/>
        </w:rPr>
        <w:t>. Unilever places a strong emphasis on corporate social responsibility (CSR), giving top priority to customers. This approach also ensures the continuity of the company's operations. The corporate accountability strategies implemented by Unilever encompass various stakeholders, prioritized based on their significance in the consumer products enterprise. These stakeholders include  customers, employees, suppliers, and societies.</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p>
    <w:p>
      <w:pPr>
        <w:pStyle w:val="4"/>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rPr>
      </w:pPr>
      <w:bookmarkStart w:id="8" w:name="_Toc23260"/>
      <w:r>
        <w:rPr>
          <w:rFonts w:hint="default" w:ascii="Times New Roman" w:hAnsi="Times New Roman" w:cs="Times New Roman"/>
          <w:sz w:val="24"/>
          <w:szCs w:val="24"/>
          <w:lang w:val="en-US"/>
        </w:rPr>
        <w:t>Customers</w:t>
      </w:r>
      <w:bookmarkEnd w:id="8"/>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r>
        <w:rPr>
          <w:rFonts w:hint="default" w:ascii="Times New Roman" w:hAnsi="Times New Roman" w:cs="Times New Roman"/>
          <w:sz w:val="24"/>
          <w:szCs w:val="24"/>
          <w:u w:val="none"/>
          <w:lang w:val="en-US"/>
        </w:rPr>
        <w:t>The primary focus of Unilever's Corporate Sustainability Policy is to prioritize customer satisfaction. The concerns of these stakeholders are influenced by factors such as product nature, pricing, and the environmental impact of the consumer goods industry</w:t>
      </w:r>
      <w:r>
        <w:rPr>
          <w:rFonts w:hint="default" w:ascii="Times New Roman" w:hAnsi="Times New Roman" w:cs="Times New Roman"/>
          <w:sz w:val="24"/>
          <w:szCs w:val="24"/>
          <w:u w:val="none"/>
          <w:lang w:val="en-MY"/>
        </w:rPr>
        <w:t xml:space="preserve"> (Lim, 2022)</w:t>
      </w:r>
      <w:r>
        <w:rPr>
          <w:rFonts w:hint="default" w:ascii="Times New Roman" w:hAnsi="Times New Roman" w:cs="Times New Roman"/>
          <w:sz w:val="24"/>
          <w:szCs w:val="24"/>
          <w:u w:val="none"/>
          <w:lang w:val="en-US"/>
        </w:rPr>
        <w:t>. Unilever places significant importance on consumers as they directly contribute to the company's earnings. Satisfied customers, in particular, contribute to the company's recurring sales revenue</w:t>
      </w:r>
      <w:r>
        <w:rPr>
          <w:rFonts w:hint="default" w:ascii="Times New Roman" w:hAnsi="Times New Roman" w:cs="Times New Roman"/>
          <w:sz w:val="24"/>
          <w:szCs w:val="24"/>
          <w:u w:val="none"/>
          <w:lang w:val="en-MY"/>
        </w:rPr>
        <w:t xml:space="preserve"> (Kumar, et al., 2013)</w:t>
      </w:r>
      <w:r>
        <w:rPr>
          <w:rFonts w:hint="default" w:ascii="Times New Roman" w:hAnsi="Times New Roman" w:cs="Times New Roman"/>
          <w:sz w:val="24"/>
          <w:szCs w:val="24"/>
          <w:u w:val="none"/>
          <w:lang w:val="en-US"/>
        </w:rPr>
        <w:t>. To achieve these objectives, Unilever employs extensive innovation mechanisms and quality assurance policies, encompassing a diverse range of products. Additionally, the firm's CSR approach addresses the market competitiveness requirements of this customer segment</w:t>
      </w:r>
      <w:r>
        <w:rPr>
          <w:rFonts w:hint="default" w:ascii="Times New Roman" w:hAnsi="Times New Roman" w:cs="Times New Roman"/>
          <w:sz w:val="24"/>
          <w:szCs w:val="24"/>
          <w:u w:val="none"/>
          <w:lang w:val="en-MY"/>
        </w:rPr>
        <w:t xml:space="preserve"> (Grant, 2021)</w:t>
      </w:r>
      <w:r>
        <w:rPr>
          <w:rFonts w:hint="default" w:ascii="Times New Roman" w:hAnsi="Times New Roman" w:cs="Times New Roman"/>
          <w:sz w:val="24"/>
          <w:szCs w:val="24"/>
          <w:u w:val="none"/>
          <w:lang w:val="en-US"/>
        </w:rPr>
        <w:t>. For instance, Unilever consistently works towards minimizing the environmental footprint of its manufacturing practices</w:t>
      </w:r>
      <w:r>
        <w:rPr>
          <w:rFonts w:hint="default" w:ascii="Times New Roman" w:hAnsi="Times New Roman" w:cs="Times New Roman"/>
          <w:sz w:val="24"/>
          <w:szCs w:val="24"/>
          <w:u w:val="none"/>
          <w:lang w:val="en-MY"/>
        </w:rPr>
        <w:t xml:space="preserve"> (Lawrence, Rasche and Kenny, 2018)</w:t>
      </w:r>
      <w:r>
        <w:rPr>
          <w:rFonts w:hint="default" w:ascii="Times New Roman" w:hAnsi="Times New Roman" w:cs="Times New Roman"/>
          <w:sz w:val="24"/>
          <w:szCs w:val="24"/>
          <w:u w:val="none"/>
          <w:lang w:val="en-US"/>
        </w:rPr>
        <w:t>. Consequently, the company presents a robust image of its business operations, aiming to influence customers' perspectives. Through these efforts to promote corporate social responsibility, Unilever secures its position in the consumer products market by meeting the diverse demands of its customers</w:t>
      </w:r>
      <w:r>
        <w:rPr>
          <w:rFonts w:hint="default" w:ascii="Times New Roman" w:hAnsi="Times New Roman" w:cs="Times New Roman"/>
          <w:sz w:val="24"/>
          <w:szCs w:val="24"/>
          <w:u w:val="none"/>
          <w:lang w:val="en-MY"/>
        </w:rPr>
        <w:t xml:space="preserve"> (Dirisu, Iyiola and Ibidunni, 2013)</w:t>
      </w:r>
      <w:r>
        <w:rPr>
          <w:rFonts w:hint="default" w:ascii="Times New Roman" w:hAnsi="Times New Roman" w:cs="Times New Roman"/>
          <w:sz w:val="24"/>
          <w:szCs w:val="24"/>
          <w:u w:val="none"/>
          <w:lang w:val="en-US"/>
        </w:rPr>
        <w:t>.</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p>
    <w:p>
      <w:pPr>
        <w:pStyle w:val="4"/>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rPr>
      </w:pPr>
      <w:bookmarkStart w:id="9" w:name="_Toc25455"/>
      <w:r>
        <w:rPr>
          <w:rFonts w:hint="default" w:ascii="Times New Roman" w:hAnsi="Times New Roman" w:cs="Times New Roman"/>
          <w:sz w:val="24"/>
          <w:szCs w:val="24"/>
          <w:lang w:val="en-US"/>
        </w:rPr>
        <w:t>Employees</w:t>
      </w:r>
      <w:bookmarkEnd w:id="9"/>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r>
        <w:rPr>
          <w:rFonts w:hint="default" w:ascii="Times New Roman" w:hAnsi="Times New Roman" w:cs="Times New Roman"/>
          <w:sz w:val="24"/>
          <w:szCs w:val="24"/>
          <w:u w:val="none"/>
          <w:lang w:val="en-US"/>
        </w:rPr>
        <w:t>Unilever prioritizes labor practices to support its employees' well-being and career development. The company follows an Agile Working program as part of its corporate social responsibility, fostering a conducive work environment and work-life balance</w:t>
      </w:r>
      <w:r>
        <w:rPr>
          <w:rFonts w:hint="default" w:ascii="Times New Roman" w:hAnsi="Times New Roman" w:cs="Times New Roman"/>
          <w:sz w:val="24"/>
          <w:szCs w:val="24"/>
          <w:u w:val="none"/>
          <w:lang w:val="en-MY"/>
        </w:rPr>
        <w:t xml:space="preserve"> (Morgan, 2014)</w:t>
      </w:r>
      <w:r>
        <w:rPr>
          <w:rFonts w:hint="default" w:ascii="Times New Roman" w:hAnsi="Times New Roman" w:cs="Times New Roman"/>
          <w:sz w:val="24"/>
          <w:szCs w:val="24"/>
          <w:u w:val="none"/>
          <w:lang w:val="en-US"/>
        </w:rPr>
        <w:t>. Unilever implements global best practices and combats mental health stigma by providing resources and learning opportunities</w:t>
      </w:r>
      <w:r>
        <w:rPr>
          <w:rFonts w:hint="default" w:ascii="Times New Roman" w:hAnsi="Times New Roman" w:cs="Times New Roman"/>
          <w:sz w:val="24"/>
          <w:szCs w:val="24"/>
          <w:u w:val="none"/>
          <w:lang w:val="en-MY"/>
        </w:rPr>
        <w:t xml:space="preserve"> (Tyler and Slater, 2018)</w:t>
      </w:r>
      <w:r>
        <w:rPr>
          <w:rFonts w:hint="default" w:ascii="Times New Roman" w:hAnsi="Times New Roman" w:cs="Times New Roman"/>
          <w:sz w:val="24"/>
          <w:szCs w:val="24"/>
          <w:u w:val="none"/>
          <w:lang w:val="en-US"/>
        </w:rPr>
        <w:t>. During the pandemic, the company offers a 24/7 Employee Assistance Program with counseling, life coaching, and financial well-being services to employees and their families</w:t>
      </w:r>
      <w:r>
        <w:rPr>
          <w:rFonts w:hint="default" w:ascii="Times New Roman" w:hAnsi="Times New Roman" w:cs="Times New Roman"/>
          <w:sz w:val="24"/>
          <w:szCs w:val="24"/>
          <w:u w:val="none"/>
          <w:lang w:val="en-MY"/>
        </w:rPr>
        <w:t xml:space="preserve"> (Attridge, 2022)</w:t>
      </w:r>
      <w:r>
        <w:rPr>
          <w:rFonts w:hint="default" w:ascii="Times New Roman" w:hAnsi="Times New Roman" w:cs="Times New Roman"/>
          <w:sz w:val="24"/>
          <w:szCs w:val="24"/>
          <w:u w:val="none"/>
          <w:lang w:val="en-US"/>
        </w:rPr>
        <w:t>. Unilever's HR department strives to create a supportive workplace environment, emphasizing employee social responsibility and addressing the needs of its workforce</w:t>
      </w:r>
      <w:r>
        <w:rPr>
          <w:rFonts w:hint="default" w:ascii="Times New Roman" w:hAnsi="Times New Roman" w:cs="Times New Roman"/>
          <w:sz w:val="24"/>
          <w:szCs w:val="24"/>
          <w:u w:val="none"/>
          <w:lang w:val="en-US" w:eastAsia="zh-CN"/>
        </w:rPr>
        <w:t xml:space="preserve"> (Mirvis, 2012)</w:t>
      </w:r>
      <w:r>
        <w:rPr>
          <w:rFonts w:hint="default" w:ascii="Times New Roman" w:hAnsi="Times New Roman" w:cs="Times New Roman"/>
          <w:sz w:val="24"/>
          <w:szCs w:val="24"/>
          <w:u w:val="none"/>
          <w:lang w:val="en-US"/>
        </w:rPr>
        <w:t>.</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p>
    <w:p>
      <w:pPr>
        <w:pStyle w:val="4"/>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rPr>
      </w:pPr>
      <w:bookmarkStart w:id="10" w:name="_Toc8317"/>
      <w:r>
        <w:rPr>
          <w:rFonts w:hint="default" w:ascii="Times New Roman" w:hAnsi="Times New Roman" w:cs="Times New Roman"/>
          <w:sz w:val="24"/>
          <w:szCs w:val="24"/>
          <w:lang w:val="en-US"/>
        </w:rPr>
        <w:t>Suppliers</w:t>
      </w:r>
      <w:bookmarkEnd w:id="10"/>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r>
        <w:rPr>
          <w:rFonts w:hint="default" w:ascii="Times New Roman" w:hAnsi="Times New Roman" w:cs="Times New Roman"/>
          <w:sz w:val="24"/>
          <w:szCs w:val="24"/>
          <w:u w:val="none"/>
          <w:lang w:val="en-US"/>
        </w:rPr>
        <w:t>Unilever's corporate responsibility policy includes vendors as important stakeholders. Vendors play a vital role in Unilever's success by providing equipment for manufacturing consumer products. Unilever maintains a strategic partnership with vendors as part of its CSR efforts, ensuring mutual benefits (Keys, Malnight and Van, 2009). Through this scheme, Unilever supports suppliers with software solutions and guidance, promoting their growth. Additionally, Unilever's environmental strategies within its responsibility framework influence manufacturers' market practices, leading to improved corporate governance and overall benefits (Sar, 2018).</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p>
    <w:p>
      <w:pPr>
        <w:pStyle w:val="3"/>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rPr>
      </w:pPr>
      <w:bookmarkStart w:id="11" w:name="_Toc28657"/>
      <w:r>
        <w:rPr>
          <w:rFonts w:hint="default" w:ascii="Times New Roman" w:hAnsi="Times New Roman" w:cs="Times New Roman"/>
          <w:sz w:val="24"/>
          <w:szCs w:val="24"/>
          <w:lang w:val="en-US"/>
        </w:rPr>
        <w:t>Porter's Generic Strategies</w:t>
      </w:r>
      <w:bookmarkEnd w:id="11"/>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eastAsiaTheme="minorEastAsia"/>
          <w:b w:val="0"/>
          <w:bCs w:val="0"/>
          <w:sz w:val="24"/>
          <w:szCs w:val="24"/>
          <w:u w:val="none"/>
          <w:lang w:val="en-US" w:eastAsia="zh-CN"/>
        </w:rPr>
      </w:pPr>
      <w:r>
        <w:rPr>
          <w:rFonts w:hint="default" w:ascii="Times New Roman" w:hAnsi="Times New Roman" w:cs="Times New Roman" w:eastAsiaTheme="minorEastAsia"/>
          <w:b w:val="0"/>
          <w:bCs w:val="0"/>
          <w:sz w:val="24"/>
          <w:szCs w:val="24"/>
          <w:u w:val="none"/>
          <w:lang w:val="en-US" w:eastAsia="zh-CN"/>
        </w:rPr>
        <w:t>Porter's generic competitive strategy is a framework devised by Michael Porter to help companies establish their strategic direction and gain a competitive advantage in their market</w:t>
      </w:r>
      <w:r>
        <w:rPr>
          <w:rFonts w:hint="default" w:ascii="Times New Roman" w:hAnsi="Times New Roman" w:cs="Times New Roman"/>
          <w:b w:val="0"/>
          <w:bCs w:val="0"/>
          <w:sz w:val="24"/>
          <w:szCs w:val="24"/>
          <w:u w:val="none"/>
          <w:lang w:val="en-US" w:eastAsia="zh-CN"/>
        </w:rPr>
        <w:t xml:space="preserve"> (Porter, 1997)</w:t>
      </w:r>
      <w:r>
        <w:rPr>
          <w:rFonts w:hint="default" w:ascii="Times New Roman" w:hAnsi="Times New Roman" w:cs="Times New Roman" w:eastAsiaTheme="minorEastAsia"/>
          <w:b w:val="0"/>
          <w:bCs w:val="0"/>
          <w:sz w:val="24"/>
          <w:szCs w:val="24"/>
          <w:u w:val="none"/>
          <w:lang w:val="en-US" w:eastAsia="zh-CN"/>
        </w:rPr>
        <w:t xml:space="preserve">. In his work, Porter presents four options that companies can choose from. According to him, it is crucial for a company to define a clear path to outperform its competitors. Unilever can effectively deal with competitive pressure by employing a combination of these tactics. </w:t>
      </w:r>
      <w:r>
        <w:rPr>
          <w:rFonts w:hint="default" w:ascii="Times New Roman" w:hAnsi="Times New Roman" w:cs="Times New Roman"/>
          <w:b w:val="0"/>
          <w:bCs w:val="0"/>
          <w:sz w:val="24"/>
          <w:szCs w:val="24"/>
          <w:u w:val="none"/>
          <w:lang w:val="en-US" w:eastAsia="zh-CN"/>
        </w:rPr>
        <w:t>T</w:t>
      </w:r>
      <w:r>
        <w:rPr>
          <w:rFonts w:hint="default" w:ascii="Times New Roman" w:hAnsi="Times New Roman" w:cs="Times New Roman" w:eastAsiaTheme="minorEastAsia"/>
          <w:b w:val="0"/>
          <w:bCs w:val="0"/>
          <w:sz w:val="24"/>
          <w:szCs w:val="24"/>
          <w:u w:val="none"/>
          <w:lang w:val="en-US" w:eastAsia="zh-CN"/>
        </w:rPr>
        <w:t>hese strategies can be categorized based on two dimensions: strategic scope, which considers the target market's size, composition, and demand side, and strategic strength, which focuses on the firm's core expertise and supply side. Unilever has adopted the generic strategies of cost leadership, differentiation, focus differentiation, and focus cost leadership</w:t>
      </w:r>
      <w:r>
        <w:rPr>
          <w:rFonts w:hint="default" w:ascii="Times New Roman" w:hAnsi="Times New Roman" w:cs="Times New Roman"/>
          <w:b w:val="0"/>
          <w:bCs w:val="0"/>
          <w:sz w:val="24"/>
          <w:szCs w:val="24"/>
          <w:u w:val="none"/>
          <w:lang w:val="en-US" w:eastAsia="zh-CN"/>
        </w:rPr>
        <w:t xml:space="preserve"> (Makina and Oundo, 2020)</w:t>
      </w:r>
      <w:r>
        <w:rPr>
          <w:rFonts w:hint="default" w:ascii="Times New Roman" w:hAnsi="Times New Roman" w:cs="Times New Roman" w:eastAsiaTheme="minorEastAsia"/>
          <w:b w:val="0"/>
          <w:bCs w:val="0"/>
          <w:sz w:val="24"/>
          <w:szCs w:val="24"/>
          <w:u w:val="none"/>
          <w:lang w:val="en-US" w:eastAsia="zh-CN"/>
        </w:rPr>
        <w:t>.</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val="0"/>
          <w:bCs w:val="0"/>
          <w:sz w:val="24"/>
          <w:szCs w:val="24"/>
          <w:u w:val="single"/>
          <w:lang w:val="en-US"/>
        </w:rPr>
      </w:pPr>
    </w:p>
    <w:p>
      <w:pPr>
        <w:pStyle w:val="4"/>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rPr>
      </w:pPr>
      <w:bookmarkStart w:id="12" w:name="_Toc3307"/>
      <w:r>
        <w:rPr>
          <w:rFonts w:hint="default" w:ascii="Times New Roman" w:hAnsi="Times New Roman" w:cs="Times New Roman"/>
          <w:sz w:val="24"/>
          <w:szCs w:val="24"/>
          <w:lang w:val="en-US"/>
        </w:rPr>
        <w:t>Cost leadership strategy</w:t>
      </w:r>
      <w:bookmarkEnd w:id="12"/>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r>
        <w:rPr>
          <w:rFonts w:hint="default" w:ascii="Times New Roman" w:hAnsi="Times New Roman" w:cs="Times New Roman"/>
          <w:sz w:val="24"/>
          <w:szCs w:val="24"/>
          <w:u w:val="none"/>
          <w:lang w:val="en-US"/>
        </w:rPr>
        <w:t>Cost leadership is employed by companies as a marketing strategy to establish themselves as the most affordable producer or supplier of a specific product or commodity within a competitive market. Unilever utilizes this approach to gain a competitive edge across various consumer markets (Alhosseiny, 2023). Unilever effectively manages its value chain, including acquisitions and divestitures, to maintain its market leadership position. Consequently, Unilever has witnessed a remarkable surge in sales turnover and expanded its market share in Latin America (Wilkinson, 2008). This development highlights the company's shift towards targeting the middle class and expanding its consumer base. The market segment exhibits price sensitivity and a preference for high-quality products at reasonable prices. Therefore, cost leadership remains the primary strategy to pursue in this industry. Furthermore, the global affordability and accessibility contribute to increased brand exposure, resulting in heightened sales volume and growth (Wouters, et al., 2021). Unilever effectively operates a functional supply chain that distributes products to both major corporations like Walmart and smaller retail outlets. The cost leadership strategy employed by Unilever offers numerous benefits, such as enhancing brand recognition, broadening the customer base, driving higher consumption rates, and achieving sales objectives by prioritizing product affordability and availability (Bocken, et al., 2014).</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r>
        <w:rPr>
          <w:rFonts w:hint="default" w:ascii="Times New Roman" w:hAnsi="Times New Roman" w:cs="Times New Roman"/>
          <w:sz w:val="24"/>
          <w:szCs w:val="24"/>
          <w:u w:val="none"/>
          <w:lang w:val="en-US"/>
        </w:rPr>
        <w:t>One criticism of Unilever's cost leadership strategy is that it may prioritize cost-cutting over product quality and innovation. By positioning themselves as the most affordable option, they risk neglecting investments in research and development, which could lead to lower-quality products and a lack of innovation (Trott and Hoecht, 2007). This could potentially harm customer satisfaction and brand loyalty. Another concern is that relying solely on cost leadership may lead to price wars with competitors, eroding profit margins and hindering differentiation (Liu and Atuahene, 2018). Moreover, the effectiveness of this strategy may vary across different markets and consumer segments. Not all customers prioritize low prices, and failing to adapt the strategy accordingly can limit growth potential (Homburg, Droll and Totzek, 2008). Unilever should carefully balance cost reduction with product quality, innovation, and market segmentation to ensure long-term success. Exploring other dimensions of competitive advantage beyond cost can also be beneficial (Von, Nonaka and Aben, 2001).</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p>
    <w:p>
      <w:pPr>
        <w:pStyle w:val="4"/>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rPr>
      </w:pPr>
      <w:bookmarkStart w:id="13" w:name="_Toc30314"/>
      <w:r>
        <w:rPr>
          <w:rFonts w:hint="default" w:ascii="Times New Roman" w:hAnsi="Times New Roman" w:cs="Times New Roman"/>
          <w:sz w:val="24"/>
          <w:szCs w:val="24"/>
          <w:lang w:val="en-US"/>
        </w:rPr>
        <w:t>Differentiation Strategy</w:t>
      </w:r>
      <w:bookmarkEnd w:id="13"/>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r>
        <w:rPr>
          <w:rFonts w:hint="default" w:ascii="Times New Roman" w:hAnsi="Times New Roman" w:cs="Times New Roman"/>
          <w:sz w:val="24"/>
          <w:szCs w:val="24"/>
          <w:u w:val="none"/>
          <w:lang w:val="en-US"/>
        </w:rPr>
        <w:t xml:space="preserve">Unilever leverages both differentiation and cost leadership strategies to maintain its competitive advantage in the global consumer market and achieve its growth objectives. Differentiation strategy, as defined by the researcher Hsieh and Chen (2021), involves providing customers with something distinctive and unique compared to what competitors offer. Unilever adopts a wide-ranging differentiation approach that prioritizes quality, enabling the expansion of its consumer base through the provision of distinctive product features (Barwise and Meehan, 2004). The company's business strategy revolves around continuously developing new and improved products that cater to the needs and aspirations of relevant consumers. A prime example of this strategy can be seen in Unilever's adaptation of Dove Cream bars in the personal care products segment (Nacchia and Massaro, 2017). By creating a non-drying and non-abrasive soap, the company effectively addressed consumer demands. Despite its relatively higher pricing, the product remained competitive due to its focus on cleaning and moisturizing in comparison to competitors. Consequently, it generated increased consumer demand in its target market. This strategic approach aligns with the company's vision statements, which aim to contribute to the Sustainable Living Plan while simultaneously enhancing the lives of its customers. </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r>
        <w:rPr>
          <w:rFonts w:hint="default" w:ascii="Times New Roman" w:hAnsi="Times New Roman" w:cs="Times New Roman"/>
          <w:sz w:val="24"/>
          <w:szCs w:val="24"/>
          <w:u w:val="none"/>
          <w:lang w:val="en-US"/>
        </w:rPr>
        <w:t xml:space="preserve">One criticism of Unilever's differentiation strategy is its potential lack of long-term sustainability. While differentiation can attract customers initially, competitors can quickly imitate unique features, eroding the company's competitive advantage. Executing a wide-ranging differentiation approach across multiple product categories can strain resources and limit cost savings. Additionally, rapidly changing consumer preferences make it challenging to consistently meet evolving demands (Jones, et al., 2005). Unilever's heavy focus on differentiation may hinder its ability to compete on price and penetrate price-sensitive markets (Ruchdaponkul, 2004). </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p>
    <w:p>
      <w:pPr>
        <w:pStyle w:val="4"/>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rPr>
      </w:pPr>
      <w:bookmarkStart w:id="14" w:name="_Toc4435"/>
      <w:r>
        <w:rPr>
          <w:rFonts w:hint="default" w:ascii="Times New Roman" w:hAnsi="Times New Roman" w:cs="Times New Roman"/>
          <w:sz w:val="24"/>
          <w:szCs w:val="24"/>
          <w:lang w:val="en-US"/>
        </w:rPr>
        <w:t>Focus Differentiation Strategy</w:t>
      </w:r>
      <w:bookmarkEnd w:id="14"/>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r>
        <w:rPr>
          <w:rFonts w:hint="default" w:ascii="Times New Roman" w:hAnsi="Times New Roman" w:cs="Times New Roman"/>
          <w:sz w:val="24"/>
          <w:szCs w:val="24"/>
          <w:u w:val="none"/>
          <w:lang w:val="en-US"/>
        </w:rPr>
        <w:t>Unilever allocated a substantial amount of funding towards research and development, aiming to expand its product range in alignment with evolving consumer preferences and requirements. Consequently, the company effectively distinguishes its products from those offered by its competitors. Unilever's position in the global market is progressively reinforcing as it successfully establishes a strong and dedicated customer base (Bartlett and Ghoshal, 2002). Consequently, the brand's resilience surpasses that of its competitors, resulting in minimized competitive pressure.</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p>
    <w:p>
      <w:pPr>
        <w:pStyle w:val="4"/>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rPr>
      </w:pPr>
      <w:bookmarkStart w:id="15" w:name="_Toc12379"/>
      <w:r>
        <w:rPr>
          <w:rFonts w:hint="default" w:ascii="Times New Roman" w:hAnsi="Times New Roman" w:cs="Times New Roman"/>
          <w:sz w:val="24"/>
          <w:szCs w:val="24"/>
          <w:lang w:val="en-US"/>
        </w:rPr>
        <w:t>Focus Cost Leadership Strategy</w:t>
      </w:r>
      <w:bookmarkEnd w:id="15"/>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r>
        <w:rPr>
          <w:rFonts w:hint="default" w:ascii="Times New Roman" w:hAnsi="Times New Roman" w:cs="Times New Roman"/>
          <w:sz w:val="24"/>
          <w:szCs w:val="24"/>
          <w:u w:val="none"/>
          <w:lang w:val="en-US"/>
        </w:rPr>
        <w:t>Unilever attracts customers to its products through its ability to enhance and innovate existing offerings. Polman emphasizes a focus on cost competitiveness (Gupta, 2014). Unilever adopts the Focus Strategy, which encompasses both cost leadership and differentiation (David, 2019). By catering to specific needs, wants, and specialized markets, Unilever effectively allocates its resources and leverages its core competencies. Moreover, the company places significant emphasis on organic growth, enabling self-development and the realization of individual potential. This growth enhances employee morale and motivates them to strive harder towards achieving the company's objectives. Unilever employs both types of focus strategies, offering products that are both low-cost and high-value (Lodish, et al., 2015). The low-cost approach caters to the specific demands of a specialized market segment while keeping costs minimal. On the other hand, the best value focus strategy concentrates on designing, taste, and size to meet customers' preferences and desires. Rather than solely focusing on efficiency, Unilever strives to gain a competitive advantage through effectiveness. The cost focus strategy capitalizes on variations in cost behavior across different segments, while differentiation focus strategy capitalizes on the unique needs of customers within specific market segments (Stead, 2008). To align with customers' psychological expectations and maximize value for their money, Unilever continuously adjusts its tactics and modifies its product design and packaging (Weidner, Rosa and Viswanathan, 2010).</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singl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single"/>
          <w:lang w:val="en-US"/>
        </w:rPr>
      </w:pPr>
    </w:p>
    <w:p>
      <w:pPr>
        <w:pStyle w:val="3"/>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single"/>
          <w:lang w:val="en-US"/>
        </w:rPr>
      </w:pPr>
      <w:bookmarkStart w:id="16" w:name="_Toc25133"/>
      <w:r>
        <w:rPr>
          <w:rFonts w:hint="default" w:ascii="Times New Roman" w:hAnsi="Times New Roman" w:cs="Times New Roman"/>
          <w:sz w:val="24"/>
          <w:szCs w:val="24"/>
          <w:u w:val="single"/>
          <w:lang w:val="en-US"/>
        </w:rPr>
        <w:t>Porter's five forces of competitive position analysis</w:t>
      </w:r>
      <w:bookmarkEnd w:id="16"/>
    </w:p>
    <w:p>
      <w:pPr>
        <w:pStyle w:val="4"/>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rPr>
      </w:pPr>
      <w:bookmarkStart w:id="17" w:name="_Toc17767"/>
      <w:r>
        <w:rPr>
          <w:rFonts w:hint="default" w:ascii="Times New Roman" w:hAnsi="Times New Roman" w:cs="Times New Roman"/>
          <w:sz w:val="24"/>
          <w:szCs w:val="24"/>
          <w:lang w:val="en-US"/>
        </w:rPr>
        <w:t>Low customer barganing power</w:t>
      </w:r>
      <w:bookmarkEnd w:id="17"/>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val="0"/>
          <w:bCs w:val="0"/>
          <w:sz w:val="24"/>
          <w:szCs w:val="24"/>
          <w:u w:val="none"/>
          <w:lang w:val="en-US"/>
        </w:rPr>
      </w:pPr>
      <w:r>
        <w:rPr>
          <w:rFonts w:hint="default" w:ascii="Times New Roman" w:hAnsi="Times New Roman" w:cs="Times New Roman"/>
          <w:b w:val="0"/>
          <w:bCs w:val="0"/>
          <w:sz w:val="24"/>
          <w:szCs w:val="24"/>
          <w:u w:val="none"/>
          <w:lang w:val="en-US"/>
        </w:rPr>
        <w:t>Customers have the potential to hold significant bargaining power in negotiations with Unilever due to the abundance of comparable choices offered by various retailers. The dissemination of information regarding alternative products among consumers also poses a risk to achieving success. Unilever, being a global company, has a vast customer base spread across various regions. Despite the company's high-quality products, it lacks the ability to significantly reduce prices due to the number of buyers (Porter and Kramer, 2018). However, customers hold greater influence as they seek satisfaction in terms of both product quality and affordability. They possess the power to either endorse and trust a company or consider it the worst. Therefore, Unilever must exercise caution regarding this potential risk and adjust prices according to customer demand to ensure their perpetual happiness and satisfaction (Lieu, et al., n.d.).</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val="0"/>
          <w:bCs w:val="0"/>
          <w:sz w:val="24"/>
          <w:szCs w:val="24"/>
          <w:u w:val="none"/>
          <w:lang w:val="en-US"/>
        </w:rPr>
      </w:pPr>
    </w:p>
    <w:p>
      <w:pPr>
        <w:pStyle w:val="4"/>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rPr>
      </w:pPr>
      <w:bookmarkStart w:id="18" w:name="_Toc346"/>
      <w:r>
        <w:rPr>
          <w:rFonts w:hint="default" w:ascii="Times New Roman" w:hAnsi="Times New Roman" w:cs="Times New Roman"/>
          <w:sz w:val="24"/>
          <w:szCs w:val="24"/>
          <w:lang w:val="en-US"/>
        </w:rPr>
        <w:t>Moderate Threat of Substitutes</w:t>
      </w:r>
      <w:bookmarkEnd w:id="18"/>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val="0"/>
          <w:bCs w:val="0"/>
          <w:sz w:val="24"/>
          <w:szCs w:val="24"/>
          <w:u w:val="none"/>
          <w:lang w:val="en-US"/>
        </w:rPr>
      </w:pPr>
      <w:r>
        <w:rPr>
          <w:rFonts w:hint="default" w:ascii="Times New Roman" w:hAnsi="Times New Roman" w:cs="Times New Roman"/>
          <w:b w:val="0"/>
          <w:bCs w:val="0"/>
          <w:sz w:val="24"/>
          <w:szCs w:val="24"/>
          <w:u w:val="none"/>
          <w:lang w:val="en-US"/>
        </w:rPr>
        <w:t xml:space="preserve">When substitute products are introduced into the market, consumers are inclined to consider them, potentially shifting their preferences away from Unilever. Various factors may entice customers, including appealing alternative products, competitive pricing, product quality, and marketing strategies. However, individuals who have previously used Unilever products are likely to contemplate the brand's name and reputation in the market before making a decision (Frieder and Subrahmanyam, 2005). </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bCs/>
          <w:sz w:val="24"/>
          <w:szCs w:val="24"/>
          <w:u w:val="none"/>
          <w:lang w:val="en-US"/>
        </w:rPr>
      </w:pPr>
    </w:p>
    <w:p>
      <w:pPr>
        <w:pStyle w:val="4"/>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rPr>
      </w:pPr>
      <w:bookmarkStart w:id="19" w:name="_Toc28050"/>
      <w:r>
        <w:rPr>
          <w:rFonts w:hint="default" w:ascii="Times New Roman" w:hAnsi="Times New Roman" w:cs="Times New Roman"/>
          <w:sz w:val="24"/>
          <w:szCs w:val="24"/>
          <w:lang w:val="en-US"/>
        </w:rPr>
        <w:t>High Competitive Rivalry</w:t>
      </w:r>
      <w:bookmarkEnd w:id="19"/>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val="0"/>
          <w:bCs w:val="0"/>
          <w:sz w:val="24"/>
          <w:szCs w:val="24"/>
          <w:u w:val="none"/>
          <w:lang w:val="en-US"/>
        </w:rPr>
      </w:pPr>
      <w:r>
        <w:rPr>
          <w:rFonts w:hint="default" w:ascii="Times New Roman" w:hAnsi="Times New Roman" w:cs="Times New Roman"/>
          <w:b w:val="0"/>
          <w:bCs w:val="0"/>
          <w:sz w:val="24"/>
          <w:szCs w:val="24"/>
          <w:u w:val="none"/>
          <w:lang w:val="en-US"/>
        </w:rPr>
        <w:t xml:space="preserve">Unilever, a renowned multinational corporation, holds a prominent position globally. Consequently, it faces intense and formidable competition (Wallace, 2021). Its rivals encompass not only small-scale retailers but also industry giants such as P &amp; G, Kraft, and Nestle. These market leaders exert considerable influence and often bewilder consumers by introducing equally appealing and high-performing products. Moreover, the availability of low switching costs enables customers to easily transition to alternative brands. As the level of competition intensifies, an increasing number of companies are manufacturing products that are similar to those offered by Unilever (Dang, 2018). Consequently, the expenses associated with switching between brands have decreased. </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val="0"/>
          <w:bCs w:val="0"/>
          <w:sz w:val="24"/>
          <w:szCs w:val="24"/>
          <w:u w:val="none"/>
          <w:lang w:val="en-US"/>
        </w:rPr>
      </w:pPr>
    </w:p>
    <w:p>
      <w:pPr>
        <w:pStyle w:val="4"/>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rPr>
      </w:pPr>
      <w:bookmarkStart w:id="20" w:name="_Toc5603"/>
      <w:r>
        <w:rPr>
          <w:rFonts w:hint="default" w:ascii="Times New Roman" w:hAnsi="Times New Roman" w:cs="Times New Roman"/>
          <w:sz w:val="24"/>
          <w:szCs w:val="24"/>
          <w:lang w:val="en-US"/>
        </w:rPr>
        <w:t>Low Supplier barganing power</w:t>
      </w:r>
      <w:bookmarkEnd w:id="20"/>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val="0"/>
          <w:bCs w:val="0"/>
          <w:sz w:val="24"/>
          <w:szCs w:val="24"/>
          <w:u w:val="none"/>
          <w:lang w:val="en-US"/>
        </w:rPr>
      </w:pPr>
      <w:r>
        <w:rPr>
          <w:rFonts w:hint="default" w:ascii="Times New Roman" w:hAnsi="Times New Roman" w:cs="Times New Roman"/>
          <w:b w:val="0"/>
          <w:bCs w:val="0"/>
          <w:sz w:val="24"/>
          <w:szCs w:val="24"/>
          <w:u w:val="none"/>
          <w:lang w:val="en-US"/>
        </w:rPr>
        <w:t>Unilever, similar to its customers, focuses on cultivating loyalty and satisfaction among its suppliers in order to minimize the likelihood of them switching to other companies. To achieve this, Unilever employs an effective strategy of offering competitive rates to its suppliers. The company has established a comprehensive agreement with its suppliers, ensuring that their concerns are addressed and attended to (Lee and Jay, 2015). This approach strategically weakens the suppliers' bargaining power and reinforces the long-term, mutually beneficial relationship based on loyalty between Unilever and its suppliers. As a result, this chain of positive agreements and enduring partnerships is fostered.</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val="0"/>
          <w:bCs w:val="0"/>
          <w:sz w:val="24"/>
          <w:szCs w:val="24"/>
          <w:u w:val="none"/>
          <w:lang w:val="en-US"/>
        </w:rPr>
      </w:pPr>
    </w:p>
    <w:p>
      <w:pPr>
        <w:pStyle w:val="4"/>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rPr>
      </w:pPr>
      <w:bookmarkStart w:id="21" w:name="_Toc11887"/>
      <w:r>
        <w:rPr>
          <w:rFonts w:hint="default" w:ascii="Times New Roman" w:hAnsi="Times New Roman" w:cs="Times New Roman"/>
          <w:sz w:val="24"/>
          <w:szCs w:val="24"/>
          <w:lang w:val="en-US"/>
        </w:rPr>
        <w:t>Moderate Threat of New Entrance</w:t>
      </w:r>
      <w:bookmarkEnd w:id="21"/>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single"/>
          <w:lang w:val="en-MY"/>
        </w:rPr>
      </w:pPr>
      <w:r>
        <w:rPr>
          <w:rFonts w:hint="default" w:ascii="Times New Roman" w:hAnsi="Times New Roman" w:cs="Times New Roman"/>
          <w:b w:val="0"/>
          <w:bCs w:val="0"/>
          <w:sz w:val="24"/>
          <w:szCs w:val="24"/>
          <w:u w:val="none"/>
          <w:lang w:val="en-US"/>
        </w:rPr>
        <w:t>Unilever's global presence allows it to distribute its products and services across various markets, shielding it from significant disruption caused by new competitors (Sheffi, 2007). The extent of this protection largely relies on the location and societal factors, resulting in varying outcomes with different groups of people. In regions where brand reputation and image are highly valued, established players tend to prevail over newcomers. These experienced industry veterans are often preferred due to their proven track records, while the potential of new entrants remains unexplored. Unilever serves as a prime illustration of this phenomenon (Teixeira and Piechota, 2019)</w:t>
      </w:r>
      <w:r>
        <w:rPr>
          <w:rFonts w:hint="default" w:ascii="Times New Roman" w:hAnsi="Times New Roman" w:cs="Times New Roman"/>
          <w:b w:val="0"/>
          <w:bCs w:val="0"/>
          <w:sz w:val="24"/>
          <w:szCs w:val="24"/>
          <w:u w:val="none"/>
          <w:lang w:val="en-MY"/>
        </w:rPr>
        <w:t>.</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single"/>
          <w:lang w:val="en-US"/>
        </w:rPr>
      </w:pPr>
    </w:p>
    <w:p>
      <w:pPr>
        <w:pStyle w:val="3"/>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single"/>
          <w:lang w:val="en-US"/>
        </w:rPr>
      </w:pPr>
      <w:bookmarkStart w:id="22" w:name="_Toc26369"/>
      <w:r>
        <w:rPr>
          <w:rFonts w:hint="default" w:ascii="Times New Roman" w:hAnsi="Times New Roman" w:cs="Times New Roman"/>
          <w:sz w:val="24"/>
          <w:szCs w:val="24"/>
          <w:u w:val="single"/>
          <w:lang w:val="en-US"/>
        </w:rPr>
        <w:t>SWOT</w:t>
      </w:r>
      <w:bookmarkEnd w:id="22"/>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341"/>
        <w:gridCol w:w="534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341" w:type="dxa"/>
          </w:tcPr>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Strength</w:t>
            </w:r>
          </w:p>
        </w:tc>
        <w:tc>
          <w:tcPr>
            <w:tcW w:w="5341" w:type="dxa"/>
          </w:tcPr>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Weakness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341" w:type="dxa"/>
          </w:tcPr>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xml:space="preserve">- Unilever, one of the largest multinational corporations, operates in over 190 countries, making it challenging to find a consumer who hasn't bought their products </w:t>
            </w:r>
            <w:r>
              <w:rPr>
                <w:rFonts w:hint="default" w:ascii="Times New Roman" w:hAnsi="Times New Roman" w:cs="Times New Roman"/>
                <w:sz w:val="24"/>
                <w:szCs w:val="24"/>
                <w:highlight w:val="none"/>
                <w:u w:val="none"/>
                <w:vertAlign w:val="baseline"/>
                <w:lang w:val="en-US"/>
              </w:rPr>
              <w:t>(Pandey, et al., 2021)</w:t>
            </w:r>
            <w:r>
              <w:rPr>
                <w:rFonts w:hint="default" w:ascii="Times New Roman" w:hAnsi="Times New Roman" w:cs="Times New Roman"/>
                <w:sz w:val="24"/>
                <w:szCs w:val="24"/>
                <w:u w:val="none"/>
                <w:vertAlign w:val="baseline"/>
                <w:lang w:val="en-US"/>
              </w:rPr>
              <w:t>. Its vast scale and extensive reach have contributed to its status as one of the leading businesses, enabling it to sustain its dominant position in the market.</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MY"/>
              </w:rPr>
            </w:pPr>
            <w:r>
              <w:rPr>
                <w:rFonts w:hint="default" w:ascii="Times New Roman" w:hAnsi="Times New Roman" w:cs="Times New Roman"/>
                <w:sz w:val="24"/>
                <w:szCs w:val="24"/>
                <w:u w:val="none"/>
                <w:vertAlign w:val="baseline"/>
                <w:lang w:val="en-US"/>
              </w:rPr>
              <w:t>- .Unilever's strengths are influenced by internal strategic factors such as human resources, organizational structure, and production logistics</w:t>
            </w:r>
            <w:r>
              <w:rPr>
                <w:rFonts w:hint="default" w:ascii="Times New Roman" w:hAnsi="Times New Roman" w:cs="Times New Roman"/>
                <w:sz w:val="24"/>
                <w:szCs w:val="24"/>
                <w:u w:val="none"/>
                <w:vertAlign w:val="baseline"/>
                <w:lang w:val="en-MY"/>
              </w:rPr>
              <w:t xml:space="preserve"> (Dirisu, Iyiola and Ibidunni, 2013).</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xml:space="preserve">- With nearly 400 brands under its belt, </w:t>
            </w:r>
            <w:r>
              <w:rPr>
                <w:rFonts w:hint="default" w:ascii="Times New Roman" w:hAnsi="Times New Roman" w:cs="Times New Roman"/>
                <w:sz w:val="24"/>
                <w:szCs w:val="24"/>
                <w:u w:val="none"/>
                <w:vertAlign w:val="baseline"/>
                <w:lang w:val="en-MY"/>
              </w:rPr>
              <w:t>Unilever</w:t>
            </w:r>
            <w:r>
              <w:rPr>
                <w:rFonts w:hint="default" w:ascii="Times New Roman" w:hAnsi="Times New Roman" w:cs="Times New Roman"/>
                <w:sz w:val="24"/>
                <w:szCs w:val="24"/>
                <w:u w:val="none"/>
                <w:vertAlign w:val="baseline"/>
                <w:lang w:val="en-US"/>
              </w:rPr>
              <w:t xml:space="preserve"> stands out for its remarkably varied range of brands and products catering to various markets</w:t>
            </w:r>
            <w:r>
              <w:rPr>
                <w:rFonts w:hint="default" w:ascii="Times New Roman" w:hAnsi="Times New Roman" w:cs="Times New Roman"/>
                <w:sz w:val="24"/>
                <w:szCs w:val="24"/>
                <w:u w:val="none"/>
                <w:vertAlign w:val="baseline"/>
                <w:lang w:val="en-MY"/>
              </w:rPr>
              <w:t xml:space="preserve"> (Haig, 2005)</w:t>
            </w:r>
            <w:r>
              <w:rPr>
                <w:rFonts w:hint="default" w:ascii="Times New Roman" w:hAnsi="Times New Roman" w:cs="Times New Roman"/>
                <w:sz w:val="24"/>
                <w:szCs w:val="24"/>
                <w:u w:val="none"/>
                <w:vertAlign w:val="baseline"/>
                <w:lang w:val="en-US"/>
              </w:rPr>
              <w:t>. In 2016, the top 13 brands alone achieved sales exceeding €1 billion. Notably, Dove, Knorr, and Lifebuoy, companies dedicated to making a positive impact on society and the environment, accounted for over half of the company's growth</w:t>
            </w:r>
            <w:r>
              <w:rPr>
                <w:rFonts w:hint="default" w:ascii="Times New Roman" w:hAnsi="Times New Roman" w:cs="Times New Roman"/>
                <w:sz w:val="24"/>
                <w:szCs w:val="24"/>
                <w:u w:val="none"/>
                <w:vertAlign w:val="baseline"/>
                <w:lang w:val="en-MY"/>
              </w:rPr>
              <w:t xml:space="preserve"> (Sidibe, 2020)</w:t>
            </w:r>
            <w:r>
              <w:rPr>
                <w:rFonts w:hint="default" w:ascii="Times New Roman" w:hAnsi="Times New Roman" w:cs="Times New Roman"/>
                <w:sz w:val="24"/>
                <w:szCs w:val="24"/>
                <w:u w:val="none"/>
                <w:vertAlign w:val="baseline"/>
                <w:lang w:val="en-US"/>
              </w:rPr>
              <w:t>.</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The organization is undoubtedly one of the key drivers of major development efforts, thanks to its substantial research and investment</w:t>
            </w:r>
            <w:r>
              <w:rPr>
                <w:rFonts w:hint="default" w:ascii="Times New Roman" w:hAnsi="Times New Roman" w:cs="Times New Roman"/>
                <w:sz w:val="24"/>
                <w:szCs w:val="24"/>
                <w:u w:val="none"/>
                <w:vertAlign w:val="baseline"/>
                <w:lang w:val="en-MY"/>
              </w:rPr>
              <w:t xml:space="preserve"> (Dunning and Lundan, 2008)</w:t>
            </w:r>
            <w:r>
              <w:rPr>
                <w:rFonts w:hint="default" w:ascii="Times New Roman" w:hAnsi="Times New Roman" w:cs="Times New Roman"/>
                <w:sz w:val="24"/>
                <w:szCs w:val="24"/>
                <w:u w:val="none"/>
                <w:vertAlign w:val="baseline"/>
                <w:lang w:val="en-US"/>
              </w:rPr>
              <w:t xml:space="preserve">. To keep up with customer trends, </w:t>
            </w:r>
            <w:r>
              <w:rPr>
                <w:rFonts w:hint="default" w:ascii="Times New Roman" w:hAnsi="Times New Roman" w:cs="Times New Roman"/>
                <w:sz w:val="24"/>
                <w:szCs w:val="24"/>
                <w:u w:val="none"/>
                <w:vertAlign w:val="baseline"/>
                <w:lang w:val="en-MY"/>
              </w:rPr>
              <w:t>Unilever</w:t>
            </w:r>
            <w:r>
              <w:rPr>
                <w:rFonts w:hint="default" w:ascii="Times New Roman" w:hAnsi="Times New Roman" w:cs="Times New Roman"/>
                <w:sz w:val="24"/>
                <w:szCs w:val="24"/>
                <w:u w:val="none"/>
                <w:vertAlign w:val="baseline"/>
                <w:lang w:val="en-US"/>
              </w:rPr>
              <w:t xml:space="preserve"> consistently introduce fresh product lines, reflecting their solid financial position</w:t>
            </w:r>
            <w:r>
              <w:rPr>
                <w:rFonts w:hint="default" w:ascii="Times New Roman" w:hAnsi="Times New Roman" w:cs="Times New Roman"/>
                <w:sz w:val="24"/>
                <w:szCs w:val="24"/>
                <w:u w:val="none"/>
                <w:vertAlign w:val="baseline"/>
                <w:lang w:val="en-MY"/>
              </w:rPr>
              <w:t xml:space="preserve"> (Fryer and Versteeg, 2008)</w:t>
            </w:r>
            <w:r>
              <w:rPr>
                <w:rFonts w:hint="default" w:ascii="Times New Roman" w:hAnsi="Times New Roman" w:cs="Times New Roman"/>
                <w:sz w:val="24"/>
                <w:szCs w:val="24"/>
                <w:u w:val="none"/>
                <w:vertAlign w:val="baseline"/>
                <w:lang w:val="en-US"/>
              </w:rPr>
              <w:t>.</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Unilever has developed reputable and consistently high-quality brands across various global markets</w:t>
            </w:r>
            <w:r>
              <w:rPr>
                <w:rFonts w:hint="default" w:ascii="Times New Roman" w:hAnsi="Times New Roman" w:cs="Times New Roman"/>
                <w:sz w:val="24"/>
                <w:szCs w:val="24"/>
                <w:u w:val="none"/>
                <w:vertAlign w:val="baseline"/>
                <w:lang w:val="en-MY"/>
              </w:rPr>
              <w:t xml:space="preserve"> (Steenkamp, 2014)</w:t>
            </w:r>
            <w:r>
              <w:rPr>
                <w:rFonts w:hint="default" w:ascii="Times New Roman" w:hAnsi="Times New Roman" w:cs="Times New Roman"/>
                <w:sz w:val="24"/>
                <w:szCs w:val="24"/>
                <w:u w:val="none"/>
                <w:vertAlign w:val="baseline"/>
                <w:lang w:val="en-US"/>
              </w:rPr>
              <w:t>.</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The company benefits from a broad product mix, resulting in robust sales within a large market.</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Unilever's extensive portfolio of over 400 brands empowers the company to mitigate its vulnerability to the COVID-19 situation by leveraging product and regional diversification</w:t>
            </w:r>
            <w:r>
              <w:rPr>
                <w:rFonts w:hint="default" w:ascii="Times New Roman" w:hAnsi="Times New Roman" w:cs="Times New Roman"/>
                <w:sz w:val="24"/>
                <w:szCs w:val="24"/>
                <w:u w:val="none"/>
                <w:vertAlign w:val="baseline"/>
                <w:lang w:val="en-MY"/>
              </w:rPr>
              <w:t xml:space="preserve"> (Grant, 2021)</w:t>
            </w:r>
            <w:r>
              <w:rPr>
                <w:rFonts w:hint="default" w:ascii="Times New Roman" w:hAnsi="Times New Roman" w:cs="Times New Roman"/>
                <w:sz w:val="24"/>
                <w:szCs w:val="24"/>
                <w:u w:val="none"/>
                <w:vertAlign w:val="baseline"/>
                <w:lang w:val="en-US"/>
              </w:rPr>
              <w:t>. This strategic approach enables Unilever to effectively minimize its exposure to the impacts of the pandemic.</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Economies of scale lead to lower production costs per unit and competitive pricing.</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Unilever's strong global presence is a major strength, ensuring a robust market for its products.</w:t>
            </w:r>
          </w:p>
        </w:tc>
        <w:tc>
          <w:tcPr>
            <w:tcW w:w="5341" w:type="dxa"/>
          </w:tcPr>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Unilever's weaknesses: Products susceptible to imitation. Limited business diversification. Dependence on retailers in the supply chain</w:t>
            </w:r>
            <w:r>
              <w:rPr>
                <w:rFonts w:hint="default" w:ascii="Times New Roman" w:hAnsi="Times New Roman" w:cs="Times New Roman"/>
                <w:sz w:val="24"/>
                <w:szCs w:val="24"/>
                <w:u w:val="none"/>
                <w:vertAlign w:val="baseline"/>
                <w:lang w:val="en-MY"/>
              </w:rPr>
              <w:t xml:space="preserve"> (Lieu, et al., n.d.)</w:t>
            </w:r>
            <w:r>
              <w:rPr>
                <w:rFonts w:hint="default" w:ascii="Times New Roman" w:hAnsi="Times New Roman" w:cs="Times New Roman"/>
                <w:sz w:val="24"/>
                <w:szCs w:val="24"/>
                <w:u w:val="none"/>
                <w:vertAlign w:val="baseline"/>
                <w:lang w:val="en-US"/>
              </w:rPr>
              <w:t>.</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Unilever's products lack unique innovativeness, making them easily imitated and overtaken in the market.</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Consumer products, being easily replicable, face significant competition in global markets.</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Unilever primarily revolves around the consumer products industry, lacking diversification of its product portfolio</w:t>
            </w:r>
            <w:r>
              <w:rPr>
                <w:rFonts w:hint="default" w:ascii="Times New Roman" w:hAnsi="Times New Roman" w:cs="Times New Roman"/>
                <w:sz w:val="24"/>
                <w:szCs w:val="24"/>
                <w:u w:val="none"/>
                <w:vertAlign w:val="baseline"/>
                <w:lang w:val="en-MY"/>
              </w:rPr>
              <w:t xml:space="preserve"> (Czinkota, et al., 2021)</w:t>
            </w:r>
            <w:r>
              <w:rPr>
                <w:rFonts w:hint="default" w:ascii="Times New Roman" w:hAnsi="Times New Roman" w:cs="Times New Roman"/>
                <w:sz w:val="24"/>
                <w:szCs w:val="24"/>
                <w:u w:val="none"/>
                <w:vertAlign w:val="baseline"/>
                <w:lang w:val="en-US"/>
              </w:rPr>
              <w:t>.</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The company relies heavily on retailers as the primary players in its supply chain, resulting in a lack of direct influence on customers.</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There is a significant potential for substitution. Numerous products offered by Unilever can be readily duplicated or replaced</w:t>
            </w:r>
            <w:r>
              <w:rPr>
                <w:rFonts w:hint="default" w:ascii="Times New Roman" w:hAnsi="Times New Roman" w:cs="Times New Roman"/>
                <w:sz w:val="24"/>
                <w:szCs w:val="24"/>
                <w:u w:val="none"/>
                <w:vertAlign w:val="baseline"/>
                <w:lang w:val="en-MY"/>
              </w:rPr>
              <w:t xml:space="preserve"> (Dawar, and Chattopadhyay, 2002)</w:t>
            </w:r>
            <w:r>
              <w:rPr>
                <w:rFonts w:hint="default" w:ascii="Times New Roman" w:hAnsi="Times New Roman" w:cs="Times New Roman"/>
                <w:sz w:val="24"/>
                <w:szCs w:val="24"/>
                <w:u w:val="none"/>
                <w:vertAlign w:val="baseline"/>
                <w:lang w:val="en-US"/>
              </w:rPr>
              <w:t>. This could pose a considerable challenge, especially in regions where labor and raw materials are inexpensive, such as Asia and Africa.</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A transition towards natural products is observed as consumers replace Unilever items with conventional and/or natural alternatives</w:t>
            </w:r>
            <w:r>
              <w:rPr>
                <w:rFonts w:hint="default" w:ascii="Times New Roman" w:hAnsi="Times New Roman" w:cs="Times New Roman"/>
                <w:sz w:val="24"/>
                <w:szCs w:val="24"/>
                <w:u w:val="none"/>
                <w:vertAlign w:val="baseline"/>
                <w:lang w:val="en-MY"/>
              </w:rPr>
              <w:t xml:space="preserve"> (Dirisu, Iyiola and Ibidunni, 2013)</w:t>
            </w:r>
            <w:r>
              <w:rPr>
                <w:rFonts w:hint="default" w:ascii="Times New Roman" w:hAnsi="Times New Roman" w:cs="Times New Roman"/>
                <w:sz w:val="24"/>
                <w:szCs w:val="24"/>
                <w:u w:val="none"/>
                <w:vertAlign w:val="baseline"/>
                <w:lang w:val="en-US"/>
              </w:rPr>
              <w:t>. The threat persists not only in Western countries but also in less economically developed nations due to the growing consumer preference for domestically produced, handmade, or entirely natural goods.</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The ongoing COVID-19 pandemic caused a decline in income, particularly affecting individuals with lower incomes. Given the prevailing economic conditions, numerous customers might be compelled to opt for significantly more affordable options.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341" w:type="dxa"/>
          </w:tcPr>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Opportunity</w:t>
            </w:r>
          </w:p>
        </w:tc>
        <w:tc>
          <w:tcPr>
            <w:tcW w:w="5341" w:type="dxa"/>
          </w:tcPr>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Threat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341" w:type="dxa"/>
          </w:tcPr>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Unilever has external factors that offer growth opportunities for the company.</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These factors include business diversification, market development, and product innovation for health purposes.</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Utilizing financial resources for the advancement of new technologies. Microbac Laboratories, a collaboration between Unilever and the pharmaceutical giant, is presently engaged in the creation of a mouthwash capable of reducing the viral load of SARS-CoV-2 by 99.9%</w:t>
            </w:r>
            <w:r>
              <w:rPr>
                <w:rFonts w:hint="default" w:ascii="Times New Roman" w:hAnsi="Times New Roman" w:cs="Times New Roman"/>
                <w:sz w:val="24"/>
                <w:szCs w:val="24"/>
                <w:u w:val="none"/>
                <w:vertAlign w:val="baseline"/>
                <w:lang w:val="en-MY"/>
              </w:rPr>
              <w:t xml:space="preserve"> (Kaur, Thakkar and Nagpal, 2021)</w:t>
            </w:r>
            <w:r>
              <w:rPr>
                <w:rFonts w:hint="default" w:ascii="Times New Roman" w:hAnsi="Times New Roman" w:cs="Times New Roman"/>
                <w:sz w:val="24"/>
                <w:szCs w:val="24"/>
                <w:u w:val="none"/>
                <w:vertAlign w:val="baseline"/>
                <w:lang w:val="en-US"/>
              </w:rPr>
              <w:t>. This presents an incredible opportunity for the company to expand its operations.</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On one side, globalization and the expansion of global media led to the popularization of the Western lifestyle in Asia. Essentially, Unilever could leverage this situation to position itself as a prosperous company that assists local populations in adapting to Western customs</w:t>
            </w:r>
            <w:r>
              <w:rPr>
                <w:rFonts w:hint="default" w:ascii="Times New Roman" w:hAnsi="Times New Roman" w:cs="Times New Roman"/>
                <w:sz w:val="24"/>
                <w:szCs w:val="24"/>
                <w:u w:val="none"/>
                <w:vertAlign w:val="baseline"/>
                <w:lang w:val="en-MY"/>
              </w:rPr>
              <w:t xml:space="preserve"> (Sheth, Sinha and Shah, 2016)</w:t>
            </w:r>
            <w:r>
              <w:rPr>
                <w:rFonts w:hint="default" w:ascii="Times New Roman" w:hAnsi="Times New Roman" w:cs="Times New Roman"/>
                <w:sz w:val="24"/>
                <w:szCs w:val="24"/>
                <w:u w:val="none"/>
                <w:vertAlign w:val="baseline"/>
                <w:lang w:val="en-US"/>
              </w:rPr>
              <w:t>. Nonetheless, the emergence of the affluent trillion-dollar customers in China and India provides the corporation with an ideal chance to tap into this consumer base, renowned for emulating Western consumption patterns.</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Product innovations should prioritize improving the health aspects of the products</w:t>
            </w:r>
            <w:r>
              <w:rPr>
                <w:rFonts w:hint="default" w:ascii="Times New Roman" w:hAnsi="Times New Roman" w:cs="Times New Roman"/>
                <w:sz w:val="24"/>
                <w:szCs w:val="24"/>
                <w:u w:val="none"/>
                <w:vertAlign w:val="baseline"/>
                <w:lang w:val="en-MY"/>
              </w:rPr>
              <w:t xml:space="preserve"> like</w:t>
            </w:r>
            <w:r>
              <w:rPr>
                <w:rFonts w:hint="default" w:ascii="Times New Roman" w:hAnsi="Times New Roman" w:cs="Times New Roman"/>
                <w:sz w:val="24"/>
                <w:szCs w:val="24"/>
                <w:u w:val="none"/>
                <w:vertAlign w:val="baseline"/>
                <w:lang w:val="en-US"/>
              </w:rPr>
              <w:t xml:space="preserve"> develop special diet products in line with this strategic approach.</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Unilever, being a global giant in the corporate world, possesses the opportunity to broaden its business scope beyond consumer products</w:t>
            </w:r>
            <w:r>
              <w:rPr>
                <w:rFonts w:hint="default" w:ascii="Times New Roman" w:hAnsi="Times New Roman" w:cs="Times New Roman"/>
                <w:sz w:val="24"/>
                <w:szCs w:val="24"/>
                <w:u w:val="none"/>
                <w:vertAlign w:val="baseline"/>
                <w:lang w:val="en-MY"/>
              </w:rPr>
              <w:t xml:space="preserve"> (Porter and Kramer, 2018)</w:t>
            </w:r>
            <w:r>
              <w:rPr>
                <w:rFonts w:hint="default" w:ascii="Times New Roman" w:hAnsi="Times New Roman" w:cs="Times New Roman"/>
                <w:sz w:val="24"/>
                <w:szCs w:val="24"/>
                <w:u w:val="none"/>
                <w:vertAlign w:val="baseline"/>
                <w:lang w:val="en-US"/>
              </w:rPr>
              <w:t>. By leveraging its financial assets, the company has the ability to employ diversification strategies aimed at reducing the potential impact of substitute products.</w:t>
            </w:r>
          </w:p>
        </w:tc>
        <w:tc>
          <w:tcPr>
            <w:tcW w:w="5341" w:type="dxa"/>
          </w:tcPr>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Competition is a major threat to Unilever as local companies can easily replicate most of its products, such as Nestle, Proctor &amp; Gamble, Mondelez International, and Colgate Palmolive</w:t>
            </w:r>
            <w:r>
              <w:rPr>
                <w:rFonts w:hint="default" w:ascii="Times New Roman" w:hAnsi="Times New Roman" w:cs="Times New Roman"/>
                <w:sz w:val="24"/>
                <w:szCs w:val="24"/>
                <w:u w:val="none"/>
                <w:vertAlign w:val="baseline"/>
                <w:lang w:val="en-MY"/>
              </w:rPr>
              <w:t xml:space="preserve"> (Kpoku, 2021)</w:t>
            </w:r>
            <w:r>
              <w:rPr>
                <w:rFonts w:hint="default" w:ascii="Times New Roman" w:hAnsi="Times New Roman" w:cs="Times New Roman"/>
                <w:sz w:val="24"/>
                <w:szCs w:val="24"/>
                <w:u w:val="none"/>
                <w:vertAlign w:val="baseline"/>
                <w:lang w:val="en-US"/>
              </w:rPr>
              <w:t>. Although this may not directly impact the business, it is crucial to acknowledge that intense competition negatively influences pricing strategies and ultimately affects profitability.</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The Covid-19 pandemic has adversely affected Unilever's global sales by disrupting the global supply chain.</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MY"/>
              </w:rPr>
            </w:pPr>
            <w:r>
              <w:rPr>
                <w:rFonts w:hint="default" w:ascii="Times New Roman" w:hAnsi="Times New Roman" w:cs="Times New Roman"/>
                <w:sz w:val="24"/>
                <w:szCs w:val="24"/>
                <w:u w:val="none"/>
                <w:vertAlign w:val="baseline"/>
                <w:lang w:val="en-US"/>
              </w:rPr>
              <w:t>- Unilever and other corporations are preparing themselves to tackle the upcoming economic slowdown caused by the pandemic</w:t>
            </w:r>
            <w:r>
              <w:rPr>
                <w:rFonts w:hint="default" w:ascii="Times New Roman" w:hAnsi="Times New Roman" w:cs="Times New Roman"/>
                <w:sz w:val="24"/>
                <w:szCs w:val="24"/>
                <w:u w:val="none"/>
                <w:vertAlign w:val="baseline"/>
                <w:lang w:val="en-MY"/>
              </w:rPr>
              <w:t xml:space="preserve"> (Suwadji, Suryaningsum and Pamungkas, 2021,)</w:t>
            </w:r>
            <w:r>
              <w:rPr>
                <w:rFonts w:hint="default" w:ascii="Times New Roman" w:hAnsi="Times New Roman" w:cs="Times New Roman"/>
                <w:sz w:val="24"/>
                <w:szCs w:val="24"/>
                <w:u w:val="none"/>
                <w:vertAlign w:val="baseline"/>
                <w:lang w:val="en-US"/>
              </w:rPr>
              <w:t>. The uncertain situation has left them contemplating the various potential outcomes. These outcomes depend on factors such as the duration and extent of lockdowns, the impact of restricted living conditions, and the timeline for the development of a Sars-CoV-2 vaccine.</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xml:space="preserve">- The ongoing Brexit negotiations pose a significant threat to </w:t>
            </w:r>
            <w:r>
              <w:rPr>
                <w:rFonts w:hint="default" w:ascii="Times New Roman" w:hAnsi="Times New Roman" w:cs="Times New Roman"/>
                <w:sz w:val="24"/>
                <w:szCs w:val="24"/>
                <w:u w:val="none"/>
                <w:vertAlign w:val="baseline"/>
                <w:lang w:val="en-MY"/>
              </w:rPr>
              <w:t>Unilever</w:t>
            </w:r>
            <w:r>
              <w:rPr>
                <w:rFonts w:hint="default" w:ascii="Times New Roman" w:hAnsi="Times New Roman" w:cs="Times New Roman"/>
                <w:sz w:val="24"/>
                <w:szCs w:val="24"/>
                <w:u w:val="none"/>
                <w:vertAlign w:val="baseline"/>
                <w:lang w:val="en-US"/>
              </w:rPr>
              <w:t>, particularly regarding the supply and marketing of products across Europe</w:t>
            </w:r>
            <w:r>
              <w:rPr>
                <w:rFonts w:hint="default" w:ascii="Times New Roman" w:hAnsi="Times New Roman" w:cs="Times New Roman"/>
                <w:sz w:val="24"/>
                <w:szCs w:val="24"/>
                <w:u w:val="none"/>
                <w:vertAlign w:val="baseline"/>
                <w:lang w:val="en-MY"/>
              </w:rPr>
              <w:t xml:space="preserve"> (Dwyer, 2018)</w:t>
            </w:r>
            <w:r>
              <w:rPr>
                <w:rFonts w:hint="default" w:ascii="Times New Roman" w:hAnsi="Times New Roman" w:cs="Times New Roman"/>
                <w:sz w:val="24"/>
                <w:szCs w:val="24"/>
                <w:u w:val="none"/>
                <w:vertAlign w:val="baseline"/>
                <w:lang w:val="en-US"/>
              </w:rPr>
              <w:t>.</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MY"/>
              </w:rPr>
            </w:pPr>
          </w:p>
        </w:tc>
      </w:tr>
    </w:tbl>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singl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single"/>
          <w:lang w:val="en-US"/>
        </w:rPr>
      </w:pPr>
    </w:p>
    <w:p>
      <w:pPr>
        <w:pStyle w:val="3"/>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u w:val="single"/>
          <w:lang w:val="en-US"/>
        </w:rPr>
      </w:pPr>
      <w:bookmarkStart w:id="23" w:name="_Toc21146"/>
      <w:r>
        <w:rPr>
          <w:rFonts w:hint="default" w:ascii="Times New Roman" w:hAnsi="Times New Roman" w:cs="Times New Roman"/>
          <w:sz w:val="24"/>
          <w:szCs w:val="24"/>
          <w:u w:val="single"/>
          <w:lang w:val="en-US"/>
        </w:rPr>
        <w:t>PESTLE</w:t>
      </w:r>
      <w:bookmarkEnd w:id="23"/>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704"/>
        <w:gridCol w:w="897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tcPr>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Political</w:t>
            </w:r>
          </w:p>
        </w:tc>
        <w:tc>
          <w:tcPr>
            <w:tcW w:w="8978" w:type="dxa"/>
          </w:tcPr>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Political stability in a foreign market presents an opportunity for Unilever to invest and contribute to the positive development of the country.</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Unilever should be cautious if there are conflicts between a country and the United Nations, as it may negatively affect the company and the country's progress</w:t>
            </w:r>
            <w:r>
              <w:rPr>
                <w:rFonts w:hint="default" w:ascii="Times New Roman" w:hAnsi="Times New Roman" w:cs="Times New Roman"/>
                <w:sz w:val="24"/>
                <w:szCs w:val="24"/>
                <w:u w:val="none"/>
                <w:vertAlign w:val="baseline"/>
                <w:lang w:val="en-MY"/>
              </w:rPr>
              <w:t xml:space="preserve"> (Utting, 2000)</w:t>
            </w:r>
            <w:r>
              <w:rPr>
                <w:rFonts w:hint="default" w:ascii="Times New Roman" w:hAnsi="Times New Roman" w:cs="Times New Roman"/>
                <w:sz w:val="24"/>
                <w:szCs w:val="24"/>
                <w:u w:val="none"/>
                <w:vertAlign w:val="baseline"/>
                <w:lang w:val="en-US"/>
              </w:rPr>
              <w:t>.</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Unity between the nation and the United Kingdom reduces threats and enables Unilever to invest confidently in the foreign country.</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Investing in a nation with favorable trade relations allows Unilever to establish strategies ahead of competitors.</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Early market entry gives Unilever a larger market share and positively impacts its sales in the foreign country</w:t>
            </w:r>
            <w:r>
              <w:rPr>
                <w:rFonts w:hint="default" w:ascii="Times New Roman" w:hAnsi="Times New Roman" w:cs="Times New Roman"/>
                <w:sz w:val="24"/>
                <w:szCs w:val="24"/>
                <w:u w:val="none"/>
                <w:vertAlign w:val="baseline"/>
                <w:lang w:val="en-MY"/>
              </w:rPr>
              <w:t xml:space="preserve"> (Johnson and Tellis, 2008)</w:t>
            </w:r>
            <w:r>
              <w:rPr>
                <w:rFonts w:hint="default" w:ascii="Times New Roman" w:hAnsi="Times New Roman" w:cs="Times New Roman"/>
                <w:sz w:val="24"/>
                <w:szCs w:val="24"/>
                <w:u w:val="none"/>
                <w:vertAlign w:val="baseline"/>
                <w:lang w:val="en-US"/>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tcPr>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Economic</w:t>
            </w:r>
          </w:p>
        </w:tc>
        <w:tc>
          <w:tcPr>
            <w:tcW w:w="8978" w:type="dxa"/>
          </w:tcPr>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When a company expands services to foreign countries, it leads to changes in wages in that specific country</w:t>
            </w:r>
            <w:r>
              <w:rPr>
                <w:rFonts w:hint="default" w:ascii="Times New Roman" w:hAnsi="Times New Roman" w:cs="Times New Roman"/>
                <w:sz w:val="24"/>
                <w:szCs w:val="24"/>
                <w:u w:val="none"/>
                <w:vertAlign w:val="baseline"/>
                <w:lang w:val="en-MY"/>
              </w:rPr>
              <w:t xml:space="preserve"> (Doole and Lowe, 2012)</w:t>
            </w:r>
            <w:r>
              <w:rPr>
                <w:rFonts w:hint="default" w:ascii="Times New Roman" w:hAnsi="Times New Roman" w:cs="Times New Roman"/>
                <w:sz w:val="24"/>
                <w:szCs w:val="24"/>
                <w:u w:val="none"/>
                <w:vertAlign w:val="baseline"/>
                <w:lang w:val="en-US"/>
              </w:rPr>
              <w:t>.</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If the company's employee wages are significantly higher than its sales, it becomes a potential threat to the company.</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In such cases, the company needs to allocate more funds to pay its employees, which may require obtaining additional funds from external branches to generate profits.</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MY"/>
              </w:rPr>
            </w:pPr>
            <w:r>
              <w:rPr>
                <w:rFonts w:hint="default" w:ascii="Times New Roman" w:hAnsi="Times New Roman" w:cs="Times New Roman"/>
                <w:sz w:val="24"/>
                <w:szCs w:val="24"/>
                <w:u w:val="none"/>
                <w:vertAlign w:val="baseline"/>
                <w:lang w:val="en-US"/>
              </w:rPr>
              <w:t>- For companies like Unilever to develop and enhance their products in a foreign country, the country's economic stability is crucial</w:t>
            </w:r>
            <w:r>
              <w:rPr>
                <w:rFonts w:hint="default" w:ascii="Times New Roman" w:hAnsi="Times New Roman" w:cs="Times New Roman"/>
                <w:sz w:val="24"/>
                <w:szCs w:val="24"/>
                <w:u w:val="none"/>
                <w:vertAlign w:val="baseline"/>
                <w:lang w:val="en-MY"/>
              </w:rPr>
              <w:t xml:space="preserve"> (Haudi, Wijoyo and Cahyono, 2020).</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Economic stability in the target country provides a favorable opportunity for companies like Unilever to invest and expand their services, resulting in increased profits</w:t>
            </w:r>
            <w:r>
              <w:rPr>
                <w:rFonts w:hint="default" w:ascii="Times New Roman" w:hAnsi="Times New Roman" w:cs="Times New Roman"/>
                <w:sz w:val="24"/>
                <w:szCs w:val="24"/>
                <w:u w:val="none"/>
                <w:vertAlign w:val="baseline"/>
                <w:lang w:val="en-MY"/>
              </w:rPr>
              <w:t xml:space="preserve"> (Masroor and Asim, 2019)</w:t>
            </w:r>
            <w:r>
              <w:rPr>
                <w:rFonts w:hint="default" w:ascii="Times New Roman" w:hAnsi="Times New Roman" w:cs="Times New Roman"/>
                <w:sz w:val="24"/>
                <w:szCs w:val="24"/>
                <w:u w:val="none"/>
                <w:vertAlign w:val="baseline"/>
                <w:lang w:val="en-US"/>
              </w:rPr>
              <w:t>.</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When expanding to foreign countries, Unilever must monitor its growth rate to determine the appropriate capital investment</w:t>
            </w:r>
            <w:r>
              <w:rPr>
                <w:rFonts w:hint="default" w:ascii="Times New Roman" w:hAnsi="Times New Roman" w:cs="Times New Roman"/>
                <w:sz w:val="24"/>
                <w:szCs w:val="24"/>
                <w:u w:val="none"/>
                <w:vertAlign w:val="baseline"/>
                <w:lang w:val="en-MY"/>
              </w:rPr>
              <w:t xml:space="preserve"> (Djarova, 2004)</w:t>
            </w:r>
            <w:r>
              <w:rPr>
                <w:rFonts w:hint="default" w:ascii="Times New Roman" w:hAnsi="Times New Roman" w:cs="Times New Roman"/>
                <w:sz w:val="24"/>
                <w:szCs w:val="24"/>
                <w:u w:val="none"/>
                <w:vertAlign w:val="baseline"/>
                <w:lang w:val="en-US"/>
              </w:rPr>
              <w:t>.</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If the growth rate in the desired nation is very low, there is no need for the company to invest as it would generate less profit.</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In such cases, the branch in that country becomes a liability rather than an asset.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tcPr>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Social</w:t>
            </w:r>
          </w:p>
        </w:tc>
        <w:tc>
          <w:tcPr>
            <w:tcW w:w="8978" w:type="dxa"/>
          </w:tcPr>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Sociological factors impact the behavior of the market and the performance of a business.</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Unilever monitors social-cultural factors, such as the increasing health consciousness among people in different regions</w:t>
            </w:r>
            <w:r>
              <w:rPr>
                <w:rFonts w:hint="default" w:ascii="Times New Roman" w:hAnsi="Times New Roman" w:cs="Times New Roman"/>
                <w:sz w:val="24"/>
                <w:szCs w:val="24"/>
                <w:u w:val="none"/>
                <w:vertAlign w:val="baseline"/>
                <w:lang w:val="en-MY"/>
              </w:rPr>
              <w:t xml:space="preserve"> (Ha, 2014)</w:t>
            </w:r>
            <w:r>
              <w:rPr>
                <w:rFonts w:hint="default" w:ascii="Times New Roman" w:hAnsi="Times New Roman" w:cs="Times New Roman"/>
                <w:sz w:val="24"/>
                <w:szCs w:val="24"/>
                <w:u w:val="none"/>
                <w:vertAlign w:val="baseline"/>
                <w:lang w:val="en-US"/>
              </w:rPr>
              <w:t>.</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The company sees the rise in health consciousness as an opportunity to invest.</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Gender divides are gradually being dismantled worldwide in various countries.</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The breakdown of these divides is expected to contribute to the development of the business and create a stable market.</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When considering investment in a foreign country, Unilever evaluates the environmental behaviors and whether they favor its products</w:t>
            </w:r>
            <w:r>
              <w:rPr>
                <w:rFonts w:hint="default" w:ascii="Times New Roman" w:hAnsi="Times New Roman" w:cs="Times New Roman"/>
                <w:sz w:val="24"/>
                <w:szCs w:val="24"/>
                <w:u w:val="none"/>
                <w:vertAlign w:val="baseline"/>
                <w:lang w:val="en-MY"/>
              </w:rPr>
              <w:t xml:space="preserve"> (Besier, 2015)</w:t>
            </w:r>
            <w:r>
              <w:rPr>
                <w:rFonts w:hint="default" w:ascii="Times New Roman" w:hAnsi="Times New Roman" w:cs="Times New Roman"/>
                <w:sz w:val="24"/>
                <w:szCs w:val="24"/>
                <w:u w:val="none"/>
                <w:vertAlign w:val="baseline"/>
                <w:lang w:val="en-US"/>
              </w:rPr>
              <w:t>.</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Favorable environmental factors present a good chance for Unilever to invest in the country.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tcPr>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Technological</w:t>
            </w:r>
          </w:p>
        </w:tc>
        <w:tc>
          <w:tcPr>
            <w:tcW w:w="8978" w:type="dxa"/>
          </w:tcPr>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The company evaluates the potential for business automation in the target country.</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Implementation of automation offers opportunities for timely analysis and understanding of business needs.</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Technology plays a role in improving transportation efficiencies for the business.</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Efficient transportation ensures timely delivery of crucial items and keeps the business running smoothly</w:t>
            </w:r>
            <w:r>
              <w:rPr>
                <w:rFonts w:hint="default" w:ascii="Times New Roman" w:hAnsi="Times New Roman" w:cs="Times New Roman"/>
                <w:sz w:val="24"/>
                <w:szCs w:val="24"/>
                <w:u w:val="none"/>
                <w:vertAlign w:val="baseline"/>
                <w:lang w:val="en-MY"/>
              </w:rPr>
              <w:t xml:space="preserve"> (Simatupang and Sridharan, 2002)</w:t>
            </w:r>
            <w:r>
              <w:rPr>
                <w:rFonts w:hint="default" w:ascii="Times New Roman" w:hAnsi="Times New Roman" w:cs="Times New Roman"/>
                <w:sz w:val="24"/>
                <w:szCs w:val="24"/>
                <w:u w:val="none"/>
                <w:vertAlign w:val="baseline"/>
                <w:lang w:val="en-US"/>
              </w:rPr>
              <w:t>.</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Social media platforms have transformed the marketing landscape, requiring Unilever to adopt new marketing strategies.</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Business automation presents an opportunity for Unilever to enhance production efficiency</w:t>
            </w:r>
            <w:r>
              <w:rPr>
                <w:rFonts w:hint="default" w:ascii="Times New Roman" w:hAnsi="Times New Roman" w:cs="Times New Roman"/>
                <w:sz w:val="24"/>
                <w:szCs w:val="24"/>
                <w:u w:val="none"/>
                <w:vertAlign w:val="baseline"/>
                <w:lang w:val="en-MY"/>
              </w:rPr>
              <w:t xml:space="preserve"> (Schauman, Heinonen and Holmlund, 2021)</w:t>
            </w:r>
            <w:r>
              <w:rPr>
                <w:rFonts w:hint="default" w:ascii="Times New Roman" w:hAnsi="Times New Roman" w:cs="Times New Roman"/>
                <w:sz w:val="24"/>
                <w:szCs w:val="24"/>
                <w:u w:val="none"/>
                <w:vertAlign w:val="baseline"/>
                <w:lang w:val="en-US"/>
              </w:rPr>
              <w:t>.</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Technological advancements, like the use of drones, have reduced transportation costs.</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Unilever has the potential to establish its own direct-to-consumer distribution networks by following models similar to Amazon</w:t>
            </w:r>
            <w:r>
              <w:rPr>
                <w:rFonts w:hint="default" w:ascii="Times New Roman" w:hAnsi="Times New Roman" w:cs="Times New Roman"/>
                <w:sz w:val="24"/>
                <w:szCs w:val="24"/>
                <w:u w:val="none"/>
                <w:vertAlign w:val="baseline"/>
                <w:lang w:val="en-MY"/>
              </w:rPr>
              <w:t xml:space="preserve"> (Bower, 2016)</w:t>
            </w:r>
            <w:r>
              <w:rPr>
                <w:rFonts w:hint="default" w:ascii="Times New Roman" w:hAnsi="Times New Roman" w:cs="Times New Roman"/>
                <w:sz w:val="24"/>
                <w:szCs w:val="24"/>
                <w:u w:val="none"/>
                <w:vertAlign w:val="baseline"/>
                <w:lang w:val="en-US"/>
              </w:rPr>
              <w:t>.</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The increase in research and development investments poses a threat to Unilever.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tcPr>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xml:space="preserve">Legal </w:t>
            </w:r>
          </w:p>
        </w:tc>
        <w:tc>
          <w:tcPr>
            <w:tcW w:w="8978" w:type="dxa"/>
          </w:tcPr>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Legal factors are necessary policies for business in a foreign country while adhering to regulations.</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Unilever's focus on legal factors involves increasing complexity of business policies for the products it sells.</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The heightened complexity enables government recognition of Unilever as an accredited business</w:t>
            </w:r>
            <w:r>
              <w:rPr>
                <w:rFonts w:hint="default" w:ascii="Times New Roman" w:hAnsi="Times New Roman" w:cs="Times New Roman"/>
                <w:sz w:val="24"/>
                <w:szCs w:val="24"/>
                <w:u w:val="none"/>
                <w:vertAlign w:val="baseline"/>
                <w:lang w:val="en-MY"/>
              </w:rPr>
              <w:t xml:space="preserve"> (Clay, 2005)</w:t>
            </w:r>
            <w:r>
              <w:rPr>
                <w:rFonts w:hint="default" w:ascii="Times New Roman" w:hAnsi="Times New Roman" w:cs="Times New Roman"/>
                <w:sz w:val="24"/>
                <w:szCs w:val="24"/>
                <w:u w:val="none"/>
                <w:vertAlign w:val="baseline"/>
                <w:lang w:val="en-US"/>
              </w:rPr>
              <w:t>.</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Expanding into a foreign country requires Unilever to respect customer rights and patent laws.</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Customer rights ensure collaborative interactions between customers and the business.</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Patent laws mandate businesses to offer distinctive products in the market.</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Introducing unique products can help Unilever capture a larger market share in foreign countries</w:t>
            </w:r>
            <w:r>
              <w:rPr>
                <w:rFonts w:hint="default" w:ascii="Times New Roman" w:hAnsi="Times New Roman" w:cs="Times New Roman"/>
                <w:sz w:val="24"/>
                <w:szCs w:val="24"/>
                <w:u w:val="none"/>
                <w:vertAlign w:val="baseline"/>
                <w:lang w:val="en-MY"/>
              </w:rPr>
              <w:t xml:space="preserve"> (Andaleeb, 2016)</w:t>
            </w:r>
            <w:r>
              <w:rPr>
                <w:rFonts w:hint="default" w:ascii="Times New Roman" w:hAnsi="Times New Roman" w:cs="Times New Roman"/>
                <w:sz w:val="24"/>
                <w:szCs w:val="24"/>
                <w:u w:val="none"/>
                <w:vertAlign w:val="baseline"/>
                <w:lang w:val="en-US"/>
              </w:rPr>
              <w:t>.</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Unilever's focus on legal factors presents an opportunity for growth in the new market environment.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04" w:type="dxa"/>
          </w:tcPr>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Environmental</w:t>
            </w:r>
          </w:p>
        </w:tc>
        <w:tc>
          <w:tcPr>
            <w:tcW w:w="8978" w:type="dxa"/>
          </w:tcPr>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Unilever's focus on environmental factors entails addressing emerging factors in the business environment.</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Due to its supply of personal care and food products, Unilever can efficiently identify and provide specific items in large quantities in a particular country</w:t>
            </w:r>
            <w:r>
              <w:rPr>
                <w:rFonts w:hint="default" w:ascii="Times New Roman" w:hAnsi="Times New Roman" w:cs="Times New Roman"/>
                <w:sz w:val="24"/>
                <w:szCs w:val="24"/>
                <w:u w:val="none"/>
                <w:vertAlign w:val="baseline"/>
                <w:lang w:val="en-MY"/>
              </w:rPr>
              <w:t xml:space="preserve"> (Sodhi and Tang, 2014)</w:t>
            </w:r>
            <w:r>
              <w:rPr>
                <w:rFonts w:hint="default" w:ascii="Times New Roman" w:hAnsi="Times New Roman" w:cs="Times New Roman"/>
                <w:sz w:val="24"/>
                <w:szCs w:val="24"/>
                <w:u w:val="none"/>
                <w:vertAlign w:val="baseline"/>
                <w:lang w:val="en-US"/>
              </w:rPr>
              <w:t>.</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The increasing interest in Unilever's business acts as an environmental factor that positively impacts the company.</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When investing in a specific market, Unilever must implement complex environmental programs and intensify sustainability efforts.</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Embracing complexity within the environment allows Unilever to adapt and work towards sustainability, ultimately fulfilling its objectives</w:t>
            </w:r>
            <w:r>
              <w:rPr>
                <w:rFonts w:hint="default" w:ascii="Times New Roman" w:hAnsi="Times New Roman" w:cs="Times New Roman"/>
                <w:sz w:val="24"/>
                <w:szCs w:val="24"/>
                <w:u w:val="none"/>
                <w:vertAlign w:val="baseline"/>
                <w:lang w:val="en-MY"/>
              </w:rPr>
              <w:t xml:space="preserve"> (Cohen, 2007)</w:t>
            </w:r>
            <w:r>
              <w:rPr>
                <w:rFonts w:hint="default" w:ascii="Times New Roman" w:hAnsi="Times New Roman" w:cs="Times New Roman"/>
                <w:sz w:val="24"/>
                <w:szCs w:val="24"/>
                <w:u w:val="none"/>
                <w:vertAlign w:val="baseline"/>
                <w:lang w:val="en-US"/>
              </w:rPr>
              <w:t>.</w:t>
            </w:r>
          </w:p>
          <w:p>
            <w:pPr>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vertAlign w:val="baseline"/>
                <w:lang w:val="en-US"/>
              </w:rPr>
            </w:pPr>
            <w:r>
              <w:rPr>
                <w:rFonts w:hint="default" w:ascii="Times New Roman" w:hAnsi="Times New Roman" w:cs="Times New Roman"/>
                <w:sz w:val="24"/>
                <w:szCs w:val="24"/>
                <w:u w:val="none"/>
                <w:vertAlign w:val="baseline"/>
                <w:lang w:val="en-US"/>
              </w:rPr>
              <w:t>- Incorporating complexity and sustainability into business initiatives yields positive impacts, enabling successful operations and expansion into new markets.</w:t>
            </w:r>
          </w:p>
        </w:tc>
      </w:tr>
    </w:tbl>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single"/>
          <w:lang w:val="en-US"/>
        </w:rPr>
      </w:pPr>
    </w:p>
    <w:p>
      <w:pPr>
        <w:pStyle w:val="2"/>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rPr>
      </w:pPr>
      <w:bookmarkStart w:id="24" w:name="_Toc15383"/>
      <w:r>
        <w:rPr>
          <w:rFonts w:hint="default" w:ascii="Times New Roman" w:hAnsi="Times New Roman" w:cs="Times New Roman"/>
          <w:sz w:val="24"/>
          <w:szCs w:val="24"/>
          <w:lang w:val="en-US"/>
        </w:rPr>
        <w:t>Conclusion</w:t>
      </w:r>
      <w:bookmarkEnd w:id="24"/>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r>
        <w:rPr>
          <w:rFonts w:hint="default" w:ascii="Times New Roman" w:hAnsi="Times New Roman" w:cs="Times New Roman"/>
          <w:sz w:val="24"/>
          <w:szCs w:val="24"/>
          <w:u w:val="none"/>
          <w:lang w:val="en-US"/>
        </w:rPr>
        <w:t>Unilever is a global company focused on improving people's lives through personal care, hygiene, and nutrition. They are committed to sustainability and minimizing their impact on the planet. Unilever values integrity, responsibility, pioneering, and respect, which drive growth and productivity within the organization. Their objective is to enhance well-being and living conditions by offering high-quality products. Unilever prioritizes customer satisfaction, employee well-being, and strong supplier relationships. They employ a range of strategies, including cost leadership, differentiation, focus differentiation, and focus cost leadership, to gain a competitive advantage.</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r>
        <w:rPr>
          <w:rFonts w:hint="default" w:ascii="Times New Roman" w:hAnsi="Times New Roman" w:cs="Times New Roman"/>
          <w:sz w:val="24"/>
          <w:szCs w:val="24"/>
          <w:u w:val="none"/>
          <w:lang w:val="en-US"/>
        </w:rPr>
        <w:t>Unilever faces challenges from customer bargaining power and intense competition, but also benefits from moderate threats of substitutes and low supplier bargaining power. They focus on political stability, economic factors, changing social trends, technological advancements, legal compliance, and environmental considerations in their business decisions. The company aims to capitalize on opportunities such as diversifying their product portfolio, targeting health-conscious consumers, and developing specialized products. They also face threats from competition, the impact of the Covid-19 pandemic, and Brexit negotiations. In conclusion, Unilever is dedicated to sustainability, corporate social responsibility, and providing high-quality products to meet customer needs. By leveraging their strengths, addressing weaknesses, capitalizing on opportunities, and managing threats, Unilever aims to maintain its global leadership position in the consumer products industry.</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p>
    <w:p>
      <w:pPr>
        <w:pStyle w:val="2"/>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rPr>
      </w:pPr>
      <w:bookmarkStart w:id="25" w:name="_Toc30262"/>
      <w:r>
        <w:rPr>
          <w:rFonts w:hint="default" w:ascii="Times New Roman" w:hAnsi="Times New Roman" w:cs="Times New Roman"/>
          <w:sz w:val="24"/>
          <w:szCs w:val="24"/>
          <w:lang w:val="en-US"/>
        </w:rPr>
        <w:t>Recommendations</w:t>
      </w:r>
      <w:bookmarkEnd w:id="25"/>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b/>
          <w:bCs/>
          <w:sz w:val="24"/>
          <w:szCs w:val="24"/>
          <w:u w:val="none"/>
          <w:lang w:val="en-US"/>
        </w:rPr>
      </w:pPr>
      <w:r>
        <w:rPr>
          <w:rFonts w:hint="default" w:ascii="Times New Roman" w:hAnsi="Times New Roman" w:cs="Times New Roman"/>
          <w:sz w:val="24"/>
          <w:szCs w:val="24"/>
          <w:u w:val="none"/>
          <w:lang w:val="en-US"/>
        </w:rPr>
        <w:t xml:space="preserve">In the present market, multiple companies are introducing appealing products, enticing customers to consider them over established companies like Unilever. To prevent customer attrition to these new businesses, </w:t>
      </w:r>
      <w:r>
        <w:rPr>
          <w:rFonts w:hint="default" w:ascii="Times New Roman" w:hAnsi="Times New Roman" w:cs="Times New Roman"/>
          <w:b/>
          <w:bCs/>
          <w:sz w:val="24"/>
          <w:szCs w:val="24"/>
          <w:u w:val="none"/>
          <w:lang w:val="en-US"/>
        </w:rPr>
        <w:t>Unilever must explore the emerging market, develop innovative products, and retain its customer base, thereby fostering company growth</w:t>
      </w:r>
      <w:r>
        <w:rPr>
          <w:rFonts w:hint="default" w:ascii="Times New Roman" w:hAnsi="Times New Roman" w:cs="Times New Roman"/>
          <w:sz w:val="24"/>
          <w:szCs w:val="24"/>
          <w:u w:val="none"/>
          <w:lang w:val="en-MY"/>
        </w:rPr>
        <w:t xml:space="preserve"> (Pralahad and Hart, 1999)</w:t>
      </w:r>
      <w:r>
        <w:rPr>
          <w:rFonts w:hint="default" w:ascii="Times New Roman" w:hAnsi="Times New Roman" w:cs="Times New Roman"/>
          <w:sz w:val="24"/>
          <w:szCs w:val="24"/>
          <w:u w:val="none"/>
          <w:lang w:val="en-US"/>
        </w:rPr>
        <w:t>. Unilever, known for its extensive range of over 400 products, needs to enhance its offerings by targeting specific customer segments. By tailoring their products to meet the needs of distinct markets, Unilever can cultivate customer loyalty and bolster its market share</w:t>
      </w:r>
      <w:r>
        <w:rPr>
          <w:rFonts w:hint="default" w:ascii="Times New Roman" w:hAnsi="Times New Roman" w:cs="Times New Roman"/>
          <w:sz w:val="24"/>
          <w:szCs w:val="24"/>
          <w:u w:val="none"/>
          <w:lang w:val="en-MY"/>
        </w:rPr>
        <w:t xml:space="preserve"> (Kumar, 2003)</w:t>
      </w:r>
      <w:r>
        <w:rPr>
          <w:rFonts w:hint="default" w:ascii="Times New Roman" w:hAnsi="Times New Roman" w:cs="Times New Roman"/>
          <w:sz w:val="24"/>
          <w:szCs w:val="24"/>
          <w:u w:val="none"/>
          <w:lang w:val="en-US"/>
        </w:rPr>
        <w:t>. In summary, Unilever is widely recognized for producing high-quality goods encompassing personal care, nutrition, and health</w:t>
      </w:r>
      <w:r>
        <w:rPr>
          <w:rFonts w:hint="default" w:ascii="Times New Roman" w:hAnsi="Times New Roman" w:cs="Times New Roman"/>
          <w:sz w:val="24"/>
          <w:szCs w:val="24"/>
          <w:u w:val="none"/>
          <w:lang w:val="en-MY"/>
        </w:rPr>
        <w:t xml:space="preserve"> (Izberk and Nakata, 2016)</w:t>
      </w:r>
      <w:r>
        <w:rPr>
          <w:rFonts w:hint="default" w:ascii="Times New Roman" w:hAnsi="Times New Roman" w:cs="Times New Roman"/>
          <w:sz w:val="24"/>
          <w:szCs w:val="24"/>
          <w:u w:val="none"/>
          <w:lang w:val="en-US"/>
        </w:rPr>
        <w:t xml:space="preserve">. The company's ability to offer essential products at competitive prices allows people to afford them, resulting in increased profitability. However, despite its successful track record spanning five decades, </w:t>
      </w:r>
      <w:r>
        <w:rPr>
          <w:rFonts w:hint="default" w:ascii="Times New Roman" w:hAnsi="Times New Roman" w:cs="Times New Roman"/>
          <w:b/>
          <w:bCs/>
          <w:sz w:val="24"/>
          <w:szCs w:val="24"/>
          <w:u w:val="none"/>
          <w:lang w:val="en-US"/>
        </w:rPr>
        <w:t>Unilever must remain vigilant of competitors like Mars and Johnson &amp; Johnson. These companies have strategically focused on particular market segments, enabling them to dominate certain regions of the world.</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r>
        <w:rPr>
          <w:rFonts w:hint="default" w:ascii="Times New Roman" w:hAnsi="Times New Roman" w:cs="Times New Roman"/>
          <w:sz w:val="24"/>
          <w:szCs w:val="24"/>
          <w:u w:val="none"/>
          <w:lang w:val="en-US"/>
        </w:rPr>
        <w:t>After conducting the SWOT and PESTEL analysis mentioned earlier, Unilever has identified several opportunities to enhance its future strategic position without altering the meaning.</w:t>
      </w:r>
      <w:r>
        <w:rPr>
          <w:rFonts w:hint="default" w:ascii="Times New Roman" w:hAnsi="Times New Roman" w:cs="Times New Roman"/>
          <w:b/>
          <w:bCs/>
          <w:sz w:val="24"/>
          <w:szCs w:val="24"/>
          <w:u w:val="none"/>
          <w:lang w:val="en-US"/>
        </w:rPr>
        <w:t xml:space="preserve"> Unilever can capitalize on these opportunities by adopting more innovative approaches to product development and distribution, countering fierce competition from rival products.</w:t>
      </w:r>
      <w:r>
        <w:rPr>
          <w:rFonts w:hint="default" w:ascii="Times New Roman" w:hAnsi="Times New Roman" w:cs="Times New Roman"/>
          <w:sz w:val="24"/>
          <w:szCs w:val="24"/>
          <w:u w:val="none"/>
          <w:lang w:val="en-US"/>
        </w:rPr>
        <w:t xml:space="preserve"> Additionally, the company should </w:t>
      </w:r>
      <w:r>
        <w:rPr>
          <w:rFonts w:hint="default" w:ascii="Times New Roman" w:hAnsi="Times New Roman" w:cs="Times New Roman"/>
          <w:b/>
          <w:bCs/>
          <w:sz w:val="24"/>
          <w:szCs w:val="24"/>
          <w:u w:val="none"/>
          <w:lang w:val="en-US"/>
        </w:rPr>
        <w:t>establish a comprehensive recovery plan to address unforeseen threats such as pandemics and economic crises promptly</w:t>
      </w:r>
      <w:r>
        <w:rPr>
          <w:rFonts w:hint="default" w:ascii="Times New Roman" w:hAnsi="Times New Roman" w:cs="Times New Roman"/>
          <w:sz w:val="24"/>
          <w:szCs w:val="24"/>
          <w:u w:val="none"/>
          <w:lang w:val="en-US"/>
        </w:rPr>
        <w:t>. This entails maintaining a standby recovery strategy that aligns with the regular economic conditions in its global markets.</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r>
        <w:rPr>
          <w:rFonts w:hint="default" w:ascii="Times New Roman" w:hAnsi="Times New Roman" w:cs="Times New Roman"/>
          <w:sz w:val="24"/>
          <w:szCs w:val="24"/>
          <w:u w:val="none"/>
          <w:lang w:val="en-US"/>
        </w:rPr>
        <w:t xml:space="preserve">To adapt to changing political landscapes like the recent Brexit, </w:t>
      </w:r>
      <w:r>
        <w:rPr>
          <w:rFonts w:hint="default" w:ascii="Times New Roman" w:hAnsi="Times New Roman" w:cs="Times New Roman"/>
          <w:b/>
          <w:bCs/>
          <w:sz w:val="24"/>
          <w:szCs w:val="24"/>
          <w:u w:val="none"/>
          <w:lang w:val="en-US"/>
        </w:rPr>
        <w:t>Unilever should establish individual bilateral business agreements with various countries and business blocs, ensuring resilience.</w:t>
      </w:r>
      <w:r>
        <w:rPr>
          <w:rFonts w:hint="default" w:ascii="Times New Roman" w:hAnsi="Times New Roman" w:cs="Times New Roman"/>
          <w:sz w:val="24"/>
          <w:szCs w:val="24"/>
          <w:u w:val="none"/>
          <w:lang w:val="en-US"/>
        </w:rPr>
        <w:t xml:space="preserve"> Furthermore, t</w:t>
      </w:r>
      <w:r>
        <w:rPr>
          <w:rFonts w:hint="default" w:ascii="Times New Roman" w:hAnsi="Times New Roman" w:cs="Times New Roman"/>
          <w:b/>
          <w:bCs/>
          <w:sz w:val="24"/>
          <w:szCs w:val="24"/>
          <w:u w:val="none"/>
          <w:lang w:val="en-US"/>
        </w:rPr>
        <w:t>he company should prioritize incorporating emerging social and environmental trends into its product development process</w:t>
      </w:r>
      <w:r>
        <w:rPr>
          <w:rFonts w:hint="default" w:ascii="Times New Roman" w:hAnsi="Times New Roman" w:cs="Times New Roman"/>
          <w:sz w:val="24"/>
          <w:szCs w:val="24"/>
          <w:u w:val="none"/>
          <w:lang w:val="en-US"/>
        </w:rPr>
        <w:t xml:space="preserve">. </w:t>
      </w:r>
      <w:r>
        <w:rPr>
          <w:rFonts w:hint="default" w:ascii="Times New Roman" w:hAnsi="Times New Roman" w:cs="Times New Roman"/>
          <w:b/>
          <w:bCs/>
          <w:sz w:val="24"/>
          <w:szCs w:val="24"/>
          <w:u w:val="none"/>
          <w:lang w:val="en-US"/>
        </w:rPr>
        <w:t>Designing environmentally sustainable products and implementing production and distribution methods with minimal carbon footprint are crucial</w:t>
      </w:r>
      <w:r>
        <w:rPr>
          <w:rFonts w:hint="default" w:ascii="Times New Roman" w:hAnsi="Times New Roman" w:cs="Times New Roman"/>
          <w:sz w:val="24"/>
          <w:szCs w:val="24"/>
          <w:u w:val="none"/>
          <w:lang w:val="en-US"/>
        </w:rPr>
        <w:t xml:space="preserve">. Unilever should also </w:t>
      </w:r>
      <w:r>
        <w:rPr>
          <w:rFonts w:hint="default" w:ascii="Times New Roman" w:hAnsi="Times New Roman" w:cs="Times New Roman"/>
          <w:b/>
          <w:bCs/>
          <w:sz w:val="24"/>
          <w:szCs w:val="24"/>
          <w:u w:val="none"/>
          <w:lang w:val="en-US"/>
        </w:rPr>
        <w:t>strive to develop products that promote gender, sexual, and racial equality.</w:t>
      </w:r>
      <w:r>
        <w:rPr>
          <w:rFonts w:hint="default" w:ascii="Times New Roman" w:hAnsi="Times New Roman" w:cs="Times New Roman"/>
          <w:sz w:val="24"/>
          <w:szCs w:val="24"/>
          <w:u w:val="none"/>
          <w:lang w:val="en-US"/>
        </w:rPr>
        <w:t xml:space="preserve"> Moreover, the company's marketing strategies should be sensitive to these important matters.</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none"/>
          <w:lang w:val="en-US"/>
        </w:rPr>
      </w:pPr>
      <w:r>
        <w:rPr>
          <w:rFonts w:hint="default" w:ascii="Times New Roman" w:hAnsi="Times New Roman" w:cs="Times New Roman"/>
          <w:sz w:val="24"/>
          <w:szCs w:val="24"/>
          <w:u w:val="none"/>
          <w:lang w:val="en-US"/>
        </w:rPr>
        <w:t>Unilever has the opportunity to collaborate with Amazon and PwC Digital services in order to strengthen its business</w:t>
      </w:r>
      <w:r>
        <w:rPr>
          <w:rFonts w:hint="default" w:ascii="Times New Roman" w:hAnsi="Times New Roman" w:cs="Times New Roman"/>
          <w:sz w:val="24"/>
          <w:szCs w:val="24"/>
          <w:u w:val="none"/>
          <w:lang w:val="en-MY"/>
        </w:rPr>
        <w:t xml:space="preserve"> (Chaffey and Smith, 2013)</w:t>
      </w:r>
      <w:r>
        <w:rPr>
          <w:rFonts w:hint="default" w:ascii="Times New Roman" w:hAnsi="Times New Roman" w:cs="Times New Roman"/>
          <w:sz w:val="24"/>
          <w:szCs w:val="24"/>
          <w:u w:val="none"/>
          <w:lang w:val="en-US"/>
        </w:rPr>
        <w:t>.</w:t>
      </w:r>
      <w:r>
        <w:rPr>
          <w:rFonts w:hint="default" w:ascii="Times New Roman" w:hAnsi="Times New Roman" w:cs="Times New Roman"/>
          <w:b/>
          <w:bCs/>
          <w:sz w:val="24"/>
          <w:szCs w:val="24"/>
          <w:u w:val="none"/>
          <w:lang w:val="en-US"/>
        </w:rPr>
        <w:t xml:space="preserve"> By partnering with the retailing giant Amazon</w:t>
      </w:r>
      <w:r>
        <w:rPr>
          <w:rFonts w:hint="default" w:ascii="Times New Roman" w:hAnsi="Times New Roman" w:cs="Times New Roman"/>
          <w:sz w:val="24"/>
          <w:szCs w:val="24"/>
          <w:u w:val="none"/>
          <w:lang w:val="en-US"/>
        </w:rPr>
        <w:t xml:space="preserve">, Unilever can enhance the marketing of its products on a larger scale. Amazon's global presence and substantial investments in innovative technologies offer a wide market for Unilever to explore, penetrate, and expand. On the other hand, </w:t>
      </w:r>
      <w:r>
        <w:rPr>
          <w:rFonts w:hint="default" w:ascii="Times New Roman" w:hAnsi="Times New Roman" w:cs="Times New Roman"/>
          <w:b/>
          <w:bCs/>
          <w:sz w:val="24"/>
          <w:szCs w:val="24"/>
          <w:u w:val="none"/>
          <w:lang w:val="en-US"/>
        </w:rPr>
        <w:t>PwC Digital would serve as a valuable partner</w:t>
      </w:r>
      <w:r>
        <w:rPr>
          <w:rFonts w:hint="default" w:ascii="Times New Roman" w:hAnsi="Times New Roman" w:cs="Times New Roman"/>
          <w:sz w:val="24"/>
          <w:szCs w:val="24"/>
          <w:u w:val="none"/>
          <w:lang w:val="en-US"/>
        </w:rPr>
        <w:t>, providing essential consultancy services in digital marketing, brand enhancement, and company rebranding. PwC Digital's involvement would be instrumental in implementing effective branding and marketing strategies, enabling Unilever to navigate the growing competition in various global markets. Additionally, this collaboration would facilitate the development of diverse products tailored to meet the specific demands of different markets worldwide.</w:t>
      </w: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singl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singl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singl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singl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singl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singl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singl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singl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singl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singl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singl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singl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singl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singl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singl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singl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singl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singl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singl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singl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singl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singl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singl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singl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single"/>
          <w:lang w:val="en-US"/>
        </w:rPr>
      </w:pPr>
    </w:p>
    <w:p>
      <w:pPr>
        <w:pageBreakBefore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sz w:val="24"/>
          <w:szCs w:val="24"/>
          <w:u w:val="single"/>
          <w:lang w:val="en-US"/>
        </w:rPr>
      </w:pPr>
    </w:p>
    <w:p>
      <w:pPr>
        <w:pStyle w:val="2"/>
        <w:pageBreakBefore w:val="0"/>
        <w:kinsoku/>
        <w:wordWrap/>
        <w:overflowPunct/>
        <w:topLinePunct w:val="0"/>
        <w:autoSpaceDE/>
        <w:autoSpaceDN/>
        <w:bidi w:val="0"/>
        <w:adjustRightInd/>
        <w:snapToGrid/>
        <w:spacing w:line="480" w:lineRule="auto"/>
        <w:textAlignment w:val="auto"/>
        <w:rPr>
          <w:rFonts w:hint="default" w:ascii="Times New Roman" w:hAnsi="Times New Roman" w:cs="Times New Roman"/>
          <w:sz w:val="24"/>
          <w:szCs w:val="24"/>
          <w:lang w:val="en-US"/>
        </w:rPr>
      </w:pPr>
      <w:bookmarkStart w:id="26" w:name="_Toc12738"/>
      <w:r>
        <w:rPr>
          <w:rFonts w:hint="default" w:ascii="Times New Roman" w:hAnsi="Times New Roman" w:cs="Times New Roman"/>
          <w:sz w:val="24"/>
          <w:szCs w:val="24"/>
          <w:lang w:val="en-US"/>
        </w:rPr>
        <w:t>References</w:t>
      </w:r>
      <w:bookmarkEnd w:id="26"/>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eastAsia="宋体" w:cs="Times New Roman"/>
          <w:i w:val="0"/>
          <w:iCs w:val="0"/>
          <w:caps w:val="0"/>
          <w:color w:val="222222"/>
          <w:spacing w:val="0"/>
          <w:sz w:val="24"/>
          <w:szCs w:val="24"/>
          <w:shd w:val="clear" w:fill="FFFFFF"/>
          <w:lang w:val="en-US"/>
        </w:rPr>
      </w:pPr>
      <w:r>
        <w:rPr>
          <w:rFonts w:hint="default" w:ascii="Times New Roman" w:hAnsi="Times New Roman" w:eastAsia="宋体" w:cs="Times New Roman"/>
          <w:i w:val="0"/>
          <w:iCs w:val="0"/>
          <w:caps w:val="0"/>
          <w:color w:val="222222"/>
          <w:spacing w:val="0"/>
          <w:sz w:val="24"/>
          <w:szCs w:val="24"/>
          <w:shd w:val="clear" w:fill="FFFFFF"/>
        </w:rPr>
        <w:t>Bailey, K. and Breslin, D., 2021. The COVID‐19 pandemic: what can we learn from past research in organizations and management?. </w:t>
      </w:r>
      <w:r>
        <w:rPr>
          <w:rFonts w:hint="default" w:ascii="Times New Roman" w:hAnsi="Times New Roman" w:eastAsia="宋体" w:cs="Times New Roman"/>
          <w:i/>
          <w:iCs/>
          <w:caps w:val="0"/>
          <w:color w:val="222222"/>
          <w:spacing w:val="0"/>
          <w:sz w:val="24"/>
          <w:szCs w:val="24"/>
          <w:shd w:val="clear" w:fill="FFFFFF"/>
        </w:rPr>
        <w:t>International Journal of Management Reviews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23</w:t>
      </w:r>
      <w:r>
        <w:rPr>
          <w:rFonts w:hint="default" w:ascii="Times New Roman" w:hAnsi="Times New Roman" w:eastAsia="宋体" w:cs="Times New Roman"/>
          <w:i w:val="0"/>
          <w:iCs w:val="0"/>
          <w:caps w:val="0"/>
          <w:color w:val="222222"/>
          <w:spacing w:val="0"/>
          <w:sz w:val="24"/>
          <w:szCs w:val="24"/>
          <w:shd w:val="clear" w:fill="FFFFFF"/>
        </w:rPr>
        <w:t>(1), pp.3-6.</w:t>
      </w:r>
      <w:r>
        <w:rPr>
          <w:rFonts w:hint="default" w:ascii="Times New Roman" w:hAnsi="Times New Roman" w:eastAsia="宋体" w:cs="Times New Roman"/>
          <w:i w:val="0"/>
          <w:iCs w:val="0"/>
          <w:caps w:val="0"/>
          <w:color w:val="222222"/>
          <w:spacing w:val="0"/>
          <w:sz w:val="24"/>
          <w:szCs w:val="24"/>
          <w:shd w:val="clear" w:fill="FFFFFF"/>
          <w:lang w:val="en-MY"/>
        </w:rPr>
        <w:t xml:space="preserve">  </w:t>
      </w:r>
      <w:r>
        <w:rPr>
          <w:rFonts w:hint="default" w:ascii="Times New Roman" w:hAnsi="Times New Roman" w:eastAsia="宋体" w:cs="Times New Roman"/>
          <w:i w:val="0"/>
          <w:iCs w:val="0"/>
          <w:caps w:val="0"/>
          <w:color w:val="222222"/>
          <w:spacing w:val="0"/>
          <w:sz w:val="24"/>
          <w:szCs w:val="24"/>
          <w:u w:val="none"/>
          <w:shd w:val="clear" w:fill="FFFFFF"/>
          <w:lang w:val="en-US"/>
        </w:rPr>
        <w:t xml:space="preserve">doi: </w:t>
      </w:r>
      <w:r>
        <w:rPr>
          <w:rFonts w:hint="default" w:ascii="Times New Roman" w:hAnsi="Times New Roman" w:eastAsia="宋体" w:cs="Times New Roman"/>
          <w:i w:val="0"/>
          <w:iCs w:val="0"/>
          <w:caps w:val="0"/>
          <w:color w:val="222222"/>
          <w:spacing w:val="0"/>
          <w:sz w:val="24"/>
          <w:szCs w:val="24"/>
          <w:u w:val="none"/>
          <w:shd w:val="clear" w:fill="FFFFFF"/>
          <w:lang w:val="en-MY"/>
        </w:rPr>
        <w:t>10.1111/ijmr.12237</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cs="Times New Roman"/>
          <w:sz w:val="24"/>
          <w:szCs w:val="24"/>
          <w:u w:val="single"/>
          <w:lang w:val="en-US"/>
        </w:rPr>
      </w:pPr>
      <w:r>
        <w:rPr>
          <w:rFonts w:hint="default" w:ascii="Times New Roman" w:hAnsi="Times New Roman" w:eastAsia="宋体" w:cs="Times New Roman"/>
          <w:i w:val="0"/>
          <w:iCs w:val="0"/>
          <w:caps w:val="0"/>
          <w:color w:val="222222"/>
          <w:spacing w:val="0"/>
          <w:sz w:val="24"/>
          <w:szCs w:val="24"/>
          <w:shd w:val="clear" w:fill="FFFFFF"/>
        </w:rPr>
        <w:t>Zou, S., 2021, August. Analysis on the Recovery of MNEs from the Financial Crisis: A Case Study of Unilever. In </w:t>
      </w:r>
      <w:r>
        <w:rPr>
          <w:rFonts w:hint="default" w:ascii="Times New Roman" w:hAnsi="Times New Roman" w:eastAsia="宋体" w:cs="Times New Roman"/>
          <w:i/>
          <w:iCs/>
          <w:caps w:val="0"/>
          <w:color w:val="222222"/>
          <w:spacing w:val="0"/>
          <w:sz w:val="24"/>
          <w:szCs w:val="24"/>
          <w:shd w:val="clear" w:fill="FFFFFF"/>
        </w:rPr>
        <w:t>1st International Symposium on Innovative Management and Economics (ISIME 2021)</w:t>
      </w:r>
      <w:r>
        <w:rPr>
          <w:rFonts w:hint="default" w:ascii="Times New Roman" w:hAnsi="Times New Roman" w:eastAsia="宋体" w:cs="Times New Roman"/>
          <w:i w:val="0"/>
          <w:iCs w:val="0"/>
          <w:caps w:val="0"/>
          <w:color w:val="222222"/>
          <w:spacing w:val="0"/>
          <w:sz w:val="24"/>
          <w:szCs w:val="24"/>
          <w:shd w:val="clear" w:fill="FFFFFF"/>
        </w:rPr>
        <w:t> (pp. 121-128). Atlantis Press.</w:t>
      </w:r>
      <w:r>
        <w:rPr>
          <w:rFonts w:hint="default" w:ascii="Times New Roman" w:hAnsi="Times New Roman" w:eastAsia="宋体" w:cs="Times New Roman"/>
          <w:i w:val="0"/>
          <w:iCs w:val="0"/>
          <w:caps w:val="0"/>
          <w:color w:val="222222"/>
          <w:spacing w:val="0"/>
          <w:sz w:val="24"/>
          <w:szCs w:val="24"/>
          <w:shd w:val="clear" w:fill="FFFFFF"/>
          <w:lang w:val="en-US"/>
        </w:rPr>
        <w:t xml:space="preserve"> doi: 10.2991/aebmr.k.210803.017</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cs="Times New Roman"/>
          <w:sz w:val="24"/>
          <w:szCs w:val="24"/>
          <w:u w:val="single"/>
          <w:lang w:val="en-US"/>
        </w:rPr>
      </w:pPr>
      <w:r>
        <w:rPr>
          <w:rFonts w:hint="default" w:ascii="Times New Roman" w:hAnsi="Times New Roman" w:eastAsia="宋体" w:cs="Times New Roman"/>
          <w:i w:val="0"/>
          <w:iCs w:val="0"/>
          <w:caps w:val="0"/>
          <w:color w:val="222222"/>
          <w:spacing w:val="0"/>
          <w:sz w:val="24"/>
          <w:szCs w:val="24"/>
          <w:shd w:val="clear" w:fill="FFFFFF"/>
        </w:rPr>
        <w:t>Bocken, N.M. and Short, S.W., 2021. Unsustainable business models–Recognising and resolving institutionalised social and environmental harm. </w:t>
      </w:r>
      <w:r>
        <w:rPr>
          <w:rFonts w:hint="default" w:ascii="Times New Roman" w:hAnsi="Times New Roman" w:eastAsia="宋体" w:cs="Times New Roman"/>
          <w:i/>
          <w:iCs/>
          <w:caps w:val="0"/>
          <w:color w:val="222222"/>
          <w:spacing w:val="0"/>
          <w:sz w:val="24"/>
          <w:szCs w:val="24"/>
          <w:shd w:val="clear" w:fill="FFFFFF"/>
        </w:rPr>
        <w:t>Journal of Cleaner Production</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312</w:t>
      </w:r>
      <w:r>
        <w:rPr>
          <w:rFonts w:hint="default" w:ascii="Times New Roman" w:hAnsi="Times New Roman" w:eastAsia="宋体" w:cs="Times New Roman"/>
          <w:i w:val="0"/>
          <w:iCs w:val="0"/>
          <w:caps w:val="0"/>
          <w:color w:val="222222"/>
          <w:spacing w:val="0"/>
          <w:sz w:val="24"/>
          <w:szCs w:val="24"/>
          <w:shd w:val="clear" w:fill="FFFFFF"/>
        </w:rPr>
        <w:t>, p.127828.</w:t>
      </w:r>
      <w:r>
        <w:rPr>
          <w:rFonts w:hint="default" w:ascii="Times New Roman" w:hAnsi="Times New Roman" w:eastAsia="宋体" w:cs="Times New Roman"/>
          <w:i w:val="0"/>
          <w:iCs w:val="0"/>
          <w:caps w:val="0"/>
          <w:color w:val="222222"/>
          <w:spacing w:val="0"/>
          <w:sz w:val="24"/>
          <w:szCs w:val="24"/>
          <w:shd w:val="clear" w:fill="FFFFFF"/>
          <w:lang w:val="en-US"/>
        </w:rPr>
        <w:t xml:space="preserve"> doi: 10.1016/j.jclepro.2021.127828</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cs="Times New Roman"/>
          <w:sz w:val="24"/>
          <w:szCs w:val="24"/>
          <w:u w:val="single"/>
          <w:lang w:val="en-US"/>
        </w:rPr>
      </w:pPr>
      <w:r>
        <w:rPr>
          <w:rFonts w:hint="default" w:ascii="Times New Roman" w:hAnsi="Times New Roman" w:eastAsia="宋体" w:cs="Times New Roman"/>
          <w:i w:val="0"/>
          <w:iCs w:val="0"/>
          <w:caps w:val="0"/>
          <w:color w:val="222222"/>
          <w:spacing w:val="0"/>
          <w:sz w:val="24"/>
          <w:szCs w:val="24"/>
          <w:shd w:val="clear" w:fill="FFFFFF"/>
        </w:rPr>
        <w:t>Kpoku, O.K., 2021. </w:t>
      </w:r>
      <w:r>
        <w:rPr>
          <w:rFonts w:hint="default" w:ascii="Times New Roman" w:hAnsi="Times New Roman" w:eastAsia="宋体" w:cs="Times New Roman"/>
          <w:i/>
          <w:iCs/>
          <w:caps w:val="0"/>
          <w:color w:val="222222"/>
          <w:spacing w:val="0"/>
          <w:sz w:val="24"/>
          <w:szCs w:val="24"/>
          <w:shd w:val="clear" w:fill="FFFFFF"/>
        </w:rPr>
        <w:t>Positive and negative influence of globalization on international business actors’ activity (on materials of Unilever Group)</w:t>
      </w:r>
      <w:r>
        <w:rPr>
          <w:rFonts w:hint="default" w:ascii="Times New Roman" w:hAnsi="Times New Roman" w:eastAsia="宋体" w:cs="Times New Roman"/>
          <w:i w:val="0"/>
          <w:iCs w:val="0"/>
          <w:caps w:val="0"/>
          <w:color w:val="222222"/>
          <w:spacing w:val="0"/>
          <w:sz w:val="24"/>
          <w:szCs w:val="24"/>
          <w:shd w:val="clear" w:fill="FFFFFF"/>
        </w:rPr>
        <w:t> (Doctoral dissertation).</w:t>
      </w:r>
      <w:r>
        <w:rPr>
          <w:rFonts w:hint="default" w:ascii="Times New Roman" w:hAnsi="Times New Roman" w:eastAsia="宋体" w:cs="Times New Roman"/>
          <w:i w:val="0"/>
          <w:iCs w:val="0"/>
          <w:caps w:val="0"/>
          <w:color w:val="222222"/>
          <w:spacing w:val="0"/>
          <w:sz w:val="24"/>
          <w:szCs w:val="24"/>
          <w:shd w:val="clear" w:fill="FFFFFF"/>
          <w:lang w:val="en-US"/>
        </w:rPr>
        <w:t xml:space="preserve"> </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cs="Times New Roman"/>
          <w:sz w:val="24"/>
          <w:szCs w:val="24"/>
          <w:u w:val="single"/>
          <w:lang w:val="en-US"/>
        </w:rPr>
      </w:pPr>
      <w:r>
        <w:rPr>
          <w:rFonts w:hint="default" w:ascii="Times New Roman" w:hAnsi="Times New Roman" w:eastAsia="宋体" w:cs="Times New Roman"/>
          <w:i w:val="0"/>
          <w:iCs w:val="0"/>
          <w:caps w:val="0"/>
          <w:color w:val="222222"/>
          <w:spacing w:val="0"/>
          <w:sz w:val="24"/>
          <w:szCs w:val="24"/>
          <w:shd w:val="clear" w:fill="FFFFFF"/>
        </w:rPr>
        <w:t>Benfratello, L. and Shiqian, Y., 2021. Economic analysis of the fmcg industry in China (Fast Moving Consumer Goods). </w:t>
      </w:r>
      <w:r>
        <w:rPr>
          <w:rFonts w:hint="default" w:ascii="Times New Roman" w:hAnsi="Times New Roman" w:eastAsia="宋体" w:cs="Times New Roman"/>
          <w:i/>
          <w:iCs/>
          <w:caps w:val="0"/>
          <w:color w:val="222222"/>
          <w:spacing w:val="0"/>
          <w:sz w:val="24"/>
          <w:szCs w:val="24"/>
          <w:shd w:val="clear" w:fill="FFFFFF"/>
        </w:rPr>
        <w:t>International Journal of Operations and Production Management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4</w:t>
      </w:r>
      <w:r>
        <w:rPr>
          <w:rFonts w:hint="default" w:ascii="Times New Roman" w:hAnsi="Times New Roman" w:eastAsia="宋体" w:cs="Times New Roman"/>
          <w:i w:val="0"/>
          <w:iCs w:val="0"/>
          <w:caps w:val="0"/>
          <w:color w:val="222222"/>
          <w:spacing w:val="0"/>
          <w:sz w:val="24"/>
          <w:szCs w:val="24"/>
          <w:shd w:val="clear" w:fill="FFFFFF"/>
        </w:rPr>
        <w:t>(1), pp.1-10.</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cs="Times New Roman"/>
          <w:sz w:val="24"/>
          <w:szCs w:val="24"/>
          <w:u w:val="single"/>
          <w:lang w:val="en-US"/>
        </w:rPr>
      </w:pPr>
      <w:r>
        <w:rPr>
          <w:rFonts w:hint="default" w:ascii="Times New Roman" w:hAnsi="Times New Roman" w:eastAsia="宋体" w:cs="Times New Roman"/>
          <w:i w:val="0"/>
          <w:iCs w:val="0"/>
          <w:caps w:val="0"/>
          <w:color w:val="222222"/>
          <w:spacing w:val="0"/>
          <w:sz w:val="24"/>
          <w:szCs w:val="24"/>
          <w:shd w:val="clear" w:fill="FFFFFF"/>
        </w:rPr>
        <w:t>Chandra, R. and Jatmika, S., 2022, March. Unilever Unilever Surabaya Corporate Social Responsibility (Csr) Policy in Maintaining Environmental Sustainability in Surabaya in 2014-2020. In </w:t>
      </w:r>
      <w:r>
        <w:rPr>
          <w:rFonts w:hint="default" w:ascii="Times New Roman" w:hAnsi="Times New Roman" w:eastAsia="宋体" w:cs="Times New Roman"/>
          <w:i/>
          <w:iCs/>
          <w:caps w:val="0"/>
          <w:color w:val="222222"/>
          <w:spacing w:val="0"/>
          <w:sz w:val="24"/>
          <w:szCs w:val="24"/>
          <w:shd w:val="clear" w:fill="FFFFFF"/>
        </w:rPr>
        <w:t>International Conference on Public Organization (ICONPO 2021)</w:t>
      </w:r>
      <w:r>
        <w:rPr>
          <w:rFonts w:hint="default" w:ascii="Times New Roman" w:hAnsi="Times New Roman" w:eastAsia="宋体" w:cs="Times New Roman"/>
          <w:i w:val="0"/>
          <w:iCs w:val="0"/>
          <w:caps w:val="0"/>
          <w:color w:val="222222"/>
          <w:spacing w:val="0"/>
          <w:sz w:val="24"/>
          <w:szCs w:val="24"/>
          <w:shd w:val="clear" w:fill="FFFFFF"/>
        </w:rPr>
        <w:t> (pp. 444-452). Atlantis Press.</w:t>
      </w:r>
      <w:r>
        <w:rPr>
          <w:rFonts w:hint="default" w:ascii="Times New Roman" w:hAnsi="Times New Roman" w:eastAsia="宋体" w:cs="Times New Roman"/>
          <w:i w:val="0"/>
          <w:iCs w:val="0"/>
          <w:caps w:val="0"/>
          <w:color w:val="222222"/>
          <w:spacing w:val="0"/>
          <w:sz w:val="24"/>
          <w:szCs w:val="24"/>
          <w:shd w:val="clear" w:fill="FFFFFF"/>
          <w:lang w:val="en-US"/>
        </w:rPr>
        <w:t xml:space="preserve"> doi: 10.2991/aebmr.k.220209.057</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cs="Times New Roman"/>
          <w:sz w:val="24"/>
          <w:szCs w:val="24"/>
          <w:u w:val="single"/>
          <w:lang w:val="en-US"/>
        </w:rPr>
      </w:pPr>
      <w:r>
        <w:rPr>
          <w:rFonts w:hint="default" w:ascii="Times New Roman" w:hAnsi="Times New Roman" w:eastAsia="宋体" w:cs="Times New Roman"/>
          <w:i w:val="0"/>
          <w:iCs w:val="0"/>
          <w:caps w:val="0"/>
          <w:color w:val="222222"/>
          <w:spacing w:val="0"/>
          <w:sz w:val="24"/>
          <w:szCs w:val="24"/>
          <w:shd w:val="clear" w:fill="FFFFFF"/>
        </w:rPr>
        <w:t>Murphy, P.E. and Murphy, C.E., 2018. Sustainable living: unilever. </w:t>
      </w:r>
      <w:r>
        <w:rPr>
          <w:rFonts w:hint="default" w:ascii="Times New Roman" w:hAnsi="Times New Roman" w:eastAsia="宋体" w:cs="Times New Roman"/>
          <w:i/>
          <w:iCs/>
          <w:caps w:val="0"/>
          <w:color w:val="222222"/>
          <w:spacing w:val="0"/>
          <w:sz w:val="24"/>
          <w:szCs w:val="24"/>
          <w:shd w:val="clear" w:fill="FFFFFF"/>
        </w:rPr>
        <w:t>Progressive business models: Creating sustainable and pro-social enterprise</w:t>
      </w:r>
      <w:r>
        <w:rPr>
          <w:rFonts w:hint="default" w:ascii="Times New Roman" w:hAnsi="Times New Roman" w:eastAsia="宋体" w:cs="Times New Roman"/>
          <w:i w:val="0"/>
          <w:iCs w:val="0"/>
          <w:caps w:val="0"/>
          <w:color w:val="222222"/>
          <w:spacing w:val="0"/>
          <w:sz w:val="24"/>
          <w:szCs w:val="24"/>
          <w:shd w:val="clear" w:fill="FFFFFF"/>
        </w:rPr>
        <w:t>, pp.263-286.</w:t>
      </w:r>
      <w:r>
        <w:rPr>
          <w:rFonts w:hint="default" w:ascii="Times New Roman" w:hAnsi="Times New Roman" w:eastAsia="宋体" w:cs="Times New Roman"/>
          <w:i w:val="0"/>
          <w:iCs w:val="0"/>
          <w:caps w:val="0"/>
          <w:color w:val="222222"/>
          <w:spacing w:val="0"/>
          <w:sz w:val="24"/>
          <w:szCs w:val="24"/>
          <w:shd w:val="clear" w:fill="FFFFFF"/>
          <w:lang w:val="en-US"/>
        </w:rPr>
        <w:t xml:space="preserve"> doi: 10.1007/978-3-319-58804-9_12</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cs="Times New Roman"/>
          <w:sz w:val="24"/>
          <w:szCs w:val="24"/>
          <w:u w:val="none"/>
          <w:lang w:val="en-US"/>
        </w:rPr>
      </w:pPr>
      <w:r>
        <w:rPr>
          <w:rFonts w:hint="default" w:ascii="Times New Roman" w:hAnsi="Times New Roman" w:cs="Times New Roman"/>
          <w:sz w:val="24"/>
          <w:szCs w:val="24"/>
          <w:u w:val="none"/>
          <w:lang w:val="en-US"/>
        </w:rPr>
        <w:t xml:space="preserve">higherstudyorg, A.-I.A. (2017). </w:t>
      </w:r>
      <w:r>
        <w:rPr>
          <w:rFonts w:hint="default" w:ascii="Times New Roman" w:hAnsi="Times New Roman" w:cs="Times New Roman"/>
          <w:i/>
          <w:iCs/>
          <w:sz w:val="24"/>
          <w:szCs w:val="24"/>
          <w:u w:val="none"/>
          <w:lang w:val="en-US"/>
        </w:rPr>
        <w:t>Strategic Management Process 6 Steps.</w:t>
      </w:r>
      <w:r>
        <w:rPr>
          <w:rFonts w:hint="default" w:ascii="Times New Roman" w:hAnsi="Times New Roman" w:cs="Times New Roman"/>
          <w:sz w:val="24"/>
          <w:szCs w:val="24"/>
          <w:u w:val="none"/>
          <w:lang w:val="en-US"/>
        </w:rPr>
        <w:t xml:space="preserve"> [online] HigherStudy.org. Available at: https://higherstudy.org/strategic-management-process-6-steps/.</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cs="Times New Roman"/>
          <w:sz w:val="24"/>
          <w:szCs w:val="24"/>
          <w:u w:val="single"/>
          <w:lang w:val="en-US"/>
        </w:rPr>
      </w:pPr>
      <w:r>
        <w:rPr>
          <w:rFonts w:hint="default" w:ascii="Times New Roman" w:hAnsi="Times New Roman" w:eastAsia="宋体" w:cs="Times New Roman"/>
          <w:i w:val="0"/>
          <w:iCs w:val="0"/>
          <w:caps w:val="0"/>
          <w:color w:val="222222"/>
          <w:spacing w:val="0"/>
          <w:sz w:val="24"/>
          <w:szCs w:val="24"/>
          <w:shd w:val="clear" w:fill="FFFFFF"/>
        </w:rPr>
        <w:t>Mirvis, P., 2011. Chapter 2 Unilever's Drive for Sustainability and CSR–Changing the Game. In </w:t>
      </w:r>
      <w:r>
        <w:rPr>
          <w:rFonts w:hint="default" w:ascii="Times New Roman" w:hAnsi="Times New Roman" w:eastAsia="宋体" w:cs="Times New Roman"/>
          <w:i/>
          <w:iCs/>
          <w:caps w:val="0"/>
          <w:color w:val="222222"/>
          <w:spacing w:val="0"/>
          <w:sz w:val="24"/>
          <w:szCs w:val="24"/>
          <w:shd w:val="clear" w:fill="FFFFFF"/>
        </w:rPr>
        <w:t>Organizing for sustainability</w:t>
      </w:r>
      <w:r>
        <w:rPr>
          <w:rFonts w:hint="default" w:ascii="Times New Roman" w:hAnsi="Times New Roman" w:eastAsia="宋体" w:cs="Times New Roman"/>
          <w:i w:val="0"/>
          <w:iCs w:val="0"/>
          <w:caps w:val="0"/>
          <w:color w:val="222222"/>
          <w:spacing w:val="0"/>
          <w:sz w:val="24"/>
          <w:szCs w:val="24"/>
          <w:shd w:val="clear" w:fill="FFFFFF"/>
        </w:rPr>
        <w:t> (pp. 41-72). Emerald Group Publishing Limited.</w:t>
      </w:r>
      <w:r>
        <w:rPr>
          <w:rFonts w:hint="default" w:ascii="Times New Roman" w:hAnsi="Times New Roman" w:eastAsia="宋体" w:cs="Times New Roman"/>
          <w:i w:val="0"/>
          <w:iCs w:val="0"/>
          <w:caps w:val="0"/>
          <w:color w:val="222222"/>
          <w:spacing w:val="0"/>
          <w:sz w:val="24"/>
          <w:szCs w:val="24"/>
          <w:shd w:val="clear" w:fill="FFFFFF"/>
          <w:lang w:val="en-US"/>
        </w:rPr>
        <w:t xml:space="preserve"> doi: 10.1108/S2045-0605(2011)0000001007</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cs="Times New Roman"/>
          <w:sz w:val="24"/>
          <w:szCs w:val="24"/>
          <w:lang w:val="en-US"/>
        </w:rPr>
      </w:pPr>
      <w:r>
        <w:rPr>
          <w:rFonts w:hint="default" w:ascii="Times New Roman" w:hAnsi="Times New Roman" w:eastAsia="宋体" w:cs="Times New Roman"/>
          <w:i w:val="0"/>
          <w:iCs w:val="0"/>
          <w:caps w:val="0"/>
          <w:color w:val="222222"/>
          <w:spacing w:val="0"/>
          <w:sz w:val="24"/>
          <w:szCs w:val="24"/>
          <w:shd w:val="clear" w:fill="FFFFFF"/>
        </w:rPr>
        <w:t>Whiteman, G., Walker, B. and Perego, P., 2013. Planetary boundaries: Ecological foundations for corporate sustainability. </w:t>
      </w:r>
      <w:r>
        <w:rPr>
          <w:rFonts w:hint="default" w:ascii="Times New Roman" w:hAnsi="Times New Roman" w:eastAsia="宋体" w:cs="Times New Roman"/>
          <w:i/>
          <w:iCs/>
          <w:caps w:val="0"/>
          <w:color w:val="222222"/>
          <w:spacing w:val="0"/>
          <w:sz w:val="24"/>
          <w:szCs w:val="24"/>
          <w:shd w:val="clear" w:fill="FFFFFF"/>
        </w:rPr>
        <w:t>Journal of management studies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50</w:t>
      </w:r>
      <w:r>
        <w:rPr>
          <w:rFonts w:hint="default" w:ascii="Times New Roman" w:hAnsi="Times New Roman" w:eastAsia="宋体" w:cs="Times New Roman"/>
          <w:i w:val="0"/>
          <w:iCs w:val="0"/>
          <w:caps w:val="0"/>
          <w:color w:val="222222"/>
          <w:spacing w:val="0"/>
          <w:sz w:val="24"/>
          <w:szCs w:val="24"/>
          <w:shd w:val="clear" w:fill="FFFFFF"/>
        </w:rPr>
        <w:t>(2), pp.307-336.</w:t>
      </w:r>
      <w:r>
        <w:rPr>
          <w:rFonts w:hint="default" w:ascii="Times New Roman" w:hAnsi="Times New Roman" w:eastAsia="宋体" w:cs="Times New Roman"/>
          <w:i w:val="0"/>
          <w:iCs w:val="0"/>
          <w:caps w:val="0"/>
          <w:color w:val="222222"/>
          <w:spacing w:val="0"/>
          <w:sz w:val="24"/>
          <w:szCs w:val="24"/>
          <w:shd w:val="clear" w:fill="FFFFFF"/>
          <w:lang w:val="en-US"/>
        </w:rPr>
        <w:t xml:space="preserve"> doi: 10.1111/j.1467-6486.2012.01073.x</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cs="Times New Roman"/>
          <w:sz w:val="24"/>
          <w:szCs w:val="24"/>
          <w:lang w:val="en-US"/>
        </w:rPr>
      </w:pPr>
      <w:r>
        <w:rPr>
          <w:rFonts w:hint="default" w:ascii="Times New Roman" w:hAnsi="Times New Roman" w:eastAsia="宋体" w:cs="Times New Roman"/>
          <w:i w:val="0"/>
          <w:iCs w:val="0"/>
          <w:caps w:val="0"/>
          <w:color w:val="222222"/>
          <w:spacing w:val="0"/>
          <w:sz w:val="24"/>
          <w:szCs w:val="24"/>
          <w:shd w:val="clear" w:fill="FFFFFF"/>
        </w:rPr>
        <w:t>Spreitzer, G.M., 2006. Leading to grow and growing to lead:: Leadership development lessons from positive organizational studies. </w:t>
      </w:r>
      <w:r>
        <w:rPr>
          <w:rFonts w:hint="default" w:ascii="Times New Roman" w:hAnsi="Times New Roman" w:eastAsia="宋体" w:cs="Times New Roman"/>
          <w:i/>
          <w:iCs/>
          <w:caps w:val="0"/>
          <w:color w:val="222222"/>
          <w:spacing w:val="0"/>
          <w:sz w:val="24"/>
          <w:szCs w:val="24"/>
          <w:shd w:val="clear" w:fill="FFFFFF"/>
        </w:rPr>
        <w:t>Organizational Dynamics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35</w:t>
      </w:r>
      <w:r>
        <w:rPr>
          <w:rFonts w:hint="default" w:ascii="Times New Roman" w:hAnsi="Times New Roman" w:eastAsia="宋体" w:cs="Times New Roman"/>
          <w:i w:val="0"/>
          <w:iCs w:val="0"/>
          <w:caps w:val="0"/>
          <w:color w:val="222222"/>
          <w:spacing w:val="0"/>
          <w:sz w:val="24"/>
          <w:szCs w:val="24"/>
          <w:shd w:val="clear" w:fill="FFFFFF"/>
        </w:rPr>
        <w:t>(4), pp.305-315.</w:t>
      </w:r>
      <w:r>
        <w:rPr>
          <w:rFonts w:hint="default" w:ascii="Times New Roman" w:hAnsi="Times New Roman" w:eastAsia="宋体" w:cs="Times New Roman"/>
          <w:i w:val="0"/>
          <w:iCs w:val="0"/>
          <w:caps w:val="0"/>
          <w:color w:val="222222"/>
          <w:spacing w:val="0"/>
          <w:sz w:val="24"/>
          <w:szCs w:val="24"/>
          <w:shd w:val="clear" w:fill="FFFFFF"/>
          <w:lang w:val="en-US"/>
        </w:rPr>
        <w:t xml:space="preserve"> doi: 10.1016/j.orgdyn.2006.08.005</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cs="Times New Roman"/>
          <w:sz w:val="24"/>
          <w:szCs w:val="24"/>
          <w:lang w:val="en-US"/>
        </w:rPr>
      </w:pPr>
      <w:r>
        <w:rPr>
          <w:rFonts w:hint="default" w:ascii="Times New Roman" w:hAnsi="Times New Roman" w:eastAsia="宋体" w:cs="Times New Roman"/>
          <w:i w:val="0"/>
          <w:iCs w:val="0"/>
          <w:caps w:val="0"/>
          <w:color w:val="222222"/>
          <w:spacing w:val="0"/>
          <w:sz w:val="24"/>
          <w:szCs w:val="24"/>
          <w:shd w:val="clear" w:fill="FFFFFF"/>
        </w:rPr>
        <w:t>Bhattacharya, C.B., 2019. </w:t>
      </w:r>
      <w:r>
        <w:rPr>
          <w:rFonts w:hint="default" w:ascii="Times New Roman" w:hAnsi="Times New Roman" w:eastAsia="宋体" w:cs="Times New Roman"/>
          <w:i/>
          <w:iCs/>
          <w:caps w:val="0"/>
          <w:color w:val="222222"/>
          <w:spacing w:val="0"/>
          <w:sz w:val="24"/>
          <w:szCs w:val="24"/>
          <w:shd w:val="clear" w:fill="FFFFFF"/>
        </w:rPr>
        <w:t>Small actions, big difference: Leveraging corporate sustainability to drive business and societal value</w:t>
      </w:r>
      <w:r>
        <w:rPr>
          <w:rFonts w:hint="default" w:ascii="Times New Roman" w:hAnsi="Times New Roman" w:eastAsia="宋体" w:cs="Times New Roman"/>
          <w:i w:val="0"/>
          <w:iCs w:val="0"/>
          <w:caps w:val="0"/>
          <w:color w:val="222222"/>
          <w:spacing w:val="0"/>
          <w:sz w:val="24"/>
          <w:szCs w:val="24"/>
          <w:shd w:val="clear" w:fill="FFFFFF"/>
        </w:rPr>
        <w:t>. Routledge.</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cs="Times New Roman"/>
          <w:sz w:val="24"/>
          <w:szCs w:val="24"/>
          <w:lang w:val="en-US"/>
        </w:rPr>
      </w:pPr>
      <w:r>
        <w:rPr>
          <w:rFonts w:hint="default" w:ascii="Times New Roman" w:hAnsi="Times New Roman" w:eastAsia="宋体" w:cs="Times New Roman"/>
          <w:i w:val="0"/>
          <w:iCs w:val="0"/>
          <w:caps w:val="0"/>
          <w:color w:val="222222"/>
          <w:spacing w:val="0"/>
          <w:sz w:val="24"/>
          <w:szCs w:val="24"/>
          <w:shd w:val="clear" w:fill="FFFFFF"/>
        </w:rPr>
        <w:t>Cetinelli, S., 2016. Discovering the magic. </w:t>
      </w:r>
      <w:r>
        <w:rPr>
          <w:rFonts w:hint="default" w:ascii="Times New Roman" w:hAnsi="Times New Roman" w:eastAsia="宋体" w:cs="Times New Roman"/>
          <w:i/>
          <w:iCs/>
          <w:caps w:val="0"/>
          <w:color w:val="222222"/>
          <w:spacing w:val="0"/>
          <w:sz w:val="24"/>
          <w:szCs w:val="24"/>
          <w:shd w:val="clear" w:fill="FFFFFF"/>
        </w:rPr>
        <w:t>Research World</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2016</w:t>
      </w:r>
      <w:r>
        <w:rPr>
          <w:rFonts w:hint="default" w:ascii="Times New Roman" w:hAnsi="Times New Roman" w:eastAsia="宋体" w:cs="Times New Roman"/>
          <w:i w:val="0"/>
          <w:iCs w:val="0"/>
          <w:caps w:val="0"/>
          <w:color w:val="222222"/>
          <w:spacing w:val="0"/>
          <w:sz w:val="24"/>
          <w:szCs w:val="24"/>
          <w:shd w:val="clear" w:fill="FFFFFF"/>
        </w:rPr>
        <w:t>(60), pp.16-21.</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cs="Times New Roman"/>
          <w:sz w:val="24"/>
          <w:szCs w:val="24"/>
          <w:lang w:val="en-US"/>
        </w:rPr>
      </w:pPr>
      <w:r>
        <w:rPr>
          <w:rFonts w:hint="default" w:ascii="Times New Roman" w:hAnsi="Times New Roman" w:eastAsia="宋体" w:cs="Times New Roman"/>
          <w:i w:val="0"/>
          <w:iCs w:val="0"/>
          <w:caps w:val="0"/>
          <w:color w:val="222222"/>
          <w:spacing w:val="0"/>
          <w:sz w:val="24"/>
          <w:szCs w:val="24"/>
          <w:shd w:val="clear" w:fill="FFFFFF"/>
        </w:rPr>
        <w:t>Newson, R.S., Lion, R., Crawford, R.J., Curtis, V., Elmadfa, I., Feunekes, G.I., Hicks, C., Van Liere, M., Lowe, C.F., Meijer, G.W. and Pradeep, B.V., 2013. Behaviour change for better health: nutrition, hygiene and sustainability.</w:t>
      </w:r>
      <w:r>
        <w:rPr>
          <w:rFonts w:hint="default" w:ascii="Times New Roman" w:hAnsi="Times New Roman" w:eastAsia="宋体" w:cs="Times New Roman"/>
          <w:i w:val="0"/>
          <w:iCs w:val="0"/>
          <w:caps w:val="0"/>
          <w:color w:val="222222"/>
          <w:spacing w:val="0"/>
          <w:sz w:val="24"/>
          <w:szCs w:val="24"/>
          <w:shd w:val="clear" w:fill="FFFFFF"/>
          <w:lang w:val="en-US"/>
        </w:rPr>
        <w:t xml:space="preserve"> doi: 10.1186/1471-2458-13-S1-S1</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cs="Times New Roman"/>
          <w:sz w:val="24"/>
          <w:szCs w:val="24"/>
          <w:lang w:val="en-US"/>
        </w:rPr>
      </w:pPr>
      <w:r>
        <w:rPr>
          <w:rFonts w:hint="default" w:ascii="Times New Roman" w:hAnsi="Times New Roman" w:eastAsia="宋体" w:cs="Times New Roman"/>
          <w:i w:val="0"/>
          <w:iCs w:val="0"/>
          <w:caps w:val="0"/>
          <w:color w:val="222222"/>
          <w:spacing w:val="0"/>
          <w:sz w:val="24"/>
          <w:szCs w:val="24"/>
          <w:shd w:val="clear" w:fill="FFFFFF"/>
        </w:rPr>
        <w:t>Piercy, N.F. and Lane, N., 2009. Corporate social responsibility: impacts on strategic marketing and customer value. </w:t>
      </w:r>
      <w:r>
        <w:rPr>
          <w:rFonts w:hint="default" w:ascii="Times New Roman" w:hAnsi="Times New Roman" w:eastAsia="宋体" w:cs="Times New Roman"/>
          <w:i/>
          <w:iCs/>
          <w:caps w:val="0"/>
          <w:color w:val="222222"/>
          <w:spacing w:val="0"/>
          <w:sz w:val="24"/>
          <w:szCs w:val="24"/>
          <w:shd w:val="clear" w:fill="FFFFFF"/>
        </w:rPr>
        <w:t>The marketing review</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9</w:t>
      </w:r>
      <w:r>
        <w:rPr>
          <w:rFonts w:hint="default" w:ascii="Times New Roman" w:hAnsi="Times New Roman" w:eastAsia="宋体" w:cs="Times New Roman"/>
          <w:i w:val="0"/>
          <w:iCs w:val="0"/>
          <w:caps w:val="0"/>
          <w:color w:val="222222"/>
          <w:spacing w:val="0"/>
          <w:sz w:val="24"/>
          <w:szCs w:val="24"/>
          <w:shd w:val="clear" w:fill="FFFFFF"/>
        </w:rPr>
        <w:t>(4), pp.335-360.</w:t>
      </w:r>
      <w:r>
        <w:rPr>
          <w:rFonts w:hint="default" w:ascii="Times New Roman" w:hAnsi="Times New Roman" w:eastAsia="宋体" w:cs="Times New Roman"/>
          <w:i w:val="0"/>
          <w:iCs w:val="0"/>
          <w:caps w:val="0"/>
          <w:color w:val="222222"/>
          <w:spacing w:val="0"/>
          <w:sz w:val="24"/>
          <w:szCs w:val="24"/>
          <w:shd w:val="clear" w:fill="FFFFFF"/>
          <w:lang w:val="en-US"/>
        </w:rPr>
        <w:t xml:space="preserve"> doi: 10.1362/146934709X479917</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cs="Times New Roman"/>
          <w:sz w:val="24"/>
          <w:szCs w:val="24"/>
          <w:lang w:val="en-US"/>
        </w:rPr>
      </w:pPr>
      <w:r>
        <w:rPr>
          <w:rFonts w:hint="default" w:ascii="Times New Roman" w:hAnsi="Times New Roman" w:eastAsia="宋体" w:cs="Times New Roman"/>
          <w:i w:val="0"/>
          <w:iCs w:val="0"/>
          <w:caps w:val="0"/>
          <w:color w:val="222222"/>
          <w:spacing w:val="0"/>
          <w:sz w:val="24"/>
          <w:szCs w:val="24"/>
          <w:shd w:val="clear" w:fill="FFFFFF"/>
        </w:rPr>
        <w:t>Lim, W.M., 2022. The sustainability pyramid: A hierarchical approach to greater sustainability and the United Nations Sustainable Development Goals with implications for marketing theory, practice, and public policy. </w:t>
      </w:r>
      <w:r>
        <w:rPr>
          <w:rFonts w:hint="default" w:ascii="Times New Roman" w:hAnsi="Times New Roman" w:eastAsia="宋体" w:cs="Times New Roman"/>
          <w:i/>
          <w:iCs/>
          <w:caps w:val="0"/>
          <w:color w:val="222222"/>
          <w:spacing w:val="0"/>
          <w:sz w:val="24"/>
          <w:szCs w:val="24"/>
          <w:shd w:val="clear" w:fill="FFFFFF"/>
        </w:rPr>
        <w:t>Australasian Marketing Journal</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30</w:t>
      </w:r>
      <w:r>
        <w:rPr>
          <w:rFonts w:hint="default" w:ascii="Times New Roman" w:hAnsi="Times New Roman" w:eastAsia="宋体" w:cs="Times New Roman"/>
          <w:i w:val="0"/>
          <w:iCs w:val="0"/>
          <w:caps w:val="0"/>
          <w:color w:val="222222"/>
          <w:spacing w:val="0"/>
          <w:sz w:val="24"/>
          <w:szCs w:val="24"/>
          <w:shd w:val="clear" w:fill="FFFFFF"/>
        </w:rPr>
        <w:t>(2), pp.142-150.</w:t>
      </w:r>
      <w:r>
        <w:rPr>
          <w:rFonts w:hint="default" w:ascii="Times New Roman" w:hAnsi="Times New Roman" w:eastAsia="宋体" w:cs="Times New Roman"/>
          <w:i w:val="0"/>
          <w:iCs w:val="0"/>
          <w:caps w:val="0"/>
          <w:color w:val="222222"/>
          <w:spacing w:val="0"/>
          <w:sz w:val="24"/>
          <w:szCs w:val="24"/>
          <w:shd w:val="clear" w:fill="FFFFFF"/>
          <w:lang w:val="en-US"/>
        </w:rPr>
        <w:t xml:space="preserve"> doi: 10.1177/1839334921106915</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cs="Times New Roman"/>
          <w:sz w:val="24"/>
          <w:szCs w:val="24"/>
          <w:lang w:val="en-US"/>
        </w:rPr>
      </w:pPr>
      <w:r>
        <w:rPr>
          <w:rFonts w:hint="default" w:ascii="Times New Roman" w:hAnsi="Times New Roman" w:eastAsia="宋体" w:cs="Times New Roman"/>
          <w:i w:val="0"/>
          <w:iCs w:val="0"/>
          <w:caps w:val="0"/>
          <w:color w:val="222222"/>
          <w:spacing w:val="0"/>
          <w:sz w:val="24"/>
          <w:szCs w:val="24"/>
          <w:shd w:val="clear" w:fill="FFFFFF"/>
        </w:rPr>
        <w:t>Kumar, V., Sharma, A., Shah, R. and Rajan, B., 2013. Establishing profitable customer loyalty for multinational companies in the emerging economies: a conceptual framework. </w:t>
      </w:r>
      <w:r>
        <w:rPr>
          <w:rFonts w:hint="default" w:ascii="Times New Roman" w:hAnsi="Times New Roman" w:eastAsia="宋体" w:cs="Times New Roman"/>
          <w:i/>
          <w:iCs/>
          <w:caps w:val="0"/>
          <w:color w:val="222222"/>
          <w:spacing w:val="0"/>
          <w:sz w:val="24"/>
          <w:szCs w:val="24"/>
          <w:shd w:val="clear" w:fill="FFFFFF"/>
        </w:rPr>
        <w:t>Journal of International Marketing</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21</w:t>
      </w:r>
      <w:r>
        <w:rPr>
          <w:rFonts w:hint="default" w:ascii="Times New Roman" w:hAnsi="Times New Roman" w:eastAsia="宋体" w:cs="Times New Roman"/>
          <w:i w:val="0"/>
          <w:iCs w:val="0"/>
          <w:caps w:val="0"/>
          <w:color w:val="222222"/>
          <w:spacing w:val="0"/>
          <w:sz w:val="24"/>
          <w:szCs w:val="24"/>
          <w:shd w:val="clear" w:fill="FFFFFF"/>
        </w:rPr>
        <w:t>(1), pp.57-80.</w:t>
      </w:r>
      <w:r>
        <w:rPr>
          <w:rFonts w:hint="default" w:ascii="Times New Roman" w:hAnsi="Times New Roman" w:eastAsia="宋体" w:cs="Times New Roman"/>
          <w:i w:val="0"/>
          <w:iCs w:val="0"/>
          <w:caps w:val="0"/>
          <w:color w:val="222222"/>
          <w:spacing w:val="0"/>
          <w:sz w:val="24"/>
          <w:szCs w:val="24"/>
          <w:shd w:val="clear" w:fill="FFFFFF"/>
          <w:lang w:val="en-US"/>
        </w:rPr>
        <w:t xml:space="preserve"> doi: 10.1509/jim.12.010</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cs="Times New Roman"/>
          <w:sz w:val="24"/>
          <w:szCs w:val="24"/>
          <w:lang w:val="en-US"/>
        </w:rPr>
      </w:pPr>
      <w:r>
        <w:rPr>
          <w:rFonts w:hint="default" w:ascii="Times New Roman" w:hAnsi="Times New Roman" w:eastAsia="宋体" w:cs="Times New Roman"/>
          <w:i w:val="0"/>
          <w:iCs w:val="0"/>
          <w:caps w:val="0"/>
          <w:color w:val="222222"/>
          <w:spacing w:val="0"/>
          <w:sz w:val="24"/>
          <w:szCs w:val="24"/>
          <w:shd w:val="clear" w:fill="FFFFFF"/>
        </w:rPr>
        <w:t>Grant, R.M., 2021. </w:t>
      </w:r>
      <w:r>
        <w:rPr>
          <w:rFonts w:hint="default" w:ascii="Times New Roman" w:hAnsi="Times New Roman" w:eastAsia="宋体" w:cs="Times New Roman"/>
          <w:i/>
          <w:iCs/>
          <w:caps w:val="0"/>
          <w:color w:val="222222"/>
          <w:spacing w:val="0"/>
          <w:sz w:val="24"/>
          <w:szCs w:val="24"/>
          <w:shd w:val="clear" w:fill="FFFFFF"/>
        </w:rPr>
        <w:t>Contemporary strategy analysis</w:t>
      </w:r>
      <w:r>
        <w:rPr>
          <w:rFonts w:hint="default" w:ascii="Times New Roman" w:hAnsi="Times New Roman" w:eastAsia="宋体" w:cs="Times New Roman"/>
          <w:i w:val="0"/>
          <w:iCs w:val="0"/>
          <w:caps w:val="0"/>
          <w:color w:val="222222"/>
          <w:spacing w:val="0"/>
          <w:sz w:val="24"/>
          <w:szCs w:val="24"/>
          <w:shd w:val="clear" w:fill="FFFFFF"/>
        </w:rPr>
        <w:t>. John Wiley &amp; Sons.</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222222"/>
          <w:spacing w:val="0"/>
          <w:sz w:val="24"/>
          <w:szCs w:val="24"/>
          <w:shd w:val="clear" w:fill="FFFFFF"/>
        </w:rPr>
        <w:t>Lawrence, J., Rasche, A. and Kenny, K., 2018. Sustainability as opportunity: Unilever’s sustainable living plan. In </w:t>
      </w:r>
      <w:r>
        <w:rPr>
          <w:rFonts w:hint="default" w:ascii="Times New Roman" w:hAnsi="Times New Roman" w:eastAsia="宋体" w:cs="Times New Roman"/>
          <w:i/>
          <w:iCs/>
          <w:caps w:val="0"/>
          <w:color w:val="222222"/>
          <w:spacing w:val="0"/>
          <w:sz w:val="24"/>
          <w:szCs w:val="24"/>
          <w:shd w:val="clear" w:fill="FFFFFF"/>
        </w:rPr>
        <w:t>Managing Sustainable Business: An Executive Education Case and Textbook</w:t>
      </w:r>
      <w:r>
        <w:rPr>
          <w:rFonts w:hint="default" w:ascii="Times New Roman" w:hAnsi="Times New Roman" w:eastAsia="宋体" w:cs="Times New Roman"/>
          <w:i w:val="0"/>
          <w:iCs w:val="0"/>
          <w:caps w:val="0"/>
          <w:color w:val="222222"/>
          <w:spacing w:val="0"/>
          <w:sz w:val="24"/>
          <w:szCs w:val="24"/>
          <w:shd w:val="clear" w:fill="FFFFFF"/>
        </w:rPr>
        <w:t> (pp. 435-455). Dordrecht: Springer Netherlands.</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Dirisu, J.I., Iyiola, O. and Ibidunni, O.S., 2013. Product differentiation: A tool of competitive advantage and optimal organizational performance (A study of Unilever Nigeria PLC). </w:t>
      </w:r>
      <w:r>
        <w:rPr>
          <w:rFonts w:hint="default" w:ascii="Times New Roman" w:hAnsi="Times New Roman" w:eastAsia="宋体" w:cs="Times New Roman"/>
          <w:i/>
          <w:iCs/>
          <w:caps w:val="0"/>
          <w:color w:val="222222"/>
          <w:spacing w:val="0"/>
          <w:sz w:val="24"/>
          <w:szCs w:val="24"/>
          <w:shd w:val="clear" w:fill="FFFFFF"/>
        </w:rPr>
        <w:t>European Scientific Journal</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9</w:t>
      </w:r>
      <w:r>
        <w:rPr>
          <w:rFonts w:hint="default" w:ascii="Times New Roman" w:hAnsi="Times New Roman" w:eastAsia="宋体" w:cs="Times New Roman"/>
          <w:i w:val="0"/>
          <w:iCs w:val="0"/>
          <w:caps w:val="0"/>
          <w:color w:val="222222"/>
          <w:spacing w:val="0"/>
          <w:sz w:val="24"/>
          <w:szCs w:val="24"/>
          <w:shd w:val="clear" w:fill="FFFFFF"/>
        </w:rPr>
        <w:t>(34).</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Morgan, J., 2014. </w:t>
      </w:r>
      <w:r>
        <w:rPr>
          <w:rFonts w:hint="default" w:ascii="Times New Roman" w:hAnsi="Times New Roman" w:eastAsia="宋体" w:cs="Times New Roman"/>
          <w:i/>
          <w:iCs/>
          <w:caps w:val="0"/>
          <w:color w:val="222222"/>
          <w:spacing w:val="0"/>
          <w:sz w:val="24"/>
          <w:szCs w:val="24"/>
          <w:shd w:val="clear" w:fill="FFFFFF"/>
        </w:rPr>
        <w:t>The future of work: Attract new talent, build better leaders, and create a competitive organization</w:t>
      </w:r>
      <w:r>
        <w:rPr>
          <w:rFonts w:hint="default" w:ascii="Times New Roman" w:hAnsi="Times New Roman" w:eastAsia="宋体" w:cs="Times New Roman"/>
          <w:i w:val="0"/>
          <w:iCs w:val="0"/>
          <w:caps w:val="0"/>
          <w:color w:val="222222"/>
          <w:spacing w:val="0"/>
          <w:sz w:val="24"/>
          <w:szCs w:val="24"/>
          <w:shd w:val="clear" w:fill="FFFFFF"/>
        </w:rPr>
        <w:t>. John Wiley &amp; Sons.</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eastAsia="宋体" w:cs="Times New Roman"/>
          <w:i w:val="0"/>
          <w:iCs w:val="0"/>
          <w:caps w:val="0"/>
          <w:color w:val="222222"/>
          <w:spacing w:val="0"/>
          <w:sz w:val="24"/>
          <w:szCs w:val="24"/>
          <w:shd w:val="clear" w:fill="FFFFFF"/>
          <w:lang w:val="en-US"/>
        </w:rPr>
      </w:pPr>
      <w:r>
        <w:rPr>
          <w:rFonts w:hint="default" w:ascii="Times New Roman" w:hAnsi="Times New Roman" w:eastAsia="宋体" w:cs="Times New Roman"/>
          <w:i w:val="0"/>
          <w:iCs w:val="0"/>
          <w:caps w:val="0"/>
          <w:color w:val="222222"/>
          <w:spacing w:val="0"/>
          <w:sz w:val="24"/>
          <w:szCs w:val="24"/>
          <w:shd w:val="clear" w:fill="FFFFFF"/>
        </w:rPr>
        <w:t>Tyler, I. and Slater, T., 2018. Rethinking the sociology of stigma. </w:t>
      </w:r>
      <w:r>
        <w:rPr>
          <w:rFonts w:hint="default" w:ascii="Times New Roman" w:hAnsi="Times New Roman" w:eastAsia="宋体" w:cs="Times New Roman"/>
          <w:i/>
          <w:iCs/>
          <w:caps w:val="0"/>
          <w:color w:val="222222"/>
          <w:spacing w:val="0"/>
          <w:sz w:val="24"/>
          <w:szCs w:val="24"/>
          <w:shd w:val="clear" w:fill="FFFFFF"/>
        </w:rPr>
        <w:t>The Sociological Review</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66</w:t>
      </w:r>
      <w:r>
        <w:rPr>
          <w:rFonts w:hint="default" w:ascii="Times New Roman" w:hAnsi="Times New Roman" w:eastAsia="宋体" w:cs="Times New Roman"/>
          <w:i w:val="0"/>
          <w:iCs w:val="0"/>
          <w:caps w:val="0"/>
          <w:color w:val="222222"/>
          <w:spacing w:val="0"/>
          <w:sz w:val="24"/>
          <w:szCs w:val="24"/>
          <w:shd w:val="clear" w:fill="FFFFFF"/>
        </w:rPr>
        <w:t>(4), pp.721-743.</w:t>
      </w:r>
      <w:r>
        <w:rPr>
          <w:rFonts w:hint="default" w:ascii="Times New Roman" w:hAnsi="Times New Roman" w:eastAsia="宋体" w:cs="Times New Roman"/>
          <w:i w:val="0"/>
          <w:iCs w:val="0"/>
          <w:caps w:val="0"/>
          <w:color w:val="222222"/>
          <w:spacing w:val="0"/>
          <w:sz w:val="24"/>
          <w:szCs w:val="24"/>
          <w:shd w:val="clear" w:fill="FFFFFF"/>
          <w:lang w:val="en-US"/>
        </w:rPr>
        <w:t xml:space="preserve"> doi: 10.1177/0038026118777425</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eastAsia="宋体" w:cs="Times New Roman"/>
          <w:i w:val="0"/>
          <w:iCs w:val="0"/>
          <w:caps w:val="0"/>
          <w:color w:val="222222"/>
          <w:spacing w:val="0"/>
          <w:sz w:val="24"/>
          <w:szCs w:val="24"/>
          <w:shd w:val="clear" w:fill="FFFFFF"/>
          <w:lang w:val="en-US"/>
        </w:rPr>
      </w:pPr>
      <w:r>
        <w:rPr>
          <w:rFonts w:hint="default" w:ascii="Times New Roman" w:hAnsi="Times New Roman" w:eastAsia="宋体" w:cs="Times New Roman"/>
          <w:i w:val="0"/>
          <w:iCs w:val="0"/>
          <w:caps w:val="0"/>
          <w:color w:val="222222"/>
          <w:spacing w:val="0"/>
          <w:sz w:val="24"/>
          <w:szCs w:val="24"/>
          <w:shd w:val="clear" w:fill="FFFFFF"/>
        </w:rPr>
        <w:t>Attridge, M., 2022. Profile of small employers in the United States and the importance of employee assistance programs during the COVID-19 pandemic. </w:t>
      </w:r>
      <w:r>
        <w:rPr>
          <w:rFonts w:hint="default" w:ascii="Times New Roman" w:hAnsi="Times New Roman" w:eastAsia="宋体" w:cs="Times New Roman"/>
          <w:i/>
          <w:iCs/>
          <w:caps w:val="0"/>
          <w:color w:val="222222"/>
          <w:spacing w:val="0"/>
          <w:sz w:val="24"/>
          <w:szCs w:val="24"/>
          <w:shd w:val="clear" w:fill="FFFFFF"/>
        </w:rPr>
        <w:t>American Journal of Health Promotion</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36</w:t>
      </w:r>
      <w:r>
        <w:rPr>
          <w:rFonts w:hint="default" w:ascii="Times New Roman" w:hAnsi="Times New Roman" w:eastAsia="宋体" w:cs="Times New Roman"/>
          <w:i w:val="0"/>
          <w:iCs w:val="0"/>
          <w:caps w:val="0"/>
          <w:color w:val="222222"/>
          <w:spacing w:val="0"/>
          <w:sz w:val="24"/>
          <w:szCs w:val="24"/>
          <w:shd w:val="clear" w:fill="FFFFFF"/>
        </w:rPr>
        <w:t>(7), pp.1229-1236.</w:t>
      </w:r>
      <w:r>
        <w:rPr>
          <w:rFonts w:hint="default" w:ascii="Times New Roman" w:hAnsi="Times New Roman" w:eastAsia="宋体" w:cs="Times New Roman"/>
          <w:i w:val="0"/>
          <w:iCs w:val="0"/>
          <w:caps w:val="0"/>
          <w:color w:val="222222"/>
          <w:spacing w:val="0"/>
          <w:sz w:val="24"/>
          <w:szCs w:val="24"/>
          <w:shd w:val="clear" w:fill="FFFFFF"/>
          <w:lang w:val="en-US"/>
        </w:rPr>
        <w:t xml:space="preserve"> doi: 10.1177/089011712211124</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Keys, T., Malnight, T.W. and Van Der Graaf, K., 2009. Making the most of corporate social responsibility. </w:t>
      </w:r>
      <w:r>
        <w:rPr>
          <w:rFonts w:hint="default" w:ascii="Times New Roman" w:hAnsi="Times New Roman" w:eastAsia="宋体" w:cs="Times New Roman"/>
          <w:i/>
          <w:iCs/>
          <w:caps w:val="0"/>
          <w:color w:val="222222"/>
          <w:spacing w:val="0"/>
          <w:sz w:val="24"/>
          <w:szCs w:val="24"/>
          <w:shd w:val="clear" w:fill="FFFFFF"/>
        </w:rPr>
        <w:t>McKinsey Quarterly</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36</w:t>
      </w:r>
      <w:r>
        <w:rPr>
          <w:rFonts w:hint="default" w:ascii="Times New Roman" w:hAnsi="Times New Roman" w:eastAsia="宋体" w:cs="Times New Roman"/>
          <w:i w:val="0"/>
          <w:iCs w:val="0"/>
          <w:caps w:val="0"/>
          <w:color w:val="222222"/>
          <w:spacing w:val="0"/>
          <w:sz w:val="24"/>
          <w:szCs w:val="24"/>
          <w:shd w:val="clear" w:fill="FFFFFF"/>
        </w:rPr>
        <w:t>, pp.38-44.</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Sar, A.K., 2018. Impact of corporate governance on sustainability: A study of the Indian FMCG industry. </w:t>
      </w:r>
      <w:r>
        <w:rPr>
          <w:rFonts w:hint="default" w:ascii="Times New Roman" w:hAnsi="Times New Roman" w:eastAsia="宋体" w:cs="Times New Roman"/>
          <w:i/>
          <w:iCs/>
          <w:caps w:val="0"/>
          <w:color w:val="222222"/>
          <w:spacing w:val="0"/>
          <w:sz w:val="24"/>
          <w:szCs w:val="24"/>
          <w:shd w:val="clear" w:fill="FFFFFF"/>
        </w:rPr>
        <w:t>Academy of Strategic Management Journal</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17</w:t>
      </w:r>
      <w:r>
        <w:rPr>
          <w:rFonts w:hint="default" w:ascii="Times New Roman" w:hAnsi="Times New Roman" w:eastAsia="宋体" w:cs="Times New Roman"/>
          <w:i w:val="0"/>
          <w:iCs w:val="0"/>
          <w:caps w:val="0"/>
          <w:color w:val="222222"/>
          <w:spacing w:val="0"/>
          <w:sz w:val="24"/>
          <w:szCs w:val="24"/>
          <w:shd w:val="clear" w:fill="FFFFFF"/>
        </w:rPr>
        <w:t>(1), pp.1-10.</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eastAsia="宋体" w:cs="Times New Roman"/>
          <w:i w:val="0"/>
          <w:iCs w:val="0"/>
          <w:caps w:val="0"/>
          <w:color w:val="222222"/>
          <w:spacing w:val="0"/>
          <w:sz w:val="24"/>
          <w:szCs w:val="24"/>
          <w:shd w:val="clear" w:fill="FFFFFF"/>
          <w:lang w:val="en-US"/>
        </w:rPr>
      </w:pPr>
      <w:r>
        <w:rPr>
          <w:rFonts w:hint="default" w:ascii="Times New Roman" w:hAnsi="Times New Roman" w:eastAsia="宋体" w:cs="Times New Roman"/>
          <w:i w:val="0"/>
          <w:iCs w:val="0"/>
          <w:caps w:val="0"/>
          <w:color w:val="222222"/>
          <w:spacing w:val="0"/>
          <w:sz w:val="24"/>
          <w:szCs w:val="24"/>
          <w:shd w:val="clear" w:fill="FFFFFF"/>
        </w:rPr>
        <w:t>Porter, M.E., 1997. Competitive strategy. </w:t>
      </w:r>
      <w:r>
        <w:rPr>
          <w:rFonts w:hint="default" w:ascii="Times New Roman" w:hAnsi="Times New Roman" w:eastAsia="宋体" w:cs="Times New Roman"/>
          <w:i/>
          <w:iCs/>
          <w:caps w:val="0"/>
          <w:color w:val="222222"/>
          <w:spacing w:val="0"/>
          <w:sz w:val="24"/>
          <w:szCs w:val="24"/>
          <w:shd w:val="clear" w:fill="FFFFFF"/>
        </w:rPr>
        <w:t>Measuring business excellence</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w:t>
      </w:r>
      <w:r>
        <w:rPr>
          <w:rFonts w:hint="default" w:ascii="Times New Roman" w:hAnsi="Times New Roman" w:eastAsia="宋体" w:cs="Times New Roman"/>
          <w:i w:val="0"/>
          <w:iCs w:val="0"/>
          <w:caps w:val="0"/>
          <w:color w:val="222222"/>
          <w:spacing w:val="0"/>
          <w:sz w:val="24"/>
          <w:szCs w:val="24"/>
          <w:shd w:val="clear" w:fill="FFFFFF"/>
        </w:rPr>
        <w:t>(2), pp.12-17.</w:t>
      </w:r>
      <w:r>
        <w:rPr>
          <w:rFonts w:hint="default" w:ascii="Times New Roman" w:hAnsi="Times New Roman" w:eastAsia="宋体" w:cs="Times New Roman"/>
          <w:i w:val="0"/>
          <w:iCs w:val="0"/>
          <w:caps w:val="0"/>
          <w:color w:val="222222"/>
          <w:spacing w:val="0"/>
          <w:sz w:val="24"/>
          <w:szCs w:val="24"/>
          <w:shd w:val="clear" w:fill="FFFFFF"/>
          <w:lang w:val="en-US"/>
        </w:rPr>
        <w:t xml:space="preserve"> doi: 10.1108/eb025476</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cs="Times New Roman"/>
          <w:sz w:val="24"/>
          <w:szCs w:val="24"/>
          <w:lang w:val="en-US"/>
        </w:rPr>
      </w:pPr>
      <w:r>
        <w:rPr>
          <w:rFonts w:hint="default" w:ascii="Times New Roman" w:hAnsi="Times New Roman" w:eastAsia="宋体" w:cs="Times New Roman"/>
          <w:i w:val="0"/>
          <w:iCs w:val="0"/>
          <w:caps w:val="0"/>
          <w:color w:val="222222"/>
          <w:spacing w:val="0"/>
          <w:sz w:val="24"/>
          <w:szCs w:val="24"/>
          <w:shd w:val="clear" w:fill="FFFFFF"/>
        </w:rPr>
        <w:t>Makina, I. and Oundo, J.N., 2020. Effect of competitive strategies on organization performance in relation to sugar industry in Kenya. </w:t>
      </w:r>
      <w:r>
        <w:rPr>
          <w:rFonts w:hint="default" w:ascii="Times New Roman" w:hAnsi="Times New Roman" w:eastAsia="宋体" w:cs="Times New Roman"/>
          <w:i/>
          <w:iCs/>
          <w:caps w:val="0"/>
          <w:color w:val="222222"/>
          <w:spacing w:val="0"/>
          <w:sz w:val="24"/>
          <w:szCs w:val="24"/>
          <w:shd w:val="clear" w:fill="FFFFFF"/>
        </w:rPr>
        <w:t>Universal Journal of Management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8</w:t>
      </w:r>
      <w:r>
        <w:rPr>
          <w:rFonts w:hint="default" w:ascii="Times New Roman" w:hAnsi="Times New Roman" w:eastAsia="宋体" w:cs="Times New Roman"/>
          <w:i w:val="0"/>
          <w:iCs w:val="0"/>
          <w:caps w:val="0"/>
          <w:color w:val="222222"/>
          <w:spacing w:val="0"/>
          <w:sz w:val="24"/>
          <w:szCs w:val="24"/>
          <w:shd w:val="clear" w:fill="FFFFFF"/>
        </w:rPr>
        <w:t>(5), pp.220-230.</w:t>
      </w:r>
      <w:r>
        <w:rPr>
          <w:rFonts w:hint="default" w:ascii="Times New Roman" w:hAnsi="Times New Roman" w:eastAsia="宋体" w:cs="Times New Roman"/>
          <w:i w:val="0"/>
          <w:iCs w:val="0"/>
          <w:caps w:val="0"/>
          <w:color w:val="222222"/>
          <w:spacing w:val="0"/>
          <w:sz w:val="24"/>
          <w:szCs w:val="24"/>
          <w:shd w:val="clear" w:fill="FFFFFF"/>
          <w:lang w:val="en-US"/>
        </w:rPr>
        <w:t xml:space="preserve"> doi: 10.13189/ujm.2020.080502</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222222"/>
          <w:spacing w:val="0"/>
          <w:sz w:val="24"/>
          <w:szCs w:val="24"/>
          <w:shd w:val="clear" w:fill="FFFFFF"/>
        </w:rPr>
        <w:t>Alhosseiny, H., 2023. How Do Porter’s Business-Level Strategies Affect Competitive Advantage in the Food and Beverage Industries?. </w:t>
      </w:r>
      <w:r>
        <w:rPr>
          <w:rFonts w:hint="default" w:ascii="Times New Roman" w:hAnsi="Times New Roman" w:eastAsia="宋体" w:cs="Times New Roman"/>
          <w:i/>
          <w:iCs/>
          <w:caps w:val="0"/>
          <w:color w:val="222222"/>
          <w:spacing w:val="0"/>
          <w:sz w:val="24"/>
          <w:szCs w:val="24"/>
          <w:shd w:val="clear" w:fill="FFFFFF"/>
        </w:rPr>
        <w:t>Journal of Entrepreneurship Education</w:t>
      </w:r>
      <w:r>
        <w:rPr>
          <w:rFonts w:hint="default" w:ascii="Times New Roman" w:hAnsi="Times New Roman" w:eastAsia="宋体" w:cs="Times New Roman"/>
          <w:i/>
          <w:iCs/>
          <w:caps w:val="0"/>
          <w:color w:val="222222"/>
          <w:spacing w:val="0"/>
          <w:sz w:val="24"/>
          <w:szCs w:val="24"/>
          <w:shd w:val="clear" w:fill="FFFFFF"/>
          <w:lang w:val="en-US"/>
        </w:rPr>
        <w:t xml:space="preserve">. </w:t>
      </w:r>
      <w:r>
        <w:rPr>
          <w:rFonts w:hint="default" w:ascii="Times New Roman" w:hAnsi="Times New Roman" w:eastAsia="宋体" w:cs="Times New Roman"/>
          <w:i w:val="0"/>
          <w:iCs w:val="0"/>
          <w:caps w:val="0"/>
          <w:color w:val="222222"/>
          <w:spacing w:val="0"/>
          <w:sz w:val="24"/>
          <w:szCs w:val="24"/>
          <w:shd w:val="clear" w:fill="FFFFFF"/>
          <w:lang w:val="en-US"/>
        </w:rPr>
        <w:t>26(S1), 1-18</w:t>
      </w:r>
      <w:r>
        <w:rPr>
          <w:rFonts w:hint="default" w:ascii="Times New Roman" w:hAnsi="Times New Roman" w:eastAsia="宋体" w:cs="Times New Roman"/>
          <w:i w:val="0"/>
          <w:iCs w:val="0"/>
          <w:caps w:val="0"/>
          <w:color w:val="222222"/>
          <w:spacing w:val="0"/>
          <w:sz w:val="24"/>
          <w:szCs w:val="24"/>
          <w:shd w:val="clear" w:fill="FFFFFF"/>
        </w:rPr>
        <w:t>.</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222222"/>
          <w:spacing w:val="0"/>
          <w:sz w:val="24"/>
          <w:szCs w:val="24"/>
          <w:shd w:val="clear" w:fill="FFFFFF"/>
        </w:rPr>
        <w:t>Wilkinson, J., 2008. The food processing industry, globalization and developing countries. </w:t>
      </w:r>
      <w:r>
        <w:rPr>
          <w:rFonts w:hint="default" w:ascii="Times New Roman" w:hAnsi="Times New Roman" w:eastAsia="宋体" w:cs="Times New Roman"/>
          <w:i/>
          <w:iCs/>
          <w:caps w:val="0"/>
          <w:color w:val="222222"/>
          <w:spacing w:val="0"/>
          <w:sz w:val="24"/>
          <w:szCs w:val="24"/>
          <w:shd w:val="clear" w:fill="FFFFFF"/>
        </w:rPr>
        <w:t>The transformation of agri-food systems: globalization, supply chains and smallholder farmers</w:t>
      </w:r>
      <w:r>
        <w:rPr>
          <w:rFonts w:hint="default" w:ascii="Times New Roman" w:hAnsi="Times New Roman" w:eastAsia="宋体" w:cs="Times New Roman"/>
          <w:i w:val="0"/>
          <w:iCs w:val="0"/>
          <w:caps w:val="0"/>
          <w:color w:val="222222"/>
          <w:spacing w:val="0"/>
          <w:sz w:val="24"/>
          <w:szCs w:val="24"/>
          <w:shd w:val="clear" w:fill="FFFFFF"/>
        </w:rPr>
        <w:t>, pp.87-108.</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cs="Times New Roman"/>
          <w:sz w:val="24"/>
          <w:szCs w:val="24"/>
          <w:lang w:val="en-US"/>
        </w:rPr>
      </w:pPr>
      <w:r>
        <w:rPr>
          <w:rFonts w:hint="default" w:ascii="Times New Roman" w:hAnsi="Times New Roman" w:eastAsia="宋体" w:cs="Times New Roman"/>
          <w:i w:val="0"/>
          <w:iCs w:val="0"/>
          <w:caps w:val="0"/>
          <w:color w:val="222222"/>
          <w:spacing w:val="0"/>
          <w:sz w:val="24"/>
          <w:szCs w:val="24"/>
          <w:shd w:val="clear" w:fill="FFFFFF"/>
        </w:rPr>
        <w:t>Wouters, O.J., Shadlen, K.C., Salcher-Konrad, M., Pollard, A.J., Larson, H.J., Teerawattananon, Y. and Jit, M., 2021. Challenges in ensuring global access to COVID-19 vaccines: production, affordability, allocation, and deployment. </w:t>
      </w:r>
      <w:r>
        <w:rPr>
          <w:rFonts w:hint="default" w:ascii="Times New Roman" w:hAnsi="Times New Roman" w:eastAsia="宋体" w:cs="Times New Roman"/>
          <w:i/>
          <w:iCs/>
          <w:caps w:val="0"/>
          <w:color w:val="222222"/>
          <w:spacing w:val="0"/>
          <w:sz w:val="24"/>
          <w:szCs w:val="24"/>
          <w:shd w:val="clear" w:fill="FFFFFF"/>
        </w:rPr>
        <w:t>The Lancet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397</w:t>
      </w:r>
      <w:r>
        <w:rPr>
          <w:rFonts w:hint="default" w:ascii="Times New Roman" w:hAnsi="Times New Roman" w:eastAsia="宋体" w:cs="Times New Roman"/>
          <w:i w:val="0"/>
          <w:iCs w:val="0"/>
          <w:caps w:val="0"/>
          <w:color w:val="222222"/>
          <w:spacing w:val="0"/>
          <w:sz w:val="24"/>
          <w:szCs w:val="24"/>
          <w:shd w:val="clear" w:fill="FFFFFF"/>
        </w:rPr>
        <w:t>(10278), pp.1023-1034.</w:t>
      </w:r>
      <w:r>
        <w:rPr>
          <w:rFonts w:hint="default" w:ascii="Times New Roman" w:hAnsi="Times New Roman" w:eastAsia="宋体" w:cs="Times New Roman"/>
          <w:i w:val="0"/>
          <w:iCs w:val="0"/>
          <w:caps w:val="0"/>
          <w:color w:val="222222"/>
          <w:spacing w:val="0"/>
          <w:sz w:val="24"/>
          <w:szCs w:val="24"/>
          <w:shd w:val="clear" w:fill="FFFFFF"/>
          <w:lang w:val="en-US"/>
        </w:rPr>
        <w:t xml:space="preserve"> doi: 10.1016/S0140-6736(21)00306-8</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cs="Times New Roman"/>
          <w:sz w:val="24"/>
          <w:szCs w:val="24"/>
          <w:lang w:val="en-US"/>
        </w:rPr>
      </w:pPr>
      <w:r>
        <w:rPr>
          <w:rFonts w:hint="default" w:ascii="Times New Roman" w:hAnsi="Times New Roman" w:eastAsia="宋体" w:cs="Times New Roman"/>
          <w:i w:val="0"/>
          <w:iCs w:val="0"/>
          <w:caps w:val="0"/>
          <w:color w:val="222222"/>
          <w:spacing w:val="0"/>
          <w:sz w:val="24"/>
          <w:szCs w:val="24"/>
          <w:shd w:val="clear" w:fill="FFFFFF"/>
        </w:rPr>
        <w:t>Bocken, N.M., Short, S.W., Rana, P. and Evans, S., 2014. A literature and practice review to develop sustainable business model archetypes. </w:t>
      </w:r>
      <w:r>
        <w:rPr>
          <w:rFonts w:hint="default" w:ascii="Times New Roman" w:hAnsi="Times New Roman" w:eastAsia="宋体" w:cs="Times New Roman"/>
          <w:i/>
          <w:iCs/>
          <w:caps w:val="0"/>
          <w:color w:val="222222"/>
          <w:spacing w:val="0"/>
          <w:sz w:val="24"/>
          <w:szCs w:val="24"/>
          <w:shd w:val="clear" w:fill="FFFFFF"/>
        </w:rPr>
        <w:t>Journal of cleaner production</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65</w:t>
      </w:r>
      <w:r>
        <w:rPr>
          <w:rFonts w:hint="default" w:ascii="Times New Roman" w:hAnsi="Times New Roman" w:eastAsia="宋体" w:cs="Times New Roman"/>
          <w:i w:val="0"/>
          <w:iCs w:val="0"/>
          <w:caps w:val="0"/>
          <w:color w:val="222222"/>
          <w:spacing w:val="0"/>
          <w:sz w:val="24"/>
          <w:szCs w:val="24"/>
          <w:shd w:val="clear" w:fill="FFFFFF"/>
        </w:rPr>
        <w:t>, pp.42-56.</w:t>
      </w:r>
      <w:r>
        <w:rPr>
          <w:rFonts w:hint="default" w:ascii="Times New Roman" w:hAnsi="Times New Roman" w:eastAsia="宋体" w:cs="Times New Roman"/>
          <w:i w:val="0"/>
          <w:iCs w:val="0"/>
          <w:caps w:val="0"/>
          <w:color w:val="222222"/>
          <w:spacing w:val="0"/>
          <w:sz w:val="24"/>
          <w:szCs w:val="24"/>
          <w:shd w:val="clear" w:fill="FFFFFF"/>
          <w:lang w:val="en-US"/>
        </w:rPr>
        <w:t xml:space="preserve"> doi: 10.1016/j.jclepro.2013.11.039</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i w:val="0"/>
          <w:iCs w:val="0"/>
          <w:caps w:val="0"/>
          <w:color w:val="222222"/>
          <w:spacing w:val="0"/>
          <w:sz w:val="24"/>
          <w:szCs w:val="24"/>
          <w:shd w:val="clear" w:fill="FFFFFF"/>
        </w:rPr>
        <w:t>Trott, P. and Hoecht, A., 2007. Product counterfeiting, non‐consensual acquisition of technology and new product development: An innovation perspective. </w:t>
      </w:r>
      <w:r>
        <w:rPr>
          <w:rFonts w:hint="default" w:ascii="Times New Roman" w:hAnsi="Times New Roman" w:eastAsia="宋体" w:cs="Times New Roman"/>
          <w:i/>
          <w:iCs/>
          <w:caps w:val="0"/>
          <w:color w:val="222222"/>
          <w:spacing w:val="0"/>
          <w:sz w:val="24"/>
          <w:szCs w:val="24"/>
          <w:shd w:val="clear" w:fill="FFFFFF"/>
        </w:rPr>
        <w:t>European Journal of Innovation Management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10</w:t>
      </w:r>
      <w:r>
        <w:rPr>
          <w:rFonts w:hint="default" w:ascii="Times New Roman" w:hAnsi="Times New Roman" w:eastAsia="宋体" w:cs="Times New Roman"/>
          <w:i w:val="0"/>
          <w:iCs w:val="0"/>
          <w:caps w:val="0"/>
          <w:color w:val="222222"/>
          <w:spacing w:val="0"/>
          <w:sz w:val="24"/>
          <w:szCs w:val="24"/>
          <w:shd w:val="clear" w:fill="FFFFFF"/>
        </w:rPr>
        <w:t>(1), pp.126-143.</w:t>
      </w:r>
      <w:r>
        <w:rPr>
          <w:rFonts w:hint="default" w:ascii="Times New Roman" w:hAnsi="Times New Roman" w:eastAsia="宋体" w:cs="Times New Roman"/>
          <w:i w:val="0"/>
          <w:iCs w:val="0"/>
          <w:caps w:val="0"/>
          <w:color w:val="222222"/>
          <w:spacing w:val="0"/>
          <w:sz w:val="24"/>
          <w:szCs w:val="24"/>
          <w:shd w:val="clear" w:fill="FFFFFF"/>
          <w:lang w:val="en-US" w:eastAsia="zh-CN"/>
        </w:rPr>
        <w:t xml:space="preserve"> doi: 10.1108/14601060710720582</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cs="Times New Roman"/>
          <w:sz w:val="24"/>
          <w:szCs w:val="24"/>
          <w:lang w:val="en-US"/>
        </w:rPr>
      </w:pPr>
      <w:r>
        <w:rPr>
          <w:rFonts w:hint="default" w:ascii="Times New Roman" w:hAnsi="Times New Roman" w:eastAsia="宋体" w:cs="Times New Roman"/>
          <w:i w:val="0"/>
          <w:iCs w:val="0"/>
          <w:caps w:val="0"/>
          <w:color w:val="222222"/>
          <w:spacing w:val="0"/>
          <w:sz w:val="24"/>
          <w:szCs w:val="24"/>
          <w:shd w:val="clear" w:fill="FFFFFF"/>
        </w:rPr>
        <w:t>Liu, W. and Atuahene-Gima, K., 2018. Enhancing product innovation performance in a dysfunctional competitive environment: The roles of competitive strategies and market-based assets. </w:t>
      </w:r>
      <w:r>
        <w:rPr>
          <w:rFonts w:hint="default" w:ascii="Times New Roman" w:hAnsi="Times New Roman" w:eastAsia="宋体" w:cs="Times New Roman"/>
          <w:i/>
          <w:iCs/>
          <w:caps w:val="0"/>
          <w:color w:val="222222"/>
          <w:spacing w:val="0"/>
          <w:sz w:val="24"/>
          <w:szCs w:val="24"/>
          <w:shd w:val="clear" w:fill="FFFFFF"/>
        </w:rPr>
        <w:t>Industrial Marketing Management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73</w:t>
      </w:r>
      <w:r>
        <w:rPr>
          <w:rFonts w:hint="default" w:ascii="Times New Roman" w:hAnsi="Times New Roman" w:eastAsia="宋体" w:cs="Times New Roman"/>
          <w:i w:val="0"/>
          <w:iCs w:val="0"/>
          <w:caps w:val="0"/>
          <w:color w:val="222222"/>
          <w:spacing w:val="0"/>
          <w:sz w:val="24"/>
          <w:szCs w:val="24"/>
          <w:shd w:val="clear" w:fill="FFFFFF"/>
        </w:rPr>
        <w:t>, pp.7-20.</w:t>
      </w:r>
      <w:r>
        <w:rPr>
          <w:rFonts w:hint="default" w:ascii="Times New Roman" w:hAnsi="Times New Roman" w:eastAsia="宋体" w:cs="Times New Roman"/>
          <w:i w:val="0"/>
          <w:iCs w:val="0"/>
          <w:caps w:val="0"/>
          <w:color w:val="222222"/>
          <w:spacing w:val="0"/>
          <w:sz w:val="24"/>
          <w:szCs w:val="24"/>
          <w:shd w:val="clear" w:fill="FFFFFF"/>
          <w:lang w:val="en-US"/>
        </w:rPr>
        <w:t xml:space="preserve"> doi: 10.1016/j.indmarman.2018.01.006</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cs="Times New Roman"/>
          <w:sz w:val="24"/>
          <w:szCs w:val="24"/>
          <w:lang w:val="en-US"/>
        </w:rPr>
      </w:pPr>
      <w:r>
        <w:rPr>
          <w:rFonts w:hint="default" w:ascii="Times New Roman" w:hAnsi="Times New Roman" w:eastAsia="宋体" w:cs="Times New Roman"/>
          <w:i w:val="0"/>
          <w:iCs w:val="0"/>
          <w:caps w:val="0"/>
          <w:color w:val="222222"/>
          <w:spacing w:val="0"/>
          <w:sz w:val="24"/>
          <w:szCs w:val="24"/>
          <w:shd w:val="clear" w:fill="FFFFFF"/>
        </w:rPr>
        <w:t>Homburg, C., Droll, M. and Totzek, D., 2008. Customer prioritization: does it pay off, and how should it be implemented?. </w:t>
      </w:r>
      <w:r>
        <w:rPr>
          <w:rFonts w:hint="default" w:ascii="Times New Roman" w:hAnsi="Times New Roman" w:eastAsia="宋体" w:cs="Times New Roman"/>
          <w:i/>
          <w:iCs/>
          <w:caps w:val="0"/>
          <w:color w:val="222222"/>
          <w:spacing w:val="0"/>
          <w:sz w:val="24"/>
          <w:szCs w:val="24"/>
          <w:shd w:val="clear" w:fill="FFFFFF"/>
        </w:rPr>
        <w:t>Journal of Marketing</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72</w:t>
      </w:r>
      <w:r>
        <w:rPr>
          <w:rFonts w:hint="default" w:ascii="Times New Roman" w:hAnsi="Times New Roman" w:eastAsia="宋体" w:cs="Times New Roman"/>
          <w:i w:val="0"/>
          <w:iCs w:val="0"/>
          <w:caps w:val="0"/>
          <w:color w:val="222222"/>
          <w:spacing w:val="0"/>
          <w:sz w:val="24"/>
          <w:szCs w:val="24"/>
          <w:shd w:val="clear" w:fill="FFFFFF"/>
        </w:rPr>
        <w:t>(5), pp.110-130.</w:t>
      </w:r>
      <w:r>
        <w:rPr>
          <w:rFonts w:hint="default" w:ascii="Times New Roman" w:hAnsi="Times New Roman" w:eastAsia="宋体" w:cs="Times New Roman"/>
          <w:i w:val="0"/>
          <w:iCs w:val="0"/>
          <w:caps w:val="0"/>
          <w:color w:val="222222"/>
          <w:spacing w:val="0"/>
          <w:sz w:val="24"/>
          <w:szCs w:val="24"/>
          <w:shd w:val="clear" w:fill="FFFFFF"/>
          <w:lang w:val="en-US"/>
        </w:rPr>
        <w:t xml:space="preserve"> doi: 10.1509/jmkg.72.5.110</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cs="Times New Roman"/>
          <w:sz w:val="24"/>
          <w:szCs w:val="24"/>
          <w:lang w:val="en-US"/>
        </w:rPr>
      </w:pPr>
      <w:r>
        <w:rPr>
          <w:rFonts w:hint="default" w:ascii="Times New Roman" w:hAnsi="Times New Roman" w:eastAsia="宋体" w:cs="Times New Roman"/>
          <w:i w:val="0"/>
          <w:iCs w:val="0"/>
          <w:caps w:val="0"/>
          <w:color w:val="222222"/>
          <w:spacing w:val="0"/>
          <w:sz w:val="24"/>
          <w:szCs w:val="24"/>
          <w:shd w:val="clear" w:fill="FFFFFF"/>
        </w:rPr>
        <w:t>Von Krogh, G., Nonaka, I. and Aben, M., 2001. Making the most of your company's knowledge: a strategic framework. </w:t>
      </w:r>
      <w:r>
        <w:rPr>
          <w:rFonts w:hint="default" w:ascii="Times New Roman" w:hAnsi="Times New Roman" w:eastAsia="宋体" w:cs="Times New Roman"/>
          <w:i/>
          <w:iCs/>
          <w:caps w:val="0"/>
          <w:color w:val="222222"/>
          <w:spacing w:val="0"/>
          <w:sz w:val="24"/>
          <w:szCs w:val="24"/>
          <w:shd w:val="clear" w:fill="FFFFFF"/>
        </w:rPr>
        <w:t>Long range planning</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34</w:t>
      </w:r>
      <w:r>
        <w:rPr>
          <w:rFonts w:hint="default" w:ascii="Times New Roman" w:hAnsi="Times New Roman" w:eastAsia="宋体" w:cs="Times New Roman"/>
          <w:i w:val="0"/>
          <w:iCs w:val="0"/>
          <w:caps w:val="0"/>
          <w:color w:val="222222"/>
          <w:spacing w:val="0"/>
          <w:sz w:val="24"/>
          <w:szCs w:val="24"/>
          <w:shd w:val="clear" w:fill="FFFFFF"/>
        </w:rPr>
        <w:t>(4), pp.421-439.</w:t>
      </w:r>
      <w:r>
        <w:rPr>
          <w:rFonts w:hint="default" w:ascii="Times New Roman" w:hAnsi="Times New Roman" w:eastAsia="宋体" w:cs="Times New Roman"/>
          <w:i w:val="0"/>
          <w:iCs w:val="0"/>
          <w:caps w:val="0"/>
          <w:color w:val="222222"/>
          <w:spacing w:val="0"/>
          <w:sz w:val="24"/>
          <w:szCs w:val="24"/>
          <w:shd w:val="clear" w:fill="FFFFFF"/>
          <w:lang w:val="en-US"/>
        </w:rPr>
        <w:t xml:space="preserve"> doi: 10.1016/S0024-6301(01)00059-0</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222222"/>
          <w:spacing w:val="0"/>
          <w:sz w:val="24"/>
          <w:szCs w:val="24"/>
          <w:shd w:val="clear" w:fill="FFFFFF"/>
        </w:rPr>
        <w:t>Hsieh, Y.H. and Chen, H.M., 2011. Strategic fit among Business Competitive Strategy, Human Resource Strategy, and Reward System. </w:t>
      </w:r>
      <w:r>
        <w:rPr>
          <w:rFonts w:hint="default" w:ascii="Times New Roman" w:hAnsi="Times New Roman" w:eastAsia="宋体" w:cs="Times New Roman"/>
          <w:i/>
          <w:iCs/>
          <w:caps w:val="0"/>
          <w:color w:val="222222"/>
          <w:spacing w:val="0"/>
          <w:sz w:val="24"/>
          <w:szCs w:val="24"/>
          <w:shd w:val="clear" w:fill="FFFFFF"/>
        </w:rPr>
        <w:t>Academy of Strategic Management Journal</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10</w:t>
      </w:r>
      <w:r>
        <w:rPr>
          <w:rFonts w:hint="default" w:ascii="Times New Roman" w:hAnsi="Times New Roman" w:eastAsia="宋体" w:cs="Times New Roman"/>
          <w:i w:val="0"/>
          <w:iCs w:val="0"/>
          <w:caps w:val="0"/>
          <w:color w:val="222222"/>
          <w:spacing w:val="0"/>
          <w:sz w:val="24"/>
          <w:szCs w:val="24"/>
          <w:shd w:val="clear" w:fill="FFFFFF"/>
        </w:rPr>
        <w:t>(2).</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222222"/>
          <w:spacing w:val="0"/>
          <w:sz w:val="24"/>
          <w:szCs w:val="24"/>
          <w:shd w:val="clear" w:fill="FFFFFF"/>
        </w:rPr>
        <w:t>Barwise, P. and Meehan, S., 2004. </w:t>
      </w:r>
      <w:r>
        <w:rPr>
          <w:rFonts w:hint="default" w:ascii="Times New Roman" w:hAnsi="Times New Roman" w:eastAsia="宋体" w:cs="Times New Roman"/>
          <w:i/>
          <w:iCs/>
          <w:caps w:val="0"/>
          <w:color w:val="222222"/>
          <w:spacing w:val="0"/>
          <w:sz w:val="24"/>
          <w:szCs w:val="24"/>
          <w:shd w:val="clear" w:fill="FFFFFF"/>
        </w:rPr>
        <w:t>Simply better: Winning and keeping customers by delivering what matters most</w:t>
      </w:r>
      <w:r>
        <w:rPr>
          <w:rFonts w:hint="default" w:ascii="Times New Roman" w:hAnsi="Times New Roman" w:eastAsia="宋体" w:cs="Times New Roman"/>
          <w:i w:val="0"/>
          <w:iCs w:val="0"/>
          <w:caps w:val="0"/>
          <w:color w:val="222222"/>
          <w:spacing w:val="0"/>
          <w:sz w:val="24"/>
          <w:szCs w:val="24"/>
          <w:shd w:val="clear" w:fill="FFFFFF"/>
        </w:rPr>
        <w:t>. Harvard Business Review Press.</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cs="Times New Roman"/>
          <w:sz w:val="24"/>
          <w:szCs w:val="24"/>
          <w:lang w:val="en-US"/>
        </w:rPr>
      </w:pPr>
      <w:r>
        <w:rPr>
          <w:rFonts w:hint="default" w:ascii="Times New Roman" w:hAnsi="Times New Roman" w:eastAsia="宋体" w:cs="Times New Roman"/>
          <w:i w:val="0"/>
          <w:iCs w:val="0"/>
          <w:caps w:val="0"/>
          <w:color w:val="222222"/>
          <w:spacing w:val="0"/>
          <w:sz w:val="24"/>
          <w:szCs w:val="24"/>
          <w:shd w:val="clear" w:fill="FFFFFF"/>
        </w:rPr>
        <w:t>Nacchia, F. and Massaro, V., 2017. A joint linguistic-marketing analysis of brand and product names: the case of Unilever. </w:t>
      </w:r>
      <w:r>
        <w:rPr>
          <w:rFonts w:hint="default" w:ascii="Times New Roman" w:hAnsi="Times New Roman" w:eastAsia="宋体" w:cs="Times New Roman"/>
          <w:i/>
          <w:iCs/>
          <w:caps w:val="0"/>
          <w:color w:val="222222"/>
          <w:spacing w:val="0"/>
          <w:sz w:val="24"/>
          <w:szCs w:val="24"/>
          <w:shd w:val="clear" w:fill="FFFFFF"/>
        </w:rPr>
        <w:t>Lingue e Linguaggi</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22</w:t>
      </w:r>
      <w:r>
        <w:rPr>
          <w:rFonts w:hint="default" w:ascii="Times New Roman" w:hAnsi="Times New Roman" w:eastAsia="宋体" w:cs="Times New Roman"/>
          <w:i w:val="0"/>
          <w:iCs w:val="0"/>
          <w:caps w:val="0"/>
          <w:color w:val="222222"/>
          <w:spacing w:val="0"/>
          <w:sz w:val="24"/>
          <w:szCs w:val="24"/>
          <w:shd w:val="clear" w:fill="FFFFFF"/>
        </w:rPr>
        <w:t>, pp.169-186.</w:t>
      </w:r>
      <w:r>
        <w:rPr>
          <w:rFonts w:hint="default" w:ascii="Times New Roman" w:hAnsi="Times New Roman" w:eastAsia="宋体" w:cs="Times New Roman"/>
          <w:i w:val="0"/>
          <w:iCs w:val="0"/>
          <w:caps w:val="0"/>
          <w:color w:val="222222"/>
          <w:spacing w:val="0"/>
          <w:sz w:val="24"/>
          <w:szCs w:val="24"/>
          <w:shd w:val="clear" w:fill="FFFFFF"/>
          <w:lang w:val="en-US"/>
        </w:rPr>
        <w:t xml:space="preserve"> doi: 10.1285/i22390359v22p169</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Jones, E., Brown, S.P., Zoltners, A.A. and Weitz, B.A., 2005. The changing environment of selling and sales management. </w:t>
      </w:r>
      <w:r>
        <w:rPr>
          <w:rFonts w:hint="default" w:ascii="Times New Roman" w:hAnsi="Times New Roman" w:eastAsia="宋体" w:cs="Times New Roman"/>
          <w:i/>
          <w:iCs/>
          <w:caps w:val="0"/>
          <w:color w:val="222222"/>
          <w:spacing w:val="0"/>
          <w:sz w:val="24"/>
          <w:szCs w:val="24"/>
          <w:shd w:val="clear" w:fill="FFFFFF"/>
        </w:rPr>
        <w:t>Journal of Personal Selling &amp; Sales Management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25</w:t>
      </w:r>
      <w:r>
        <w:rPr>
          <w:rFonts w:hint="default" w:ascii="Times New Roman" w:hAnsi="Times New Roman" w:eastAsia="宋体" w:cs="Times New Roman"/>
          <w:i w:val="0"/>
          <w:iCs w:val="0"/>
          <w:caps w:val="0"/>
          <w:color w:val="222222"/>
          <w:spacing w:val="0"/>
          <w:sz w:val="24"/>
          <w:szCs w:val="24"/>
          <w:shd w:val="clear" w:fill="FFFFFF"/>
        </w:rPr>
        <w:t>(2), pp.105-111.</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Ruchdaponkul, S., 2004. Marketing strategies for maintaining fabric softener product leadership: a case study of'Comfort'Unilever.</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Bartlett, C.A. and Ghoshal, S., 2002. </w:t>
      </w:r>
      <w:r>
        <w:rPr>
          <w:rFonts w:hint="default" w:ascii="Times New Roman" w:hAnsi="Times New Roman" w:eastAsia="宋体" w:cs="Times New Roman"/>
          <w:i/>
          <w:iCs/>
          <w:caps w:val="0"/>
          <w:color w:val="222222"/>
          <w:spacing w:val="0"/>
          <w:sz w:val="24"/>
          <w:szCs w:val="24"/>
          <w:shd w:val="clear" w:fill="FFFFFF"/>
        </w:rPr>
        <w:t>Managing across borders: The transnational solution</w:t>
      </w:r>
      <w:r>
        <w:rPr>
          <w:rFonts w:hint="default" w:ascii="Times New Roman" w:hAnsi="Times New Roman" w:eastAsia="宋体" w:cs="Times New Roman"/>
          <w:i w:val="0"/>
          <w:iCs w:val="0"/>
          <w:caps w:val="0"/>
          <w:color w:val="222222"/>
          <w:spacing w:val="0"/>
          <w:sz w:val="24"/>
          <w:szCs w:val="24"/>
          <w:shd w:val="clear" w:fill="FFFFFF"/>
        </w:rPr>
        <w:t>. Harvard Business Press.</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Gupta, S., 2014. Sustainability as a competitive advantage: An outcome of strategic HRM. </w:t>
      </w:r>
      <w:r>
        <w:rPr>
          <w:rFonts w:hint="default" w:ascii="Times New Roman" w:hAnsi="Times New Roman" w:eastAsia="宋体" w:cs="Times New Roman"/>
          <w:i/>
          <w:iCs/>
          <w:caps w:val="0"/>
          <w:color w:val="222222"/>
          <w:spacing w:val="0"/>
          <w:sz w:val="24"/>
          <w:szCs w:val="24"/>
          <w:shd w:val="clear" w:fill="FFFFFF"/>
        </w:rPr>
        <w:t>Review of HRM</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w:t>
      </w:r>
      <w:r>
        <w:rPr>
          <w:rFonts w:hint="default" w:ascii="Times New Roman" w:hAnsi="Times New Roman" w:eastAsia="宋体" w:cs="Times New Roman"/>
          <w:i w:val="0"/>
          <w:iCs w:val="0"/>
          <w:caps w:val="0"/>
          <w:color w:val="222222"/>
          <w:spacing w:val="0"/>
          <w:sz w:val="24"/>
          <w:szCs w:val="24"/>
          <w:shd w:val="clear" w:fill="FFFFFF"/>
        </w:rPr>
        <w:t>, pp.129-139.</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eastAsia="宋体" w:cs="Times New Roman"/>
          <w:i w:val="0"/>
          <w:iCs w:val="0"/>
          <w:caps w:val="0"/>
          <w:color w:val="222222"/>
          <w:spacing w:val="0"/>
          <w:sz w:val="24"/>
          <w:szCs w:val="24"/>
          <w:shd w:val="clear" w:fill="FFFFFF"/>
          <w:lang w:val="en-US"/>
        </w:rPr>
      </w:pPr>
      <w:r>
        <w:rPr>
          <w:rFonts w:hint="default" w:ascii="Times New Roman" w:hAnsi="Times New Roman" w:eastAsia="宋体" w:cs="Times New Roman"/>
          <w:i w:val="0"/>
          <w:iCs w:val="0"/>
          <w:caps w:val="0"/>
          <w:color w:val="222222"/>
          <w:spacing w:val="0"/>
          <w:sz w:val="24"/>
          <w:szCs w:val="24"/>
          <w:shd w:val="clear" w:fill="FFFFFF"/>
        </w:rPr>
        <w:t>David, A.M., 2019. Porter’s competitive strategies influence on performance of mobile telecommunication companies in Kenya. </w:t>
      </w:r>
      <w:r>
        <w:rPr>
          <w:rFonts w:hint="default" w:ascii="Times New Roman" w:hAnsi="Times New Roman" w:eastAsia="宋体" w:cs="Times New Roman"/>
          <w:i/>
          <w:iCs/>
          <w:caps w:val="0"/>
          <w:color w:val="222222"/>
          <w:spacing w:val="0"/>
          <w:sz w:val="24"/>
          <w:szCs w:val="24"/>
          <w:shd w:val="clear" w:fill="FFFFFF"/>
        </w:rPr>
        <w:t>International Journal of Scientific Research and Management (IJSRM)</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7</w:t>
      </w:r>
      <w:r>
        <w:rPr>
          <w:rFonts w:hint="default" w:ascii="Times New Roman" w:hAnsi="Times New Roman" w:eastAsia="宋体" w:cs="Times New Roman"/>
          <w:i w:val="0"/>
          <w:iCs w:val="0"/>
          <w:caps w:val="0"/>
          <w:color w:val="222222"/>
          <w:spacing w:val="0"/>
          <w:sz w:val="24"/>
          <w:szCs w:val="24"/>
          <w:shd w:val="clear" w:fill="FFFFFF"/>
        </w:rPr>
        <w:t>(02), pp.1014-1022.</w:t>
      </w:r>
      <w:r>
        <w:rPr>
          <w:rFonts w:hint="default" w:ascii="Times New Roman" w:hAnsi="Times New Roman" w:eastAsia="宋体" w:cs="Times New Roman"/>
          <w:i w:val="0"/>
          <w:iCs w:val="0"/>
          <w:caps w:val="0"/>
          <w:color w:val="222222"/>
          <w:spacing w:val="0"/>
          <w:sz w:val="24"/>
          <w:szCs w:val="24"/>
          <w:shd w:val="clear" w:fill="FFFFFF"/>
          <w:lang w:val="en-US"/>
        </w:rPr>
        <w:t xml:space="preserve"> doi: 10.18535/ijsrm/v7i2.em05</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Lodish, L.M., Morgan, H.L., Archambeau, S. and Babin, J., 2015. </w:t>
      </w:r>
      <w:r>
        <w:rPr>
          <w:rFonts w:hint="default" w:ascii="Times New Roman" w:hAnsi="Times New Roman" w:eastAsia="宋体" w:cs="Times New Roman"/>
          <w:i/>
          <w:iCs/>
          <w:caps w:val="0"/>
          <w:color w:val="222222"/>
          <w:spacing w:val="0"/>
          <w:sz w:val="24"/>
          <w:szCs w:val="24"/>
          <w:shd w:val="clear" w:fill="FFFFFF"/>
        </w:rPr>
        <w:t>Marketing that works: how entrepreneurial marketing can add sustainable value to any sized company</w:t>
      </w:r>
      <w:r>
        <w:rPr>
          <w:rFonts w:hint="default" w:ascii="Times New Roman" w:hAnsi="Times New Roman" w:eastAsia="宋体" w:cs="Times New Roman"/>
          <w:i w:val="0"/>
          <w:iCs w:val="0"/>
          <w:caps w:val="0"/>
          <w:color w:val="222222"/>
          <w:spacing w:val="0"/>
          <w:sz w:val="24"/>
          <w:szCs w:val="24"/>
          <w:shd w:val="clear" w:fill="FFFFFF"/>
        </w:rPr>
        <w:t>. Pearson Education.</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eastAsia="宋体" w:cs="Times New Roman"/>
          <w:i w:val="0"/>
          <w:iCs w:val="0"/>
          <w:caps w:val="0"/>
          <w:color w:val="222222"/>
          <w:spacing w:val="0"/>
          <w:sz w:val="24"/>
          <w:szCs w:val="24"/>
          <w:shd w:val="clear" w:fill="FFFFFF"/>
          <w:lang w:val="en-US"/>
        </w:rPr>
      </w:pPr>
      <w:r>
        <w:rPr>
          <w:rFonts w:hint="default" w:ascii="Times New Roman" w:hAnsi="Times New Roman" w:eastAsia="宋体" w:cs="Times New Roman"/>
          <w:i w:val="0"/>
          <w:iCs w:val="0"/>
          <w:caps w:val="0"/>
          <w:color w:val="222222"/>
          <w:spacing w:val="0"/>
          <w:sz w:val="24"/>
          <w:szCs w:val="24"/>
          <w:shd w:val="clear" w:fill="FFFFFF"/>
        </w:rPr>
        <w:t>Stead, J.G. and Stead, W.E., 2008. Sustainable strategic management: an evolutionary perspective. </w:t>
      </w:r>
      <w:r>
        <w:rPr>
          <w:rFonts w:hint="default" w:ascii="Times New Roman" w:hAnsi="Times New Roman" w:eastAsia="宋体" w:cs="Times New Roman"/>
          <w:i/>
          <w:iCs/>
          <w:caps w:val="0"/>
          <w:color w:val="222222"/>
          <w:spacing w:val="0"/>
          <w:sz w:val="24"/>
          <w:szCs w:val="24"/>
          <w:shd w:val="clear" w:fill="FFFFFF"/>
        </w:rPr>
        <w:t>International Journal of Sustainable Strategic Management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w:t>
      </w:r>
      <w:r>
        <w:rPr>
          <w:rFonts w:hint="default" w:ascii="Times New Roman" w:hAnsi="Times New Roman" w:eastAsia="宋体" w:cs="Times New Roman"/>
          <w:i w:val="0"/>
          <w:iCs w:val="0"/>
          <w:caps w:val="0"/>
          <w:color w:val="222222"/>
          <w:spacing w:val="0"/>
          <w:sz w:val="24"/>
          <w:szCs w:val="24"/>
          <w:shd w:val="clear" w:fill="FFFFFF"/>
        </w:rPr>
        <w:t>(1), pp.62-81.</w:t>
      </w:r>
      <w:r>
        <w:rPr>
          <w:rFonts w:hint="default" w:ascii="Times New Roman" w:hAnsi="Times New Roman" w:eastAsia="宋体" w:cs="Times New Roman"/>
          <w:i w:val="0"/>
          <w:iCs w:val="0"/>
          <w:caps w:val="0"/>
          <w:color w:val="222222"/>
          <w:spacing w:val="0"/>
          <w:sz w:val="24"/>
          <w:szCs w:val="24"/>
          <w:shd w:val="clear" w:fill="FFFFFF"/>
          <w:lang w:val="en-US"/>
        </w:rPr>
        <w:t xml:space="preserve"> doi: 10.1504/IJSSM.2008.018127</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jc w:val="both"/>
        <w:textAlignment w:val="auto"/>
        <w:rPr>
          <w:rFonts w:hint="default" w:ascii="Times New Roman" w:hAnsi="Times New Roman" w:eastAsia="宋体" w:cs="Times New Roman"/>
          <w:i w:val="0"/>
          <w:iCs w:val="0"/>
          <w:caps w:val="0"/>
          <w:color w:val="222222"/>
          <w:spacing w:val="0"/>
          <w:sz w:val="24"/>
          <w:szCs w:val="24"/>
          <w:shd w:val="clear" w:fill="FFFFFF"/>
          <w:lang w:val="en-US"/>
        </w:rPr>
      </w:pPr>
      <w:r>
        <w:rPr>
          <w:rFonts w:hint="default" w:ascii="Times New Roman" w:hAnsi="Times New Roman" w:eastAsia="宋体" w:cs="Times New Roman"/>
          <w:i w:val="0"/>
          <w:iCs w:val="0"/>
          <w:caps w:val="0"/>
          <w:color w:val="222222"/>
          <w:spacing w:val="0"/>
          <w:sz w:val="24"/>
          <w:szCs w:val="24"/>
          <w:shd w:val="clear" w:fill="FFFFFF"/>
        </w:rPr>
        <w:t>Weidner, K.L., Rosa, J.A. and Viswanathan, M., 2010. Marketing to subsistence consumers: Lessons from practice. </w:t>
      </w:r>
      <w:r>
        <w:rPr>
          <w:rFonts w:hint="default" w:ascii="Times New Roman" w:hAnsi="Times New Roman" w:eastAsia="宋体" w:cs="Times New Roman"/>
          <w:i/>
          <w:iCs/>
          <w:caps w:val="0"/>
          <w:color w:val="222222"/>
          <w:spacing w:val="0"/>
          <w:sz w:val="24"/>
          <w:szCs w:val="24"/>
          <w:shd w:val="clear" w:fill="FFFFFF"/>
        </w:rPr>
        <w:t>Journal of Business Research</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63</w:t>
      </w:r>
      <w:r>
        <w:rPr>
          <w:rFonts w:hint="default" w:ascii="Times New Roman" w:hAnsi="Times New Roman" w:eastAsia="宋体" w:cs="Times New Roman"/>
          <w:i w:val="0"/>
          <w:iCs w:val="0"/>
          <w:caps w:val="0"/>
          <w:color w:val="222222"/>
          <w:spacing w:val="0"/>
          <w:sz w:val="24"/>
          <w:szCs w:val="24"/>
          <w:shd w:val="clear" w:fill="FFFFFF"/>
        </w:rPr>
        <w:t>(6), pp.559-569.</w:t>
      </w:r>
      <w:r>
        <w:rPr>
          <w:rFonts w:hint="default" w:ascii="Times New Roman" w:hAnsi="Times New Roman" w:eastAsia="宋体" w:cs="Times New Roman"/>
          <w:i w:val="0"/>
          <w:iCs w:val="0"/>
          <w:caps w:val="0"/>
          <w:color w:val="222222"/>
          <w:spacing w:val="0"/>
          <w:sz w:val="24"/>
          <w:szCs w:val="24"/>
          <w:shd w:val="clear" w:fill="FFFFFF"/>
          <w:lang w:val="en-US"/>
        </w:rPr>
        <w:t xml:space="preserve"> doi: 10.1016/j.jbusres.2009.02.022</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cs="Times New Roman"/>
          <w:sz w:val="24"/>
          <w:szCs w:val="24"/>
          <w:lang w:val="en-US"/>
        </w:rPr>
      </w:pPr>
      <w:r>
        <w:rPr>
          <w:rFonts w:hint="default" w:ascii="Times New Roman" w:hAnsi="Times New Roman" w:eastAsia="宋体" w:cs="Times New Roman"/>
          <w:i w:val="0"/>
          <w:iCs w:val="0"/>
          <w:caps w:val="0"/>
          <w:color w:val="222222"/>
          <w:spacing w:val="0"/>
          <w:sz w:val="24"/>
          <w:szCs w:val="24"/>
          <w:shd w:val="clear" w:fill="FFFFFF"/>
        </w:rPr>
        <w:t>Porter, M.E. and Kramer, M.R., 2018. Creating shared value: How to reinvent capitalism—And unleash a wave of innovation and growth. In </w:t>
      </w:r>
      <w:r>
        <w:rPr>
          <w:rFonts w:hint="default" w:ascii="Times New Roman" w:hAnsi="Times New Roman" w:eastAsia="宋体" w:cs="Times New Roman"/>
          <w:i/>
          <w:iCs/>
          <w:caps w:val="0"/>
          <w:color w:val="222222"/>
          <w:spacing w:val="0"/>
          <w:sz w:val="24"/>
          <w:szCs w:val="24"/>
          <w:shd w:val="clear" w:fill="FFFFFF"/>
        </w:rPr>
        <w:t>Managing sustainable business: An executive education case and textbook</w:t>
      </w:r>
      <w:r>
        <w:rPr>
          <w:rFonts w:hint="default" w:ascii="Times New Roman" w:hAnsi="Times New Roman" w:eastAsia="宋体" w:cs="Times New Roman"/>
          <w:i w:val="0"/>
          <w:iCs w:val="0"/>
          <w:caps w:val="0"/>
          <w:color w:val="222222"/>
          <w:spacing w:val="0"/>
          <w:sz w:val="24"/>
          <w:szCs w:val="24"/>
          <w:shd w:val="clear" w:fill="FFFFFF"/>
        </w:rPr>
        <w:t> (pp. 323-346). Dordrecht: Springer Netherlands.</w:t>
      </w:r>
      <w:r>
        <w:rPr>
          <w:rFonts w:hint="default" w:ascii="Times New Roman" w:hAnsi="Times New Roman" w:eastAsia="宋体" w:cs="Times New Roman"/>
          <w:i w:val="0"/>
          <w:iCs w:val="0"/>
          <w:caps w:val="0"/>
          <w:color w:val="222222"/>
          <w:spacing w:val="0"/>
          <w:sz w:val="24"/>
          <w:szCs w:val="24"/>
          <w:shd w:val="clear" w:fill="FFFFFF"/>
          <w:lang w:val="en-US"/>
        </w:rPr>
        <w:t xml:space="preserve"> doi: 10.1007/978-94-024-1144-7_16</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cs="Times New Roman"/>
          <w:sz w:val="24"/>
          <w:szCs w:val="24"/>
        </w:rPr>
      </w:pPr>
      <w:r>
        <w:rPr>
          <w:rFonts w:hint="default" w:ascii="Times New Roman" w:hAnsi="Times New Roman" w:eastAsia="宋体" w:cs="Times New Roman"/>
          <w:i w:val="0"/>
          <w:iCs w:val="0"/>
          <w:caps w:val="0"/>
          <w:color w:val="222222"/>
          <w:spacing w:val="0"/>
          <w:sz w:val="24"/>
          <w:szCs w:val="24"/>
          <w:shd w:val="clear" w:fill="FFFFFF"/>
        </w:rPr>
        <w:t>Lieu, P.T.H., Arunjit, N., Buapradabkul, S. and Nathaniel, D., Unilever Company Strategic Business Analysis.</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cs="Times New Roman"/>
          <w:sz w:val="24"/>
          <w:szCs w:val="24"/>
          <w:lang w:val="en-US"/>
        </w:rPr>
      </w:pPr>
      <w:r>
        <w:rPr>
          <w:rFonts w:hint="default" w:ascii="Times New Roman" w:hAnsi="Times New Roman" w:eastAsia="宋体" w:cs="Times New Roman"/>
          <w:i w:val="0"/>
          <w:iCs w:val="0"/>
          <w:caps w:val="0"/>
          <w:color w:val="222222"/>
          <w:spacing w:val="0"/>
          <w:sz w:val="24"/>
          <w:szCs w:val="24"/>
          <w:shd w:val="clear" w:fill="FFFFFF"/>
        </w:rPr>
        <w:t>Frieder, L. and Subrahmanyam, A., 2005. Brand perceptions and the market for common stock. </w:t>
      </w:r>
      <w:r>
        <w:rPr>
          <w:rFonts w:hint="default" w:ascii="Times New Roman" w:hAnsi="Times New Roman" w:eastAsia="宋体" w:cs="Times New Roman"/>
          <w:i/>
          <w:iCs/>
          <w:caps w:val="0"/>
          <w:color w:val="222222"/>
          <w:spacing w:val="0"/>
          <w:sz w:val="24"/>
          <w:szCs w:val="24"/>
          <w:shd w:val="clear" w:fill="FFFFFF"/>
        </w:rPr>
        <w:t>Journal of financial and Quantitative Analysis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40</w:t>
      </w:r>
      <w:r>
        <w:rPr>
          <w:rFonts w:hint="default" w:ascii="Times New Roman" w:hAnsi="Times New Roman" w:eastAsia="宋体" w:cs="Times New Roman"/>
          <w:i w:val="0"/>
          <w:iCs w:val="0"/>
          <w:caps w:val="0"/>
          <w:color w:val="222222"/>
          <w:spacing w:val="0"/>
          <w:sz w:val="24"/>
          <w:szCs w:val="24"/>
          <w:shd w:val="clear" w:fill="FFFFFF"/>
        </w:rPr>
        <w:t>(1), pp.57-85.</w:t>
      </w:r>
      <w:r>
        <w:rPr>
          <w:rFonts w:hint="default" w:ascii="Times New Roman" w:hAnsi="Times New Roman" w:eastAsia="宋体" w:cs="Times New Roman"/>
          <w:i w:val="0"/>
          <w:iCs w:val="0"/>
          <w:caps w:val="0"/>
          <w:color w:val="222222"/>
          <w:spacing w:val="0"/>
          <w:sz w:val="24"/>
          <w:szCs w:val="24"/>
          <w:shd w:val="clear" w:fill="FFFFFF"/>
          <w:lang w:val="en-US"/>
        </w:rPr>
        <w:t xml:space="preserve"> doi: 10.1017/S0022109000001745</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Wallace, C.D., 2021. </w:t>
      </w:r>
      <w:r>
        <w:rPr>
          <w:rFonts w:hint="default" w:ascii="Times New Roman" w:hAnsi="Times New Roman" w:eastAsia="宋体" w:cs="Times New Roman"/>
          <w:i/>
          <w:iCs/>
          <w:caps w:val="0"/>
          <w:color w:val="222222"/>
          <w:spacing w:val="0"/>
          <w:sz w:val="24"/>
          <w:szCs w:val="24"/>
          <w:shd w:val="clear" w:fill="FFFFFF"/>
        </w:rPr>
        <w:t>The multinational enterprise and legal control: host state sovereignty in an era of economic globalization</w:t>
      </w:r>
      <w:r>
        <w:rPr>
          <w:rFonts w:hint="default" w:ascii="Times New Roman" w:hAnsi="Times New Roman" w:eastAsia="宋体" w:cs="Times New Roman"/>
          <w:i w:val="0"/>
          <w:iCs w:val="0"/>
          <w:caps w:val="0"/>
          <w:color w:val="222222"/>
          <w:spacing w:val="0"/>
          <w:sz w:val="24"/>
          <w:szCs w:val="24"/>
          <w:shd w:val="clear" w:fill="FFFFFF"/>
        </w:rPr>
        <w:t>. BRILL.</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Dang, B., 2018. EU competitor benchmarking of cosmetic primary packaging in rigid jar form. Case company: Sulapac.</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cs="Times New Roman"/>
          <w:sz w:val="24"/>
          <w:szCs w:val="24"/>
          <w:lang w:val="en-US"/>
        </w:rPr>
      </w:pPr>
      <w:r>
        <w:rPr>
          <w:rFonts w:hint="default" w:ascii="Times New Roman" w:hAnsi="Times New Roman" w:eastAsia="宋体" w:cs="Times New Roman"/>
          <w:i w:val="0"/>
          <w:iCs w:val="0"/>
          <w:caps w:val="0"/>
          <w:color w:val="222222"/>
          <w:spacing w:val="0"/>
          <w:sz w:val="24"/>
          <w:szCs w:val="24"/>
          <w:shd w:val="clear" w:fill="FFFFFF"/>
        </w:rPr>
        <w:t>Lee, M. and Jay, J., 2015. Strategic responses to hybrid social ventures. </w:t>
      </w:r>
      <w:r>
        <w:rPr>
          <w:rFonts w:hint="default" w:ascii="Times New Roman" w:hAnsi="Times New Roman" w:eastAsia="宋体" w:cs="Times New Roman"/>
          <w:i/>
          <w:iCs/>
          <w:caps w:val="0"/>
          <w:color w:val="222222"/>
          <w:spacing w:val="0"/>
          <w:sz w:val="24"/>
          <w:szCs w:val="24"/>
          <w:shd w:val="clear" w:fill="FFFFFF"/>
        </w:rPr>
        <w:t>California Management Review</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57</w:t>
      </w:r>
      <w:r>
        <w:rPr>
          <w:rFonts w:hint="default" w:ascii="Times New Roman" w:hAnsi="Times New Roman" w:eastAsia="宋体" w:cs="Times New Roman"/>
          <w:i w:val="0"/>
          <w:iCs w:val="0"/>
          <w:caps w:val="0"/>
          <w:color w:val="222222"/>
          <w:spacing w:val="0"/>
          <w:sz w:val="24"/>
          <w:szCs w:val="24"/>
          <w:shd w:val="clear" w:fill="FFFFFF"/>
        </w:rPr>
        <w:t>(3), pp.126-147.</w:t>
      </w:r>
      <w:r>
        <w:rPr>
          <w:rFonts w:hint="default" w:ascii="Times New Roman" w:hAnsi="Times New Roman" w:eastAsia="宋体" w:cs="Times New Roman"/>
          <w:i w:val="0"/>
          <w:iCs w:val="0"/>
          <w:caps w:val="0"/>
          <w:color w:val="222222"/>
          <w:spacing w:val="0"/>
          <w:sz w:val="24"/>
          <w:szCs w:val="24"/>
          <w:shd w:val="clear" w:fill="FFFFFF"/>
          <w:lang w:val="en-US"/>
        </w:rPr>
        <w:t xml:space="preserve"> doi: 10.1525/cmr.2015.57.3.126</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Sheffi, Y., 2007. </w:t>
      </w:r>
      <w:r>
        <w:rPr>
          <w:rFonts w:hint="default" w:ascii="Times New Roman" w:hAnsi="Times New Roman" w:eastAsia="宋体" w:cs="Times New Roman"/>
          <w:i/>
          <w:iCs/>
          <w:caps w:val="0"/>
          <w:color w:val="222222"/>
          <w:spacing w:val="0"/>
          <w:sz w:val="24"/>
          <w:szCs w:val="24"/>
          <w:shd w:val="clear" w:fill="FFFFFF"/>
        </w:rPr>
        <w:t>The resilient enterprise: overcoming vulnerability for competitive advantage</w:t>
      </w:r>
      <w:r>
        <w:rPr>
          <w:rFonts w:hint="default" w:ascii="Times New Roman" w:hAnsi="Times New Roman" w:eastAsia="宋体" w:cs="Times New Roman"/>
          <w:i w:val="0"/>
          <w:iCs w:val="0"/>
          <w:caps w:val="0"/>
          <w:color w:val="222222"/>
          <w:spacing w:val="0"/>
          <w:sz w:val="24"/>
          <w:szCs w:val="24"/>
          <w:shd w:val="clear" w:fill="FFFFFF"/>
        </w:rPr>
        <w:t>. MIT press.</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Teixeira, T.S. and Piechota, G., 2019. </w:t>
      </w:r>
      <w:r>
        <w:rPr>
          <w:rFonts w:hint="default" w:ascii="Times New Roman" w:hAnsi="Times New Roman" w:eastAsia="宋体" w:cs="Times New Roman"/>
          <w:i/>
          <w:iCs/>
          <w:caps w:val="0"/>
          <w:color w:val="222222"/>
          <w:spacing w:val="0"/>
          <w:sz w:val="24"/>
          <w:szCs w:val="24"/>
          <w:shd w:val="clear" w:fill="FFFFFF"/>
        </w:rPr>
        <w:t>Unlocking the customer value chain: How decoupling drives consumer disruption</w:t>
      </w:r>
      <w:r>
        <w:rPr>
          <w:rFonts w:hint="default" w:ascii="Times New Roman" w:hAnsi="Times New Roman" w:eastAsia="宋体" w:cs="Times New Roman"/>
          <w:i w:val="0"/>
          <w:iCs w:val="0"/>
          <w:caps w:val="0"/>
          <w:color w:val="222222"/>
          <w:spacing w:val="0"/>
          <w:sz w:val="24"/>
          <w:szCs w:val="24"/>
          <w:shd w:val="clear" w:fill="FFFFFF"/>
        </w:rPr>
        <w:t>. Currency.</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Pandey, R., Massand, A., Mulya, V.T., Sin, L.G., Naresh, V.P., Zamara, F.B., Kee, D.M.H., Zamri, S.K.B., Azmi, N.A.S.B., Hamdan, N.N.B.M. and Aditi, A., 2021. The Impacts of Covid-19 on Unilever. </w:t>
      </w:r>
      <w:r>
        <w:rPr>
          <w:rFonts w:hint="default" w:ascii="Times New Roman" w:hAnsi="Times New Roman" w:eastAsia="宋体" w:cs="Times New Roman"/>
          <w:i/>
          <w:iCs/>
          <w:caps w:val="0"/>
          <w:color w:val="222222"/>
          <w:spacing w:val="0"/>
          <w:sz w:val="24"/>
          <w:szCs w:val="24"/>
          <w:shd w:val="clear" w:fill="FFFFFF"/>
        </w:rPr>
        <w:t>Journal of The Community Development in Asia</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4</w:t>
      </w:r>
      <w:r>
        <w:rPr>
          <w:rFonts w:hint="default" w:ascii="Times New Roman" w:hAnsi="Times New Roman" w:eastAsia="宋体" w:cs="Times New Roman"/>
          <w:i w:val="0"/>
          <w:iCs w:val="0"/>
          <w:caps w:val="0"/>
          <w:color w:val="222222"/>
          <w:spacing w:val="0"/>
          <w:sz w:val="24"/>
          <w:szCs w:val="24"/>
          <w:shd w:val="clear" w:fill="FFFFFF"/>
        </w:rPr>
        <w:t>(1), pp.34-43.</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Haig, M., 2005. </w:t>
      </w:r>
      <w:r>
        <w:rPr>
          <w:rFonts w:hint="default" w:ascii="Times New Roman" w:hAnsi="Times New Roman" w:eastAsia="宋体" w:cs="Times New Roman"/>
          <w:i/>
          <w:iCs/>
          <w:caps w:val="0"/>
          <w:color w:val="222222"/>
          <w:spacing w:val="0"/>
          <w:sz w:val="24"/>
          <w:szCs w:val="24"/>
          <w:shd w:val="clear" w:fill="FFFFFF"/>
        </w:rPr>
        <w:t>Brand failures: the truth about the 100 biggest branding mistakes of all time</w:t>
      </w:r>
      <w:r>
        <w:rPr>
          <w:rFonts w:hint="default" w:ascii="Times New Roman" w:hAnsi="Times New Roman" w:eastAsia="宋体" w:cs="Times New Roman"/>
          <w:i w:val="0"/>
          <w:iCs w:val="0"/>
          <w:caps w:val="0"/>
          <w:color w:val="222222"/>
          <w:spacing w:val="0"/>
          <w:sz w:val="24"/>
          <w:szCs w:val="24"/>
          <w:shd w:val="clear" w:fill="FFFFFF"/>
        </w:rPr>
        <w:t>. Kogan Page Publishers.</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Sidibe, M., 2020. </w:t>
      </w:r>
      <w:r>
        <w:rPr>
          <w:rFonts w:hint="default" w:ascii="Times New Roman" w:hAnsi="Times New Roman" w:eastAsia="宋体" w:cs="Times New Roman"/>
          <w:i/>
          <w:iCs/>
          <w:caps w:val="0"/>
          <w:color w:val="222222"/>
          <w:spacing w:val="0"/>
          <w:sz w:val="24"/>
          <w:szCs w:val="24"/>
          <w:shd w:val="clear" w:fill="FFFFFF"/>
        </w:rPr>
        <w:t>Brands on a mission: How to achieve social impact and business growth through purpose</w:t>
      </w:r>
      <w:r>
        <w:rPr>
          <w:rFonts w:hint="default" w:ascii="Times New Roman" w:hAnsi="Times New Roman" w:eastAsia="宋体" w:cs="Times New Roman"/>
          <w:i w:val="0"/>
          <w:iCs w:val="0"/>
          <w:caps w:val="0"/>
          <w:color w:val="222222"/>
          <w:spacing w:val="0"/>
          <w:sz w:val="24"/>
          <w:szCs w:val="24"/>
          <w:shd w:val="clear" w:fill="FFFFFF"/>
        </w:rPr>
        <w:t>. Routledge.</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Dunning, J.H. and Lundan, S.M., 2008. </w:t>
      </w:r>
      <w:r>
        <w:rPr>
          <w:rFonts w:hint="default" w:ascii="Times New Roman" w:hAnsi="Times New Roman" w:eastAsia="宋体" w:cs="Times New Roman"/>
          <w:i/>
          <w:iCs/>
          <w:caps w:val="0"/>
          <w:color w:val="222222"/>
          <w:spacing w:val="0"/>
          <w:sz w:val="24"/>
          <w:szCs w:val="24"/>
          <w:shd w:val="clear" w:fill="FFFFFF"/>
        </w:rPr>
        <w:t>Multinational enterprises and the global economy</w:t>
      </w:r>
      <w:r>
        <w:rPr>
          <w:rFonts w:hint="default" w:ascii="Times New Roman" w:hAnsi="Times New Roman" w:eastAsia="宋体" w:cs="Times New Roman"/>
          <w:i w:val="0"/>
          <w:iCs w:val="0"/>
          <w:caps w:val="0"/>
          <w:color w:val="222222"/>
          <w:spacing w:val="0"/>
          <w:sz w:val="24"/>
          <w:szCs w:val="24"/>
          <w:shd w:val="clear" w:fill="FFFFFF"/>
        </w:rPr>
        <w:t>. Edward Elgar Publishing.</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lang w:val="en-US"/>
        </w:rPr>
      </w:pPr>
      <w:r>
        <w:rPr>
          <w:rFonts w:hint="default" w:ascii="Times New Roman" w:hAnsi="Times New Roman" w:eastAsia="宋体" w:cs="Times New Roman"/>
          <w:i w:val="0"/>
          <w:iCs w:val="0"/>
          <w:caps w:val="0"/>
          <w:color w:val="222222"/>
          <w:spacing w:val="0"/>
          <w:sz w:val="24"/>
          <w:szCs w:val="24"/>
          <w:shd w:val="clear" w:fill="FFFFFF"/>
        </w:rPr>
        <w:t>Steenkamp, J.B., 2014. How global brands create firm value: the 4V model. </w:t>
      </w:r>
      <w:r>
        <w:rPr>
          <w:rFonts w:hint="default" w:ascii="Times New Roman" w:hAnsi="Times New Roman" w:eastAsia="宋体" w:cs="Times New Roman"/>
          <w:i/>
          <w:iCs/>
          <w:caps w:val="0"/>
          <w:color w:val="222222"/>
          <w:spacing w:val="0"/>
          <w:sz w:val="24"/>
          <w:szCs w:val="24"/>
          <w:shd w:val="clear" w:fill="FFFFFF"/>
        </w:rPr>
        <w:t>International Marketing Review</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31</w:t>
      </w:r>
      <w:r>
        <w:rPr>
          <w:rFonts w:hint="default" w:ascii="Times New Roman" w:hAnsi="Times New Roman" w:eastAsia="宋体" w:cs="Times New Roman"/>
          <w:i w:val="0"/>
          <w:iCs w:val="0"/>
          <w:caps w:val="0"/>
          <w:color w:val="222222"/>
          <w:spacing w:val="0"/>
          <w:sz w:val="24"/>
          <w:szCs w:val="24"/>
          <w:shd w:val="clear" w:fill="FFFFFF"/>
        </w:rPr>
        <w:t>(1), pp.5-29.</w:t>
      </w:r>
      <w:r>
        <w:rPr>
          <w:rFonts w:hint="default" w:ascii="Times New Roman" w:hAnsi="Times New Roman" w:eastAsia="宋体" w:cs="Times New Roman"/>
          <w:i w:val="0"/>
          <w:iCs w:val="0"/>
          <w:caps w:val="0"/>
          <w:color w:val="222222"/>
          <w:spacing w:val="0"/>
          <w:sz w:val="24"/>
          <w:szCs w:val="24"/>
          <w:shd w:val="clear" w:fill="FFFFFF"/>
          <w:lang w:val="en-US"/>
        </w:rPr>
        <w:t xml:space="preserve"> doi: 10.1108/imr-10-2013-0233</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Grant, R.M., 2021. </w:t>
      </w:r>
      <w:r>
        <w:rPr>
          <w:rFonts w:hint="default" w:ascii="Times New Roman" w:hAnsi="Times New Roman" w:eastAsia="宋体" w:cs="Times New Roman"/>
          <w:i/>
          <w:iCs/>
          <w:caps w:val="0"/>
          <w:color w:val="222222"/>
          <w:spacing w:val="0"/>
          <w:sz w:val="24"/>
          <w:szCs w:val="24"/>
          <w:shd w:val="clear" w:fill="FFFFFF"/>
        </w:rPr>
        <w:t>Contemporary strategy analysis</w:t>
      </w:r>
      <w:r>
        <w:rPr>
          <w:rFonts w:hint="default" w:ascii="Times New Roman" w:hAnsi="Times New Roman" w:eastAsia="宋体" w:cs="Times New Roman"/>
          <w:i w:val="0"/>
          <w:iCs w:val="0"/>
          <w:caps w:val="0"/>
          <w:color w:val="222222"/>
          <w:spacing w:val="0"/>
          <w:sz w:val="24"/>
          <w:szCs w:val="24"/>
          <w:shd w:val="clear" w:fill="FFFFFF"/>
        </w:rPr>
        <w:t>. John Wiley &amp; Sons.</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Kaur, H., Thakkar, A. and Nagpal, K., 2021. Journal of Pharmaceutical Technology Research and Management.</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Sheth, J.N., Sinha, M. and Shah, R., 2016. </w:t>
      </w:r>
      <w:r>
        <w:rPr>
          <w:rFonts w:hint="default" w:ascii="Times New Roman" w:hAnsi="Times New Roman" w:eastAsia="宋体" w:cs="Times New Roman"/>
          <w:i/>
          <w:iCs/>
          <w:caps w:val="0"/>
          <w:color w:val="222222"/>
          <w:spacing w:val="0"/>
          <w:sz w:val="24"/>
          <w:szCs w:val="24"/>
          <w:shd w:val="clear" w:fill="FFFFFF"/>
        </w:rPr>
        <w:t>Breakout strategies for emerging markets: Business and marketing tactics for achieving growth</w:t>
      </w:r>
      <w:r>
        <w:rPr>
          <w:rFonts w:hint="default" w:ascii="Times New Roman" w:hAnsi="Times New Roman" w:eastAsia="宋体" w:cs="Times New Roman"/>
          <w:i w:val="0"/>
          <w:iCs w:val="0"/>
          <w:caps w:val="0"/>
          <w:color w:val="222222"/>
          <w:spacing w:val="0"/>
          <w:sz w:val="24"/>
          <w:szCs w:val="24"/>
          <w:shd w:val="clear" w:fill="FFFFFF"/>
        </w:rPr>
        <w:t>. FT Press.</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lang w:val="en-US"/>
        </w:rPr>
      </w:pPr>
      <w:r>
        <w:rPr>
          <w:rFonts w:hint="default" w:ascii="Times New Roman" w:hAnsi="Times New Roman" w:eastAsia="宋体" w:cs="Times New Roman"/>
          <w:i w:val="0"/>
          <w:iCs w:val="0"/>
          <w:caps w:val="0"/>
          <w:color w:val="222222"/>
          <w:spacing w:val="0"/>
          <w:sz w:val="24"/>
          <w:szCs w:val="24"/>
          <w:shd w:val="clear" w:fill="FFFFFF"/>
        </w:rPr>
        <w:t>Czinkota, M.R., Kotabe, M., Vrontis, D., Shams, S.R., Czinkota, M.R., Kotabe, M., Vrontis, D. and Shams, S.R., 2021. Product and Service Decisions. </w:t>
      </w:r>
      <w:r>
        <w:rPr>
          <w:rFonts w:hint="default" w:ascii="Times New Roman" w:hAnsi="Times New Roman" w:eastAsia="宋体" w:cs="Times New Roman"/>
          <w:i/>
          <w:iCs/>
          <w:caps w:val="0"/>
          <w:color w:val="222222"/>
          <w:spacing w:val="0"/>
          <w:sz w:val="24"/>
          <w:szCs w:val="24"/>
          <w:shd w:val="clear" w:fill="FFFFFF"/>
        </w:rPr>
        <w:t>Marketing Management: Past, Present and Future</w:t>
      </w:r>
      <w:r>
        <w:rPr>
          <w:rFonts w:hint="default" w:ascii="Times New Roman" w:hAnsi="Times New Roman" w:eastAsia="宋体" w:cs="Times New Roman"/>
          <w:i w:val="0"/>
          <w:iCs w:val="0"/>
          <w:caps w:val="0"/>
          <w:color w:val="222222"/>
          <w:spacing w:val="0"/>
          <w:sz w:val="24"/>
          <w:szCs w:val="24"/>
          <w:shd w:val="clear" w:fill="FFFFFF"/>
        </w:rPr>
        <w:t>, pp.341-397.</w:t>
      </w:r>
      <w:r>
        <w:rPr>
          <w:rFonts w:hint="default" w:ascii="Times New Roman" w:hAnsi="Times New Roman" w:eastAsia="宋体" w:cs="Times New Roman"/>
          <w:i w:val="0"/>
          <w:iCs w:val="0"/>
          <w:caps w:val="0"/>
          <w:color w:val="222222"/>
          <w:spacing w:val="0"/>
          <w:sz w:val="24"/>
          <w:szCs w:val="24"/>
          <w:shd w:val="clear" w:fill="FFFFFF"/>
          <w:lang w:val="en-US"/>
        </w:rPr>
        <w:t xml:space="preserve"> doi: https://doi.org/10.1007/978-3-030-66916-4_8</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lang w:val="en-US"/>
        </w:rPr>
      </w:pPr>
      <w:r>
        <w:rPr>
          <w:rFonts w:hint="default" w:ascii="Times New Roman" w:hAnsi="Times New Roman" w:eastAsia="宋体" w:cs="Times New Roman"/>
          <w:i w:val="0"/>
          <w:iCs w:val="0"/>
          <w:caps w:val="0"/>
          <w:color w:val="222222"/>
          <w:spacing w:val="0"/>
          <w:sz w:val="24"/>
          <w:szCs w:val="24"/>
          <w:shd w:val="clear" w:fill="FFFFFF"/>
        </w:rPr>
        <w:t>Dawar, N.D.N. and Chattopadhyay, A., 2002. Rethinking marketing programs for emerging markets. </w:t>
      </w:r>
      <w:r>
        <w:rPr>
          <w:rFonts w:hint="default" w:ascii="Times New Roman" w:hAnsi="Times New Roman" w:eastAsia="宋体" w:cs="Times New Roman"/>
          <w:i/>
          <w:iCs/>
          <w:caps w:val="0"/>
          <w:color w:val="222222"/>
          <w:spacing w:val="0"/>
          <w:sz w:val="24"/>
          <w:szCs w:val="24"/>
          <w:shd w:val="clear" w:fill="FFFFFF"/>
        </w:rPr>
        <w:t>Long Range Planning</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35</w:t>
      </w:r>
      <w:r>
        <w:rPr>
          <w:rFonts w:hint="default" w:ascii="Times New Roman" w:hAnsi="Times New Roman" w:eastAsia="宋体" w:cs="Times New Roman"/>
          <w:i w:val="0"/>
          <w:iCs w:val="0"/>
          <w:caps w:val="0"/>
          <w:color w:val="222222"/>
          <w:spacing w:val="0"/>
          <w:sz w:val="24"/>
          <w:szCs w:val="24"/>
          <w:shd w:val="clear" w:fill="FFFFFF"/>
        </w:rPr>
        <w:t>(5), pp.457-474.</w:t>
      </w:r>
      <w:r>
        <w:rPr>
          <w:rFonts w:hint="default" w:ascii="Times New Roman" w:hAnsi="Times New Roman" w:eastAsia="宋体" w:cs="Times New Roman"/>
          <w:i w:val="0"/>
          <w:iCs w:val="0"/>
          <w:caps w:val="0"/>
          <w:color w:val="222222"/>
          <w:spacing w:val="0"/>
          <w:sz w:val="24"/>
          <w:szCs w:val="24"/>
          <w:shd w:val="clear" w:fill="FFFFFF"/>
          <w:lang w:val="en-US"/>
        </w:rPr>
        <w:t xml:space="preserve"> doi: https://doi.org/10.1016/S0024-6301(02)00108-5</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lang w:val="en-US"/>
        </w:rPr>
      </w:pPr>
      <w:r>
        <w:rPr>
          <w:rFonts w:hint="default" w:ascii="Times New Roman" w:hAnsi="Times New Roman" w:eastAsia="宋体" w:cs="Times New Roman"/>
          <w:i w:val="0"/>
          <w:iCs w:val="0"/>
          <w:caps w:val="0"/>
          <w:color w:val="222222"/>
          <w:spacing w:val="0"/>
          <w:sz w:val="24"/>
          <w:szCs w:val="24"/>
          <w:shd w:val="clear" w:fill="FFFFFF"/>
        </w:rPr>
        <w:t>Suwadji, S.A., Suryaningsum, S. and Pamungkas, N., 2021, December. Analysis of the Financial Performance of the Largest Consumer Goods Company in Indonesia Before and During the Covid-19 Pandemic (Case Study at PT. Unilever Indonesia Tbk). In </w:t>
      </w:r>
      <w:r>
        <w:rPr>
          <w:rFonts w:hint="default" w:ascii="Times New Roman" w:hAnsi="Times New Roman" w:eastAsia="宋体" w:cs="Times New Roman"/>
          <w:i/>
          <w:iCs/>
          <w:caps w:val="0"/>
          <w:color w:val="222222"/>
          <w:spacing w:val="0"/>
          <w:sz w:val="24"/>
          <w:szCs w:val="24"/>
          <w:shd w:val="clear" w:fill="FFFFFF"/>
        </w:rPr>
        <w:t>Journal of International Conference Proceedings (JICP)</w:t>
      </w:r>
      <w:r>
        <w:rPr>
          <w:rFonts w:hint="default" w:ascii="Times New Roman" w:hAnsi="Times New Roman" w:eastAsia="宋体" w:cs="Times New Roman"/>
          <w:i w:val="0"/>
          <w:iCs w:val="0"/>
          <w:caps w:val="0"/>
          <w:color w:val="222222"/>
          <w:spacing w:val="0"/>
          <w:sz w:val="24"/>
          <w:szCs w:val="24"/>
          <w:shd w:val="clear" w:fill="FFFFFF"/>
        </w:rPr>
        <w:t> (Vol. 4, No. 3, pp. 539-550).</w:t>
      </w:r>
      <w:r>
        <w:rPr>
          <w:rFonts w:hint="default" w:ascii="Times New Roman" w:hAnsi="Times New Roman" w:eastAsia="宋体" w:cs="Times New Roman"/>
          <w:i w:val="0"/>
          <w:iCs w:val="0"/>
          <w:caps w:val="0"/>
          <w:color w:val="222222"/>
          <w:spacing w:val="0"/>
          <w:sz w:val="24"/>
          <w:szCs w:val="24"/>
          <w:shd w:val="clear" w:fill="FFFFFF"/>
          <w:lang w:val="en-US"/>
        </w:rPr>
        <w:t xml:space="preserve"> doi: https://doi.org/10.32535/jicp.v4i3.1357</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Dwyer, J.C., 2018. The implications of Brexit for agriculture, rural areas and land use in Wales.</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Utting, P., 2000. </w:t>
      </w:r>
      <w:r>
        <w:rPr>
          <w:rFonts w:hint="default" w:ascii="Times New Roman" w:hAnsi="Times New Roman" w:eastAsia="宋体" w:cs="Times New Roman"/>
          <w:i/>
          <w:iCs/>
          <w:caps w:val="0"/>
          <w:color w:val="222222"/>
          <w:spacing w:val="0"/>
          <w:sz w:val="24"/>
          <w:szCs w:val="24"/>
          <w:shd w:val="clear" w:fill="FFFFFF"/>
        </w:rPr>
        <w:t>Business responsibility for sustainable development</w:t>
      </w:r>
      <w:r>
        <w:rPr>
          <w:rFonts w:hint="default" w:ascii="Times New Roman" w:hAnsi="Times New Roman" w:eastAsia="宋体" w:cs="Times New Roman"/>
          <w:i w:val="0"/>
          <w:iCs w:val="0"/>
          <w:caps w:val="0"/>
          <w:color w:val="222222"/>
          <w:spacing w:val="0"/>
          <w:sz w:val="24"/>
          <w:szCs w:val="24"/>
          <w:shd w:val="clear" w:fill="FFFFFF"/>
        </w:rPr>
        <w:t> (No. 2). Geneva 2000 Occasional Paper.</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lang w:val="en-US"/>
        </w:rPr>
      </w:pPr>
      <w:r>
        <w:rPr>
          <w:rFonts w:hint="default" w:ascii="Times New Roman" w:hAnsi="Times New Roman" w:eastAsia="宋体" w:cs="Times New Roman"/>
          <w:i w:val="0"/>
          <w:iCs w:val="0"/>
          <w:caps w:val="0"/>
          <w:color w:val="222222"/>
          <w:spacing w:val="0"/>
          <w:sz w:val="24"/>
          <w:szCs w:val="24"/>
          <w:shd w:val="clear" w:fill="FFFFFF"/>
        </w:rPr>
        <w:t>Johnson, J. and Tellis, G.J., 2008. Drivers of success for market entry into China and India. </w:t>
      </w:r>
      <w:r>
        <w:rPr>
          <w:rFonts w:hint="default" w:ascii="Times New Roman" w:hAnsi="Times New Roman" w:eastAsia="宋体" w:cs="Times New Roman"/>
          <w:i/>
          <w:iCs/>
          <w:caps w:val="0"/>
          <w:color w:val="222222"/>
          <w:spacing w:val="0"/>
          <w:sz w:val="24"/>
          <w:szCs w:val="24"/>
          <w:shd w:val="clear" w:fill="FFFFFF"/>
        </w:rPr>
        <w:t>Journal of marketing</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72</w:t>
      </w:r>
      <w:r>
        <w:rPr>
          <w:rFonts w:hint="default" w:ascii="Times New Roman" w:hAnsi="Times New Roman" w:eastAsia="宋体" w:cs="Times New Roman"/>
          <w:i w:val="0"/>
          <w:iCs w:val="0"/>
          <w:caps w:val="0"/>
          <w:color w:val="222222"/>
          <w:spacing w:val="0"/>
          <w:sz w:val="24"/>
          <w:szCs w:val="24"/>
          <w:shd w:val="clear" w:fill="FFFFFF"/>
        </w:rPr>
        <w:t>(3), pp.1-13.</w:t>
      </w:r>
      <w:r>
        <w:rPr>
          <w:rFonts w:hint="default" w:ascii="Times New Roman" w:hAnsi="Times New Roman" w:eastAsia="宋体" w:cs="Times New Roman"/>
          <w:i w:val="0"/>
          <w:iCs w:val="0"/>
          <w:caps w:val="0"/>
          <w:color w:val="222222"/>
          <w:spacing w:val="0"/>
          <w:sz w:val="24"/>
          <w:szCs w:val="24"/>
          <w:shd w:val="clear" w:fill="FFFFFF"/>
          <w:lang w:val="en-US"/>
        </w:rPr>
        <w:t xml:space="preserve"> doi: https://doi.org/10.1509/JMKG.72.3.00</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Doole, I. and Lowe, R., 2012. </w:t>
      </w:r>
      <w:r>
        <w:rPr>
          <w:rFonts w:hint="default" w:ascii="Times New Roman" w:hAnsi="Times New Roman" w:eastAsia="宋体" w:cs="Times New Roman"/>
          <w:i/>
          <w:iCs/>
          <w:caps w:val="0"/>
          <w:color w:val="222222"/>
          <w:spacing w:val="0"/>
          <w:sz w:val="24"/>
          <w:szCs w:val="24"/>
          <w:shd w:val="clear" w:fill="FFFFFF"/>
        </w:rPr>
        <w:t>International marketing strategy</w:t>
      </w:r>
      <w:r>
        <w:rPr>
          <w:rFonts w:hint="default" w:ascii="Times New Roman" w:hAnsi="Times New Roman" w:eastAsia="宋体" w:cs="Times New Roman"/>
          <w:i w:val="0"/>
          <w:iCs w:val="0"/>
          <w:caps w:val="0"/>
          <w:color w:val="222222"/>
          <w:spacing w:val="0"/>
          <w:sz w:val="24"/>
          <w:szCs w:val="24"/>
          <w:shd w:val="clear" w:fill="FFFFFF"/>
        </w:rPr>
        <w:t> (Vol. 7). Cengage Learning.</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lang w:val="en-US"/>
        </w:rPr>
      </w:pPr>
      <w:r>
        <w:rPr>
          <w:rFonts w:hint="default" w:ascii="Times New Roman" w:hAnsi="Times New Roman" w:eastAsia="宋体" w:cs="Times New Roman"/>
          <w:i w:val="0"/>
          <w:iCs w:val="0"/>
          <w:caps w:val="0"/>
          <w:color w:val="222222"/>
          <w:spacing w:val="0"/>
          <w:sz w:val="24"/>
          <w:szCs w:val="24"/>
          <w:shd w:val="clear" w:fill="FFFFFF"/>
        </w:rPr>
        <w:t>Masroor, N. and Asim, M., 2019. SMEs in the contemporary era of global competition. </w:t>
      </w:r>
      <w:r>
        <w:rPr>
          <w:rFonts w:hint="default" w:ascii="Times New Roman" w:hAnsi="Times New Roman" w:eastAsia="宋体" w:cs="Times New Roman"/>
          <w:i/>
          <w:iCs/>
          <w:caps w:val="0"/>
          <w:color w:val="222222"/>
          <w:spacing w:val="0"/>
          <w:sz w:val="24"/>
          <w:szCs w:val="24"/>
          <w:shd w:val="clear" w:fill="FFFFFF"/>
        </w:rPr>
        <w:t>Procedia Computer Science</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158</w:t>
      </w:r>
      <w:r>
        <w:rPr>
          <w:rFonts w:hint="default" w:ascii="Times New Roman" w:hAnsi="Times New Roman" w:eastAsia="宋体" w:cs="Times New Roman"/>
          <w:i w:val="0"/>
          <w:iCs w:val="0"/>
          <w:caps w:val="0"/>
          <w:color w:val="222222"/>
          <w:spacing w:val="0"/>
          <w:sz w:val="24"/>
          <w:szCs w:val="24"/>
          <w:shd w:val="clear" w:fill="FFFFFF"/>
        </w:rPr>
        <w:t>, pp.632-641.</w:t>
      </w:r>
      <w:r>
        <w:rPr>
          <w:rFonts w:hint="default" w:ascii="Times New Roman" w:hAnsi="Times New Roman" w:eastAsia="宋体" w:cs="Times New Roman"/>
          <w:i w:val="0"/>
          <w:iCs w:val="0"/>
          <w:caps w:val="0"/>
          <w:color w:val="222222"/>
          <w:spacing w:val="0"/>
          <w:sz w:val="24"/>
          <w:szCs w:val="24"/>
          <w:shd w:val="clear" w:fill="FFFFFF"/>
          <w:lang w:val="en-US"/>
        </w:rPr>
        <w:t xml:space="preserve"> doi: https://doi.org/10.1016/j.procs.2019.09.097</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Djarova, J., 2004. Unilever Group. </w:t>
      </w:r>
      <w:r>
        <w:rPr>
          <w:rFonts w:hint="default" w:ascii="Times New Roman" w:hAnsi="Times New Roman" w:eastAsia="宋体" w:cs="Times New Roman"/>
          <w:i/>
          <w:iCs/>
          <w:caps w:val="0"/>
          <w:color w:val="222222"/>
          <w:spacing w:val="0"/>
          <w:sz w:val="24"/>
          <w:szCs w:val="24"/>
          <w:shd w:val="clear" w:fill="FFFFFF"/>
        </w:rPr>
        <w:t>Cross-Border Investing: The Case of Central and Eastern Europe</w:t>
      </w:r>
      <w:r>
        <w:rPr>
          <w:rFonts w:hint="default" w:ascii="Times New Roman" w:hAnsi="Times New Roman" w:eastAsia="宋体" w:cs="Times New Roman"/>
          <w:i w:val="0"/>
          <w:iCs w:val="0"/>
          <w:caps w:val="0"/>
          <w:color w:val="222222"/>
          <w:spacing w:val="0"/>
          <w:sz w:val="24"/>
          <w:szCs w:val="24"/>
          <w:shd w:val="clear" w:fill="FFFFFF"/>
        </w:rPr>
        <w:t>, pp.201-224.</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Ha, H., 2014. </w:t>
      </w:r>
      <w:r>
        <w:rPr>
          <w:rFonts w:hint="default" w:ascii="Times New Roman" w:hAnsi="Times New Roman" w:eastAsia="宋体" w:cs="Times New Roman"/>
          <w:i/>
          <w:iCs/>
          <w:caps w:val="0"/>
          <w:color w:val="222222"/>
          <w:spacing w:val="0"/>
          <w:sz w:val="24"/>
          <w:szCs w:val="24"/>
          <w:shd w:val="clear" w:fill="FFFFFF"/>
        </w:rPr>
        <w:t>Change management for sustainability</w:t>
      </w:r>
      <w:r>
        <w:rPr>
          <w:rFonts w:hint="default" w:ascii="Times New Roman" w:hAnsi="Times New Roman" w:eastAsia="宋体" w:cs="Times New Roman"/>
          <w:i w:val="0"/>
          <w:iCs w:val="0"/>
          <w:caps w:val="0"/>
          <w:color w:val="222222"/>
          <w:spacing w:val="0"/>
          <w:sz w:val="24"/>
          <w:szCs w:val="24"/>
          <w:shd w:val="clear" w:fill="FFFFFF"/>
        </w:rPr>
        <w:t>. Business Expert Press.</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lang w:val="en-US"/>
        </w:rPr>
      </w:pPr>
      <w:r>
        <w:rPr>
          <w:rFonts w:hint="default" w:ascii="Times New Roman" w:hAnsi="Times New Roman" w:eastAsia="宋体" w:cs="Times New Roman"/>
          <w:i w:val="0"/>
          <w:iCs w:val="0"/>
          <w:caps w:val="0"/>
          <w:color w:val="222222"/>
          <w:spacing w:val="0"/>
          <w:sz w:val="24"/>
          <w:szCs w:val="24"/>
          <w:shd w:val="clear" w:fill="FFFFFF"/>
        </w:rPr>
        <w:t>Besier, S., 2015. Generational perceptions of pro-environmental packaging advantages: A case study of the packaging innovation of ‘compressed’deodorants in Germany. </w:t>
      </w:r>
      <w:r>
        <w:rPr>
          <w:rFonts w:hint="default" w:ascii="Times New Roman" w:hAnsi="Times New Roman" w:eastAsia="宋体" w:cs="Times New Roman"/>
          <w:i/>
          <w:iCs/>
          <w:caps w:val="0"/>
          <w:color w:val="222222"/>
          <w:spacing w:val="0"/>
          <w:sz w:val="24"/>
          <w:szCs w:val="24"/>
          <w:shd w:val="clear" w:fill="FFFFFF"/>
        </w:rPr>
        <w:t>uwf UmweltWirtschaftsForum</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23</w:t>
      </w:r>
      <w:r>
        <w:rPr>
          <w:rFonts w:hint="default" w:ascii="Times New Roman" w:hAnsi="Times New Roman" w:eastAsia="宋体" w:cs="Times New Roman"/>
          <w:i w:val="0"/>
          <w:iCs w:val="0"/>
          <w:caps w:val="0"/>
          <w:color w:val="222222"/>
          <w:spacing w:val="0"/>
          <w:sz w:val="24"/>
          <w:szCs w:val="24"/>
          <w:shd w:val="clear" w:fill="FFFFFF"/>
        </w:rPr>
        <w:t>, pp.315-322.</w:t>
      </w:r>
      <w:r>
        <w:rPr>
          <w:rFonts w:hint="default" w:ascii="Times New Roman" w:hAnsi="Times New Roman" w:eastAsia="宋体" w:cs="Times New Roman"/>
          <w:i w:val="0"/>
          <w:iCs w:val="0"/>
          <w:caps w:val="0"/>
          <w:color w:val="222222"/>
          <w:spacing w:val="0"/>
          <w:sz w:val="24"/>
          <w:szCs w:val="24"/>
          <w:shd w:val="clear" w:fill="FFFFFF"/>
          <w:lang w:val="en-US"/>
        </w:rPr>
        <w:t xml:space="preserve"> doi: https://doi.org/10.1007/s00550-015-0375-2</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lang w:val="en-US"/>
        </w:rPr>
      </w:pPr>
      <w:r>
        <w:rPr>
          <w:rFonts w:hint="default" w:ascii="Times New Roman" w:hAnsi="Times New Roman" w:eastAsia="宋体" w:cs="Times New Roman"/>
          <w:i w:val="0"/>
          <w:iCs w:val="0"/>
          <w:caps w:val="0"/>
          <w:color w:val="222222"/>
          <w:spacing w:val="0"/>
          <w:sz w:val="24"/>
          <w:szCs w:val="24"/>
          <w:shd w:val="clear" w:fill="FFFFFF"/>
        </w:rPr>
        <w:t>Simatupang, T.M. and Sridharan, R., 2002. The collaborative supply chain. </w:t>
      </w:r>
      <w:r>
        <w:rPr>
          <w:rFonts w:hint="default" w:ascii="Times New Roman" w:hAnsi="Times New Roman" w:eastAsia="宋体" w:cs="Times New Roman"/>
          <w:i/>
          <w:iCs/>
          <w:caps w:val="0"/>
          <w:color w:val="222222"/>
          <w:spacing w:val="0"/>
          <w:sz w:val="24"/>
          <w:szCs w:val="24"/>
          <w:shd w:val="clear" w:fill="FFFFFF"/>
        </w:rPr>
        <w:t>The international journal of logistics management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13</w:t>
      </w:r>
      <w:r>
        <w:rPr>
          <w:rFonts w:hint="default" w:ascii="Times New Roman" w:hAnsi="Times New Roman" w:eastAsia="宋体" w:cs="Times New Roman"/>
          <w:i w:val="0"/>
          <w:iCs w:val="0"/>
          <w:caps w:val="0"/>
          <w:color w:val="222222"/>
          <w:spacing w:val="0"/>
          <w:sz w:val="24"/>
          <w:szCs w:val="24"/>
          <w:shd w:val="clear" w:fill="FFFFFF"/>
        </w:rPr>
        <w:t>(1), pp.15-30.</w:t>
      </w:r>
      <w:r>
        <w:rPr>
          <w:rFonts w:hint="default" w:ascii="Times New Roman" w:hAnsi="Times New Roman" w:eastAsia="宋体" w:cs="Times New Roman"/>
          <w:i w:val="0"/>
          <w:iCs w:val="0"/>
          <w:caps w:val="0"/>
          <w:color w:val="222222"/>
          <w:spacing w:val="0"/>
          <w:sz w:val="24"/>
          <w:szCs w:val="24"/>
          <w:shd w:val="clear" w:fill="FFFFFF"/>
          <w:lang w:val="en-US"/>
        </w:rPr>
        <w:t xml:space="preserve"> doi: https://doi.org/10.1108/09574090210806333</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lang w:val="en-US"/>
        </w:rPr>
      </w:pPr>
      <w:r>
        <w:rPr>
          <w:rFonts w:hint="default" w:ascii="Times New Roman" w:hAnsi="Times New Roman" w:eastAsia="宋体" w:cs="Times New Roman"/>
          <w:i w:val="0"/>
          <w:iCs w:val="0"/>
          <w:caps w:val="0"/>
          <w:color w:val="222222"/>
          <w:spacing w:val="0"/>
          <w:sz w:val="24"/>
          <w:szCs w:val="24"/>
          <w:shd w:val="clear" w:fill="FFFFFF"/>
        </w:rPr>
        <w:t>Schauman, S., Heinonen, K. and Holmlund, M., 2021. Crafting customer insight: What we can learn from the revival of the vinyl record. </w:t>
      </w:r>
      <w:r>
        <w:rPr>
          <w:rFonts w:hint="default" w:ascii="Times New Roman" w:hAnsi="Times New Roman" w:eastAsia="宋体" w:cs="Times New Roman"/>
          <w:i/>
          <w:iCs/>
          <w:caps w:val="0"/>
          <w:color w:val="222222"/>
          <w:spacing w:val="0"/>
          <w:sz w:val="24"/>
          <w:szCs w:val="24"/>
          <w:shd w:val="clear" w:fill="FFFFFF"/>
        </w:rPr>
        <w:t>Business Horizons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64</w:t>
      </w:r>
      <w:r>
        <w:rPr>
          <w:rFonts w:hint="default" w:ascii="Times New Roman" w:hAnsi="Times New Roman" w:eastAsia="宋体" w:cs="Times New Roman"/>
          <w:i w:val="0"/>
          <w:iCs w:val="0"/>
          <w:caps w:val="0"/>
          <w:color w:val="222222"/>
          <w:spacing w:val="0"/>
          <w:sz w:val="24"/>
          <w:szCs w:val="24"/>
          <w:shd w:val="clear" w:fill="FFFFFF"/>
        </w:rPr>
        <w:t>(2), pp.261-271.</w:t>
      </w:r>
      <w:r>
        <w:rPr>
          <w:rFonts w:hint="default" w:ascii="Times New Roman" w:hAnsi="Times New Roman" w:eastAsia="宋体" w:cs="Times New Roman"/>
          <w:i w:val="0"/>
          <w:iCs w:val="0"/>
          <w:caps w:val="0"/>
          <w:color w:val="222222"/>
          <w:spacing w:val="0"/>
          <w:sz w:val="24"/>
          <w:szCs w:val="24"/>
          <w:shd w:val="clear" w:fill="FFFFFF"/>
          <w:lang w:val="en-US"/>
        </w:rPr>
        <w:t xml:space="preserve"> doi: https://doi.org/10.1016/j.bushor.2020.12.003</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Bower, P., 2016. Consumer Goods, Direct-to-Consumer, and S&amp;OP--A Doomed Marriage?. </w:t>
      </w:r>
      <w:r>
        <w:rPr>
          <w:rFonts w:hint="default" w:ascii="Times New Roman" w:hAnsi="Times New Roman" w:eastAsia="宋体" w:cs="Times New Roman"/>
          <w:i/>
          <w:iCs/>
          <w:caps w:val="0"/>
          <w:color w:val="222222"/>
          <w:spacing w:val="0"/>
          <w:sz w:val="24"/>
          <w:szCs w:val="24"/>
          <w:shd w:val="clear" w:fill="FFFFFF"/>
        </w:rPr>
        <w:t>Journal of Business Forecasting</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35</w:t>
      </w:r>
      <w:r>
        <w:rPr>
          <w:rFonts w:hint="default" w:ascii="Times New Roman" w:hAnsi="Times New Roman" w:eastAsia="宋体" w:cs="Times New Roman"/>
          <w:i w:val="0"/>
          <w:iCs w:val="0"/>
          <w:caps w:val="0"/>
          <w:color w:val="222222"/>
          <w:spacing w:val="0"/>
          <w:sz w:val="24"/>
          <w:szCs w:val="24"/>
          <w:shd w:val="clear" w:fill="FFFFFF"/>
        </w:rPr>
        <w:t>(4).</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Clay, J.W., 2005. </w:t>
      </w:r>
      <w:r>
        <w:rPr>
          <w:rFonts w:hint="default" w:ascii="Times New Roman" w:hAnsi="Times New Roman" w:eastAsia="宋体" w:cs="Times New Roman"/>
          <w:i/>
          <w:iCs/>
          <w:caps w:val="0"/>
          <w:color w:val="222222"/>
          <w:spacing w:val="0"/>
          <w:sz w:val="24"/>
          <w:szCs w:val="24"/>
          <w:shd w:val="clear" w:fill="FFFFFF"/>
        </w:rPr>
        <w:t>Exploring the links between international business and poverty reduction: A case study of Unilever in Indonesia</w:t>
      </w:r>
      <w:r>
        <w:rPr>
          <w:rFonts w:hint="default" w:ascii="Times New Roman" w:hAnsi="Times New Roman" w:eastAsia="宋体" w:cs="Times New Roman"/>
          <w:i w:val="0"/>
          <w:iCs w:val="0"/>
          <w:caps w:val="0"/>
          <w:color w:val="222222"/>
          <w:spacing w:val="0"/>
          <w:sz w:val="24"/>
          <w:szCs w:val="24"/>
          <w:shd w:val="clear" w:fill="FFFFFF"/>
        </w:rPr>
        <w:t>. Oxfam.</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lang w:val="en-US"/>
        </w:rPr>
      </w:pPr>
      <w:r>
        <w:rPr>
          <w:rFonts w:hint="default" w:ascii="Times New Roman" w:hAnsi="Times New Roman" w:eastAsia="宋体" w:cs="Times New Roman"/>
          <w:i w:val="0"/>
          <w:iCs w:val="0"/>
          <w:caps w:val="0"/>
          <w:color w:val="222222"/>
          <w:spacing w:val="0"/>
          <w:sz w:val="24"/>
          <w:szCs w:val="24"/>
          <w:shd w:val="clear" w:fill="FFFFFF"/>
        </w:rPr>
        <w:t>Andaleeb, S.S., 2016. Market segmentation, targeting, and positioning. In </w:t>
      </w:r>
      <w:r>
        <w:rPr>
          <w:rFonts w:hint="default" w:ascii="Times New Roman" w:hAnsi="Times New Roman" w:eastAsia="宋体" w:cs="Times New Roman"/>
          <w:i/>
          <w:iCs/>
          <w:caps w:val="0"/>
          <w:color w:val="222222"/>
          <w:spacing w:val="0"/>
          <w:sz w:val="24"/>
          <w:szCs w:val="24"/>
          <w:shd w:val="clear" w:fill="FFFFFF"/>
        </w:rPr>
        <w:t>Strategic marketing management in Asia: case studies and lessons across industries</w:t>
      </w:r>
      <w:r>
        <w:rPr>
          <w:rFonts w:hint="default" w:ascii="Times New Roman" w:hAnsi="Times New Roman" w:eastAsia="宋体" w:cs="Times New Roman"/>
          <w:i w:val="0"/>
          <w:iCs w:val="0"/>
          <w:caps w:val="0"/>
          <w:color w:val="222222"/>
          <w:spacing w:val="0"/>
          <w:sz w:val="24"/>
          <w:szCs w:val="24"/>
          <w:shd w:val="clear" w:fill="FFFFFF"/>
        </w:rPr>
        <w:t> (pp. 179-207). Emerald Group Publishing Limited.</w:t>
      </w:r>
      <w:r>
        <w:rPr>
          <w:rFonts w:hint="default" w:ascii="Times New Roman" w:hAnsi="Times New Roman" w:eastAsia="宋体" w:cs="Times New Roman"/>
          <w:i w:val="0"/>
          <w:iCs w:val="0"/>
          <w:caps w:val="0"/>
          <w:color w:val="222222"/>
          <w:spacing w:val="0"/>
          <w:sz w:val="24"/>
          <w:szCs w:val="24"/>
          <w:shd w:val="clear" w:fill="FFFFFF"/>
          <w:lang w:val="en-US"/>
        </w:rPr>
        <w:t xml:space="preserve"> </w:t>
      </w:r>
      <w:r>
        <w:rPr>
          <w:rFonts w:hint="default" w:ascii="Times New Roman" w:hAnsi="Times New Roman" w:eastAsia="宋体" w:cs="Times New Roman"/>
          <w:i w:val="0"/>
          <w:iCs w:val="0"/>
          <w:color w:val="222222"/>
          <w:spacing w:val="0"/>
          <w:sz w:val="24"/>
          <w:szCs w:val="24"/>
          <w:shd w:val="clear" w:fill="FFFFFF"/>
          <w:lang w:val="en-US"/>
        </w:rPr>
        <w:t>D</w:t>
      </w:r>
      <w:r>
        <w:rPr>
          <w:rFonts w:hint="default" w:ascii="Times New Roman" w:hAnsi="Times New Roman" w:eastAsia="宋体" w:cs="Times New Roman"/>
          <w:i w:val="0"/>
          <w:iCs w:val="0"/>
          <w:caps w:val="0"/>
          <w:color w:val="222222"/>
          <w:spacing w:val="0"/>
          <w:sz w:val="24"/>
          <w:szCs w:val="24"/>
          <w:shd w:val="clear" w:fill="FFFFFF"/>
          <w:lang w:val="en-US"/>
        </w:rPr>
        <w:t>oi: https://doi.org/10.1108/978-1-78635-746-520161006</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lang w:val="en-US"/>
        </w:rPr>
      </w:pPr>
      <w:r>
        <w:rPr>
          <w:rFonts w:hint="default" w:ascii="Times New Roman" w:hAnsi="Times New Roman" w:eastAsia="宋体" w:cs="Times New Roman"/>
          <w:i w:val="0"/>
          <w:iCs w:val="0"/>
          <w:caps w:val="0"/>
          <w:color w:val="222222"/>
          <w:spacing w:val="0"/>
          <w:sz w:val="24"/>
          <w:szCs w:val="24"/>
          <w:shd w:val="clear" w:fill="FFFFFF"/>
        </w:rPr>
        <w:t>Sodhi, M.S. and Tang, C.S., 2014. Supply‐chain research opportunities with the poor as suppliers or distributors in developing countries. </w:t>
      </w:r>
      <w:r>
        <w:rPr>
          <w:rFonts w:hint="default" w:ascii="Times New Roman" w:hAnsi="Times New Roman" w:eastAsia="宋体" w:cs="Times New Roman"/>
          <w:i/>
          <w:iCs/>
          <w:caps w:val="0"/>
          <w:color w:val="222222"/>
          <w:spacing w:val="0"/>
          <w:sz w:val="24"/>
          <w:szCs w:val="24"/>
          <w:shd w:val="clear" w:fill="FFFFFF"/>
        </w:rPr>
        <w:t>Production and operations management</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23</w:t>
      </w:r>
      <w:r>
        <w:rPr>
          <w:rFonts w:hint="default" w:ascii="Times New Roman" w:hAnsi="Times New Roman" w:eastAsia="宋体" w:cs="Times New Roman"/>
          <w:i w:val="0"/>
          <w:iCs w:val="0"/>
          <w:caps w:val="0"/>
          <w:color w:val="222222"/>
          <w:spacing w:val="0"/>
          <w:sz w:val="24"/>
          <w:szCs w:val="24"/>
          <w:shd w:val="clear" w:fill="FFFFFF"/>
        </w:rPr>
        <w:t>(9), pp.1483-1494.</w:t>
      </w:r>
      <w:r>
        <w:rPr>
          <w:rFonts w:hint="default" w:ascii="Times New Roman" w:hAnsi="Times New Roman" w:eastAsia="宋体" w:cs="Times New Roman"/>
          <w:i w:val="0"/>
          <w:iCs w:val="0"/>
          <w:caps w:val="0"/>
          <w:color w:val="222222"/>
          <w:spacing w:val="0"/>
          <w:sz w:val="24"/>
          <w:szCs w:val="24"/>
          <w:shd w:val="clear" w:fill="FFFFFF"/>
          <w:lang w:val="en-US"/>
        </w:rPr>
        <w:t xml:space="preserve"> doi:  https://doi.org/10.1111/poms.12161</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lang w:val="en-US"/>
        </w:rPr>
      </w:pPr>
      <w:r>
        <w:rPr>
          <w:rFonts w:hint="default" w:ascii="Times New Roman" w:hAnsi="Times New Roman" w:eastAsia="宋体" w:cs="Times New Roman"/>
          <w:i w:val="0"/>
          <w:iCs w:val="0"/>
          <w:caps w:val="0"/>
          <w:color w:val="222222"/>
          <w:spacing w:val="0"/>
          <w:sz w:val="24"/>
          <w:szCs w:val="24"/>
          <w:shd w:val="clear" w:fill="FFFFFF"/>
        </w:rPr>
        <w:t>Cohen, S.D., 2007. </w:t>
      </w:r>
      <w:r>
        <w:rPr>
          <w:rFonts w:hint="default" w:ascii="Times New Roman" w:hAnsi="Times New Roman" w:eastAsia="宋体" w:cs="Times New Roman"/>
          <w:i/>
          <w:iCs/>
          <w:caps w:val="0"/>
          <w:color w:val="222222"/>
          <w:spacing w:val="0"/>
          <w:sz w:val="24"/>
          <w:szCs w:val="24"/>
          <w:shd w:val="clear" w:fill="FFFFFF"/>
        </w:rPr>
        <w:t>Multinational corporations and foreign direct investment: avoiding simplicity, embracing complexity</w:t>
      </w:r>
      <w:r>
        <w:rPr>
          <w:rFonts w:hint="default" w:ascii="Times New Roman" w:hAnsi="Times New Roman" w:eastAsia="宋体" w:cs="Times New Roman"/>
          <w:i w:val="0"/>
          <w:iCs w:val="0"/>
          <w:caps w:val="0"/>
          <w:color w:val="222222"/>
          <w:spacing w:val="0"/>
          <w:sz w:val="24"/>
          <w:szCs w:val="24"/>
          <w:shd w:val="clear" w:fill="FFFFFF"/>
        </w:rPr>
        <w:t>. Oxford University Press.</w:t>
      </w:r>
      <w:r>
        <w:rPr>
          <w:rFonts w:hint="default" w:ascii="Times New Roman" w:hAnsi="Times New Roman" w:eastAsia="宋体" w:cs="Times New Roman"/>
          <w:i w:val="0"/>
          <w:iCs w:val="0"/>
          <w:caps w:val="0"/>
          <w:color w:val="222222"/>
          <w:spacing w:val="0"/>
          <w:sz w:val="24"/>
          <w:szCs w:val="24"/>
          <w:shd w:val="clear" w:fill="FFFFFF"/>
          <w:lang w:val="en-US"/>
        </w:rPr>
        <w:t xml:space="preserve"> </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lang w:val="en-US"/>
        </w:rPr>
      </w:pPr>
      <w:r>
        <w:rPr>
          <w:rFonts w:hint="default" w:ascii="Times New Roman" w:hAnsi="Times New Roman" w:eastAsia="宋体" w:cs="Times New Roman"/>
          <w:i w:val="0"/>
          <w:iCs w:val="0"/>
          <w:caps w:val="0"/>
          <w:color w:val="222222"/>
          <w:spacing w:val="0"/>
          <w:sz w:val="24"/>
          <w:szCs w:val="24"/>
          <w:shd w:val="clear" w:fill="FFFFFF"/>
        </w:rPr>
        <w:t>Prahalad, C.K. and Hart, S.L., 1999. Strategies for the bottom of the pyramid: creating sustainable development. </w:t>
      </w:r>
      <w:r>
        <w:rPr>
          <w:rFonts w:hint="default" w:ascii="Times New Roman" w:hAnsi="Times New Roman" w:eastAsia="宋体" w:cs="Times New Roman"/>
          <w:i/>
          <w:iCs/>
          <w:caps w:val="0"/>
          <w:color w:val="222222"/>
          <w:spacing w:val="0"/>
          <w:sz w:val="24"/>
          <w:szCs w:val="24"/>
          <w:shd w:val="clear" w:fill="FFFFFF"/>
        </w:rPr>
        <w:t>Ann Arbor</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1001</w:t>
      </w:r>
      <w:r>
        <w:rPr>
          <w:rFonts w:hint="default" w:ascii="Times New Roman" w:hAnsi="Times New Roman" w:eastAsia="宋体" w:cs="Times New Roman"/>
          <w:i w:val="0"/>
          <w:iCs w:val="0"/>
          <w:caps w:val="0"/>
          <w:color w:val="222222"/>
          <w:spacing w:val="0"/>
          <w:sz w:val="24"/>
          <w:szCs w:val="24"/>
          <w:shd w:val="clear" w:fill="FFFFFF"/>
        </w:rPr>
        <w:t>, p.48109.</w:t>
      </w:r>
      <w:r>
        <w:rPr>
          <w:rFonts w:hint="default" w:ascii="Times New Roman" w:hAnsi="Times New Roman" w:eastAsia="宋体" w:cs="Times New Roman"/>
          <w:i w:val="0"/>
          <w:iCs w:val="0"/>
          <w:caps w:val="0"/>
          <w:color w:val="222222"/>
          <w:spacing w:val="0"/>
          <w:sz w:val="24"/>
          <w:szCs w:val="24"/>
          <w:shd w:val="clear" w:fill="FFFFFF"/>
          <w:lang w:val="en-US"/>
        </w:rPr>
        <w:t xml:space="preserve"> </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Kumar, N., 2003. Kill a brand, keep a customer. </w:t>
      </w:r>
      <w:r>
        <w:rPr>
          <w:rFonts w:hint="default" w:ascii="Times New Roman" w:hAnsi="Times New Roman" w:eastAsia="宋体" w:cs="Times New Roman"/>
          <w:i/>
          <w:iCs/>
          <w:caps w:val="0"/>
          <w:color w:val="222222"/>
          <w:spacing w:val="0"/>
          <w:sz w:val="24"/>
          <w:szCs w:val="24"/>
          <w:shd w:val="clear" w:fill="FFFFFF"/>
        </w:rPr>
        <w:t>Harvard business review</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81</w:t>
      </w:r>
      <w:r>
        <w:rPr>
          <w:rFonts w:hint="default" w:ascii="Times New Roman" w:hAnsi="Times New Roman" w:eastAsia="宋体" w:cs="Times New Roman"/>
          <w:i w:val="0"/>
          <w:iCs w:val="0"/>
          <w:caps w:val="0"/>
          <w:color w:val="222222"/>
          <w:spacing w:val="0"/>
          <w:sz w:val="24"/>
          <w:szCs w:val="24"/>
          <w:shd w:val="clear" w:fill="FFFFFF"/>
        </w:rPr>
        <w:t>(12), p.86.</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lang w:val="en-US"/>
        </w:rPr>
      </w:pPr>
      <w:r>
        <w:rPr>
          <w:rFonts w:hint="default" w:ascii="Times New Roman" w:hAnsi="Times New Roman" w:eastAsia="宋体" w:cs="Times New Roman"/>
          <w:i w:val="0"/>
          <w:iCs w:val="0"/>
          <w:caps w:val="0"/>
          <w:color w:val="222222"/>
          <w:spacing w:val="0"/>
          <w:sz w:val="24"/>
          <w:szCs w:val="24"/>
          <w:shd w:val="clear" w:fill="FFFFFF"/>
        </w:rPr>
        <w:t>Izberk-Bilgin, E. and Nakata, C.C., 2016. A new look at faith-based marketing: The global halal market. </w:t>
      </w:r>
      <w:r>
        <w:rPr>
          <w:rFonts w:hint="default" w:ascii="Times New Roman" w:hAnsi="Times New Roman" w:eastAsia="宋体" w:cs="Times New Roman"/>
          <w:i/>
          <w:iCs/>
          <w:caps w:val="0"/>
          <w:color w:val="222222"/>
          <w:spacing w:val="0"/>
          <w:sz w:val="24"/>
          <w:szCs w:val="24"/>
          <w:shd w:val="clear" w:fill="FFFFFF"/>
        </w:rPr>
        <w:t>Business horizons</w:t>
      </w:r>
      <w:r>
        <w:rPr>
          <w:rFonts w:hint="default" w:ascii="Times New Roman" w:hAnsi="Times New Roman" w:eastAsia="宋体" w:cs="Times New Roman"/>
          <w:i w:val="0"/>
          <w:iCs w:val="0"/>
          <w:caps w:val="0"/>
          <w:color w:val="222222"/>
          <w:spacing w:val="0"/>
          <w:sz w:val="24"/>
          <w:szCs w:val="24"/>
          <w:shd w:val="clear" w:fill="FFFFFF"/>
        </w:rPr>
        <w:t>, </w:t>
      </w:r>
      <w:r>
        <w:rPr>
          <w:rFonts w:hint="default" w:ascii="Times New Roman" w:hAnsi="Times New Roman" w:eastAsia="宋体" w:cs="Times New Roman"/>
          <w:i/>
          <w:iCs/>
          <w:caps w:val="0"/>
          <w:color w:val="222222"/>
          <w:spacing w:val="0"/>
          <w:sz w:val="24"/>
          <w:szCs w:val="24"/>
          <w:shd w:val="clear" w:fill="FFFFFF"/>
        </w:rPr>
        <w:t>59</w:t>
      </w:r>
      <w:r>
        <w:rPr>
          <w:rFonts w:hint="default" w:ascii="Times New Roman" w:hAnsi="Times New Roman" w:eastAsia="宋体" w:cs="Times New Roman"/>
          <w:i w:val="0"/>
          <w:iCs w:val="0"/>
          <w:caps w:val="0"/>
          <w:color w:val="222222"/>
          <w:spacing w:val="0"/>
          <w:sz w:val="24"/>
          <w:szCs w:val="24"/>
          <w:shd w:val="clear" w:fill="FFFFFF"/>
        </w:rPr>
        <w:t>(3), pp.285-292.</w:t>
      </w:r>
      <w:r>
        <w:rPr>
          <w:rFonts w:hint="default" w:ascii="Times New Roman" w:hAnsi="Times New Roman" w:eastAsia="宋体" w:cs="Times New Roman"/>
          <w:i w:val="0"/>
          <w:iCs w:val="0"/>
          <w:caps w:val="0"/>
          <w:color w:val="222222"/>
          <w:spacing w:val="0"/>
          <w:sz w:val="24"/>
          <w:szCs w:val="24"/>
          <w:shd w:val="clear" w:fill="FFFFFF"/>
          <w:lang w:val="en-US"/>
        </w:rPr>
        <w:t xml:space="preserve"> doi: https://doi.org/10.1016/j.bushor.2016.01.005</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rPr>
      </w:pPr>
      <w:r>
        <w:rPr>
          <w:rFonts w:hint="default" w:ascii="Times New Roman" w:hAnsi="Times New Roman" w:eastAsia="宋体" w:cs="Times New Roman"/>
          <w:i w:val="0"/>
          <w:iCs w:val="0"/>
          <w:caps w:val="0"/>
          <w:color w:val="222222"/>
          <w:spacing w:val="0"/>
          <w:sz w:val="24"/>
          <w:szCs w:val="24"/>
          <w:shd w:val="clear" w:fill="FFFFFF"/>
        </w:rPr>
        <w:t>Chaffey, D. and Smith, P.R., 2013. </w:t>
      </w:r>
      <w:r>
        <w:rPr>
          <w:rFonts w:hint="default" w:ascii="Times New Roman" w:hAnsi="Times New Roman" w:eastAsia="宋体" w:cs="Times New Roman"/>
          <w:i/>
          <w:iCs/>
          <w:caps w:val="0"/>
          <w:color w:val="222222"/>
          <w:spacing w:val="0"/>
          <w:sz w:val="24"/>
          <w:szCs w:val="24"/>
          <w:shd w:val="clear" w:fill="FFFFFF"/>
        </w:rPr>
        <w:t>eMarketing eXcellence: Planning and optimizing your digital marketing</w:t>
      </w:r>
      <w:r>
        <w:rPr>
          <w:rFonts w:hint="default" w:ascii="Times New Roman" w:hAnsi="Times New Roman" w:eastAsia="宋体" w:cs="Times New Roman"/>
          <w:i w:val="0"/>
          <w:iCs w:val="0"/>
          <w:caps w:val="0"/>
          <w:color w:val="222222"/>
          <w:spacing w:val="0"/>
          <w:sz w:val="24"/>
          <w:szCs w:val="24"/>
          <w:shd w:val="clear" w:fill="FFFFFF"/>
        </w:rPr>
        <w:t>. Routledge.</w:t>
      </w: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rPr>
      </w:pPr>
    </w:p>
    <w:p>
      <w:pPr>
        <w:keepNext w:val="0"/>
        <w:keepLines w:val="0"/>
        <w:pageBreakBefore w:val="0"/>
        <w:widowControl/>
        <w:kinsoku/>
        <w:wordWrap/>
        <w:overflowPunct/>
        <w:topLinePunct w:val="0"/>
        <w:autoSpaceDE/>
        <w:autoSpaceDN/>
        <w:bidi w:val="0"/>
        <w:adjustRightInd/>
        <w:snapToGrid/>
        <w:spacing w:before="541" w:beforeLines="150" w:after="541" w:afterLines="150" w:line="480" w:lineRule="auto"/>
        <w:textAlignment w:val="auto"/>
        <w:rPr>
          <w:rFonts w:hint="default" w:ascii="Times New Roman" w:hAnsi="Times New Roman" w:eastAsia="宋体" w:cs="Times New Roman"/>
          <w:i w:val="0"/>
          <w:iCs w:val="0"/>
          <w:caps w:val="0"/>
          <w:color w:val="222222"/>
          <w:spacing w:val="0"/>
          <w:sz w:val="24"/>
          <w:szCs w:val="24"/>
          <w:shd w:val="clear" w:fill="FFFFFF"/>
        </w:rPr>
      </w:pPr>
    </w:p>
    <w:p>
      <w:pPr>
        <w:pageBreakBefore w:val="0"/>
        <w:kinsoku/>
        <w:wordWrap/>
        <w:overflowPunct/>
        <w:topLinePunct w:val="0"/>
        <w:autoSpaceDE/>
        <w:autoSpaceDN/>
        <w:bidi w:val="0"/>
        <w:adjustRightInd/>
        <w:snapToGrid/>
        <w:spacing w:line="480" w:lineRule="auto"/>
        <w:textAlignment w:val="auto"/>
        <w:rPr>
          <w:rFonts w:hint="default" w:ascii="Times New Roman" w:hAnsi="Times New Roman" w:eastAsia="宋体" w:cs="Times New Roman"/>
          <w:i w:val="0"/>
          <w:iCs w:val="0"/>
          <w:caps w:val="0"/>
          <w:color w:val="222222"/>
          <w:spacing w:val="0"/>
          <w:sz w:val="24"/>
          <w:szCs w:val="24"/>
          <w:shd w:val="clear" w:fill="FFFFFF"/>
        </w:rPr>
      </w:pPr>
    </w:p>
    <w:p>
      <w:pPr>
        <w:spacing w:line="360" w:lineRule="auto"/>
        <w:rPr>
          <w:rFonts w:hint="default" w:ascii="Times New Roman" w:hAnsi="Times New Roman" w:eastAsia="宋体" w:cs="Times New Roman"/>
          <w:i w:val="0"/>
          <w:iCs w:val="0"/>
          <w:caps w:val="0"/>
          <w:color w:val="222222"/>
          <w:spacing w:val="0"/>
          <w:sz w:val="24"/>
          <w:szCs w:val="24"/>
          <w:shd w:val="clear" w:fill="FFFFFF"/>
        </w:rPr>
      </w:pPr>
    </w:p>
    <w:sectPr>
      <w:footerReference r:id="rId4" w:type="default"/>
      <w:pgSz w:w="11906" w:h="16838"/>
      <w:pgMar w:top="720" w:right="720" w:bottom="720" w:left="720" w:header="720" w:footer="720" w:gutter="0"/>
      <w:pgNumType w:fmt="decimal" w:start="1"/>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方正仿宋_GB2312">
    <w:panose1 w:val="02000000000000000000"/>
    <w:charset w:val="86"/>
    <w:family w:val="auto"/>
    <w:pitch w:val="default"/>
    <w:sig w:usb0="A00002BF" w:usb1="184F6CFA" w:usb2="00000012"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Text Box 2"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">
              <v:fill on="f" focussize="0,0"/>
              <v:stroke on="f" weight="0.5pt"/>
              <v:imagedata o:title=""/>
              <o:lock v:ext="edit" aspectratio="f"/>
              <v:textbox inset="0mm,0mm,0mm,0mm" style="mso-fit-shape-to-text:t;">
                <w:txbxContent>
                  <w:p>
                    <w:pPr>
                      <w:pStyle w:val="6"/>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7" name="Text Box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pPr>
                          <w:r>
                            <w:fldChar w:fldCharType="begin"/>
                          </w:r>
                          <w:r>
                            <w:instrText xml:space="preserve"> PAGE  \* MERGEFORMAT </w:instrText>
                          </w:r>
                          <w:r>
                            <w:fldChar w:fldCharType="separate"/>
                          </w:r>
                          <w:r>
                            <w:t>4</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Text Box 7"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">
              <v:fill on="f" focussize="0,0"/>
              <v:stroke on="f" weight="0.5pt"/>
              <v:imagedata o:title=""/>
              <o:lock v:ext="edit" aspectratio="f"/>
              <v:textbox inset="0mm,0mm,0mm,0mm" style="mso-fit-shape-to-text:t;">
                <w:txbxContent>
                  <w:p>
                    <w:pPr>
                      <w:pStyle w:val="6"/>
                    </w:pPr>
                    <w:r>
                      <w:fldChar w:fldCharType="begin"/>
                    </w:r>
                    <w:r>
                      <w:instrText xml:space="preserve"> PAGE  \* MERGEFORMAT </w:instrText>
                    </w:r>
                    <w:r>
                      <w:fldChar w:fldCharType="separate"/>
                    </w:r>
                    <w:r>
                      <w:t>4</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WMzY2I5MjYxNDdlZGUxYWUxYjg1MzhlOTU4ZTk0ZjkifQ=="/>
  </w:docVars>
  <w:rsids>
    <w:rsidRoot w:val="372C28C3"/>
    <w:rsid w:val="13844025"/>
    <w:rsid w:val="19395DC0"/>
    <w:rsid w:val="193B2EDF"/>
    <w:rsid w:val="1B9B10E1"/>
    <w:rsid w:val="1CAD5F1D"/>
    <w:rsid w:val="25B67BB0"/>
    <w:rsid w:val="25B774F0"/>
    <w:rsid w:val="28A520EA"/>
    <w:rsid w:val="2B6561B9"/>
    <w:rsid w:val="2D6033AA"/>
    <w:rsid w:val="2F9A40A4"/>
    <w:rsid w:val="372C28C3"/>
    <w:rsid w:val="37791268"/>
    <w:rsid w:val="3A4D7280"/>
    <w:rsid w:val="3B855CED"/>
    <w:rsid w:val="46EB3AC5"/>
    <w:rsid w:val="4CF42AD9"/>
    <w:rsid w:val="4EAB1ACC"/>
    <w:rsid w:val="5382519A"/>
    <w:rsid w:val="63FD59D8"/>
    <w:rsid w:val="664A52F9"/>
    <w:rsid w:val="67D740EA"/>
    <w:rsid w:val="6D045990"/>
    <w:rsid w:val="7C542BFB"/>
    <w:rsid w:val="7EFC538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iPriority="0" w:semiHidden="0" w:name="heading 3"/>
    <w:lsdException w:qFormat="1" w:unhideWhenUsed="0"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basedOn w:val="1"/>
    <w:next w:val="1"/>
    <w:qFormat/>
    <w:uiPriority w:val="0"/>
    <w:pPr>
      <w:keepNext/>
      <w:keepLines/>
      <w:spacing w:before="340" w:after="330" w:line="360" w:lineRule="auto"/>
      <w:outlineLvl w:val="0"/>
    </w:pPr>
    <w:rPr>
      <w:rFonts w:ascii="Times New Roman" w:hAnsi="Times New Roman"/>
      <w:bCs/>
      <w:kern w:val="44"/>
      <w:sz w:val="28"/>
      <w:szCs w:val="44"/>
    </w:rPr>
  </w:style>
  <w:style w:type="paragraph" w:styleId="3">
    <w:name w:val="heading 2"/>
    <w:basedOn w:val="1"/>
    <w:next w:val="1"/>
    <w:qFormat/>
    <w:uiPriority w:val="0"/>
    <w:pPr>
      <w:keepNext/>
      <w:keepLines/>
      <w:spacing w:before="260" w:after="260" w:line="360" w:lineRule="auto"/>
      <w:outlineLvl w:val="1"/>
    </w:pPr>
    <w:rPr>
      <w:rFonts w:ascii="Times New Roman" w:hAnsi="Times New Roman"/>
      <w:bCs/>
      <w:sz w:val="24"/>
      <w:szCs w:val="32"/>
    </w:rPr>
  </w:style>
  <w:style w:type="paragraph" w:styleId="4">
    <w:name w:val="heading 3"/>
    <w:basedOn w:val="1"/>
    <w:next w:val="1"/>
    <w:unhideWhenUsed/>
    <w:qFormat/>
    <w:uiPriority w:val="0"/>
    <w:pPr>
      <w:keepNext/>
      <w:keepLines/>
      <w:spacing w:before="260" w:after="260" w:line="416" w:lineRule="auto"/>
      <w:outlineLvl w:val="2"/>
    </w:pPr>
    <w:rPr>
      <w:rFonts w:ascii="Times New Roman" w:hAnsi="Times New Roman"/>
      <w:b/>
      <w:bCs/>
      <w:sz w:val="24"/>
      <w:szCs w:val="32"/>
    </w:rPr>
  </w:style>
  <w:style w:type="character" w:default="1" w:styleId="12">
    <w:name w:val="Default Paragraph Font"/>
    <w:semiHidden/>
    <w:qFormat/>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5">
    <w:name w:val="toc 3"/>
    <w:basedOn w:val="1"/>
    <w:next w:val="1"/>
    <w:qFormat/>
    <w:uiPriority w:val="0"/>
    <w:pPr>
      <w:ind w:left="840" w:leftChars="400"/>
    </w:pPr>
  </w:style>
  <w:style w:type="paragraph" w:styleId="6">
    <w:name w:val="footer"/>
    <w:basedOn w:val="1"/>
    <w:qFormat/>
    <w:uiPriority w:val="0"/>
    <w:pPr>
      <w:tabs>
        <w:tab w:val="center" w:pos="4153"/>
        <w:tab w:val="right" w:pos="8306"/>
      </w:tabs>
      <w:snapToGrid w:val="0"/>
      <w:jc w:val="left"/>
    </w:pPr>
    <w:rPr>
      <w:sz w:val="18"/>
      <w:szCs w:val="18"/>
    </w:rPr>
  </w:style>
  <w:style w:type="paragraph" w:styleId="7">
    <w:name w:val="header"/>
    <w:basedOn w:val="1"/>
    <w:qFormat/>
    <w:uiPriority w:val="0"/>
    <w:pPr>
      <w:tabs>
        <w:tab w:val="center" w:pos="4153"/>
        <w:tab w:val="right" w:pos="8306"/>
      </w:tabs>
      <w:snapToGrid w:val="0"/>
    </w:pPr>
    <w:rPr>
      <w:sz w:val="18"/>
      <w:szCs w:val="18"/>
    </w:rPr>
  </w:style>
  <w:style w:type="paragraph" w:styleId="8">
    <w:name w:val="toc 1"/>
    <w:basedOn w:val="1"/>
    <w:next w:val="1"/>
    <w:qFormat/>
    <w:uiPriority w:val="0"/>
  </w:style>
  <w:style w:type="paragraph" w:styleId="9">
    <w:name w:val="toc 2"/>
    <w:basedOn w:val="1"/>
    <w:next w:val="1"/>
    <w:qFormat/>
    <w:uiPriority w:val="0"/>
    <w:pPr>
      <w:ind w:left="420" w:leftChars="200"/>
    </w:pPr>
  </w:style>
  <w:style w:type="table" w:styleId="11">
    <w:name w:val="Table Grid"/>
    <w:basedOn w:val="10"/>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3">
    <w:name w:val="Hyperlink"/>
    <w:basedOn w:val="12"/>
    <w:qFormat/>
    <w:uiPriority w:val="0"/>
    <w:rPr>
      <w:color w:val="0000FF"/>
      <w:u w:val="single"/>
    </w:rPr>
  </w:style>
  <w:style w:type="paragraph" w:customStyle="1" w:styleId="14">
    <w:name w:val="WPSOffice手动目录 2"/>
    <w:uiPriority w:val="0"/>
    <w:pPr>
      <w:ind w:leftChars="200"/>
    </w:pPr>
    <w:rPr>
      <w:rFonts w:ascii="Times New Roman" w:hAnsi="Times New Roman" w:eastAsia="宋体" w:cs="Times New Roman"/>
      <w:sz w:val="20"/>
      <w:szCs w:val="20"/>
    </w:rPr>
  </w:style>
  <w:style w:type="paragraph" w:customStyle="1" w:styleId="15">
    <w:name w:val="WPSOffice手动目录 1"/>
    <w:qFormat/>
    <w:uiPriority w:val="0"/>
    <w:pPr>
      <w:ind w:leftChars="0"/>
    </w:pPr>
    <w:rPr>
      <w:rFonts w:ascii="Times New Roman" w:hAnsi="Times New Roman" w:eastAsia="宋体" w:cs="Times New Roman"/>
      <w:sz w:val="20"/>
      <w:szCs w:val="20"/>
    </w:rPr>
  </w:style>
  <w:style w:type="paragraph" w:customStyle="1" w:styleId="16">
    <w:name w:val="WPSOffice手动目录 3"/>
    <w:qFormat/>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2.jpe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7</TotalTime>
  <ScaleCrop>false</ScaleCrop>
  <LinksUpToDate>false</LinksUpToDate>
  <CharactersWithSpaces>0</CharactersWithSpaces>
  <Application>WPS Office_12.1.0.15120_F1E327BC-269C-435d-A152-05C5408002CA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2023-07-12T03:03:00Z</dcterms:created>
  <dc:creator>asus</dc:creator>
  <cp:lastModifiedBy>007</cp:lastModifiedBy>
  <dcterms:modified xsi:type="dcterms:W3CDTF">2023-07-20T03:15:29Z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2052-12.1.0.15120</vt:lpwstr>
  </property>
  <property fmtid="{D5CDD505-2E9C-101B-9397-08002B2CF9AE}" pid="3" name="ICV">
    <vt:lpwstr>6F2F69EAC6064832AF9758294B87A1E6_13</vt:lpwstr>
  </property>
</Properties>
</file>