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8E17D7" w14:textId="61CAD928" w:rsidR="0040533C" w:rsidRDefault="00AE2FF0">
      <w:r>
        <w:rPr>
          <w:noProof/>
        </w:rPr>
        <w:drawing>
          <wp:inline distT="0" distB="0" distL="0" distR="0" wp14:anchorId="3DF9AE32" wp14:editId="2E9C85C3">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949E665" w14:textId="77777777" w:rsidR="00AE2FF0" w:rsidRDefault="00AE2FF0" w:rsidP="00AE2FF0"/>
    <w:p w14:paraId="24A14BFF" w14:textId="77777777" w:rsidR="00025EA1" w:rsidRDefault="00025EA1" w:rsidP="00E80C12">
      <w:pPr>
        <w:jc w:val="center"/>
        <w:rPr>
          <w:sz w:val="48"/>
          <w:szCs w:val="48"/>
        </w:rPr>
      </w:pPr>
    </w:p>
    <w:p w14:paraId="590F7B08" w14:textId="77777777" w:rsidR="00025EA1" w:rsidRDefault="00025EA1" w:rsidP="00E80C12">
      <w:pPr>
        <w:jc w:val="center"/>
        <w:rPr>
          <w:sz w:val="48"/>
          <w:szCs w:val="48"/>
        </w:rPr>
      </w:pPr>
    </w:p>
    <w:p w14:paraId="6EC08C39" w14:textId="5AED34CD" w:rsidR="00226AE1" w:rsidRPr="00E80C12" w:rsidRDefault="00226AE1" w:rsidP="00E80C12">
      <w:pPr>
        <w:jc w:val="center"/>
        <w:rPr>
          <w:sz w:val="48"/>
          <w:szCs w:val="48"/>
        </w:rPr>
      </w:pPr>
      <w:r w:rsidRPr="00E80C12">
        <w:rPr>
          <w:sz w:val="48"/>
          <w:szCs w:val="48"/>
        </w:rPr>
        <w:t xml:space="preserve">Assessment </w:t>
      </w:r>
      <w:r w:rsidR="00E80C12" w:rsidRPr="00E80C12">
        <w:rPr>
          <w:sz w:val="48"/>
          <w:szCs w:val="48"/>
        </w:rPr>
        <w:t>component- Individual report</w:t>
      </w:r>
    </w:p>
    <w:p w14:paraId="31E3EE9B" w14:textId="77777777" w:rsidR="00226AE1" w:rsidRDefault="00226AE1" w:rsidP="00AE2FF0"/>
    <w:p w14:paraId="5281D723" w14:textId="77777777" w:rsidR="00226AE1" w:rsidRDefault="00226AE1" w:rsidP="00AE2FF0"/>
    <w:p w14:paraId="2E50507B" w14:textId="77777777" w:rsidR="00226AE1" w:rsidRDefault="00226AE1" w:rsidP="00AE2FF0"/>
    <w:p w14:paraId="71A0661C" w14:textId="77777777" w:rsidR="00226AE1" w:rsidRPr="00AE2FF0" w:rsidRDefault="00226AE1" w:rsidP="00AE2FF0"/>
    <w:p w14:paraId="6BAEEB90" w14:textId="77777777" w:rsidR="00AE2FF0" w:rsidRPr="00AE2FF0" w:rsidRDefault="00AE2FF0" w:rsidP="00AE2FF0"/>
    <w:p w14:paraId="0433FB0F" w14:textId="59331DF4" w:rsidR="00746BD9" w:rsidRDefault="00746BD9"/>
    <w:p w14:paraId="5267CAF6" w14:textId="77777777" w:rsidR="00E80C12" w:rsidRDefault="00E80C12"/>
    <w:p w14:paraId="66837CB5" w14:textId="77777777" w:rsidR="00E80C12" w:rsidRDefault="00E80C12"/>
    <w:p w14:paraId="00F36A02" w14:textId="77777777" w:rsidR="00E80C12" w:rsidRDefault="00E80C12"/>
    <w:p w14:paraId="66BADBBC" w14:textId="77777777" w:rsidR="00E80C12" w:rsidRDefault="00E80C12"/>
    <w:p w14:paraId="1910F9A0" w14:textId="15367F35" w:rsidR="00746BD9" w:rsidRDefault="006B4055">
      <w:r>
        <w:t xml:space="preserve">Module </w:t>
      </w:r>
      <w:r w:rsidR="00226AE1">
        <w:t>code and title: LCMB7003 Strategic Management</w:t>
      </w:r>
    </w:p>
    <w:p w14:paraId="149F1AB2" w14:textId="634C436A" w:rsidR="00E80C12" w:rsidRDefault="00E80C12">
      <w:r>
        <w:t xml:space="preserve">Lecturer name: </w:t>
      </w:r>
      <w:r w:rsidR="00B81DC1">
        <w:t xml:space="preserve">Ejike </w:t>
      </w:r>
      <w:proofErr w:type="spellStart"/>
      <w:r w:rsidR="00B81DC1">
        <w:t>Udeogu</w:t>
      </w:r>
      <w:proofErr w:type="spellEnd"/>
    </w:p>
    <w:p w14:paraId="6A38727B" w14:textId="25742744" w:rsidR="00746BD9" w:rsidRDefault="001B7985">
      <w:r>
        <w:t xml:space="preserve">Student Name: </w:t>
      </w:r>
      <w:r w:rsidR="00B81DC1">
        <w:t>Diana Olimpia Mekker</w:t>
      </w:r>
    </w:p>
    <w:p w14:paraId="7DF8C4B4" w14:textId="0E125D1E" w:rsidR="00746BD9" w:rsidRDefault="001B7985">
      <w:r>
        <w:t>Student ID:</w:t>
      </w:r>
      <w:r w:rsidR="00B81DC1">
        <w:t xml:space="preserve"> 2122278</w:t>
      </w:r>
    </w:p>
    <w:sdt>
      <w:sdtPr>
        <w:rPr>
          <w:rFonts w:ascii="Times New Roman" w:eastAsiaTheme="minorHAnsi" w:hAnsi="Times New Roman" w:cstheme="minorBidi"/>
          <w:color w:val="auto"/>
          <w:sz w:val="24"/>
          <w:szCs w:val="22"/>
        </w:rPr>
        <w:id w:val="1265952637"/>
        <w:docPartObj>
          <w:docPartGallery w:val="Table of Contents"/>
          <w:docPartUnique/>
        </w:docPartObj>
      </w:sdtPr>
      <w:sdtEndPr>
        <w:rPr>
          <w:b/>
          <w:bCs/>
          <w:noProof/>
        </w:rPr>
      </w:sdtEndPr>
      <w:sdtContent>
        <w:p w14:paraId="6ACF2747" w14:textId="0F0E48DB" w:rsidR="00746BD9" w:rsidRDefault="00746BD9">
          <w:pPr>
            <w:pStyle w:val="TOCHeading"/>
          </w:pPr>
          <w:r>
            <w:t>Table of Contents</w:t>
          </w:r>
        </w:p>
        <w:p w14:paraId="1B96F939" w14:textId="3BCD572A" w:rsidR="00687968" w:rsidRDefault="00746BD9">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31772960" w:history="1">
            <w:r w:rsidR="00687968" w:rsidRPr="00B10313">
              <w:rPr>
                <w:rStyle w:val="Hyperlink"/>
                <w:noProof/>
              </w:rPr>
              <w:t>Section 1: Strategic Analysis</w:t>
            </w:r>
            <w:r w:rsidR="00687968">
              <w:rPr>
                <w:noProof/>
                <w:webHidden/>
              </w:rPr>
              <w:tab/>
            </w:r>
            <w:r w:rsidR="00687968">
              <w:rPr>
                <w:noProof/>
                <w:webHidden/>
              </w:rPr>
              <w:fldChar w:fldCharType="begin"/>
            </w:r>
            <w:r w:rsidR="00687968">
              <w:rPr>
                <w:noProof/>
                <w:webHidden/>
              </w:rPr>
              <w:instrText xml:space="preserve"> PAGEREF _Toc231772960 \h </w:instrText>
            </w:r>
            <w:r w:rsidR="00687968">
              <w:rPr>
                <w:noProof/>
                <w:webHidden/>
              </w:rPr>
            </w:r>
            <w:r w:rsidR="00687968">
              <w:rPr>
                <w:noProof/>
                <w:webHidden/>
              </w:rPr>
              <w:fldChar w:fldCharType="separate"/>
            </w:r>
            <w:r w:rsidR="002943E7">
              <w:rPr>
                <w:noProof/>
                <w:webHidden/>
              </w:rPr>
              <w:t>1</w:t>
            </w:r>
            <w:r w:rsidR="00687968">
              <w:rPr>
                <w:noProof/>
                <w:webHidden/>
              </w:rPr>
              <w:fldChar w:fldCharType="end"/>
            </w:r>
          </w:hyperlink>
        </w:p>
        <w:p w14:paraId="09E3C911" w14:textId="1304385F" w:rsidR="00687968" w:rsidRDefault="00687968">
          <w:pPr>
            <w:pStyle w:val="TOC2"/>
            <w:tabs>
              <w:tab w:val="right" w:leader="dot" w:pos="9350"/>
            </w:tabs>
            <w:rPr>
              <w:rFonts w:asciiTheme="minorHAnsi" w:eastAsiaTheme="minorEastAsia" w:hAnsiTheme="minorHAnsi"/>
              <w:noProof/>
              <w:kern w:val="2"/>
              <w:szCs w:val="24"/>
              <w14:ligatures w14:val="standardContextual"/>
            </w:rPr>
          </w:pPr>
          <w:hyperlink w:anchor="_Toc231772961" w:history="1">
            <w:r w:rsidRPr="00B10313">
              <w:rPr>
                <w:rStyle w:val="Hyperlink"/>
                <w:noProof/>
              </w:rPr>
              <w:t>Organisational Context and Overview</w:t>
            </w:r>
            <w:r>
              <w:rPr>
                <w:noProof/>
                <w:webHidden/>
              </w:rPr>
              <w:tab/>
            </w:r>
            <w:r>
              <w:rPr>
                <w:noProof/>
                <w:webHidden/>
              </w:rPr>
              <w:fldChar w:fldCharType="begin"/>
            </w:r>
            <w:r>
              <w:rPr>
                <w:noProof/>
                <w:webHidden/>
              </w:rPr>
              <w:instrText xml:space="preserve"> PAGEREF _Toc231772961 \h </w:instrText>
            </w:r>
            <w:r>
              <w:rPr>
                <w:noProof/>
                <w:webHidden/>
              </w:rPr>
            </w:r>
            <w:r>
              <w:rPr>
                <w:noProof/>
                <w:webHidden/>
              </w:rPr>
              <w:fldChar w:fldCharType="separate"/>
            </w:r>
            <w:r w:rsidR="002943E7">
              <w:rPr>
                <w:noProof/>
                <w:webHidden/>
              </w:rPr>
              <w:t>1</w:t>
            </w:r>
            <w:r>
              <w:rPr>
                <w:noProof/>
                <w:webHidden/>
              </w:rPr>
              <w:fldChar w:fldCharType="end"/>
            </w:r>
          </w:hyperlink>
        </w:p>
        <w:p w14:paraId="02A53DFD" w14:textId="6BF6E4C6" w:rsidR="00687968" w:rsidRDefault="00687968">
          <w:pPr>
            <w:pStyle w:val="TOC2"/>
            <w:tabs>
              <w:tab w:val="right" w:leader="dot" w:pos="9350"/>
            </w:tabs>
            <w:rPr>
              <w:rFonts w:asciiTheme="minorHAnsi" w:eastAsiaTheme="minorEastAsia" w:hAnsiTheme="minorHAnsi"/>
              <w:noProof/>
              <w:kern w:val="2"/>
              <w:szCs w:val="24"/>
              <w14:ligatures w14:val="standardContextual"/>
            </w:rPr>
          </w:pPr>
          <w:hyperlink w:anchor="_Toc231772962" w:history="1">
            <w:r w:rsidRPr="00B10313">
              <w:rPr>
                <w:rStyle w:val="Hyperlink"/>
                <w:noProof/>
              </w:rPr>
              <w:t>Industry, Key Competitors and Market Position</w:t>
            </w:r>
            <w:r>
              <w:rPr>
                <w:noProof/>
                <w:webHidden/>
              </w:rPr>
              <w:tab/>
            </w:r>
            <w:r>
              <w:rPr>
                <w:noProof/>
                <w:webHidden/>
              </w:rPr>
              <w:fldChar w:fldCharType="begin"/>
            </w:r>
            <w:r>
              <w:rPr>
                <w:noProof/>
                <w:webHidden/>
              </w:rPr>
              <w:instrText xml:space="preserve"> PAGEREF _Toc231772962 \h </w:instrText>
            </w:r>
            <w:r>
              <w:rPr>
                <w:noProof/>
                <w:webHidden/>
              </w:rPr>
            </w:r>
            <w:r>
              <w:rPr>
                <w:noProof/>
                <w:webHidden/>
              </w:rPr>
              <w:fldChar w:fldCharType="separate"/>
            </w:r>
            <w:r w:rsidR="002943E7">
              <w:rPr>
                <w:noProof/>
                <w:webHidden/>
              </w:rPr>
              <w:t>2</w:t>
            </w:r>
            <w:r>
              <w:rPr>
                <w:noProof/>
                <w:webHidden/>
              </w:rPr>
              <w:fldChar w:fldCharType="end"/>
            </w:r>
          </w:hyperlink>
        </w:p>
        <w:p w14:paraId="1847B7DA" w14:textId="4C7FC2D7" w:rsidR="00687968" w:rsidRDefault="00687968">
          <w:pPr>
            <w:pStyle w:val="TOC2"/>
            <w:tabs>
              <w:tab w:val="right" w:leader="dot" w:pos="9350"/>
            </w:tabs>
            <w:rPr>
              <w:rFonts w:asciiTheme="minorHAnsi" w:eastAsiaTheme="minorEastAsia" w:hAnsiTheme="minorHAnsi"/>
              <w:noProof/>
              <w:kern w:val="2"/>
              <w:szCs w:val="24"/>
              <w14:ligatures w14:val="standardContextual"/>
            </w:rPr>
          </w:pPr>
          <w:hyperlink w:anchor="_Toc231772963" w:history="1">
            <w:r w:rsidRPr="00B10313">
              <w:rPr>
                <w:rStyle w:val="Hyperlink"/>
                <w:noProof/>
              </w:rPr>
              <w:t>External and Internal Analysis</w:t>
            </w:r>
            <w:r>
              <w:rPr>
                <w:noProof/>
                <w:webHidden/>
              </w:rPr>
              <w:tab/>
            </w:r>
            <w:r>
              <w:rPr>
                <w:noProof/>
                <w:webHidden/>
              </w:rPr>
              <w:fldChar w:fldCharType="begin"/>
            </w:r>
            <w:r>
              <w:rPr>
                <w:noProof/>
                <w:webHidden/>
              </w:rPr>
              <w:instrText xml:space="preserve"> PAGEREF _Toc231772963 \h </w:instrText>
            </w:r>
            <w:r>
              <w:rPr>
                <w:noProof/>
                <w:webHidden/>
              </w:rPr>
            </w:r>
            <w:r>
              <w:rPr>
                <w:noProof/>
                <w:webHidden/>
              </w:rPr>
              <w:fldChar w:fldCharType="separate"/>
            </w:r>
            <w:r w:rsidR="002943E7">
              <w:rPr>
                <w:noProof/>
                <w:webHidden/>
              </w:rPr>
              <w:t>3</w:t>
            </w:r>
            <w:r>
              <w:rPr>
                <w:noProof/>
                <w:webHidden/>
              </w:rPr>
              <w:fldChar w:fldCharType="end"/>
            </w:r>
          </w:hyperlink>
        </w:p>
        <w:p w14:paraId="1264EEBB" w14:textId="35CAF295" w:rsidR="00687968" w:rsidRDefault="00687968">
          <w:pPr>
            <w:pStyle w:val="TOC3"/>
            <w:tabs>
              <w:tab w:val="right" w:leader="dot" w:pos="9350"/>
            </w:tabs>
            <w:rPr>
              <w:rFonts w:asciiTheme="minorHAnsi" w:eastAsiaTheme="minorEastAsia" w:hAnsiTheme="minorHAnsi"/>
              <w:noProof/>
              <w:kern w:val="2"/>
              <w:szCs w:val="24"/>
              <w14:ligatures w14:val="standardContextual"/>
            </w:rPr>
          </w:pPr>
          <w:hyperlink w:anchor="_Toc231772964" w:history="1">
            <w:r w:rsidRPr="00B10313">
              <w:rPr>
                <w:rStyle w:val="Hyperlink"/>
                <w:noProof/>
              </w:rPr>
              <w:t>PESTEL Analysis</w:t>
            </w:r>
            <w:r>
              <w:rPr>
                <w:noProof/>
                <w:webHidden/>
              </w:rPr>
              <w:tab/>
            </w:r>
            <w:r>
              <w:rPr>
                <w:noProof/>
                <w:webHidden/>
              </w:rPr>
              <w:fldChar w:fldCharType="begin"/>
            </w:r>
            <w:r>
              <w:rPr>
                <w:noProof/>
                <w:webHidden/>
              </w:rPr>
              <w:instrText xml:space="preserve"> PAGEREF _Toc231772964 \h </w:instrText>
            </w:r>
            <w:r>
              <w:rPr>
                <w:noProof/>
                <w:webHidden/>
              </w:rPr>
            </w:r>
            <w:r>
              <w:rPr>
                <w:noProof/>
                <w:webHidden/>
              </w:rPr>
              <w:fldChar w:fldCharType="separate"/>
            </w:r>
            <w:r w:rsidR="002943E7">
              <w:rPr>
                <w:noProof/>
                <w:webHidden/>
              </w:rPr>
              <w:t>3</w:t>
            </w:r>
            <w:r>
              <w:rPr>
                <w:noProof/>
                <w:webHidden/>
              </w:rPr>
              <w:fldChar w:fldCharType="end"/>
            </w:r>
          </w:hyperlink>
        </w:p>
        <w:p w14:paraId="45273FD2" w14:textId="1EE746F9" w:rsidR="00687968" w:rsidRDefault="00687968">
          <w:pPr>
            <w:pStyle w:val="TOC3"/>
            <w:tabs>
              <w:tab w:val="right" w:leader="dot" w:pos="9350"/>
            </w:tabs>
            <w:rPr>
              <w:rFonts w:asciiTheme="minorHAnsi" w:eastAsiaTheme="minorEastAsia" w:hAnsiTheme="minorHAnsi"/>
              <w:noProof/>
              <w:kern w:val="2"/>
              <w:szCs w:val="24"/>
              <w14:ligatures w14:val="standardContextual"/>
            </w:rPr>
          </w:pPr>
          <w:hyperlink w:anchor="_Toc231772965" w:history="1">
            <w:r w:rsidRPr="00B10313">
              <w:rPr>
                <w:rStyle w:val="Hyperlink"/>
                <w:noProof/>
              </w:rPr>
              <w:t>VRIO Analysis</w:t>
            </w:r>
            <w:r>
              <w:rPr>
                <w:noProof/>
                <w:webHidden/>
              </w:rPr>
              <w:tab/>
            </w:r>
            <w:r>
              <w:rPr>
                <w:noProof/>
                <w:webHidden/>
              </w:rPr>
              <w:fldChar w:fldCharType="begin"/>
            </w:r>
            <w:r>
              <w:rPr>
                <w:noProof/>
                <w:webHidden/>
              </w:rPr>
              <w:instrText xml:space="preserve"> PAGEREF _Toc231772965 \h </w:instrText>
            </w:r>
            <w:r>
              <w:rPr>
                <w:noProof/>
                <w:webHidden/>
              </w:rPr>
            </w:r>
            <w:r>
              <w:rPr>
                <w:noProof/>
                <w:webHidden/>
              </w:rPr>
              <w:fldChar w:fldCharType="separate"/>
            </w:r>
            <w:r w:rsidR="002943E7">
              <w:rPr>
                <w:noProof/>
                <w:webHidden/>
              </w:rPr>
              <w:t>5</w:t>
            </w:r>
            <w:r>
              <w:rPr>
                <w:noProof/>
                <w:webHidden/>
              </w:rPr>
              <w:fldChar w:fldCharType="end"/>
            </w:r>
          </w:hyperlink>
        </w:p>
        <w:p w14:paraId="0DC8247F" w14:textId="247B8971" w:rsidR="00687968" w:rsidRDefault="00687968">
          <w:pPr>
            <w:pStyle w:val="TOC3"/>
            <w:tabs>
              <w:tab w:val="right" w:leader="dot" w:pos="9350"/>
            </w:tabs>
            <w:rPr>
              <w:rFonts w:asciiTheme="minorHAnsi" w:eastAsiaTheme="minorEastAsia" w:hAnsiTheme="minorHAnsi"/>
              <w:noProof/>
              <w:kern w:val="2"/>
              <w:szCs w:val="24"/>
              <w14:ligatures w14:val="standardContextual"/>
            </w:rPr>
          </w:pPr>
          <w:hyperlink w:anchor="_Toc231772966" w:history="1">
            <w:r w:rsidRPr="00B10313">
              <w:rPr>
                <w:rStyle w:val="Hyperlink"/>
                <w:noProof/>
              </w:rPr>
              <w:t>SWOT Analysis</w:t>
            </w:r>
            <w:r>
              <w:rPr>
                <w:noProof/>
                <w:webHidden/>
              </w:rPr>
              <w:tab/>
            </w:r>
            <w:r>
              <w:rPr>
                <w:noProof/>
                <w:webHidden/>
              </w:rPr>
              <w:fldChar w:fldCharType="begin"/>
            </w:r>
            <w:r>
              <w:rPr>
                <w:noProof/>
                <w:webHidden/>
              </w:rPr>
              <w:instrText xml:space="preserve"> PAGEREF _Toc231772966 \h </w:instrText>
            </w:r>
            <w:r>
              <w:rPr>
                <w:noProof/>
                <w:webHidden/>
              </w:rPr>
            </w:r>
            <w:r>
              <w:rPr>
                <w:noProof/>
                <w:webHidden/>
              </w:rPr>
              <w:fldChar w:fldCharType="separate"/>
            </w:r>
            <w:r w:rsidR="002943E7">
              <w:rPr>
                <w:noProof/>
                <w:webHidden/>
              </w:rPr>
              <w:t>8</w:t>
            </w:r>
            <w:r>
              <w:rPr>
                <w:noProof/>
                <w:webHidden/>
              </w:rPr>
              <w:fldChar w:fldCharType="end"/>
            </w:r>
          </w:hyperlink>
        </w:p>
        <w:p w14:paraId="522CE15F" w14:textId="7395045A" w:rsidR="00687968" w:rsidRDefault="00687968">
          <w:pPr>
            <w:pStyle w:val="TOC2"/>
            <w:tabs>
              <w:tab w:val="right" w:leader="dot" w:pos="9350"/>
            </w:tabs>
            <w:rPr>
              <w:rFonts w:asciiTheme="minorHAnsi" w:eastAsiaTheme="minorEastAsia" w:hAnsiTheme="minorHAnsi"/>
              <w:noProof/>
              <w:kern w:val="2"/>
              <w:szCs w:val="24"/>
              <w14:ligatures w14:val="standardContextual"/>
            </w:rPr>
          </w:pPr>
          <w:hyperlink w:anchor="_Toc231772967" w:history="1">
            <w:r w:rsidRPr="00B10313">
              <w:rPr>
                <w:rStyle w:val="Hyperlink"/>
                <w:noProof/>
              </w:rPr>
              <w:t>Comprehensive and Holistic View of the Organisation</w:t>
            </w:r>
            <w:r>
              <w:rPr>
                <w:noProof/>
                <w:webHidden/>
              </w:rPr>
              <w:tab/>
            </w:r>
            <w:r>
              <w:rPr>
                <w:noProof/>
                <w:webHidden/>
              </w:rPr>
              <w:fldChar w:fldCharType="begin"/>
            </w:r>
            <w:r>
              <w:rPr>
                <w:noProof/>
                <w:webHidden/>
              </w:rPr>
              <w:instrText xml:space="preserve"> PAGEREF _Toc231772967 \h </w:instrText>
            </w:r>
            <w:r>
              <w:rPr>
                <w:noProof/>
                <w:webHidden/>
              </w:rPr>
            </w:r>
            <w:r>
              <w:rPr>
                <w:noProof/>
                <w:webHidden/>
              </w:rPr>
              <w:fldChar w:fldCharType="separate"/>
            </w:r>
            <w:r w:rsidR="002943E7">
              <w:rPr>
                <w:noProof/>
                <w:webHidden/>
              </w:rPr>
              <w:t>10</w:t>
            </w:r>
            <w:r>
              <w:rPr>
                <w:noProof/>
                <w:webHidden/>
              </w:rPr>
              <w:fldChar w:fldCharType="end"/>
            </w:r>
          </w:hyperlink>
        </w:p>
        <w:p w14:paraId="1ECECD0F" w14:textId="177BD3B5" w:rsidR="00687968" w:rsidRDefault="00687968">
          <w:pPr>
            <w:pStyle w:val="TOC3"/>
            <w:tabs>
              <w:tab w:val="right" w:leader="dot" w:pos="9350"/>
            </w:tabs>
            <w:rPr>
              <w:rFonts w:asciiTheme="minorHAnsi" w:eastAsiaTheme="minorEastAsia" w:hAnsiTheme="minorHAnsi"/>
              <w:noProof/>
              <w:kern w:val="2"/>
              <w:szCs w:val="24"/>
              <w14:ligatures w14:val="standardContextual"/>
            </w:rPr>
          </w:pPr>
          <w:hyperlink w:anchor="_Toc231772968" w:history="1">
            <w:r w:rsidRPr="00B10313">
              <w:rPr>
                <w:rStyle w:val="Hyperlink"/>
                <w:noProof/>
              </w:rPr>
              <w:t>Corporate Social Responsibility</w:t>
            </w:r>
            <w:r>
              <w:rPr>
                <w:noProof/>
                <w:webHidden/>
              </w:rPr>
              <w:tab/>
            </w:r>
            <w:r>
              <w:rPr>
                <w:noProof/>
                <w:webHidden/>
              </w:rPr>
              <w:fldChar w:fldCharType="begin"/>
            </w:r>
            <w:r>
              <w:rPr>
                <w:noProof/>
                <w:webHidden/>
              </w:rPr>
              <w:instrText xml:space="preserve"> PAGEREF _Toc231772968 \h </w:instrText>
            </w:r>
            <w:r>
              <w:rPr>
                <w:noProof/>
                <w:webHidden/>
              </w:rPr>
            </w:r>
            <w:r>
              <w:rPr>
                <w:noProof/>
                <w:webHidden/>
              </w:rPr>
              <w:fldChar w:fldCharType="separate"/>
            </w:r>
            <w:r w:rsidR="002943E7">
              <w:rPr>
                <w:noProof/>
                <w:webHidden/>
              </w:rPr>
              <w:t>10</w:t>
            </w:r>
            <w:r>
              <w:rPr>
                <w:noProof/>
                <w:webHidden/>
              </w:rPr>
              <w:fldChar w:fldCharType="end"/>
            </w:r>
          </w:hyperlink>
        </w:p>
        <w:p w14:paraId="7E9D803A" w14:textId="5A62450B" w:rsidR="00687968" w:rsidRDefault="00687968">
          <w:pPr>
            <w:pStyle w:val="TOC3"/>
            <w:tabs>
              <w:tab w:val="right" w:leader="dot" w:pos="9350"/>
            </w:tabs>
            <w:rPr>
              <w:rFonts w:asciiTheme="minorHAnsi" w:eastAsiaTheme="minorEastAsia" w:hAnsiTheme="minorHAnsi"/>
              <w:noProof/>
              <w:kern w:val="2"/>
              <w:szCs w:val="24"/>
              <w14:ligatures w14:val="standardContextual"/>
            </w:rPr>
          </w:pPr>
          <w:hyperlink w:anchor="_Toc231772969" w:history="1">
            <w:r w:rsidRPr="00B10313">
              <w:rPr>
                <w:rStyle w:val="Hyperlink"/>
                <w:noProof/>
              </w:rPr>
              <w:t>Balanced Scorecard</w:t>
            </w:r>
            <w:r>
              <w:rPr>
                <w:noProof/>
                <w:webHidden/>
              </w:rPr>
              <w:tab/>
            </w:r>
            <w:r>
              <w:rPr>
                <w:noProof/>
                <w:webHidden/>
              </w:rPr>
              <w:fldChar w:fldCharType="begin"/>
            </w:r>
            <w:r>
              <w:rPr>
                <w:noProof/>
                <w:webHidden/>
              </w:rPr>
              <w:instrText xml:space="preserve"> PAGEREF _Toc231772969 \h </w:instrText>
            </w:r>
            <w:r>
              <w:rPr>
                <w:noProof/>
                <w:webHidden/>
              </w:rPr>
            </w:r>
            <w:r>
              <w:rPr>
                <w:noProof/>
                <w:webHidden/>
              </w:rPr>
              <w:fldChar w:fldCharType="separate"/>
            </w:r>
            <w:r w:rsidR="002943E7">
              <w:rPr>
                <w:noProof/>
                <w:webHidden/>
              </w:rPr>
              <w:t>11</w:t>
            </w:r>
            <w:r>
              <w:rPr>
                <w:noProof/>
                <w:webHidden/>
              </w:rPr>
              <w:fldChar w:fldCharType="end"/>
            </w:r>
          </w:hyperlink>
        </w:p>
        <w:p w14:paraId="7B4D31B8" w14:textId="2BBA1A16" w:rsidR="00687968" w:rsidRDefault="00687968">
          <w:pPr>
            <w:pStyle w:val="TOC2"/>
            <w:tabs>
              <w:tab w:val="right" w:leader="dot" w:pos="9350"/>
            </w:tabs>
            <w:rPr>
              <w:rFonts w:asciiTheme="minorHAnsi" w:eastAsiaTheme="minorEastAsia" w:hAnsiTheme="minorHAnsi"/>
              <w:noProof/>
              <w:kern w:val="2"/>
              <w:szCs w:val="24"/>
              <w14:ligatures w14:val="standardContextual"/>
            </w:rPr>
          </w:pPr>
          <w:hyperlink w:anchor="_Toc231772970" w:history="1">
            <w:r w:rsidRPr="00B10313">
              <w:rPr>
                <w:rStyle w:val="Hyperlink"/>
                <w:noProof/>
              </w:rPr>
              <w:t>Strategic Choices and Implementation</w:t>
            </w:r>
            <w:r>
              <w:rPr>
                <w:noProof/>
                <w:webHidden/>
              </w:rPr>
              <w:tab/>
            </w:r>
            <w:r>
              <w:rPr>
                <w:noProof/>
                <w:webHidden/>
              </w:rPr>
              <w:fldChar w:fldCharType="begin"/>
            </w:r>
            <w:r>
              <w:rPr>
                <w:noProof/>
                <w:webHidden/>
              </w:rPr>
              <w:instrText xml:space="preserve"> PAGEREF _Toc231772970 \h </w:instrText>
            </w:r>
            <w:r>
              <w:rPr>
                <w:noProof/>
                <w:webHidden/>
              </w:rPr>
            </w:r>
            <w:r>
              <w:rPr>
                <w:noProof/>
                <w:webHidden/>
              </w:rPr>
              <w:fldChar w:fldCharType="separate"/>
            </w:r>
            <w:r w:rsidR="002943E7">
              <w:rPr>
                <w:noProof/>
                <w:webHidden/>
              </w:rPr>
              <w:t>14</w:t>
            </w:r>
            <w:r>
              <w:rPr>
                <w:noProof/>
                <w:webHidden/>
              </w:rPr>
              <w:fldChar w:fldCharType="end"/>
            </w:r>
          </w:hyperlink>
        </w:p>
        <w:p w14:paraId="5B795B66" w14:textId="3394FAE9" w:rsidR="00687968" w:rsidRDefault="00687968">
          <w:pPr>
            <w:pStyle w:val="TOC3"/>
            <w:tabs>
              <w:tab w:val="right" w:leader="dot" w:pos="9350"/>
            </w:tabs>
            <w:rPr>
              <w:rFonts w:asciiTheme="minorHAnsi" w:eastAsiaTheme="minorEastAsia" w:hAnsiTheme="minorHAnsi"/>
              <w:noProof/>
              <w:kern w:val="2"/>
              <w:szCs w:val="24"/>
              <w14:ligatures w14:val="standardContextual"/>
            </w:rPr>
          </w:pPr>
          <w:hyperlink w:anchor="_Toc231772971" w:history="1">
            <w:r w:rsidRPr="00B10313">
              <w:rPr>
                <w:rStyle w:val="Hyperlink"/>
                <w:noProof/>
              </w:rPr>
              <w:t>Strategic Options at Business Level</w:t>
            </w:r>
            <w:r>
              <w:rPr>
                <w:noProof/>
                <w:webHidden/>
              </w:rPr>
              <w:tab/>
            </w:r>
            <w:r>
              <w:rPr>
                <w:noProof/>
                <w:webHidden/>
              </w:rPr>
              <w:fldChar w:fldCharType="begin"/>
            </w:r>
            <w:r>
              <w:rPr>
                <w:noProof/>
                <w:webHidden/>
              </w:rPr>
              <w:instrText xml:space="preserve"> PAGEREF _Toc231772971 \h </w:instrText>
            </w:r>
            <w:r>
              <w:rPr>
                <w:noProof/>
                <w:webHidden/>
              </w:rPr>
            </w:r>
            <w:r>
              <w:rPr>
                <w:noProof/>
                <w:webHidden/>
              </w:rPr>
              <w:fldChar w:fldCharType="separate"/>
            </w:r>
            <w:r w:rsidR="002943E7">
              <w:rPr>
                <w:noProof/>
                <w:webHidden/>
              </w:rPr>
              <w:t>14</w:t>
            </w:r>
            <w:r>
              <w:rPr>
                <w:noProof/>
                <w:webHidden/>
              </w:rPr>
              <w:fldChar w:fldCharType="end"/>
            </w:r>
          </w:hyperlink>
        </w:p>
        <w:p w14:paraId="59B44620" w14:textId="72787F21" w:rsidR="00687968" w:rsidRDefault="00687968">
          <w:pPr>
            <w:pStyle w:val="TOC3"/>
            <w:tabs>
              <w:tab w:val="right" w:leader="dot" w:pos="9350"/>
            </w:tabs>
            <w:rPr>
              <w:rFonts w:asciiTheme="minorHAnsi" w:eastAsiaTheme="minorEastAsia" w:hAnsiTheme="minorHAnsi"/>
              <w:noProof/>
              <w:kern w:val="2"/>
              <w:szCs w:val="24"/>
              <w14:ligatures w14:val="standardContextual"/>
            </w:rPr>
          </w:pPr>
          <w:hyperlink w:anchor="_Toc231772972" w:history="1">
            <w:r w:rsidRPr="00B10313">
              <w:rPr>
                <w:rStyle w:val="Hyperlink"/>
                <w:noProof/>
              </w:rPr>
              <w:t>Porter's Five Forces Analysis</w:t>
            </w:r>
            <w:r>
              <w:rPr>
                <w:noProof/>
                <w:webHidden/>
              </w:rPr>
              <w:tab/>
            </w:r>
            <w:r>
              <w:rPr>
                <w:noProof/>
                <w:webHidden/>
              </w:rPr>
              <w:fldChar w:fldCharType="begin"/>
            </w:r>
            <w:r>
              <w:rPr>
                <w:noProof/>
                <w:webHidden/>
              </w:rPr>
              <w:instrText xml:space="preserve"> PAGEREF _Toc231772972 \h </w:instrText>
            </w:r>
            <w:r>
              <w:rPr>
                <w:noProof/>
                <w:webHidden/>
              </w:rPr>
            </w:r>
            <w:r>
              <w:rPr>
                <w:noProof/>
                <w:webHidden/>
              </w:rPr>
              <w:fldChar w:fldCharType="separate"/>
            </w:r>
            <w:r w:rsidR="002943E7">
              <w:rPr>
                <w:noProof/>
                <w:webHidden/>
              </w:rPr>
              <w:t>15</w:t>
            </w:r>
            <w:r>
              <w:rPr>
                <w:noProof/>
                <w:webHidden/>
              </w:rPr>
              <w:fldChar w:fldCharType="end"/>
            </w:r>
          </w:hyperlink>
        </w:p>
        <w:p w14:paraId="73F30CF1" w14:textId="0995CA90" w:rsidR="00687968" w:rsidRDefault="00687968">
          <w:pPr>
            <w:pStyle w:val="TOC3"/>
            <w:tabs>
              <w:tab w:val="right" w:leader="dot" w:pos="9350"/>
            </w:tabs>
            <w:rPr>
              <w:rFonts w:asciiTheme="minorHAnsi" w:eastAsiaTheme="minorEastAsia" w:hAnsiTheme="minorHAnsi"/>
              <w:noProof/>
              <w:kern w:val="2"/>
              <w:szCs w:val="24"/>
              <w14:ligatures w14:val="standardContextual"/>
            </w:rPr>
          </w:pPr>
          <w:hyperlink w:anchor="_Toc231772973" w:history="1">
            <w:r w:rsidRPr="00B10313">
              <w:rPr>
                <w:rStyle w:val="Hyperlink"/>
                <w:noProof/>
              </w:rPr>
              <w:t>Ansoff Matrix: Growth Direction</w:t>
            </w:r>
            <w:r>
              <w:rPr>
                <w:noProof/>
                <w:webHidden/>
              </w:rPr>
              <w:tab/>
            </w:r>
            <w:r>
              <w:rPr>
                <w:noProof/>
                <w:webHidden/>
              </w:rPr>
              <w:fldChar w:fldCharType="begin"/>
            </w:r>
            <w:r>
              <w:rPr>
                <w:noProof/>
                <w:webHidden/>
              </w:rPr>
              <w:instrText xml:space="preserve"> PAGEREF _Toc231772973 \h </w:instrText>
            </w:r>
            <w:r>
              <w:rPr>
                <w:noProof/>
                <w:webHidden/>
              </w:rPr>
            </w:r>
            <w:r>
              <w:rPr>
                <w:noProof/>
                <w:webHidden/>
              </w:rPr>
              <w:fldChar w:fldCharType="separate"/>
            </w:r>
            <w:r w:rsidR="002943E7">
              <w:rPr>
                <w:noProof/>
                <w:webHidden/>
              </w:rPr>
              <w:t>16</w:t>
            </w:r>
            <w:r>
              <w:rPr>
                <w:noProof/>
                <w:webHidden/>
              </w:rPr>
              <w:fldChar w:fldCharType="end"/>
            </w:r>
          </w:hyperlink>
        </w:p>
        <w:p w14:paraId="4E447927" w14:textId="2E24E4E2" w:rsidR="00687968" w:rsidRDefault="00687968">
          <w:pPr>
            <w:pStyle w:val="TOC3"/>
            <w:tabs>
              <w:tab w:val="right" w:leader="dot" w:pos="9350"/>
            </w:tabs>
            <w:rPr>
              <w:rFonts w:asciiTheme="minorHAnsi" w:eastAsiaTheme="minorEastAsia" w:hAnsiTheme="minorHAnsi"/>
              <w:noProof/>
              <w:kern w:val="2"/>
              <w:szCs w:val="24"/>
              <w14:ligatures w14:val="standardContextual"/>
            </w:rPr>
          </w:pPr>
          <w:hyperlink w:anchor="_Toc231772974" w:history="1">
            <w:r w:rsidRPr="00B10313">
              <w:rPr>
                <w:rStyle w:val="Hyperlink"/>
                <w:noProof/>
              </w:rPr>
              <w:t>Strategy Validation- Suitability, Acceptability, Feasibility</w:t>
            </w:r>
            <w:r>
              <w:rPr>
                <w:noProof/>
                <w:webHidden/>
              </w:rPr>
              <w:tab/>
            </w:r>
            <w:r>
              <w:rPr>
                <w:noProof/>
                <w:webHidden/>
              </w:rPr>
              <w:fldChar w:fldCharType="begin"/>
            </w:r>
            <w:r>
              <w:rPr>
                <w:noProof/>
                <w:webHidden/>
              </w:rPr>
              <w:instrText xml:space="preserve"> PAGEREF _Toc231772974 \h </w:instrText>
            </w:r>
            <w:r>
              <w:rPr>
                <w:noProof/>
                <w:webHidden/>
              </w:rPr>
            </w:r>
            <w:r>
              <w:rPr>
                <w:noProof/>
                <w:webHidden/>
              </w:rPr>
              <w:fldChar w:fldCharType="separate"/>
            </w:r>
            <w:r w:rsidR="002943E7">
              <w:rPr>
                <w:noProof/>
                <w:webHidden/>
              </w:rPr>
              <w:t>17</w:t>
            </w:r>
            <w:r>
              <w:rPr>
                <w:noProof/>
                <w:webHidden/>
              </w:rPr>
              <w:fldChar w:fldCharType="end"/>
            </w:r>
          </w:hyperlink>
        </w:p>
        <w:p w14:paraId="33E8B3E5" w14:textId="1B13BD13" w:rsidR="00687968" w:rsidRDefault="00687968">
          <w:pPr>
            <w:pStyle w:val="TOC3"/>
            <w:tabs>
              <w:tab w:val="right" w:leader="dot" w:pos="9350"/>
            </w:tabs>
            <w:rPr>
              <w:rFonts w:asciiTheme="minorHAnsi" w:eastAsiaTheme="minorEastAsia" w:hAnsiTheme="minorHAnsi"/>
              <w:noProof/>
              <w:kern w:val="2"/>
              <w:szCs w:val="24"/>
              <w14:ligatures w14:val="standardContextual"/>
            </w:rPr>
          </w:pPr>
          <w:hyperlink w:anchor="_Toc231772975" w:history="1">
            <w:r w:rsidRPr="00B10313">
              <w:rPr>
                <w:rStyle w:val="Hyperlink"/>
                <w:noProof/>
              </w:rPr>
              <w:t>Implementation challenges and mitigations</w:t>
            </w:r>
            <w:r>
              <w:rPr>
                <w:noProof/>
                <w:webHidden/>
              </w:rPr>
              <w:tab/>
            </w:r>
            <w:r>
              <w:rPr>
                <w:noProof/>
                <w:webHidden/>
              </w:rPr>
              <w:fldChar w:fldCharType="begin"/>
            </w:r>
            <w:r>
              <w:rPr>
                <w:noProof/>
                <w:webHidden/>
              </w:rPr>
              <w:instrText xml:space="preserve"> PAGEREF _Toc231772975 \h </w:instrText>
            </w:r>
            <w:r>
              <w:rPr>
                <w:noProof/>
                <w:webHidden/>
              </w:rPr>
            </w:r>
            <w:r>
              <w:rPr>
                <w:noProof/>
                <w:webHidden/>
              </w:rPr>
              <w:fldChar w:fldCharType="separate"/>
            </w:r>
            <w:r w:rsidR="002943E7">
              <w:rPr>
                <w:noProof/>
                <w:webHidden/>
              </w:rPr>
              <w:t>18</w:t>
            </w:r>
            <w:r>
              <w:rPr>
                <w:noProof/>
                <w:webHidden/>
              </w:rPr>
              <w:fldChar w:fldCharType="end"/>
            </w:r>
          </w:hyperlink>
        </w:p>
        <w:p w14:paraId="014A3329" w14:textId="0A7E3CEA" w:rsidR="00687968" w:rsidRDefault="00687968">
          <w:pPr>
            <w:pStyle w:val="TOC1"/>
            <w:tabs>
              <w:tab w:val="right" w:leader="dot" w:pos="9350"/>
            </w:tabs>
            <w:rPr>
              <w:rFonts w:asciiTheme="minorHAnsi" w:eastAsiaTheme="minorEastAsia" w:hAnsiTheme="minorHAnsi"/>
              <w:noProof/>
              <w:kern w:val="2"/>
              <w:szCs w:val="24"/>
              <w14:ligatures w14:val="standardContextual"/>
            </w:rPr>
          </w:pPr>
          <w:hyperlink w:anchor="_Toc231772976" w:history="1">
            <w:r w:rsidRPr="00B10313">
              <w:rPr>
                <w:rStyle w:val="Hyperlink"/>
                <w:noProof/>
              </w:rPr>
              <w:t>Section 2: Self-Reflection</w:t>
            </w:r>
            <w:r>
              <w:rPr>
                <w:noProof/>
                <w:webHidden/>
              </w:rPr>
              <w:tab/>
            </w:r>
            <w:r>
              <w:rPr>
                <w:noProof/>
                <w:webHidden/>
              </w:rPr>
              <w:fldChar w:fldCharType="begin"/>
            </w:r>
            <w:r>
              <w:rPr>
                <w:noProof/>
                <w:webHidden/>
              </w:rPr>
              <w:instrText xml:space="preserve"> PAGEREF _Toc231772976 \h </w:instrText>
            </w:r>
            <w:r>
              <w:rPr>
                <w:noProof/>
                <w:webHidden/>
              </w:rPr>
            </w:r>
            <w:r>
              <w:rPr>
                <w:noProof/>
                <w:webHidden/>
              </w:rPr>
              <w:fldChar w:fldCharType="separate"/>
            </w:r>
            <w:r w:rsidR="002943E7">
              <w:rPr>
                <w:noProof/>
                <w:webHidden/>
              </w:rPr>
              <w:t>20</w:t>
            </w:r>
            <w:r>
              <w:rPr>
                <w:noProof/>
                <w:webHidden/>
              </w:rPr>
              <w:fldChar w:fldCharType="end"/>
            </w:r>
          </w:hyperlink>
        </w:p>
        <w:p w14:paraId="16994CA4" w14:textId="16A23E92" w:rsidR="00687968" w:rsidRDefault="00687968">
          <w:pPr>
            <w:pStyle w:val="TOC1"/>
            <w:tabs>
              <w:tab w:val="right" w:leader="dot" w:pos="9350"/>
            </w:tabs>
            <w:rPr>
              <w:rFonts w:asciiTheme="minorHAnsi" w:eastAsiaTheme="minorEastAsia" w:hAnsiTheme="minorHAnsi"/>
              <w:noProof/>
              <w:kern w:val="2"/>
              <w:szCs w:val="24"/>
              <w14:ligatures w14:val="standardContextual"/>
            </w:rPr>
          </w:pPr>
          <w:hyperlink w:anchor="_Toc231772977" w:history="1">
            <w:r w:rsidRPr="00B10313">
              <w:rPr>
                <w:rStyle w:val="Hyperlink"/>
                <w:noProof/>
              </w:rPr>
              <w:t>References</w:t>
            </w:r>
            <w:r>
              <w:rPr>
                <w:noProof/>
                <w:webHidden/>
              </w:rPr>
              <w:tab/>
            </w:r>
            <w:r>
              <w:rPr>
                <w:noProof/>
                <w:webHidden/>
              </w:rPr>
              <w:fldChar w:fldCharType="begin"/>
            </w:r>
            <w:r>
              <w:rPr>
                <w:noProof/>
                <w:webHidden/>
              </w:rPr>
              <w:instrText xml:space="preserve"> PAGEREF _Toc231772977 \h </w:instrText>
            </w:r>
            <w:r>
              <w:rPr>
                <w:noProof/>
                <w:webHidden/>
              </w:rPr>
            </w:r>
            <w:r>
              <w:rPr>
                <w:noProof/>
                <w:webHidden/>
              </w:rPr>
              <w:fldChar w:fldCharType="separate"/>
            </w:r>
            <w:r w:rsidR="002943E7">
              <w:rPr>
                <w:noProof/>
                <w:webHidden/>
              </w:rPr>
              <w:t>23</w:t>
            </w:r>
            <w:r>
              <w:rPr>
                <w:noProof/>
                <w:webHidden/>
              </w:rPr>
              <w:fldChar w:fldCharType="end"/>
            </w:r>
          </w:hyperlink>
        </w:p>
        <w:p w14:paraId="2822C615" w14:textId="121DF185" w:rsidR="00746BD9" w:rsidRDefault="00746BD9">
          <w:r>
            <w:rPr>
              <w:b/>
              <w:bCs/>
              <w:noProof/>
            </w:rPr>
            <w:fldChar w:fldCharType="end"/>
          </w:r>
        </w:p>
      </w:sdtContent>
    </w:sdt>
    <w:p w14:paraId="46CAC91C" w14:textId="06F03EA5" w:rsidR="00746BD9" w:rsidRDefault="00746BD9"/>
    <w:p w14:paraId="499FE687" w14:textId="165BB7CA" w:rsidR="00746BD9" w:rsidRDefault="00746BD9"/>
    <w:p w14:paraId="57A685B1" w14:textId="2A63B1D1" w:rsidR="00746BD9" w:rsidRDefault="00746BD9"/>
    <w:p w14:paraId="4DA96296" w14:textId="7637EF27" w:rsidR="00746BD9" w:rsidRDefault="00746BD9"/>
    <w:p w14:paraId="01C4BB18" w14:textId="77777777" w:rsidR="00746BD9" w:rsidRDefault="00746BD9" w:rsidP="00746BD9">
      <w:pPr>
        <w:pStyle w:val="Heading1"/>
        <w:sectPr w:rsidR="00746BD9" w:rsidSect="00746BD9">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fmt="lowerRoman" w:start="1"/>
          <w:cols w:space="720"/>
          <w:titlePg/>
          <w:docGrid w:linePitch="360"/>
        </w:sectPr>
      </w:pPr>
    </w:p>
    <w:p w14:paraId="7055E849" w14:textId="4C1FC98F" w:rsidR="00746BD9" w:rsidRPr="00E32FD3" w:rsidRDefault="00E91582" w:rsidP="00E91582">
      <w:pPr>
        <w:pStyle w:val="Heading1"/>
        <w:rPr>
          <w:rFonts w:ascii="Arial" w:hAnsi="Arial" w:cs="Arial"/>
        </w:rPr>
      </w:pPr>
      <w:bookmarkStart w:id="0" w:name="_Toc231772960"/>
      <w:r w:rsidRPr="00E32FD3">
        <w:rPr>
          <w:rFonts w:ascii="Arial" w:hAnsi="Arial" w:cs="Arial"/>
        </w:rPr>
        <w:lastRenderedPageBreak/>
        <w:t>Section 1: Strategic Analysis</w:t>
      </w:r>
      <w:bookmarkEnd w:id="0"/>
    </w:p>
    <w:p w14:paraId="339B57FA" w14:textId="7FF295EF" w:rsidR="00746BD9" w:rsidRPr="00E32FD3" w:rsidRDefault="00883AB7" w:rsidP="00883AB7">
      <w:pPr>
        <w:pStyle w:val="Heading2"/>
        <w:rPr>
          <w:rFonts w:ascii="Arial" w:hAnsi="Arial" w:cs="Arial"/>
        </w:rPr>
      </w:pPr>
      <w:bookmarkStart w:id="1" w:name="_Toc231772961"/>
      <w:proofErr w:type="spellStart"/>
      <w:r w:rsidRPr="00E32FD3">
        <w:rPr>
          <w:rFonts w:ascii="Arial" w:hAnsi="Arial" w:cs="Arial"/>
        </w:rPr>
        <w:t>Organisational</w:t>
      </w:r>
      <w:proofErr w:type="spellEnd"/>
      <w:r w:rsidRPr="00E32FD3">
        <w:rPr>
          <w:rFonts w:ascii="Arial" w:hAnsi="Arial" w:cs="Arial"/>
        </w:rPr>
        <w:t xml:space="preserve"> Context and Overview</w:t>
      </w:r>
      <w:bookmarkEnd w:id="1"/>
    </w:p>
    <w:p w14:paraId="5B89CF2A" w14:textId="28DCC377" w:rsidR="00F95A75" w:rsidRPr="00E32FD3" w:rsidRDefault="00F95A75" w:rsidP="001F50D5">
      <w:pPr>
        <w:rPr>
          <w:rFonts w:ascii="Arial" w:hAnsi="Arial" w:cs="Arial"/>
          <w:szCs w:val="24"/>
        </w:rPr>
      </w:pPr>
      <w:r w:rsidRPr="00E32FD3">
        <w:rPr>
          <w:rFonts w:ascii="Arial" w:hAnsi="Arial" w:cs="Arial"/>
          <w:szCs w:val="24"/>
        </w:rPr>
        <w:t>Sage Group plc is a British multinational group of companies specializing in enterprise software with its headquarters located in Newcastle upon Tyne, UK. The company was established in 1981 by David Goldman, Paul Muller and Graham Wymer at Newcastle University, and started as a small accounting software company that eventually became one of the world's largest enterprise resource planning (ERP) vendors. Sage is listed on the London Stock Exchange and is a component of the FTSE 100 list, with over six million SMEs served across 23 countries, and with 11,170 employees globally as of FY2025 (Sage Group plc, 2025a).</w:t>
      </w:r>
    </w:p>
    <w:p w14:paraId="24DEAF94" w14:textId="29DA54D3" w:rsidR="00E778CA" w:rsidRDefault="00E778CA" w:rsidP="00E778CA">
      <w:pPr>
        <w:jc w:val="center"/>
      </w:pPr>
      <w:r>
        <w:rPr>
          <w:noProof/>
        </w:rPr>
        <w:drawing>
          <wp:inline distT="0" distB="0" distL="0" distR="0" wp14:anchorId="7A1DCBC5" wp14:editId="523F9ECE">
            <wp:extent cx="3375660" cy="3375660"/>
            <wp:effectExtent l="19050" t="19050" r="15240" b="15240"/>
            <wp:docPr id="2568627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75660" cy="3375660"/>
                    </a:xfrm>
                    <a:prstGeom prst="rect">
                      <a:avLst/>
                    </a:prstGeom>
                    <a:noFill/>
                    <a:ln w="12700">
                      <a:solidFill>
                        <a:schemeClr val="tx1"/>
                      </a:solidFill>
                    </a:ln>
                  </pic:spPr>
                </pic:pic>
              </a:graphicData>
            </a:graphic>
          </wp:inline>
        </w:drawing>
      </w:r>
    </w:p>
    <w:p w14:paraId="65228252" w14:textId="4B00DB07" w:rsidR="00E778CA" w:rsidRPr="00692319" w:rsidRDefault="00E778CA" w:rsidP="00E778CA">
      <w:pPr>
        <w:jc w:val="center"/>
        <w:rPr>
          <w:rFonts w:ascii="Arial" w:hAnsi="Arial" w:cs="Arial"/>
        </w:rPr>
      </w:pPr>
      <w:r w:rsidRPr="00692319">
        <w:rPr>
          <w:rFonts w:ascii="Arial" w:hAnsi="Arial" w:cs="Arial"/>
        </w:rPr>
        <w:t>Image 1: Company of Sage Group Plc</w:t>
      </w:r>
      <w:r w:rsidR="00871B81" w:rsidRPr="00692319">
        <w:rPr>
          <w:rFonts w:ascii="Arial" w:hAnsi="Arial" w:cs="Arial"/>
        </w:rPr>
        <w:t xml:space="preserve"> (Sage Group plc, 2025a)</w:t>
      </w:r>
    </w:p>
    <w:p w14:paraId="5A7D5B3B" w14:textId="6D443545" w:rsidR="00F95A75" w:rsidRPr="00E32FD3" w:rsidRDefault="00F95A75" w:rsidP="00F95A75">
      <w:pPr>
        <w:rPr>
          <w:rFonts w:ascii="Arial" w:hAnsi="Arial" w:cs="Arial"/>
          <w:szCs w:val="24"/>
        </w:rPr>
      </w:pPr>
      <w:r w:rsidRPr="00E32FD3">
        <w:rPr>
          <w:rFonts w:ascii="Arial" w:hAnsi="Arial" w:cs="Arial"/>
          <w:szCs w:val="24"/>
        </w:rPr>
        <w:t xml:space="preserve">Sage's vision is 'knock down barriers so everyone can thrive' which aligns with its initial vision of making accounting and business management accessible to smaller </w:t>
      </w:r>
      <w:proofErr w:type="spellStart"/>
      <w:r w:rsidRPr="00E32FD3">
        <w:rPr>
          <w:rFonts w:ascii="Arial" w:hAnsi="Arial" w:cs="Arial"/>
          <w:szCs w:val="24"/>
        </w:rPr>
        <w:t>organisations</w:t>
      </w:r>
      <w:proofErr w:type="spellEnd"/>
      <w:r w:rsidRPr="00E32FD3">
        <w:rPr>
          <w:rFonts w:ascii="Arial" w:hAnsi="Arial" w:cs="Arial"/>
          <w:szCs w:val="24"/>
        </w:rPr>
        <w:t xml:space="preserve"> (Sage Group plc, 2025a). Its </w:t>
      </w:r>
      <w:r w:rsidR="00692319" w:rsidRPr="00E32FD3">
        <w:rPr>
          <w:rFonts w:ascii="Arial" w:hAnsi="Arial" w:cs="Arial"/>
          <w:szCs w:val="24"/>
        </w:rPr>
        <w:t xml:space="preserve">vision, </w:t>
      </w:r>
      <w:r w:rsidRPr="00E32FD3">
        <w:rPr>
          <w:rFonts w:ascii="Arial" w:hAnsi="Arial" w:cs="Arial"/>
          <w:szCs w:val="24"/>
        </w:rPr>
        <w:t xml:space="preserve">the world's most trusted and thriving network for SMBs, powered by AI’, reflects a strategy shift from traditional software </w:t>
      </w:r>
      <w:r w:rsidRPr="00E32FD3">
        <w:rPr>
          <w:rFonts w:ascii="Arial" w:hAnsi="Arial" w:cs="Arial"/>
          <w:szCs w:val="24"/>
        </w:rPr>
        <w:lastRenderedPageBreak/>
        <w:t xml:space="preserve">licensing to cloud-native, AI-powered subscription services (Sage Group plc, 2025b). Core products are Sage 50, Sage 200, Sage Intacct, Sage Payroll, Sage HR and Sage X3. Sage introduced its AI suite (Sage Copilot), which is integrated into the company's range of products across all major businesses, in FY2025, and was the first company in the UK to launch an AI Making Tax Digital (MTD) Income Tax Agent (Sage Group plc, </w:t>
      </w:r>
      <w:proofErr w:type="gramStart"/>
      <w:r w:rsidRPr="00E32FD3">
        <w:rPr>
          <w:rFonts w:ascii="Arial" w:hAnsi="Arial" w:cs="Arial"/>
          <w:szCs w:val="24"/>
        </w:rPr>
        <w:t>2025d</w:t>
      </w:r>
      <w:proofErr w:type="gramEnd"/>
      <w:r w:rsidRPr="00E32FD3">
        <w:rPr>
          <w:rFonts w:ascii="Arial" w:hAnsi="Arial" w:cs="Arial"/>
          <w:szCs w:val="24"/>
        </w:rPr>
        <w:t>).</w:t>
      </w:r>
    </w:p>
    <w:p w14:paraId="05556B83" w14:textId="1621C705" w:rsidR="00883AB7" w:rsidRPr="00E32FD3" w:rsidRDefault="00F95A75" w:rsidP="00F95A75">
      <w:pPr>
        <w:rPr>
          <w:rFonts w:ascii="Arial" w:hAnsi="Arial" w:cs="Arial"/>
          <w:szCs w:val="24"/>
        </w:rPr>
      </w:pPr>
      <w:r w:rsidRPr="00E32FD3">
        <w:rPr>
          <w:rFonts w:ascii="Arial" w:hAnsi="Arial" w:cs="Arial"/>
          <w:szCs w:val="24"/>
        </w:rPr>
        <w:t xml:space="preserve">This report is based on Sage's UK SME market. The UK represents Sage's biggest individual market; the MTD </w:t>
      </w:r>
      <w:proofErr w:type="spellStart"/>
      <w:r w:rsidRPr="00E32FD3">
        <w:rPr>
          <w:rFonts w:ascii="Arial" w:hAnsi="Arial" w:cs="Arial"/>
          <w:szCs w:val="24"/>
        </w:rPr>
        <w:t>programme</w:t>
      </w:r>
      <w:proofErr w:type="spellEnd"/>
      <w:r w:rsidRPr="00E32FD3">
        <w:rPr>
          <w:rFonts w:ascii="Arial" w:hAnsi="Arial" w:cs="Arial"/>
          <w:szCs w:val="24"/>
        </w:rPr>
        <w:t xml:space="preserve"> from HMRC has created a very niche demand driven by regulation; and the competitive market is sufficiently different to warrant dedicated analysis.</w:t>
      </w:r>
    </w:p>
    <w:p w14:paraId="1D36DBCA" w14:textId="32B92DCC" w:rsidR="003659CF" w:rsidRPr="00692319" w:rsidRDefault="003659CF" w:rsidP="003659CF">
      <w:pPr>
        <w:pStyle w:val="Heading2"/>
        <w:rPr>
          <w:rFonts w:ascii="Arial" w:hAnsi="Arial" w:cs="Arial"/>
        </w:rPr>
      </w:pPr>
      <w:bookmarkStart w:id="2" w:name="_Toc231772962"/>
      <w:r w:rsidRPr="00692319">
        <w:rPr>
          <w:rFonts w:ascii="Arial" w:hAnsi="Arial" w:cs="Arial"/>
        </w:rPr>
        <w:t>Industry, Key Competitors and Market Position</w:t>
      </w:r>
      <w:bookmarkEnd w:id="2"/>
    </w:p>
    <w:p w14:paraId="568A290E" w14:textId="5C9A9E56" w:rsidR="00F95A75" w:rsidRPr="00883AB7" w:rsidRDefault="003659CF" w:rsidP="003659CF">
      <w:r w:rsidRPr="00E32FD3">
        <w:rPr>
          <w:rFonts w:ascii="Arial" w:hAnsi="Arial" w:cs="Arial"/>
        </w:rPr>
        <w:t>The UK SME accounting and ERP software market is well established, but is quickly evolving in structure due to the MTD mandate, the rise of AI, and the shift to the cloud. SMEs make up the majority of businesses in the UK, with an estimated 5.5 million businesses (FSB, 2024), over 99% of which are SMEs. Sage is the dominant player in the micro and small business market with Sage 50 having been a market leader for decades. But pay-per-click search market share in the UK is around 45% dominated by cloud-native challenger Xero (</w:t>
      </w:r>
      <w:proofErr w:type="spellStart"/>
      <w:r w:rsidRPr="00E32FD3">
        <w:rPr>
          <w:rFonts w:ascii="Arial" w:hAnsi="Arial" w:cs="Arial"/>
        </w:rPr>
        <w:t>Datanyze</w:t>
      </w:r>
      <w:proofErr w:type="spellEnd"/>
      <w:r w:rsidRPr="00E32FD3">
        <w:rPr>
          <w:rFonts w:ascii="Arial" w:hAnsi="Arial" w:cs="Arial"/>
        </w:rPr>
        <w:t>, 2024) and has secured good traction with digitally-native start-ups. Intuit QuickBooks, on the other hand, is gaining market share but not a significant amount in the UK, and Microsoft Dynamics 365 is competing at the mid-market ERP level with Sage 200 and Sage Intacct. Competition and technology change are fierce and fast, detailed below in the Five Forces analysis</w:t>
      </w:r>
      <w:r>
        <w:t>.</w:t>
      </w:r>
    </w:p>
    <w:p w14:paraId="12B8D5F9" w14:textId="57F56FA5" w:rsidR="00746BD9" w:rsidRDefault="00746BD9" w:rsidP="00746BD9"/>
    <w:p w14:paraId="7DC90400" w14:textId="23AB65E5" w:rsidR="00746BD9" w:rsidRDefault="00746BD9" w:rsidP="00746BD9"/>
    <w:p w14:paraId="1FA76AB2" w14:textId="77777777" w:rsidR="00A74C70" w:rsidRDefault="00A74C70" w:rsidP="00746BD9"/>
    <w:p w14:paraId="7BA7C3A3" w14:textId="77777777" w:rsidR="00692319" w:rsidRDefault="00692319" w:rsidP="00746BD9"/>
    <w:p w14:paraId="5CE3B343" w14:textId="2F5EFF27" w:rsidR="00A74C70" w:rsidRPr="00692319" w:rsidRDefault="00A74C70" w:rsidP="00A74C70">
      <w:pPr>
        <w:pStyle w:val="Heading2"/>
        <w:rPr>
          <w:rFonts w:ascii="Arial" w:hAnsi="Arial" w:cs="Arial"/>
        </w:rPr>
      </w:pPr>
      <w:bookmarkStart w:id="3" w:name="_Toc231772963"/>
      <w:r w:rsidRPr="00692319">
        <w:rPr>
          <w:rFonts w:ascii="Arial" w:hAnsi="Arial" w:cs="Arial"/>
        </w:rPr>
        <w:lastRenderedPageBreak/>
        <w:t>External and Internal Analysis</w:t>
      </w:r>
      <w:bookmarkEnd w:id="3"/>
    </w:p>
    <w:p w14:paraId="0170B945" w14:textId="22D439F2" w:rsidR="00746BD9" w:rsidRPr="00E32FD3" w:rsidRDefault="00395AC3" w:rsidP="00746BD9">
      <w:pPr>
        <w:rPr>
          <w:rFonts w:ascii="Arial" w:hAnsi="Arial" w:cs="Arial"/>
        </w:rPr>
      </w:pPr>
      <w:r w:rsidRPr="00E32FD3">
        <w:rPr>
          <w:rFonts w:ascii="Arial" w:hAnsi="Arial" w:cs="Arial"/>
        </w:rPr>
        <w:t xml:space="preserve">Strategic analysis starts by systematically </w:t>
      </w:r>
      <w:proofErr w:type="spellStart"/>
      <w:r w:rsidRPr="00E32FD3">
        <w:rPr>
          <w:rFonts w:ascii="Arial" w:hAnsi="Arial" w:cs="Arial"/>
        </w:rPr>
        <w:t>analysing</w:t>
      </w:r>
      <w:proofErr w:type="spellEnd"/>
      <w:r w:rsidRPr="00E32FD3">
        <w:rPr>
          <w:rFonts w:ascii="Arial" w:hAnsi="Arial" w:cs="Arial"/>
        </w:rPr>
        <w:t xml:space="preserve"> the context of the </w:t>
      </w:r>
      <w:proofErr w:type="spellStart"/>
      <w:r w:rsidRPr="00E32FD3">
        <w:rPr>
          <w:rFonts w:ascii="Arial" w:hAnsi="Arial" w:cs="Arial"/>
        </w:rPr>
        <w:t>organisation's</w:t>
      </w:r>
      <w:proofErr w:type="spellEnd"/>
      <w:r w:rsidRPr="00E32FD3">
        <w:rPr>
          <w:rFonts w:ascii="Arial" w:hAnsi="Arial" w:cs="Arial"/>
        </w:rPr>
        <w:t xml:space="preserve"> operation. This section uses PESTEL analysis to identify the macro-environmental opportunities and threats, VRIO analysis to gather the internal resources and capabilities and merges the results of the two analyses into a SWOT framework for further strategic recommendations.</w:t>
      </w:r>
    </w:p>
    <w:p w14:paraId="25D4C281" w14:textId="77777777" w:rsidR="009C5D54" w:rsidRPr="00692319" w:rsidRDefault="009C5D54" w:rsidP="008C58CF">
      <w:pPr>
        <w:pStyle w:val="Heading3"/>
        <w:rPr>
          <w:rFonts w:ascii="Arial" w:hAnsi="Arial" w:cs="Arial"/>
        </w:rPr>
      </w:pPr>
      <w:bookmarkStart w:id="4" w:name="_Toc231772964"/>
      <w:r w:rsidRPr="00692319">
        <w:rPr>
          <w:rFonts w:ascii="Arial" w:hAnsi="Arial" w:cs="Arial"/>
        </w:rPr>
        <w:t>PESTEL Analysis</w:t>
      </w:r>
      <w:bookmarkEnd w:id="4"/>
    </w:p>
    <w:p w14:paraId="4C819ADF" w14:textId="5290281E" w:rsidR="009D284F" w:rsidRPr="009D284F" w:rsidRDefault="0033744A" w:rsidP="009D284F">
      <w:r>
        <w:rPr>
          <w:noProof/>
        </w:rPr>
        <w:drawing>
          <wp:inline distT="0" distB="0" distL="0" distR="0" wp14:anchorId="7F5FF03E" wp14:editId="4AD62CB9">
            <wp:extent cx="5943600" cy="5321935"/>
            <wp:effectExtent l="0" t="0" r="0" b="0"/>
            <wp:docPr id="1680594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594542" name=""/>
                    <pic:cNvPicPr/>
                  </pic:nvPicPr>
                  <pic:blipFill>
                    <a:blip r:embed="rId17"/>
                    <a:stretch>
                      <a:fillRect/>
                    </a:stretch>
                  </pic:blipFill>
                  <pic:spPr>
                    <a:xfrm>
                      <a:off x="0" y="0"/>
                      <a:ext cx="5943600" cy="5321935"/>
                    </a:xfrm>
                    <a:prstGeom prst="rect">
                      <a:avLst/>
                    </a:prstGeom>
                  </pic:spPr>
                </pic:pic>
              </a:graphicData>
            </a:graphic>
          </wp:inline>
        </w:drawing>
      </w:r>
    </w:p>
    <w:p w14:paraId="3FFECEC3" w14:textId="44E00C83" w:rsidR="00F235E9" w:rsidRPr="00692319" w:rsidRDefault="00F235E9" w:rsidP="00E32FD3">
      <w:pPr>
        <w:jc w:val="center"/>
        <w:rPr>
          <w:rFonts w:ascii="Arial" w:hAnsi="Arial" w:cs="Arial"/>
        </w:rPr>
      </w:pPr>
      <w:r w:rsidRPr="00692319">
        <w:rPr>
          <w:rFonts w:ascii="Arial" w:hAnsi="Arial" w:cs="Arial"/>
        </w:rPr>
        <w:t>Image 2: PESTEL Analysis (Johnson, Whittington and Scholes, 2017)</w:t>
      </w:r>
    </w:p>
    <w:p w14:paraId="41BC3585" w14:textId="57C807A0" w:rsidR="009C5D54" w:rsidRPr="00E32FD3" w:rsidRDefault="009C5D54" w:rsidP="009C5D54">
      <w:pPr>
        <w:rPr>
          <w:rFonts w:ascii="Arial" w:hAnsi="Arial" w:cs="Arial"/>
        </w:rPr>
      </w:pPr>
      <w:r w:rsidRPr="00692319">
        <w:rPr>
          <w:rFonts w:ascii="Arial" w:hAnsi="Arial" w:cs="Arial"/>
          <w:b/>
          <w:bCs/>
        </w:rPr>
        <w:lastRenderedPageBreak/>
        <w:t>Political</w:t>
      </w:r>
      <w:r w:rsidR="008C58CF" w:rsidRPr="00692319">
        <w:rPr>
          <w:rFonts w:ascii="Arial" w:hAnsi="Arial" w:cs="Arial"/>
          <w:b/>
          <w:bCs/>
        </w:rPr>
        <w:t>:</w:t>
      </w:r>
      <w:r>
        <w:t xml:space="preserve"> </w:t>
      </w:r>
      <w:r w:rsidRPr="00E32FD3">
        <w:rPr>
          <w:rFonts w:ascii="Arial" w:hAnsi="Arial" w:cs="Arial"/>
        </w:rPr>
        <w:t xml:space="preserve">The Making Tax Digital </w:t>
      </w:r>
      <w:proofErr w:type="spellStart"/>
      <w:r w:rsidRPr="00E32FD3">
        <w:rPr>
          <w:rFonts w:ascii="Arial" w:hAnsi="Arial" w:cs="Arial"/>
        </w:rPr>
        <w:t>programme</w:t>
      </w:r>
      <w:proofErr w:type="spellEnd"/>
      <w:r w:rsidRPr="00E32FD3">
        <w:rPr>
          <w:rFonts w:ascii="Arial" w:hAnsi="Arial" w:cs="Arial"/>
        </w:rPr>
        <w:t xml:space="preserve"> by HMRC is the biggest regulatory change in the UK SME software market in generations. MTD for VAT is already in place, MTD for Income Tax Self-Assessment will roll out in April 2026 and MTD for Corporation Tax will be required by 2030 (HMRC, 2024). Taken together, these requirements will leave millions of companies in the UK no choice but to be on compliant digital platforms, which will be a legally mandated “demand event” that no one can outspread. By investing in the infrastructure needed to meet the challenges of MTD, Sage is poised to become the UK's preferred compliance partner for SMEs as they adapt to this regulatory shift, with the introduction of the UK's first MTD Income Tax AI Agent in September 2025.</w:t>
      </w:r>
    </w:p>
    <w:p w14:paraId="6C5E0A5A" w14:textId="44F65346" w:rsidR="009C5D54" w:rsidRPr="00E32FD3" w:rsidRDefault="009C5D54" w:rsidP="009C5D54">
      <w:pPr>
        <w:rPr>
          <w:rFonts w:ascii="Arial" w:hAnsi="Arial" w:cs="Arial"/>
        </w:rPr>
      </w:pPr>
      <w:r w:rsidRPr="00692319">
        <w:rPr>
          <w:rFonts w:ascii="Arial" w:hAnsi="Arial" w:cs="Arial"/>
          <w:b/>
          <w:bCs/>
        </w:rPr>
        <w:t>Economic</w:t>
      </w:r>
      <w:r w:rsidR="008C58CF" w:rsidRPr="00692319">
        <w:rPr>
          <w:rFonts w:ascii="Arial" w:hAnsi="Arial" w:cs="Arial"/>
          <w:b/>
          <w:bCs/>
        </w:rPr>
        <w:t>:</w:t>
      </w:r>
      <w:r>
        <w:t xml:space="preserve"> </w:t>
      </w:r>
      <w:r w:rsidRPr="00E32FD3">
        <w:rPr>
          <w:rFonts w:ascii="Arial" w:hAnsi="Arial" w:cs="Arial"/>
        </w:rPr>
        <w:t xml:space="preserve">The UK's macroeconomic environment is quite limiting, and the forecasts from the Office for Budget Responsibility (OBR, 2025) for GDP growth in 2025 are 1.1%, which is less than what is seen when discretionary spending of SMEs is not as sharp. Small businesses are less inclined to invest because of high-interest rates. While cloud-based SaaS subscriptions have a lower initial cost, though, Sage's cloud transition strategy is well-timed from a commercial perspective. Subscription revenue is also more predictable and gives Sage more visibility of revenue, which also helps to </w:t>
      </w:r>
      <w:proofErr w:type="spellStart"/>
      <w:r w:rsidRPr="00E32FD3">
        <w:rPr>
          <w:rFonts w:ascii="Arial" w:hAnsi="Arial" w:cs="Arial"/>
        </w:rPr>
        <w:t>minimise</w:t>
      </w:r>
      <w:proofErr w:type="spellEnd"/>
      <w:r w:rsidRPr="00E32FD3">
        <w:rPr>
          <w:rFonts w:ascii="Arial" w:hAnsi="Arial" w:cs="Arial"/>
        </w:rPr>
        <w:t xml:space="preserve"> volatility from one-off </w:t>
      </w:r>
      <w:proofErr w:type="spellStart"/>
      <w:r w:rsidRPr="00E32FD3">
        <w:rPr>
          <w:rFonts w:ascii="Arial" w:hAnsi="Arial" w:cs="Arial"/>
        </w:rPr>
        <w:t>licence</w:t>
      </w:r>
      <w:proofErr w:type="spellEnd"/>
      <w:r w:rsidRPr="00E32FD3">
        <w:rPr>
          <w:rFonts w:ascii="Arial" w:hAnsi="Arial" w:cs="Arial"/>
        </w:rPr>
        <w:t xml:space="preserve"> sales.</w:t>
      </w:r>
    </w:p>
    <w:p w14:paraId="6EC01322" w14:textId="1BE2D934" w:rsidR="009C5D54" w:rsidRPr="00E32FD3" w:rsidRDefault="009C5D54" w:rsidP="009C5D54">
      <w:pPr>
        <w:rPr>
          <w:rFonts w:ascii="Arial" w:hAnsi="Arial" w:cs="Arial"/>
        </w:rPr>
      </w:pPr>
      <w:r w:rsidRPr="00692319">
        <w:rPr>
          <w:rFonts w:ascii="Arial" w:hAnsi="Arial" w:cs="Arial"/>
          <w:b/>
          <w:bCs/>
        </w:rPr>
        <w:t>Social</w:t>
      </w:r>
      <w:r w:rsidR="008C58CF" w:rsidRPr="00692319">
        <w:rPr>
          <w:rFonts w:ascii="Arial" w:hAnsi="Arial" w:cs="Arial"/>
          <w:b/>
          <w:bCs/>
        </w:rPr>
        <w:t>:</w:t>
      </w:r>
      <w:r w:rsidRPr="00E32FD3">
        <w:rPr>
          <w:rFonts w:ascii="Arial" w:hAnsi="Arial" w:cs="Arial"/>
        </w:rPr>
        <w:t xml:space="preserve"> The UK's SME population has grown since the pandemic, as a result of an increase in self-employment and the gig economy. In the UK, there are now some 5.5 million SMEs (FSB, 2024) and many of these are being started by digitally savvy younger business owners who demand software that is intuitive and mobile-first. The demographic change puts pressure on Sage's UX positioning, as Xero, a competitor perceived to be cloud-based, has a more positive reputation among new business starts. This is why Sage Copilot's natural-language interface has been launched.</w:t>
      </w:r>
    </w:p>
    <w:p w14:paraId="59AAE3AE" w14:textId="4D5DFEAC" w:rsidR="009C5D54" w:rsidRPr="00E32FD3" w:rsidRDefault="009C5D54" w:rsidP="009C5D54">
      <w:pPr>
        <w:rPr>
          <w:rFonts w:ascii="Arial" w:hAnsi="Arial" w:cs="Arial"/>
        </w:rPr>
      </w:pPr>
      <w:r w:rsidRPr="00692319">
        <w:rPr>
          <w:rFonts w:ascii="Arial" w:hAnsi="Arial" w:cs="Arial"/>
          <w:b/>
          <w:bCs/>
        </w:rPr>
        <w:t>Technological</w:t>
      </w:r>
      <w:r w:rsidR="008C58CF" w:rsidRPr="00692319">
        <w:rPr>
          <w:rFonts w:ascii="Arial" w:hAnsi="Arial" w:cs="Arial"/>
          <w:b/>
          <w:bCs/>
        </w:rPr>
        <w:t>:</w:t>
      </w:r>
      <w:r w:rsidRPr="00692319">
        <w:rPr>
          <w:rFonts w:ascii="Arial" w:hAnsi="Arial" w:cs="Arial"/>
        </w:rPr>
        <w:t xml:space="preserve"> </w:t>
      </w:r>
      <w:r w:rsidRPr="00E32FD3">
        <w:rPr>
          <w:rFonts w:ascii="Arial" w:hAnsi="Arial" w:cs="Arial"/>
        </w:rPr>
        <w:t xml:space="preserve">For SMEs, the future of generative AI is reshaping financial workflows, with features like automated bookkeeping, real-time cash flow forecasting, predictive payroll, and intelligent invoice matching becoming </w:t>
      </w:r>
      <w:r w:rsidR="00692319" w:rsidRPr="00E32FD3">
        <w:rPr>
          <w:rFonts w:ascii="Arial" w:hAnsi="Arial" w:cs="Arial"/>
        </w:rPr>
        <w:t>essential. For</w:t>
      </w:r>
      <w:r w:rsidRPr="00E32FD3">
        <w:rPr>
          <w:rFonts w:ascii="Arial" w:hAnsi="Arial" w:cs="Arial"/>
        </w:rPr>
        <w:t xml:space="preserve"> SMEs, the impact of generative AI is reshaping financial workflows, making automated bookkeeping, real-time cash flow forecasting, predictive payroll, and intelligent invoice matching more than just a luxury – it's a necessity. Open Banking APIs are making bank data more accessible, </w:t>
      </w:r>
      <w:r w:rsidRPr="00E32FD3">
        <w:rPr>
          <w:rFonts w:ascii="Arial" w:hAnsi="Arial" w:cs="Arial"/>
        </w:rPr>
        <w:lastRenderedPageBreak/>
        <w:t>and integrating it in real-time while reducing the expenses of financial data aggregation. While Sage Copilot puts Sage at the cutting edge of AI-powered SME finance, Xero and Intuit QuickBooks are also putting significant efforts into similar features. First-mover advantage is an advantage of a limited duration — and differentiation will be achieved, not only through announcing the features, but through executing them.</w:t>
      </w:r>
    </w:p>
    <w:p w14:paraId="0BED6C72" w14:textId="117675BB" w:rsidR="009C5D54" w:rsidRPr="00E32FD3" w:rsidRDefault="009C5D54" w:rsidP="009C5D54">
      <w:pPr>
        <w:rPr>
          <w:rFonts w:ascii="Arial" w:hAnsi="Arial" w:cs="Arial"/>
        </w:rPr>
      </w:pPr>
      <w:r w:rsidRPr="00692319">
        <w:rPr>
          <w:rFonts w:ascii="Arial" w:hAnsi="Arial" w:cs="Arial"/>
          <w:b/>
          <w:bCs/>
        </w:rPr>
        <w:t>Environmental</w:t>
      </w:r>
      <w:r w:rsidR="008C58CF" w:rsidRPr="00692319">
        <w:rPr>
          <w:rFonts w:ascii="Arial" w:hAnsi="Arial" w:cs="Arial"/>
          <w:b/>
          <w:bCs/>
        </w:rPr>
        <w:t>:</w:t>
      </w:r>
      <w:r>
        <w:t xml:space="preserve"> </w:t>
      </w:r>
      <w:r w:rsidRPr="00E32FD3">
        <w:rPr>
          <w:rFonts w:ascii="Arial" w:hAnsi="Arial" w:cs="Arial"/>
        </w:rPr>
        <w:t>Sage is rated as an MSCI AAA ESG rated company and a CDP Climate Change 'A' rated company (CDP, 2025; Sage Group plc, 2025a), ranking it amongst the best companies in its technology peer group. It's paperless MTD compliance solutions that address both commercial and environmental goals. Larger accountancy firms and enterprise clients are increasingly setting ESG as part of their procurement process, giving Sage an actual asset, not just a reputational boost, to be able to claim environmental standing.</w:t>
      </w:r>
    </w:p>
    <w:p w14:paraId="15C6AC76" w14:textId="7A9967A5" w:rsidR="00746BD9" w:rsidRPr="00E32FD3" w:rsidRDefault="009C5D54" w:rsidP="00746BD9">
      <w:pPr>
        <w:rPr>
          <w:rFonts w:ascii="Arial" w:hAnsi="Arial" w:cs="Arial"/>
        </w:rPr>
      </w:pPr>
      <w:r w:rsidRPr="00692319">
        <w:rPr>
          <w:rFonts w:ascii="Arial" w:hAnsi="Arial" w:cs="Arial"/>
          <w:b/>
          <w:bCs/>
        </w:rPr>
        <w:t>Legal</w:t>
      </w:r>
      <w:r w:rsidR="008C58CF" w:rsidRPr="00692319">
        <w:rPr>
          <w:rFonts w:ascii="Arial" w:hAnsi="Arial" w:cs="Arial"/>
          <w:b/>
          <w:bCs/>
        </w:rPr>
        <w:t>:</w:t>
      </w:r>
      <w:r>
        <w:t xml:space="preserve"> </w:t>
      </w:r>
      <w:r w:rsidRPr="00E32FD3">
        <w:rPr>
          <w:rFonts w:ascii="Arial" w:hAnsi="Arial" w:cs="Arial"/>
        </w:rPr>
        <w:t xml:space="preserve">UK GDPR and Data Protection Act 2018 have stringent requirements on any software that processes financial data for SMEs. Indeed, in the data governance assessment, the incident of the 2016 Sage data breach of around 280 UK businesses, due to a malicious insider, is a talking point (BBC, 2016). Since then, Sage has significantly reinforced its access control system, but the hacking incident shows the risks to its reputation and legal liability that data security failures can impose on an industry where trust is paramount to business survival. </w:t>
      </w:r>
    </w:p>
    <w:p w14:paraId="1177C9D8" w14:textId="1DEC47A9" w:rsidR="00746BD9" w:rsidRPr="00692319" w:rsidRDefault="00766262" w:rsidP="00766262">
      <w:pPr>
        <w:pStyle w:val="Heading3"/>
        <w:rPr>
          <w:rFonts w:ascii="Arial" w:hAnsi="Arial" w:cs="Arial"/>
        </w:rPr>
      </w:pPr>
      <w:bookmarkStart w:id="5" w:name="_Toc231772965"/>
      <w:r w:rsidRPr="00692319">
        <w:rPr>
          <w:rFonts w:ascii="Arial" w:hAnsi="Arial" w:cs="Arial"/>
        </w:rPr>
        <w:t>VRIO Analysis</w:t>
      </w:r>
      <w:bookmarkEnd w:id="5"/>
    </w:p>
    <w:p w14:paraId="554BC02C" w14:textId="5B66EFF0" w:rsidR="008F5FB6" w:rsidRDefault="00E42AB4" w:rsidP="00E42AB4">
      <w:r w:rsidRPr="00E32FD3">
        <w:rPr>
          <w:rFonts w:ascii="Arial" w:hAnsi="Arial" w:cs="Arial"/>
        </w:rPr>
        <w:t>The VRIO framework (</w:t>
      </w:r>
      <w:r w:rsidR="00EC5A82" w:rsidRPr="00E32FD3">
        <w:rPr>
          <w:rFonts w:ascii="Arial" w:hAnsi="Arial" w:cs="Arial"/>
        </w:rPr>
        <w:t>Marcus, 2015</w:t>
      </w:r>
      <w:r w:rsidRPr="00E32FD3">
        <w:rPr>
          <w:rFonts w:ascii="Arial" w:hAnsi="Arial" w:cs="Arial"/>
        </w:rPr>
        <w:t xml:space="preserve">; Barney and Hesterly, 2015) compares internal resources and capabilities to temporary advantages and competitive parity by analyzing four factors: Value, Rarity, Imitability and </w:t>
      </w:r>
      <w:proofErr w:type="spellStart"/>
      <w:r w:rsidRPr="00E32FD3">
        <w:rPr>
          <w:rFonts w:ascii="Arial" w:hAnsi="Arial" w:cs="Arial"/>
        </w:rPr>
        <w:t>Organisation</w:t>
      </w:r>
      <w:proofErr w:type="spellEnd"/>
      <w:r w:rsidRPr="00E32FD3">
        <w:rPr>
          <w:rFonts w:ascii="Arial" w:hAnsi="Arial" w:cs="Arial"/>
        </w:rPr>
        <w:t>. Below is an analysis of Sage's most important resources.</w:t>
      </w:r>
      <w:r w:rsidR="00F235E9">
        <w:t xml:space="preserve"> </w:t>
      </w:r>
    </w:p>
    <w:p w14:paraId="1B0D9821" w14:textId="714FEE82" w:rsidR="008424EA" w:rsidRDefault="008F5FB6" w:rsidP="00E42AB4">
      <w:r w:rsidRPr="008F5FB6">
        <w:rPr>
          <w:noProof/>
        </w:rPr>
        <w:lastRenderedPageBreak/>
        <w:drawing>
          <wp:inline distT="0" distB="0" distL="0" distR="0" wp14:anchorId="021A8C37" wp14:editId="748C4FE2">
            <wp:extent cx="5943600" cy="4861560"/>
            <wp:effectExtent l="0" t="0" r="0" b="0"/>
            <wp:docPr id="393128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5900"/>
                    <a:stretch>
                      <a:fillRect/>
                    </a:stretch>
                  </pic:blipFill>
                  <pic:spPr bwMode="auto">
                    <a:xfrm>
                      <a:off x="0" y="0"/>
                      <a:ext cx="5943600" cy="4861560"/>
                    </a:xfrm>
                    <a:prstGeom prst="rect">
                      <a:avLst/>
                    </a:prstGeom>
                    <a:noFill/>
                    <a:ln>
                      <a:noFill/>
                    </a:ln>
                    <a:extLst>
                      <a:ext uri="{53640926-AAD7-44D8-BBD7-CCE9431645EC}">
                        <a14:shadowObscured xmlns:a14="http://schemas.microsoft.com/office/drawing/2010/main"/>
                      </a:ext>
                    </a:extLst>
                  </pic:spPr>
                </pic:pic>
              </a:graphicData>
            </a:graphic>
          </wp:inline>
        </w:drawing>
      </w:r>
      <w:r w:rsidR="008424EA">
        <w:t xml:space="preserve"> </w:t>
      </w:r>
    </w:p>
    <w:p w14:paraId="25D91A10" w14:textId="72448A5B" w:rsidR="001A3D18" w:rsidRPr="007E40C8" w:rsidRDefault="004A6AC8" w:rsidP="007E40C8">
      <w:pPr>
        <w:jc w:val="center"/>
        <w:rPr>
          <w:rFonts w:ascii="Arial" w:hAnsi="Arial" w:cs="Arial"/>
        </w:rPr>
      </w:pPr>
      <w:r w:rsidRPr="007E40C8">
        <w:rPr>
          <w:rFonts w:ascii="Arial" w:hAnsi="Arial" w:cs="Arial"/>
        </w:rPr>
        <w:t>Table</w:t>
      </w:r>
      <w:r w:rsidR="001A3D18" w:rsidRPr="007E40C8">
        <w:rPr>
          <w:rFonts w:ascii="Arial" w:hAnsi="Arial" w:cs="Arial"/>
        </w:rPr>
        <w:t xml:space="preserve"> 1: VRIO Analysis (Barney and Hesterly, 2015)</w:t>
      </w:r>
    </w:p>
    <w:p w14:paraId="0CD8A1E5" w14:textId="281BAC63" w:rsidR="00E42AB4" w:rsidRPr="00E32FD3" w:rsidRDefault="00E42AB4" w:rsidP="00E42AB4">
      <w:pPr>
        <w:rPr>
          <w:rFonts w:ascii="Arial" w:hAnsi="Arial" w:cs="Arial"/>
        </w:rPr>
      </w:pPr>
      <w:r w:rsidRPr="00692319">
        <w:rPr>
          <w:rFonts w:ascii="Arial" w:hAnsi="Arial" w:cs="Arial"/>
          <w:b/>
          <w:bCs/>
        </w:rPr>
        <w:t>Brand and SME Reputation (Sustained Advantage):</w:t>
      </w:r>
      <w:r>
        <w:t xml:space="preserve"> </w:t>
      </w:r>
      <w:r w:rsidRPr="00E32FD3">
        <w:rPr>
          <w:rFonts w:ascii="Arial" w:hAnsi="Arial" w:cs="Arial"/>
        </w:rPr>
        <w:t>Sage's 40-year brand history has developed specifically in the SME space and meets all four VRIO criteria. Its value is the brand — it engenders trust and purchase decisions with its customers, its rarity</w:t>
      </w:r>
      <w:r w:rsidR="00271FC0" w:rsidRPr="00E32FD3">
        <w:rPr>
          <w:rFonts w:ascii="Arial" w:hAnsi="Arial" w:cs="Arial"/>
        </w:rPr>
        <w:t xml:space="preserve">, </w:t>
      </w:r>
      <w:r w:rsidRPr="00E32FD3">
        <w:rPr>
          <w:rFonts w:ascii="Arial" w:hAnsi="Arial" w:cs="Arial"/>
        </w:rPr>
        <w:t>no other competitor can boast a similar heritage in the SME sector in the UK, its inimitable</w:t>
      </w:r>
      <w:r w:rsidR="00271FC0" w:rsidRPr="00E32FD3">
        <w:rPr>
          <w:rFonts w:ascii="Arial" w:hAnsi="Arial" w:cs="Arial"/>
        </w:rPr>
        <w:t>,</w:t>
      </w:r>
      <w:r w:rsidRPr="00E32FD3">
        <w:rPr>
          <w:rFonts w:ascii="Arial" w:hAnsi="Arial" w:cs="Arial"/>
        </w:rPr>
        <w:t xml:space="preserve"> its brand equity is not something which can be bought or reverse engineered, and its </w:t>
      </w:r>
      <w:proofErr w:type="spellStart"/>
      <w:r w:rsidRPr="00E32FD3">
        <w:rPr>
          <w:rFonts w:ascii="Arial" w:hAnsi="Arial" w:cs="Arial"/>
        </w:rPr>
        <w:t>organisation</w:t>
      </w:r>
      <w:proofErr w:type="spellEnd"/>
      <w:r w:rsidRPr="00E32FD3">
        <w:rPr>
          <w:rFonts w:ascii="Arial" w:hAnsi="Arial" w:cs="Arial"/>
        </w:rPr>
        <w:t xml:space="preserve"> </w:t>
      </w:r>
      <w:r w:rsidR="00271FC0" w:rsidRPr="00E32FD3">
        <w:rPr>
          <w:rFonts w:ascii="Arial" w:hAnsi="Arial" w:cs="Arial"/>
        </w:rPr>
        <w:t xml:space="preserve">, </w:t>
      </w:r>
      <w:r w:rsidRPr="00E32FD3">
        <w:rPr>
          <w:rFonts w:ascii="Arial" w:hAnsi="Arial" w:cs="Arial"/>
        </w:rPr>
        <w:t>Sage's marketing and partner strategies are designed to build and strengthen brand recognition. This constitutes a sustained competitive advantage.</w:t>
      </w:r>
    </w:p>
    <w:p w14:paraId="6DC7966B" w14:textId="2B903A13" w:rsidR="00E42AB4" w:rsidRPr="00E32FD3" w:rsidRDefault="00E42AB4" w:rsidP="00E42AB4">
      <w:pPr>
        <w:rPr>
          <w:rFonts w:ascii="Arial" w:hAnsi="Arial" w:cs="Arial"/>
        </w:rPr>
      </w:pPr>
      <w:r w:rsidRPr="00692319">
        <w:rPr>
          <w:rFonts w:ascii="Arial" w:hAnsi="Arial" w:cs="Arial"/>
          <w:b/>
          <w:bCs/>
        </w:rPr>
        <w:t>UK Accountant and Partner Network (Sustained Advantage):</w:t>
      </w:r>
      <w:r w:rsidRPr="00E32FD3">
        <w:rPr>
          <w:rFonts w:ascii="Arial" w:hAnsi="Arial" w:cs="Arial"/>
        </w:rPr>
        <w:t xml:space="preserve"> Sage's huge network of certified UK accountants and bookkeepers who recommend and implement Sage products serves as a channel and a loyalty mechanism. The impact of the </w:t>
      </w:r>
      <w:r w:rsidRPr="00E32FD3">
        <w:rPr>
          <w:rFonts w:ascii="Arial" w:hAnsi="Arial" w:cs="Arial"/>
        </w:rPr>
        <w:lastRenderedPageBreak/>
        <w:t xml:space="preserve">recommendations of accountants in the software selection of SMEs is significant, and, as such, this network can effectively outsource a part of Sage's sales efforts to trusted third parties. It is valuable, rare, difficult to imitate (because of the depth of the relationship), and is actively </w:t>
      </w:r>
      <w:proofErr w:type="spellStart"/>
      <w:r w:rsidRPr="00E32FD3">
        <w:rPr>
          <w:rFonts w:ascii="Arial" w:hAnsi="Arial" w:cs="Arial"/>
        </w:rPr>
        <w:t>organised</w:t>
      </w:r>
      <w:proofErr w:type="spellEnd"/>
      <w:r w:rsidRPr="00E32FD3">
        <w:rPr>
          <w:rFonts w:ascii="Arial" w:hAnsi="Arial" w:cs="Arial"/>
        </w:rPr>
        <w:t xml:space="preserve"> through Sage's partner </w:t>
      </w:r>
      <w:proofErr w:type="spellStart"/>
      <w:r w:rsidRPr="00E32FD3">
        <w:rPr>
          <w:rFonts w:ascii="Arial" w:hAnsi="Arial" w:cs="Arial"/>
        </w:rPr>
        <w:t>programme</w:t>
      </w:r>
      <w:proofErr w:type="spellEnd"/>
      <w:r w:rsidRPr="00E32FD3">
        <w:rPr>
          <w:rFonts w:ascii="Arial" w:hAnsi="Arial" w:cs="Arial"/>
        </w:rPr>
        <w:t>.</w:t>
      </w:r>
    </w:p>
    <w:p w14:paraId="1CE28AF9" w14:textId="2EBADDAD" w:rsidR="00E42AB4" w:rsidRPr="00E32FD3" w:rsidRDefault="00E42AB4" w:rsidP="00E42AB4">
      <w:pPr>
        <w:rPr>
          <w:rFonts w:ascii="Arial" w:hAnsi="Arial" w:cs="Arial"/>
        </w:rPr>
      </w:pPr>
      <w:r w:rsidRPr="00692319">
        <w:rPr>
          <w:rFonts w:ascii="Arial" w:hAnsi="Arial" w:cs="Arial"/>
          <w:b/>
          <w:bCs/>
        </w:rPr>
        <w:t xml:space="preserve">Installed Customer Base of 6 </w:t>
      </w:r>
      <w:proofErr w:type="gramStart"/>
      <w:r w:rsidRPr="00692319">
        <w:rPr>
          <w:rFonts w:ascii="Arial" w:hAnsi="Arial" w:cs="Arial"/>
          <w:b/>
          <w:bCs/>
        </w:rPr>
        <w:t>Million</w:t>
      </w:r>
      <w:proofErr w:type="gramEnd"/>
      <w:r w:rsidRPr="00692319">
        <w:rPr>
          <w:rFonts w:ascii="Arial" w:hAnsi="Arial" w:cs="Arial"/>
          <w:b/>
          <w:bCs/>
        </w:rPr>
        <w:t>+ SMEs (Sustained Advantage):</w:t>
      </w:r>
      <w:r>
        <w:t xml:space="preserve"> </w:t>
      </w:r>
      <w:r w:rsidRPr="00E32FD3">
        <w:rPr>
          <w:rFonts w:ascii="Arial" w:hAnsi="Arial" w:cs="Arial"/>
        </w:rPr>
        <w:t xml:space="preserve">The size of Sage's customer base brings switching cost benefits, cross-sell possibilities and </w:t>
      </w:r>
      <w:r w:rsidR="00692319" w:rsidRPr="00E32FD3">
        <w:rPr>
          <w:rFonts w:ascii="Arial" w:hAnsi="Arial" w:cs="Arial"/>
        </w:rPr>
        <w:t>crucially, a</w:t>
      </w:r>
      <w:r w:rsidRPr="00E32FD3">
        <w:rPr>
          <w:rFonts w:ascii="Arial" w:hAnsi="Arial" w:cs="Arial"/>
        </w:rPr>
        <w:t xml:space="preserve"> customer financial data set that's uniquely large and owned. This data set will be used as a training and validation set for the development of AI models, which competitors cannot easily duplicate if they want to gain the same market share.</w:t>
      </w:r>
    </w:p>
    <w:p w14:paraId="39FA2EED" w14:textId="1E559B6D" w:rsidR="00E42AB4" w:rsidRPr="00E32FD3" w:rsidRDefault="00E42AB4" w:rsidP="00E42AB4">
      <w:pPr>
        <w:rPr>
          <w:rFonts w:ascii="Arial" w:hAnsi="Arial" w:cs="Arial"/>
        </w:rPr>
      </w:pPr>
      <w:r w:rsidRPr="00692319">
        <w:rPr>
          <w:rFonts w:ascii="Arial" w:hAnsi="Arial" w:cs="Arial"/>
          <w:b/>
          <w:bCs/>
        </w:rPr>
        <w:t>Sage Copilot AI Suite (Temporary Advantage):</w:t>
      </w:r>
      <w:r>
        <w:t xml:space="preserve"> </w:t>
      </w:r>
      <w:r w:rsidRPr="00E32FD3">
        <w:rPr>
          <w:rFonts w:ascii="Arial" w:hAnsi="Arial" w:cs="Arial"/>
        </w:rPr>
        <w:t>While Sage Copilot is useful and currently scarce in so many ways as an MTD integration, it's not quite so easy to replicate. Xero and QuickBooks are both actively working on generative AI features, while the large language model technology is readily available. The benefit is real but time-limited – there’s no such thing as a one-off launch – it needs to be continually invested in the features.</w:t>
      </w:r>
    </w:p>
    <w:p w14:paraId="4DE703FA" w14:textId="3B0319C9" w:rsidR="00E42AB4" w:rsidRPr="00E32FD3" w:rsidRDefault="00E42AB4" w:rsidP="00E42AB4">
      <w:pPr>
        <w:rPr>
          <w:rFonts w:ascii="Arial" w:hAnsi="Arial" w:cs="Arial"/>
        </w:rPr>
      </w:pPr>
      <w:r w:rsidRPr="00692319">
        <w:rPr>
          <w:rFonts w:ascii="Arial" w:hAnsi="Arial" w:cs="Arial"/>
          <w:b/>
          <w:bCs/>
        </w:rPr>
        <w:t>MTD Compliance Infrastructure (Temporary Advantage):</w:t>
      </w:r>
      <w:r w:rsidRPr="00E32FD3">
        <w:rPr>
          <w:rFonts w:ascii="Arial" w:hAnsi="Arial" w:cs="Arial"/>
        </w:rPr>
        <w:t xml:space="preserve"> Sage's MTD tools are useful and are not widely available, with Sage being the only provider to offer an MTD Income Tax AI Agent. But as time goes on, MTD will become a commonplace requirement for all providers, and gradually grow less unusual. The benefit should be capitalized on with force during the current window before the compliance level of the competitors reaches parity.</w:t>
      </w:r>
    </w:p>
    <w:p w14:paraId="0F4A7310" w14:textId="6ABD0601" w:rsidR="007D62DA" w:rsidRPr="007E40C8" w:rsidRDefault="00E42AB4" w:rsidP="007D62DA">
      <w:pPr>
        <w:rPr>
          <w:rFonts w:ascii="Arial" w:hAnsi="Arial" w:cs="Arial"/>
        </w:rPr>
      </w:pPr>
      <w:r w:rsidRPr="00692319">
        <w:rPr>
          <w:rFonts w:ascii="Arial" w:hAnsi="Arial" w:cs="Arial"/>
          <w:b/>
          <w:bCs/>
        </w:rPr>
        <w:t>Balance Sheet Position (Competitive Parity / Weakness):</w:t>
      </w:r>
      <w:r>
        <w:t xml:space="preserve"> </w:t>
      </w:r>
      <w:r w:rsidRPr="00E32FD3">
        <w:rPr>
          <w:rFonts w:ascii="Arial" w:hAnsi="Arial" w:cs="Arial"/>
        </w:rPr>
        <w:t xml:space="preserve">Sage's financial capital is not a rarity or untouchable within the FTSE 100 technology sector, given its revenue of £2,513m in FY2025 and operating cash flow of £528m. Structural weaknesses are also evident on the FY2025 balance sheet, with the current ratio being 0.64 (lower than the conventional 1.0 benchmark), total equity decreasing from £1,093m in FY2024 to £720m in FY2025 after the share buyback </w:t>
      </w:r>
      <w:proofErr w:type="spellStart"/>
      <w:r w:rsidRPr="00E32FD3">
        <w:rPr>
          <w:rFonts w:ascii="Arial" w:hAnsi="Arial" w:cs="Arial"/>
        </w:rPr>
        <w:t>programme</w:t>
      </w:r>
      <w:proofErr w:type="spellEnd"/>
      <w:r w:rsidRPr="00E32FD3">
        <w:rPr>
          <w:rFonts w:ascii="Arial" w:hAnsi="Arial" w:cs="Arial"/>
        </w:rPr>
        <w:t xml:space="preserve"> of £605m (Sage Group plc, 2025a), and a debt-to-equity ratio of 2.19. These ratios are not competitive advantage ratios, but ratios that limit strategic flexibility that need to be considered in implementation planning.</w:t>
      </w:r>
    </w:p>
    <w:p w14:paraId="362CD7E6" w14:textId="77777777" w:rsidR="007D62DA" w:rsidRPr="00692319" w:rsidRDefault="007D62DA" w:rsidP="007D62DA">
      <w:pPr>
        <w:pStyle w:val="Heading3"/>
        <w:rPr>
          <w:rFonts w:ascii="Arial" w:hAnsi="Arial" w:cs="Arial"/>
        </w:rPr>
      </w:pPr>
      <w:bookmarkStart w:id="6" w:name="_Toc231772966"/>
      <w:r w:rsidRPr="00692319">
        <w:rPr>
          <w:rFonts w:ascii="Arial" w:hAnsi="Arial" w:cs="Arial"/>
        </w:rPr>
        <w:lastRenderedPageBreak/>
        <w:t>SWOT Analysis</w:t>
      </w:r>
      <w:bookmarkEnd w:id="6"/>
    </w:p>
    <w:p w14:paraId="71635709" w14:textId="77777777" w:rsidR="007D62DA" w:rsidRPr="00E32FD3" w:rsidRDefault="007D62DA" w:rsidP="007D62DA">
      <w:pPr>
        <w:rPr>
          <w:rFonts w:ascii="Arial" w:hAnsi="Arial" w:cs="Arial"/>
        </w:rPr>
      </w:pPr>
      <w:r w:rsidRPr="00E32FD3">
        <w:rPr>
          <w:rFonts w:ascii="Arial" w:hAnsi="Arial" w:cs="Arial"/>
        </w:rPr>
        <w:t>The SWOT analysis combines the results of PESTEL and VRIO analysis into a single strategic image that highlights the most important tensions for strategic recommendations.</w:t>
      </w:r>
    </w:p>
    <w:p w14:paraId="1145F21B" w14:textId="689764BA" w:rsidR="001A3D18" w:rsidRDefault="0002711D" w:rsidP="001A3D18">
      <w:pPr>
        <w:jc w:val="center"/>
      </w:pPr>
      <w:r>
        <w:rPr>
          <w:noProof/>
        </w:rPr>
        <w:drawing>
          <wp:inline distT="0" distB="0" distL="0" distR="0" wp14:anchorId="1300198D" wp14:editId="0BF76D81">
            <wp:extent cx="5943600" cy="6243320"/>
            <wp:effectExtent l="0" t="0" r="0" b="5080"/>
            <wp:docPr id="227093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093089" name=""/>
                    <pic:cNvPicPr/>
                  </pic:nvPicPr>
                  <pic:blipFill>
                    <a:blip r:embed="rId19"/>
                    <a:stretch>
                      <a:fillRect/>
                    </a:stretch>
                  </pic:blipFill>
                  <pic:spPr>
                    <a:xfrm>
                      <a:off x="0" y="0"/>
                      <a:ext cx="5943600" cy="6243320"/>
                    </a:xfrm>
                    <a:prstGeom prst="rect">
                      <a:avLst/>
                    </a:prstGeom>
                  </pic:spPr>
                </pic:pic>
              </a:graphicData>
            </a:graphic>
          </wp:inline>
        </w:drawing>
      </w:r>
    </w:p>
    <w:p w14:paraId="6D6AA55A" w14:textId="2E30B4AC" w:rsidR="001A3D18" w:rsidRPr="00692319" w:rsidRDefault="001A3D18" w:rsidP="001A3D18">
      <w:pPr>
        <w:jc w:val="center"/>
        <w:rPr>
          <w:rFonts w:ascii="Arial" w:hAnsi="Arial" w:cs="Arial"/>
        </w:rPr>
      </w:pPr>
      <w:r w:rsidRPr="00692319">
        <w:rPr>
          <w:rFonts w:ascii="Arial" w:hAnsi="Arial" w:cs="Arial"/>
        </w:rPr>
        <w:t>Image 3</w:t>
      </w:r>
      <w:r w:rsidR="00FB21F9" w:rsidRPr="00692319">
        <w:rPr>
          <w:rFonts w:ascii="Arial" w:hAnsi="Arial" w:cs="Arial"/>
        </w:rPr>
        <w:t xml:space="preserve">: SWOT Analysis </w:t>
      </w:r>
      <w:r w:rsidR="00BA32AD" w:rsidRPr="00692319">
        <w:rPr>
          <w:rFonts w:ascii="Arial" w:hAnsi="Arial" w:cs="Arial"/>
        </w:rPr>
        <w:t>(Barney, and Hesterly, (2015)</w:t>
      </w:r>
      <w:r w:rsidR="0002711D" w:rsidRPr="00692319">
        <w:rPr>
          <w:rFonts w:ascii="Arial" w:hAnsi="Arial" w:cs="Arial"/>
        </w:rPr>
        <w:t xml:space="preserve"> </w:t>
      </w:r>
    </w:p>
    <w:p w14:paraId="0B0EF53A" w14:textId="77777777" w:rsidR="007D62DA" w:rsidRPr="00E32FD3" w:rsidRDefault="007D62DA" w:rsidP="007D62DA">
      <w:pPr>
        <w:rPr>
          <w:rFonts w:ascii="Arial" w:hAnsi="Arial" w:cs="Arial"/>
        </w:rPr>
      </w:pPr>
      <w:r w:rsidRPr="00692319">
        <w:rPr>
          <w:rFonts w:ascii="Arial" w:hAnsi="Arial" w:cs="Arial"/>
          <w:b/>
          <w:bCs/>
        </w:rPr>
        <w:lastRenderedPageBreak/>
        <w:t>Strengths:</w:t>
      </w:r>
      <w:r>
        <w:t xml:space="preserve"> </w:t>
      </w:r>
      <w:r w:rsidRPr="00E32FD3">
        <w:rPr>
          <w:rFonts w:ascii="Arial" w:hAnsi="Arial" w:cs="Arial"/>
        </w:rPr>
        <w:t>Sage's key differentiators lie in its brand, the UK accountant network and the volume of SME customers it has installed. They're further supported by solid operating performance – revenue up 7.8% to £2,513m in FY2025 and operating cash flow of £528m – and the first-mover advantage in AI-driven MTD compliance. The reputational boost from Sage's MSCI AAA ESG rating is welcome in a world where ESG is a significant factor in procurement.</w:t>
      </w:r>
    </w:p>
    <w:p w14:paraId="57E25669" w14:textId="77777777" w:rsidR="007D62DA" w:rsidRPr="00E32FD3" w:rsidRDefault="007D62DA" w:rsidP="007D62DA">
      <w:pPr>
        <w:rPr>
          <w:rFonts w:ascii="Arial" w:hAnsi="Arial" w:cs="Arial"/>
        </w:rPr>
      </w:pPr>
      <w:r w:rsidRPr="00692319">
        <w:rPr>
          <w:rFonts w:ascii="Arial" w:hAnsi="Arial" w:cs="Arial"/>
          <w:b/>
          <w:bCs/>
        </w:rPr>
        <w:t>Weaknesses:</w:t>
      </w:r>
      <w:r>
        <w:t xml:space="preserve"> </w:t>
      </w:r>
      <w:r w:rsidRPr="00E32FD3">
        <w:rPr>
          <w:rFonts w:ascii="Arial" w:hAnsi="Arial" w:cs="Arial"/>
        </w:rPr>
        <w:t xml:space="preserve">The biggest risk is deterioration in the balance sheet due to the £605m share buyback </w:t>
      </w:r>
      <w:proofErr w:type="spellStart"/>
      <w:r w:rsidRPr="00E32FD3">
        <w:rPr>
          <w:rFonts w:ascii="Arial" w:hAnsi="Arial" w:cs="Arial"/>
        </w:rPr>
        <w:t>programme</w:t>
      </w:r>
      <w:proofErr w:type="spellEnd"/>
      <w:r w:rsidRPr="00E32FD3">
        <w:rPr>
          <w:rFonts w:ascii="Arial" w:hAnsi="Arial" w:cs="Arial"/>
        </w:rPr>
        <w:t>. The current ratio is 0.64 while the debt-to-equity ratio is 2.19, which restrict Sage's debt-financed acquisition capabilities and its ability to invest heavily in research and development – at a time when AI consolidation could speed up. A second weakness is Sage's UX perception gap when compared to Xero among the younger, digitally-native SME founders – a group that will make up a larger proportion of the UK SME market in the coming decade. While the 2016 data breach leaving a significant footprint has been largely addressed, it has reared its head as a sensitivity in enterprise procurement processes.</w:t>
      </w:r>
    </w:p>
    <w:p w14:paraId="2119D7A8" w14:textId="77777777" w:rsidR="007D62DA" w:rsidRPr="00E32FD3" w:rsidRDefault="007D62DA" w:rsidP="007D62DA">
      <w:pPr>
        <w:rPr>
          <w:rFonts w:ascii="Arial" w:hAnsi="Arial" w:cs="Arial"/>
        </w:rPr>
      </w:pPr>
      <w:r w:rsidRPr="00692319">
        <w:rPr>
          <w:rFonts w:ascii="Arial" w:hAnsi="Arial" w:cs="Arial"/>
          <w:b/>
          <w:bCs/>
        </w:rPr>
        <w:t>Opportunities:</w:t>
      </w:r>
      <w:r>
        <w:t xml:space="preserve"> </w:t>
      </w:r>
      <w:r w:rsidRPr="00E32FD3">
        <w:rPr>
          <w:rFonts w:ascii="Arial" w:hAnsi="Arial" w:cs="Arial"/>
        </w:rPr>
        <w:t>The MTD Income Tax mandate (April 2026) is the most imminent strategic opportunity as it is a mass switching event for the UK self-employed and small businesses who are non-compliant today. This cohort is captured well by the existing MTD infrastructure and AI Agent on Sage. In addition to MTD, there are opportunities to upsell customers to the premium subscription tier through Sage Copilot, as AI is transforming the financial workflows of SMEs. The acquisition of Inform SAS is a new adjacent growth opportunity in the French ERP market.</w:t>
      </w:r>
    </w:p>
    <w:p w14:paraId="777315E1" w14:textId="77777777" w:rsidR="007D62DA" w:rsidRPr="00E32FD3" w:rsidRDefault="007D62DA" w:rsidP="007D62DA">
      <w:pPr>
        <w:rPr>
          <w:rFonts w:ascii="Arial" w:hAnsi="Arial" w:cs="Arial"/>
        </w:rPr>
      </w:pPr>
      <w:r w:rsidRPr="00692319">
        <w:rPr>
          <w:rFonts w:ascii="Arial" w:hAnsi="Arial" w:cs="Arial"/>
          <w:b/>
          <w:bCs/>
        </w:rPr>
        <w:t>Threats:</w:t>
      </w:r>
      <w:r>
        <w:t xml:space="preserve"> </w:t>
      </w:r>
      <w:r w:rsidRPr="00E32FD3">
        <w:rPr>
          <w:rFonts w:ascii="Arial" w:hAnsi="Arial" w:cs="Arial"/>
        </w:rPr>
        <w:t xml:space="preserve">The main external threat is competition. Xero's dominance in the UK PPC market with 45% share of new business starts is testament to its popularity among customers that will make up Sage's future renewal base. Intuit QuickBooks' AI investment program and Microsoft Dynamics 365 ERP for mid-market businesses add to the competition. On the macro level, economic uncertainty elsewhere in the UK is limiting SME software investment spending, and the threat posed by AI </w:t>
      </w:r>
      <w:proofErr w:type="spellStart"/>
      <w:r w:rsidRPr="00E32FD3">
        <w:rPr>
          <w:rFonts w:ascii="Arial" w:hAnsi="Arial" w:cs="Arial"/>
        </w:rPr>
        <w:t>commoditisation</w:t>
      </w:r>
      <w:proofErr w:type="spellEnd"/>
      <w:r w:rsidRPr="00E32FD3">
        <w:rPr>
          <w:rFonts w:ascii="Arial" w:hAnsi="Arial" w:cs="Arial"/>
        </w:rPr>
        <w:t xml:space="preserve"> — all major providers getting to the same level of features — may accelerate the </w:t>
      </w:r>
      <w:proofErr w:type="spellStart"/>
      <w:r w:rsidRPr="00E32FD3">
        <w:rPr>
          <w:rFonts w:ascii="Arial" w:hAnsi="Arial" w:cs="Arial"/>
        </w:rPr>
        <w:lastRenderedPageBreak/>
        <w:t>commoditisation</w:t>
      </w:r>
      <w:proofErr w:type="spellEnd"/>
      <w:r w:rsidRPr="00E32FD3">
        <w:rPr>
          <w:rFonts w:ascii="Arial" w:hAnsi="Arial" w:cs="Arial"/>
        </w:rPr>
        <w:t xml:space="preserve"> of Sage Copilot sooner than expected. There is an ongoing legal and reputational risk due to cybersecurity threats and changing enforcement of the UK GDPR.</w:t>
      </w:r>
    </w:p>
    <w:p w14:paraId="1DE4F90F" w14:textId="7500B5A9" w:rsidR="00626345" w:rsidRPr="00E32FD3" w:rsidRDefault="007D62DA" w:rsidP="00E42AB4">
      <w:pPr>
        <w:rPr>
          <w:rFonts w:ascii="Arial" w:hAnsi="Arial" w:cs="Arial"/>
        </w:rPr>
      </w:pPr>
      <w:r w:rsidRPr="00E32FD3">
        <w:rPr>
          <w:rFonts w:ascii="Arial" w:hAnsi="Arial" w:cs="Arial"/>
        </w:rPr>
        <w:t xml:space="preserve">The biggest strategic conflict that is coming out of this SWOT analysis is the disparity between Sage's solid income statement and its sloppy balance sheet. This tension is what comes into play in the implementation challenge discussed below, which is how to adjust shareholder returns while meeting the needs of the investment needed for AI growth. </w:t>
      </w:r>
      <w:r w:rsidR="00A454A6" w:rsidRPr="00E32FD3">
        <w:rPr>
          <w:rFonts w:ascii="Arial" w:hAnsi="Arial" w:cs="Arial"/>
        </w:rPr>
        <w:t xml:space="preserve"> </w:t>
      </w:r>
    </w:p>
    <w:p w14:paraId="521FF7AD" w14:textId="06A7E4FC" w:rsidR="000B1A5F" w:rsidRPr="00692319" w:rsidRDefault="000B1A5F" w:rsidP="005308F8">
      <w:pPr>
        <w:pStyle w:val="Heading2"/>
        <w:rPr>
          <w:rFonts w:ascii="Arial" w:hAnsi="Arial" w:cs="Arial"/>
        </w:rPr>
      </w:pPr>
      <w:bookmarkStart w:id="7" w:name="_Toc231772967"/>
      <w:r w:rsidRPr="00692319">
        <w:rPr>
          <w:rFonts w:ascii="Arial" w:hAnsi="Arial" w:cs="Arial"/>
        </w:rPr>
        <w:t xml:space="preserve">Comprehensive and Holistic View of the </w:t>
      </w:r>
      <w:proofErr w:type="spellStart"/>
      <w:r w:rsidRPr="00692319">
        <w:rPr>
          <w:rFonts w:ascii="Arial" w:hAnsi="Arial" w:cs="Arial"/>
        </w:rPr>
        <w:t>Organisation</w:t>
      </w:r>
      <w:bookmarkEnd w:id="7"/>
      <w:proofErr w:type="spellEnd"/>
    </w:p>
    <w:p w14:paraId="3F708C08" w14:textId="77777777" w:rsidR="00596CCD" w:rsidRPr="00692319" w:rsidRDefault="00596CCD" w:rsidP="005308F8">
      <w:pPr>
        <w:pStyle w:val="Heading3"/>
        <w:rPr>
          <w:rFonts w:ascii="Arial" w:hAnsi="Arial" w:cs="Arial"/>
        </w:rPr>
      </w:pPr>
      <w:bookmarkStart w:id="8" w:name="_Toc231772968"/>
      <w:r w:rsidRPr="00692319">
        <w:rPr>
          <w:rFonts w:ascii="Arial" w:hAnsi="Arial" w:cs="Arial"/>
        </w:rPr>
        <w:t>Corporate Social Responsibility</w:t>
      </w:r>
      <w:bookmarkEnd w:id="8"/>
    </w:p>
    <w:p w14:paraId="5BB8DC4E" w14:textId="77777777" w:rsidR="00596CCD" w:rsidRPr="00E32FD3" w:rsidRDefault="00596CCD" w:rsidP="00596CCD">
      <w:pPr>
        <w:rPr>
          <w:rFonts w:ascii="Arial" w:hAnsi="Arial" w:cs="Arial"/>
        </w:rPr>
      </w:pPr>
      <w:r w:rsidRPr="00E32FD3">
        <w:rPr>
          <w:rFonts w:ascii="Arial" w:hAnsi="Arial" w:cs="Arial"/>
        </w:rPr>
        <w:t xml:space="preserve">Sage's CSR strategy is </w:t>
      </w:r>
      <w:proofErr w:type="spellStart"/>
      <w:r w:rsidRPr="00E32FD3">
        <w:rPr>
          <w:rFonts w:ascii="Arial" w:hAnsi="Arial" w:cs="Arial"/>
        </w:rPr>
        <w:t>formalised</w:t>
      </w:r>
      <w:proofErr w:type="spellEnd"/>
      <w:r w:rsidRPr="00E32FD3">
        <w:rPr>
          <w:rFonts w:ascii="Arial" w:hAnsi="Arial" w:cs="Arial"/>
        </w:rPr>
        <w:t xml:space="preserve"> through the Sage Foundation, a 1% pledge </w:t>
      </w:r>
      <w:proofErr w:type="spellStart"/>
      <w:r w:rsidRPr="00E32FD3">
        <w:rPr>
          <w:rFonts w:ascii="Arial" w:hAnsi="Arial" w:cs="Arial"/>
        </w:rPr>
        <w:t>programme</w:t>
      </w:r>
      <w:proofErr w:type="spellEnd"/>
      <w:r w:rsidRPr="00E32FD3">
        <w:rPr>
          <w:rFonts w:ascii="Arial" w:hAnsi="Arial" w:cs="Arial"/>
        </w:rPr>
        <w:t xml:space="preserve"> in the technology sector, the first of its kind, which involves using 1% of employee time, products, equity and profits to social causes (Sage Group plc, 2025a). In the UK it means supporting the ‘underserved’ with entrepreneurship skills, training skills in digital, and developing financial literacy </w:t>
      </w:r>
      <w:proofErr w:type="spellStart"/>
      <w:r w:rsidRPr="00E32FD3">
        <w:rPr>
          <w:rFonts w:ascii="Arial" w:hAnsi="Arial" w:cs="Arial"/>
        </w:rPr>
        <w:t>programmes</w:t>
      </w:r>
      <w:proofErr w:type="spellEnd"/>
      <w:r w:rsidRPr="00E32FD3">
        <w:rPr>
          <w:rFonts w:ascii="Arial" w:hAnsi="Arial" w:cs="Arial"/>
        </w:rPr>
        <w:t xml:space="preserve"> for micro-businesses.</w:t>
      </w:r>
    </w:p>
    <w:p w14:paraId="5D47B4C0" w14:textId="17DA7842" w:rsidR="006B2CFF" w:rsidRDefault="00233E81" w:rsidP="006B2CFF">
      <w:pPr>
        <w:jc w:val="center"/>
      </w:pPr>
      <w:r w:rsidRPr="00233E81">
        <w:rPr>
          <w:noProof/>
        </w:rPr>
        <w:drawing>
          <wp:inline distT="0" distB="0" distL="0" distR="0" wp14:anchorId="33443FF0" wp14:editId="61E3579E">
            <wp:extent cx="5547872" cy="4083850"/>
            <wp:effectExtent l="0" t="0" r="0" b="0"/>
            <wp:docPr id="861675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675377" name=""/>
                    <pic:cNvPicPr/>
                  </pic:nvPicPr>
                  <pic:blipFill>
                    <a:blip r:embed="rId20"/>
                    <a:stretch>
                      <a:fillRect/>
                    </a:stretch>
                  </pic:blipFill>
                  <pic:spPr>
                    <a:xfrm>
                      <a:off x="0" y="0"/>
                      <a:ext cx="5561498" cy="4093880"/>
                    </a:xfrm>
                    <a:prstGeom prst="rect">
                      <a:avLst/>
                    </a:prstGeom>
                  </pic:spPr>
                </pic:pic>
              </a:graphicData>
            </a:graphic>
          </wp:inline>
        </w:drawing>
      </w:r>
    </w:p>
    <w:p w14:paraId="0C3A4809" w14:textId="3BDF8DE7" w:rsidR="006B2CFF" w:rsidRPr="00692319" w:rsidRDefault="006B2CFF" w:rsidP="006B2CFF">
      <w:pPr>
        <w:jc w:val="center"/>
        <w:rPr>
          <w:rFonts w:ascii="Arial" w:hAnsi="Arial" w:cs="Arial"/>
        </w:rPr>
      </w:pPr>
      <w:r w:rsidRPr="00692319">
        <w:rPr>
          <w:rFonts w:ascii="Arial" w:hAnsi="Arial" w:cs="Arial"/>
        </w:rPr>
        <w:lastRenderedPageBreak/>
        <w:t>Image 4: CSR of Sage Group Plc (Sage Group plc, 2025b)</w:t>
      </w:r>
    </w:p>
    <w:p w14:paraId="5DE88E86" w14:textId="77777777" w:rsidR="00596CCD" w:rsidRPr="00E32FD3" w:rsidRDefault="00596CCD" w:rsidP="00596CCD">
      <w:pPr>
        <w:rPr>
          <w:rFonts w:ascii="Arial" w:hAnsi="Arial" w:cs="Arial"/>
        </w:rPr>
      </w:pPr>
      <w:r w:rsidRPr="00E32FD3">
        <w:rPr>
          <w:rFonts w:ascii="Arial" w:hAnsi="Arial" w:cs="Arial"/>
        </w:rPr>
        <w:t xml:space="preserve">Notably, Sage's CSR commitments are not part and parcel of the company's commercial approach but are integral to it. Financial inclusion </w:t>
      </w:r>
      <w:proofErr w:type="spellStart"/>
      <w:r w:rsidRPr="00E32FD3">
        <w:rPr>
          <w:rFonts w:ascii="Arial" w:hAnsi="Arial" w:cs="Arial"/>
        </w:rPr>
        <w:t>programmes</w:t>
      </w:r>
      <w:proofErr w:type="spellEnd"/>
      <w:r w:rsidRPr="00E32FD3">
        <w:rPr>
          <w:rFonts w:ascii="Arial" w:hAnsi="Arial" w:cs="Arial"/>
        </w:rPr>
        <w:t xml:space="preserve"> increase the addressable market by giving entrepreneurs who had no prior confidence in using accounting software the confidence to do so. The CDP Climate Change 'A' rating and the MSCI AAA ESG rating directly address the demands of enterprise clients and accountancy firms in terms of procurement, lowering the cost of capital in the long term (CDP, 2024).</w:t>
      </w:r>
    </w:p>
    <w:p w14:paraId="34E85525" w14:textId="34C2D353" w:rsidR="000B1A5F" w:rsidRPr="00E32FD3" w:rsidRDefault="00596CCD" w:rsidP="00596CCD">
      <w:pPr>
        <w:rPr>
          <w:rFonts w:ascii="Arial" w:hAnsi="Arial" w:cs="Arial"/>
        </w:rPr>
      </w:pPr>
      <w:r w:rsidRPr="00E32FD3">
        <w:rPr>
          <w:rFonts w:ascii="Arial" w:hAnsi="Arial" w:cs="Arial"/>
        </w:rPr>
        <w:t>Carroll suggests that CSR includes economic, legal, ethical and philanthropic responsibilities</w:t>
      </w:r>
      <w:r w:rsidR="00DC434F" w:rsidRPr="00E32FD3">
        <w:rPr>
          <w:rFonts w:ascii="Arial" w:hAnsi="Arial" w:cs="Arial"/>
        </w:rPr>
        <w:t xml:space="preserve"> (McCance, 2024)</w:t>
      </w:r>
      <w:r w:rsidRPr="00E32FD3">
        <w:rPr>
          <w:rFonts w:ascii="Arial" w:hAnsi="Arial" w:cs="Arial"/>
        </w:rPr>
        <w:t xml:space="preserve">. Sage's performance can be seen across the four aspects of the report: revenue growth and shareholder returns (economic); UK GDPR compliance and MTD engagement (legal); transparent data breach disclosure in 2016 (ethical); and the Sage Foundation's community </w:t>
      </w:r>
      <w:proofErr w:type="spellStart"/>
      <w:r w:rsidRPr="00E32FD3">
        <w:rPr>
          <w:rFonts w:ascii="Arial" w:hAnsi="Arial" w:cs="Arial"/>
        </w:rPr>
        <w:t>programmes</w:t>
      </w:r>
      <w:proofErr w:type="spellEnd"/>
      <w:r w:rsidRPr="00E32FD3">
        <w:rPr>
          <w:rFonts w:ascii="Arial" w:hAnsi="Arial" w:cs="Arial"/>
        </w:rPr>
        <w:t xml:space="preserve"> (philanthropic). There is a tension, however, between stakeholder capitalism and shareholder primacy</w:t>
      </w:r>
      <w:r w:rsidR="00DC434F" w:rsidRPr="00E32FD3">
        <w:rPr>
          <w:rFonts w:ascii="Arial" w:hAnsi="Arial" w:cs="Arial"/>
        </w:rPr>
        <w:t xml:space="preserve"> </w:t>
      </w:r>
      <w:r w:rsidRPr="00E32FD3">
        <w:rPr>
          <w:rFonts w:ascii="Arial" w:hAnsi="Arial" w:cs="Arial"/>
        </w:rPr>
        <w:t xml:space="preserve">– the £605m share buyback </w:t>
      </w:r>
      <w:proofErr w:type="spellStart"/>
      <w:r w:rsidRPr="00E32FD3">
        <w:rPr>
          <w:rFonts w:ascii="Arial" w:hAnsi="Arial" w:cs="Arial"/>
        </w:rPr>
        <w:t>programme</w:t>
      </w:r>
      <w:proofErr w:type="spellEnd"/>
      <w:r w:rsidRPr="00E32FD3">
        <w:rPr>
          <w:rFonts w:ascii="Arial" w:hAnsi="Arial" w:cs="Arial"/>
        </w:rPr>
        <w:t xml:space="preserve"> in FY2025 is hard to square with a maximally stakeholder-focused CSR approach. This tension is not just a minor footnote at Level 7 scrutiny, it's the key CSR contradiction Sage needs to resolve as it aims to become a purpose-driven </w:t>
      </w:r>
      <w:proofErr w:type="spellStart"/>
      <w:r w:rsidRPr="00E32FD3">
        <w:rPr>
          <w:rFonts w:ascii="Arial" w:hAnsi="Arial" w:cs="Arial"/>
        </w:rPr>
        <w:t>organisation</w:t>
      </w:r>
      <w:proofErr w:type="spellEnd"/>
      <w:r w:rsidRPr="00E32FD3">
        <w:rPr>
          <w:rFonts w:ascii="Arial" w:hAnsi="Arial" w:cs="Arial"/>
        </w:rPr>
        <w:t>.</w:t>
      </w:r>
    </w:p>
    <w:p w14:paraId="3743F05D" w14:textId="77777777" w:rsidR="00EA0E7A" w:rsidRPr="00692319" w:rsidRDefault="00EA0E7A" w:rsidP="00EA0E7A">
      <w:pPr>
        <w:pStyle w:val="Heading3"/>
        <w:rPr>
          <w:rFonts w:ascii="Arial" w:hAnsi="Arial" w:cs="Arial"/>
        </w:rPr>
      </w:pPr>
      <w:bookmarkStart w:id="9" w:name="_Toc231772969"/>
      <w:r w:rsidRPr="00692319">
        <w:rPr>
          <w:rFonts w:ascii="Arial" w:hAnsi="Arial" w:cs="Arial"/>
        </w:rPr>
        <w:t>Balanced Scorecard</w:t>
      </w:r>
      <w:bookmarkEnd w:id="9"/>
    </w:p>
    <w:p w14:paraId="4468E971" w14:textId="5B4F70CD" w:rsidR="00EA0E7A" w:rsidRPr="00E32FD3" w:rsidRDefault="00EA0E7A" w:rsidP="00EA0E7A">
      <w:pPr>
        <w:rPr>
          <w:rFonts w:ascii="Arial" w:hAnsi="Arial" w:cs="Arial"/>
        </w:rPr>
      </w:pPr>
      <w:r w:rsidRPr="00E32FD3">
        <w:rPr>
          <w:rFonts w:ascii="Arial" w:hAnsi="Arial" w:cs="Arial"/>
        </w:rPr>
        <w:t xml:space="preserve">The Balanced Scorecard (BSC) takes the concept of performance management beyond the financial aspects and adds the customer, internal process and </w:t>
      </w:r>
      <w:proofErr w:type="spellStart"/>
      <w:r w:rsidRPr="00E32FD3">
        <w:rPr>
          <w:rFonts w:ascii="Arial" w:hAnsi="Arial" w:cs="Arial"/>
        </w:rPr>
        <w:t>organisational</w:t>
      </w:r>
      <w:proofErr w:type="spellEnd"/>
      <w:r w:rsidRPr="00E32FD3">
        <w:rPr>
          <w:rFonts w:ascii="Arial" w:hAnsi="Arial" w:cs="Arial"/>
        </w:rPr>
        <w:t xml:space="preserve"> learning perspectives</w:t>
      </w:r>
      <w:r w:rsidR="006259D5" w:rsidRPr="00E32FD3">
        <w:rPr>
          <w:rFonts w:ascii="Arial" w:hAnsi="Arial" w:cs="Arial"/>
        </w:rPr>
        <w:t xml:space="preserve"> (Al, 2013)</w:t>
      </w:r>
      <w:r w:rsidRPr="00E32FD3">
        <w:rPr>
          <w:rFonts w:ascii="Arial" w:hAnsi="Arial" w:cs="Arial"/>
        </w:rPr>
        <w:t>. For Sage, this is especially applicable because of the shift from product licensing to AI-powered subscription models because traditional financial metrics can't provide the early signs of a company's long-term competitive standing.</w:t>
      </w:r>
    </w:p>
    <w:p w14:paraId="70EBFD93" w14:textId="07D05CBC" w:rsidR="00A47D23" w:rsidRDefault="00EA0E7A" w:rsidP="00EA0E7A">
      <w:pPr>
        <w:rPr>
          <w:rFonts w:ascii="Arial" w:hAnsi="Arial" w:cs="Arial"/>
        </w:rPr>
      </w:pPr>
      <w:r w:rsidRPr="00E32FD3">
        <w:rPr>
          <w:rFonts w:ascii="Arial" w:hAnsi="Arial" w:cs="Arial"/>
        </w:rPr>
        <w:t>The four perspectives are examined below, leading to objectives, KPIs, targets and initiatives identified based on Sage's mission and strategy:</w:t>
      </w:r>
    </w:p>
    <w:p w14:paraId="3AD016E5" w14:textId="77777777" w:rsidR="00692319" w:rsidRPr="00E32FD3" w:rsidRDefault="00692319" w:rsidP="00EA0E7A">
      <w:pPr>
        <w:rPr>
          <w:rFonts w:ascii="Arial" w:hAnsi="Arial" w:cs="Arial"/>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100"/>
        <w:gridCol w:w="2100"/>
        <w:gridCol w:w="1800"/>
        <w:gridCol w:w="1560"/>
      </w:tblGrid>
      <w:tr w:rsidR="007F67B2" w:rsidRPr="007F67B2" w14:paraId="72170087" w14:textId="77777777" w:rsidTr="00B10245">
        <w:tc>
          <w:tcPr>
            <w:tcW w:w="180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67C7F7A1" w14:textId="77777777" w:rsidR="007F67B2" w:rsidRPr="007F67B2" w:rsidRDefault="007F67B2" w:rsidP="007F67B2">
            <w:r w:rsidRPr="007F67B2">
              <w:rPr>
                <w:b/>
                <w:bCs/>
              </w:rPr>
              <w:lastRenderedPageBreak/>
              <w:t>Perspective</w:t>
            </w:r>
          </w:p>
        </w:tc>
        <w:tc>
          <w:tcPr>
            <w:tcW w:w="210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7D73BBEB" w14:textId="77777777" w:rsidR="007F67B2" w:rsidRPr="007F67B2" w:rsidRDefault="007F67B2" w:rsidP="007F67B2">
            <w:r w:rsidRPr="007F67B2">
              <w:rPr>
                <w:b/>
                <w:bCs/>
              </w:rPr>
              <w:t>Objectives</w:t>
            </w:r>
          </w:p>
        </w:tc>
        <w:tc>
          <w:tcPr>
            <w:tcW w:w="210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5BFD1DCE" w14:textId="77777777" w:rsidR="007F67B2" w:rsidRPr="007F67B2" w:rsidRDefault="007F67B2" w:rsidP="007F67B2">
            <w:r w:rsidRPr="007F67B2">
              <w:rPr>
                <w:b/>
                <w:bCs/>
              </w:rPr>
              <w:t>KPIs</w:t>
            </w:r>
          </w:p>
        </w:tc>
        <w:tc>
          <w:tcPr>
            <w:tcW w:w="180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186D565C" w14:textId="77777777" w:rsidR="007F67B2" w:rsidRPr="007F67B2" w:rsidRDefault="007F67B2" w:rsidP="007F67B2">
            <w:r w:rsidRPr="007F67B2">
              <w:rPr>
                <w:b/>
                <w:bCs/>
              </w:rPr>
              <w:t>Targets (FY2026)</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3596B7D4" w14:textId="77777777" w:rsidR="007F67B2" w:rsidRPr="007F67B2" w:rsidRDefault="007F67B2" w:rsidP="007F67B2">
            <w:r w:rsidRPr="007F67B2">
              <w:rPr>
                <w:b/>
                <w:bCs/>
              </w:rPr>
              <w:t>Initiatives</w:t>
            </w:r>
          </w:p>
        </w:tc>
      </w:tr>
      <w:tr w:rsidR="007F67B2" w:rsidRPr="007F67B2" w14:paraId="780A8484" w14:textId="77777777" w:rsidTr="00B10245">
        <w:tc>
          <w:tcPr>
            <w:tcW w:w="1800" w:type="dxa"/>
            <w:tcBorders>
              <w:top w:val="single" w:sz="4" w:space="0" w:color="CCCCCC"/>
              <w:left w:val="single" w:sz="4" w:space="0" w:color="CCCCCC"/>
              <w:bottom w:val="single" w:sz="4" w:space="0" w:color="CCCCCC"/>
              <w:right w:val="single" w:sz="4" w:space="0" w:color="CCCCCC"/>
            </w:tcBorders>
            <w:shd w:val="clear" w:color="auto" w:fill="EBF3FB"/>
            <w:tcMar>
              <w:top w:w="80" w:type="dxa"/>
              <w:left w:w="120" w:type="dxa"/>
              <w:bottom w:w="80" w:type="dxa"/>
              <w:right w:w="120" w:type="dxa"/>
            </w:tcMar>
            <w:vAlign w:val="center"/>
          </w:tcPr>
          <w:p w14:paraId="777C23F1" w14:textId="77777777" w:rsidR="007F67B2" w:rsidRPr="007F67B2" w:rsidRDefault="007F67B2" w:rsidP="007F67B2">
            <w:r w:rsidRPr="007F67B2">
              <w:rPr>
                <w:b/>
                <w:bCs/>
              </w:rPr>
              <w:t>Financial</w:t>
            </w:r>
          </w:p>
        </w:tc>
        <w:tc>
          <w:tcPr>
            <w:tcW w:w="21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707BB9C7" w14:textId="0FA40377" w:rsidR="007F67B2" w:rsidRPr="007F67B2" w:rsidRDefault="007E3C61" w:rsidP="007F67B2">
            <w:r w:rsidRPr="007E3C61">
              <w:t>Maintain revenue growth, enhance balance sheet strength, and provide shareholder returns</w:t>
            </w:r>
            <w:r>
              <w:t>.</w:t>
            </w:r>
          </w:p>
        </w:tc>
        <w:tc>
          <w:tcPr>
            <w:tcW w:w="21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5592F06B" w14:textId="40B44D8A" w:rsidR="007F67B2" w:rsidRPr="007F67B2" w:rsidRDefault="007E3C61" w:rsidP="007F67B2">
            <w:r w:rsidRPr="007E3C61">
              <w:t>Revenue growth %; operating margin; current ratio; D/E ratio</w:t>
            </w:r>
          </w:p>
        </w:tc>
        <w:tc>
          <w:tcPr>
            <w:tcW w:w="1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011E0CB8" w14:textId="1C7B5C4C" w:rsidR="007F67B2" w:rsidRPr="007F67B2" w:rsidRDefault="007E3C61" w:rsidP="007F67B2">
            <w:r w:rsidRPr="007E3C61">
              <w:t>Revenue &gt;£2,700m; operating margin &gt;22%; current ratio &gt;0.75</w:t>
            </w:r>
            <w:r>
              <w:t xml:space="preserve"> </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78DAAC22" w14:textId="15A27D45" w:rsidR="007F67B2" w:rsidRPr="007F67B2" w:rsidRDefault="007E3C61" w:rsidP="007F67B2">
            <w:r w:rsidRPr="007E3C61">
              <w:t>The Copilot premium tier upsells, phase buyback to ensure liquidity, and lowering D/E to 1.5 by FY2027.</w:t>
            </w:r>
            <w:r>
              <w:t xml:space="preserve"> </w:t>
            </w:r>
          </w:p>
        </w:tc>
      </w:tr>
      <w:tr w:rsidR="007F67B2" w:rsidRPr="007F67B2" w14:paraId="4C87A2ED" w14:textId="77777777" w:rsidTr="00B10245">
        <w:tc>
          <w:tcPr>
            <w:tcW w:w="1800" w:type="dxa"/>
            <w:tcBorders>
              <w:top w:val="single" w:sz="4" w:space="0" w:color="CCCCCC"/>
              <w:left w:val="single" w:sz="4" w:space="0" w:color="CCCCCC"/>
              <w:bottom w:val="single" w:sz="4" w:space="0" w:color="CCCCCC"/>
              <w:right w:val="single" w:sz="4" w:space="0" w:color="CCCCCC"/>
            </w:tcBorders>
            <w:shd w:val="clear" w:color="auto" w:fill="E2EFDA"/>
            <w:tcMar>
              <w:top w:w="80" w:type="dxa"/>
              <w:left w:w="120" w:type="dxa"/>
              <w:bottom w:w="80" w:type="dxa"/>
              <w:right w:w="120" w:type="dxa"/>
            </w:tcMar>
            <w:vAlign w:val="center"/>
          </w:tcPr>
          <w:p w14:paraId="468AC48C" w14:textId="77777777" w:rsidR="007F67B2" w:rsidRPr="007F67B2" w:rsidRDefault="007F67B2" w:rsidP="007F67B2">
            <w:r w:rsidRPr="007F67B2">
              <w:rPr>
                <w:b/>
                <w:bCs/>
              </w:rPr>
              <w:t>Customer</w:t>
            </w:r>
          </w:p>
        </w:tc>
        <w:tc>
          <w:tcPr>
            <w:tcW w:w="21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54A30DCB" w14:textId="2A6A240C" w:rsidR="007F67B2" w:rsidRPr="007F67B2" w:rsidRDefault="003439F2" w:rsidP="007F67B2">
            <w:r w:rsidRPr="003439F2">
              <w:t>Increase cloud usage; improve MTD compliance offering; bridge UX divide with Xero among younger SMEs</w:t>
            </w:r>
          </w:p>
        </w:tc>
        <w:tc>
          <w:tcPr>
            <w:tcW w:w="21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0E5503E9" w14:textId="0CAE15F8" w:rsidR="007F67B2" w:rsidRPr="007F67B2" w:rsidRDefault="003439F2" w:rsidP="007F67B2">
            <w:r w:rsidRPr="003439F2">
              <w:t>Cloud revenue %; NPS; MTD migration rate; churn rate</w:t>
            </w:r>
          </w:p>
        </w:tc>
        <w:tc>
          <w:tcPr>
            <w:tcW w:w="1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6E83A8FB" w14:textId="5F86FAAD" w:rsidR="007F67B2" w:rsidRPr="007F67B2" w:rsidRDefault="003439F2" w:rsidP="007F67B2">
            <w:r w:rsidRPr="003439F2">
              <w:t xml:space="preserve">Two of those three are </w:t>
            </w:r>
            <w:proofErr w:type="spellStart"/>
            <w:proofErr w:type="gramStart"/>
            <w:r w:rsidRPr="003439F2">
              <w:t>met.Two</w:t>
            </w:r>
            <w:proofErr w:type="spellEnd"/>
            <w:proofErr w:type="gramEnd"/>
            <w:r w:rsidRPr="003439F2">
              <w:t xml:space="preserve"> of the three are achieved: Cloud &gt;85% of revenue, NPS +5 points, churn &lt;5% annually.</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4BF68CE2" w14:textId="5D28EE26" w:rsidR="007F67B2" w:rsidRPr="007F67B2" w:rsidRDefault="003439F2" w:rsidP="007F67B2">
            <w:r w:rsidRPr="003439F2">
              <w:t>The AI-guided onboarding, free Copilot trial for legacy customers, and accountant partner incentive scheme are just some of the new features.</w:t>
            </w:r>
          </w:p>
        </w:tc>
      </w:tr>
      <w:tr w:rsidR="007F67B2" w:rsidRPr="007F67B2" w14:paraId="5DAF69AC" w14:textId="77777777" w:rsidTr="00B10245">
        <w:tc>
          <w:tcPr>
            <w:tcW w:w="1800" w:type="dxa"/>
            <w:tcBorders>
              <w:top w:val="single" w:sz="4" w:space="0" w:color="CCCCCC"/>
              <w:left w:val="single" w:sz="4" w:space="0" w:color="CCCCCC"/>
              <w:bottom w:val="single" w:sz="4" w:space="0" w:color="CCCCCC"/>
              <w:right w:val="single" w:sz="4" w:space="0" w:color="CCCCCC"/>
            </w:tcBorders>
            <w:shd w:val="clear" w:color="auto" w:fill="FFF2CC"/>
            <w:tcMar>
              <w:top w:w="80" w:type="dxa"/>
              <w:left w:w="120" w:type="dxa"/>
              <w:bottom w:w="80" w:type="dxa"/>
              <w:right w:w="120" w:type="dxa"/>
            </w:tcMar>
            <w:vAlign w:val="center"/>
          </w:tcPr>
          <w:p w14:paraId="0A823C5C" w14:textId="77777777" w:rsidR="007F67B2" w:rsidRPr="007F67B2" w:rsidRDefault="007F67B2" w:rsidP="007F67B2">
            <w:r w:rsidRPr="007F67B2">
              <w:rPr>
                <w:b/>
                <w:bCs/>
              </w:rPr>
              <w:lastRenderedPageBreak/>
              <w:t>Internal Processes</w:t>
            </w:r>
          </w:p>
        </w:tc>
        <w:tc>
          <w:tcPr>
            <w:tcW w:w="21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41525C3B" w14:textId="18B13004" w:rsidR="007F67B2" w:rsidRPr="007F67B2" w:rsidRDefault="001753BA" w:rsidP="007F67B2">
            <w:r w:rsidRPr="001753BA">
              <w:t>Drive faster AI feature delivery, enhance data security governance and fine-tune MTD compliance tools</w:t>
            </w:r>
          </w:p>
        </w:tc>
        <w:tc>
          <w:tcPr>
            <w:tcW w:w="21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6B09F192" w14:textId="77777777" w:rsidR="001753BA" w:rsidRDefault="007F67B2" w:rsidP="007F67B2">
            <w:r w:rsidRPr="007F67B2">
              <w:t>Feature release velocity;</w:t>
            </w:r>
          </w:p>
          <w:p w14:paraId="2C4FE524" w14:textId="77777777" w:rsidR="001753BA" w:rsidRDefault="007F67B2" w:rsidP="007F67B2">
            <w:r w:rsidRPr="007F67B2">
              <w:t xml:space="preserve">security audit scores; </w:t>
            </w:r>
          </w:p>
          <w:p w14:paraId="47FB7A1A" w14:textId="77777777" w:rsidR="001753BA" w:rsidRDefault="007F67B2" w:rsidP="007F67B2">
            <w:r w:rsidRPr="007F67B2">
              <w:t xml:space="preserve">MTD compliance pass rates; </w:t>
            </w:r>
          </w:p>
          <w:p w14:paraId="0FA90FDD" w14:textId="1016710B" w:rsidR="007F67B2" w:rsidRPr="007F67B2" w:rsidRDefault="007F67B2" w:rsidP="007F67B2">
            <w:r w:rsidRPr="007F67B2">
              <w:t>time-to-resolution for support tickets</w:t>
            </w:r>
          </w:p>
        </w:tc>
        <w:tc>
          <w:tcPr>
            <w:tcW w:w="1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63D24F40" w14:textId="77777777" w:rsidR="007F67B2" w:rsidRPr="007F67B2" w:rsidRDefault="007F67B2" w:rsidP="007F67B2">
            <w:r w:rsidRPr="007F67B2">
              <w:t>Quarterly AI feature releases; zero material data breaches; MTD compliance rate &gt;99%</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7A0F08D2" w14:textId="77777777" w:rsidR="007C6EDD" w:rsidRDefault="007F67B2" w:rsidP="007F67B2">
            <w:r w:rsidRPr="007F67B2">
              <w:t xml:space="preserve">Agile product squads; </w:t>
            </w:r>
          </w:p>
          <w:p w14:paraId="16372C69" w14:textId="62D7561A" w:rsidR="007F67B2" w:rsidRPr="007F67B2" w:rsidRDefault="007F67B2" w:rsidP="007F67B2">
            <w:r w:rsidRPr="007F67B2">
              <w:t>ISO 27001 re-certification; dedicated MTD compliance engineering team</w:t>
            </w:r>
          </w:p>
        </w:tc>
      </w:tr>
      <w:tr w:rsidR="007F67B2" w:rsidRPr="007F67B2" w14:paraId="76E536C1" w14:textId="77777777" w:rsidTr="00B10245">
        <w:tc>
          <w:tcPr>
            <w:tcW w:w="1800" w:type="dxa"/>
            <w:tcBorders>
              <w:top w:val="single" w:sz="4" w:space="0" w:color="CCCCCC"/>
              <w:left w:val="single" w:sz="4" w:space="0" w:color="CCCCCC"/>
              <w:bottom w:val="single" w:sz="4" w:space="0" w:color="CCCCCC"/>
              <w:right w:val="single" w:sz="4" w:space="0" w:color="CCCCCC"/>
            </w:tcBorders>
            <w:shd w:val="clear" w:color="auto" w:fill="FCE4D6"/>
            <w:tcMar>
              <w:top w:w="80" w:type="dxa"/>
              <w:left w:w="120" w:type="dxa"/>
              <w:bottom w:w="80" w:type="dxa"/>
              <w:right w:w="120" w:type="dxa"/>
            </w:tcMar>
            <w:vAlign w:val="center"/>
          </w:tcPr>
          <w:p w14:paraId="2D75C7CC" w14:textId="77777777" w:rsidR="007F67B2" w:rsidRPr="007F67B2" w:rsidRDefault="007F67B2" w:rsidP="007F67B2">
            <w:r w:rsidRPr="007F67B2">
              <w:rPr>
                <w:b/>
                <w:bCs/>
              </w:rPr>
              <w:t>Learning &amp; Growth</w:t>
            </w:r>
          </w:p>
        </w:tc>
        <w:tc>
          <w:tcPr>
            <w:tcW w:w="21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1A7EAE8F" w14:textId="6357FA06" w:rsidR="007F67B2" w:rsidRPr="007F67B2" w:rsidRDefault="00FA1B2D" w:rsidP="007F67B2">
            <w:r w:rsidRPr="00FA1B2D">
              <w:t>Establish and cultivate AI and data science talent pipeline; nurture and promote innovation culture; create partner ecosystem capabilities.</w:t>
            </w:r>
          </w:p>
        </w:tc>
        <w:tc>
          <w:tcPr>
            <w:tcW w:w="21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08FB6870" w14:textId="64D1D63B" w:rsidR="007F67B2" w:rsidRPr="007F67B2" w:rsidRDefault="00FA1B2D" w:rsidP="007F67B2">
            <w:r w:rsidRPr="00FA1B2D">
              <w:t>The number of employees with AI skills; Employee engagement score; Partner certifications completed</w:t>
            </w:r>
          </w:p>
        </w:tc>
        <w:tc>
          <w:tcPr>
            <w:tcW w:w="1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2FE244EA" w14:textId="3BD4AB4B" w:rsidR="007F67B2" w:rsidRPr="007F67B2" w:rsidRDefault="00FA1B2D" w:rsidP="007F67B2">
            <w:r w:rsidRPr="00FA1B2D">
              <w:t>By FY2026 end, 500 employees are AI certified, engagement is greater than 80% and 1,000 partner certifications are achieved.</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167A8FA4" w14:textId="32B1C93D" w:rsidR="007F67B2" w:rsidRPr="007F67B2" w:rsidRDefault="00FA1B2D" w:rsidP="007F67B2">
            <w:r w:rsidRPr="00FA1B2D">
              <w:t>AI skills bootcamps; Sage University expansion; Sage Marketplace for partner-built integrations</w:t>
            </w:r>
            <w:r>
              <w:t xml:space="preserve"> </w:t>
            </w:r>
          </w:p>
        </w:tc>
      </w:tr>
    </w:tbl>
    <w:p w14:paraId="50A99417" w14:textId="3441AEEF" w:rsidR="00A47D23" w:rsidRPr="00692319" w:rsidRDefault="00C44F66" w:rsidP="00692319">
      <w:pPr>
        <w:jc w:val="center"/>
        <w:rPr>
          <w:rFonts w:ascii="Arial" w:hAnsi="Arial" w:cs="Arial"/>
        </w:rPr>
      </w:pPr>
      <w:r w:rsidRPr="00692319">
        <w:rPr>
          <w:rFonts w:ascii="Arial" w:hAnsi="Arial" w:cs="Arial"/>
        </w:rPr>
        <w:t xml:space="preserve">Table 2: Balanced Scorecard </w:t>
      </w:r>
      <w:r w:rsidR="00D13F17" w:rsidRPr="00692319">
        <w:rPr>
          <w:rFonts w:ascii="Arial" w:hAnsi="Arial" w:cs="Arial"/>
        </w:rPr>
        <w:t>(</w:t>
      </w:r>
      <w:r w:rsidRPr="00692319">
        <w:rPr>
          <w:rFonts w:ascii="Arial" w:hAnsi="Arial" w:cs="Arial"/>
        </w:rPr>
        <w:t>Sage Group plc,</w:t>
      </w:r>
      <w:r w:rsidR="00D13F17" w:rsidRPr="00692319">
        <w:rPr>
          <w:rFonts w:ascii="Arial" w:hAnsi="Arial" w:cs="Arial"/>
        </w:rPr>
        <w:t>2025c)</w:t>
      </w:r>
    </w:p>
    <w:p w14:paraId="6AD40DB5" w14:textId="77777777" w:rsidR="00617D30" w:rsidRPr="00E32FD3" w:rsidRDefault="00617D30" w:rsidP="00617D30">
      <w:pPr>
        <w:rPr>
          <w:rFonts w:ascii="Arial" w:hAnsi="Arial" w:cs="Arial"/>
        </w:rPr>
      </w:pPr>
      <w:r w:rsidRPr="00E32FD3">
        <w:rPr>
          <w:rFonts w:ascii="Arial" w:hAnsi="Arial" w:cs="Arial"/>
        </w:rPr>
        <w:t xml:space="preserve">The Financial perspective highlights Sage's current conundrum: high revenue growth but low balance sheet. Current ratio of 0.64 and debt-to-equity of 2.19 limit strategic flexibility at a time when it is most required, as AI investments increase. The speed of the £300m buyback </w:t>
      </w:r>
      <w:proofErr w:type="spellStart"/>
      <w:r w:rsidRPr="00E32FD3">
        <w:rPr>
          <w:rFonts w:ascii="Arial" w:hAnsi="Arial" w:cs="Arial"/>
        </w:rPr>
        <w:t>programme</w:t>
      </w:r>
      <w:proofErr w:type="spellEnd"/>
      <w:r w:rsidRPr="00E32FD3">
        <w:rPr>
          <w:rFonts w:ascii="Arial" w:hAnsi="Arial" w:cs="Arial"/>
        </w:rPr>
        <w:t xml:space="preserve"> for FY26 should be adjusted accordingly.</w:t>
      </w:r>
    </w:p>
    <w:p w14:paraId="641ECE04" w14:textId="77777777" w:rsidR="00617D30" w:rsidRPr="00E32FD3" w:rsidRDefault="00617D30" w:rsidP="00617D30">
      <w:pPr>
        <w:rPr>
          <w:rFonts w:ascii="Arial" w:hAnsi="Arial" w:cs="Arial"/>
        </w:rPr>
      </w:pPr>
      <w:r w:rsidRPr="00E32FD3">
        <w:rPr>
          <w:rFonts w:ascii="Arial" w:hAnsi="Arial" w:cs="Arial"/>
        </w:rPr>
        <w:t xml:space="preserve">The Customer perspective focuses on the biggest competitive threat: Xero's penetration of new SME start-ups means that Sage's renewal base is being taken by another </w:t>
      </w:r>
      <w:r w:rsidRPr="00E32FD3">
        <w:rPr>
          <w:rFonts w:ascii="Arial" w:hAnsi="Arial" w:cs="Arial"/>
        </w:rPr>
        <w:lastRenderedPageBreak/>
        <w:t>competitor. AI-powered onboarding isn't a luxury, it's a necessity to improve NPS among younger SMEs and prevent churn.</w:t>
      </w:r>
    </w:p>
    <w:p w14:paraId="0CD253A3" w14:textId="77777777" w:rsidR="00617D30" w:rsidRPr="00E32FD3" w:rsidRDefault="00617D30" w:rsidP="00617D30">
      <w:pPr>
        <w:rPr>
          <w:rFonts w:ascii="Arial" w:hAnsi="Arial" w:cs="Arial"/>
        </w:rPr>
      </w:pPr>
      <w:r w:rsidRPr="00E32FD3">
        <w:rPr>
          <w:rFonts w:ascii="Arial" w:hAnsi="Arial" w:cs="Arial"/>
        </w:rPr>
        <w:t>The Internal Processes perspective is a reminder of the data breach that occurred in 2016 – in the industry that relies on trust for customer retention, security governance is as critical as product innovation. The aim of zero material breaches is an absolute minimum, not a target.</w:t>
      </w:r>
    </w:p>
    <w:p w14:paraId="764A1185" w14:textId="56E0E921" w:rsidR="00746BD9" w:rsidRPr="00692319" w:rsidRDefault="00617D30" w:rsidP="00746BD9">
      <w:pPr>
        <w:rPr>
          <w:rFonts w:ascii="Arial" w:hAnsi="Arial" w:cs="Arial"/>
        </w:rPr>
      </w:pPr>
      <w:r w:rsidRPr="00E32FD3">
        <w:rPr>
          <w:rFonts w:ascii="Arial" w:hAnsi="Arial" w:cs="Arial"/>
        </w:rPr>
        <w:t>The Learning and Growth perspective is the least developed of Sage's recent public disclosures. The bedrock of long-term AI-led differentiation is a proprietary, internal AI talent pipeline, not a third-party AI talent pipeline or acquisition of AI talent</w:t>
      </w:r>
      <w:r w:rsidR="006A1936" w:rsidRPr="00E32FD3">
        <w:rPr>
          <w:rFonts w:ascii="Arial" w:hAnsi="Arial" w:cs="Arial"/>
        </w:rPr>
        <w:t xml:space="preserve"> (Marcus, 2015)</w:t>
      </w:r>
      <w:r w:rsidRPr="00E32FD3">
        <w:rPr>
          <w:rFonts w:ascii="Arial" w:hAnsi="Arial" w:cs="Arial"/>
        </w:rPr>
        <w:t>.</w:t>
      </w:r>
    </w:p>
    <w:p w14:paraId="14DDC923" w14:textId="03F9C139" w:rsidR="00746BD9" w:rsidRPr="00692319" w:rsidRDefault="00626345" w:rsidP="00626345">
      <w:pPr>
        <w:pStyle w:val="Heading2"/>
        <w:rPr>
          <w:rFonts w:ascii="Arial" w:hAnsi="Arial" w:cs="Arial"/>
        </w:rPr>
      </w:pPr>
      <w:bookmarkStart w:id="10" w:name="_Toc231772970"/>
      <w:r w:rsidRPr="00692319">
        <w:rPr>
          <w:rFonts w:ascii="Arial" w:hAnsi="Arial" w:cs="Arial"/>
        </w:rPr>
        <w:t>Strategic Choices and Implementation</w:t>
      </w:r>
      <w:bookmarkEnd w:id="10"/>
    </w:p>
    <w:p w14:paraId="61DC28D1" w14:textId="77777777" w:rsidR="00160597" w:rsidRPr="00692319" w:rsidRDefault="00160597" w:rsidP="00160597">
      <w:pPr>
        <w:pStyle w:val="Heading3"/>
        <w:rPr>
          <w:rFonts w:ascii="Arial" w:hAnsi="Arial" w:cs="Arial"/>
        </w:rPr>
      </w:pPr>
      <w:bookmarkStart w:id="11" w:name="_Toc231772971"/>
      <w:r w:rsidRPr="00692319">
        <w:rPr>
          <w:rFonts w:ascii="Arial" w:hAnsi="Arial" w:cs="Arial"/>
        </w:rPr>
        <w:t>Strategic Options at Business Level</w:t>
      </w:r>
      <w:bookmarkEnd w:id="11"/>
    </w:p>
    <w:p w14:paraId="319559B6" w14:textId="3029383B" w:rsidR="003457C4" w:rsidRPr="00E32FD3" w:rsidRDefault="003457C4" w:rsidP="003457C4">
      <w:pPr>
        <w:rPr>
          <w:rFonts w:ascii="Arial" w:hAnsi="Arial" w:cs="Arial"/>
        </w:rPr>
      </w:pPr>
      <w:r w:rsidRPr="00E32FD3">
        <w:rPr>
          <w:rFonts w:ascii="Arial" w:hAnsi="Arial" w:cs="Arial"/>
        </w:rPr>
        <w:t>Porter stated that there are three business level strategies: cost leadership, differentiation and focus</w:t>
      </w:r>
      <w:r w:rsidR="008379D9" w:rsidRPr="00E32FD3">
        <w:rPr>
          <w:rFonts w:ascii="Arial" w:hAnsi="Arial" w:cs="Arial"/>
        </w:rPr>
        <w:t xml:space="preserve"> (Gilad, 2011)</w:t>
      </w:r>
      <w:r w:rsidRPr="00E32FD3">
        <w:rPr>
          <w:rFonts w:ascii="Arial" w:hAnsi="Arial" w:cs="Arial"/>
        </w:rPr>
        <w:t>. Cost leadership is not the right strategic approach for Sage in the UK SME market. A battle on price would necessitate structural cost cuts that would be severe enough to prevent the R&amp;D investments required to continue the development of AI and would threaten to strip away the identity that is built on trust and reliability that has been established over the past 40 years. The focus strategy – targeting a narrow segment – is also not making full use of Sage's scale and installed base throughout the SME spectrum.</w:t>
      </w:r>
    </w:p>
    <w:p w14:paraId="0E1CF047" w14:textId="079151E2" w:rsidR="005366AA" w:rsidRDefault="005366AA" w:rsidP="005366AA">
      <w:pPr>
        <w:jc w:val="center"/>
      </w:pPr>
      <w:r w:rsidRPr="005366AA">
        <w:rPr>
          <w:noProof/>
        </w:rPr>
        <w:drawing>
          <wp:inline distT="0" distB="0" distL="0" distR="0" wp14:anchorId="64D76DD7" wp14:editId="268CEDF3">
            <wp:extent cx="2697480" cy="1691640"/>
            <wp:effectExtent l="0" t="0" r="7620" b="3810"/>
            <wp:docPr id="372884434" name="Picture 6" descr="Generic Strategies. (Porter, 1980, p. 3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eneric Strategies. (Porter, 1980, p. 39). | Download Scientific Diagra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97480" cy="1691640"/>
                    </a:xfrm>
                    <a:prstGeom prst="rect">
                      <a:avLst/>
                    </a:prstGeom>
                    <a:noFill/>
                    <a:ln>
                      <a:noFill/>
                    </a:ln>
                  </pic:spPr>
                </pic:pic>
              </a:graphicData>
            </a:graphic>
          </wp:inline>
        </w:drawing>
      </w:r>
    </w:p>
    <w:p w14:paraId="0A1067B5" w14:textId="6E29D99F" w:rsidR="005366AA" w:rsidRPr="007E40C8" w:rsidRDefault="005366AA" w:rsidP="005366AA">
      <w:pPr>
        <w:jc w:val="center"/>
        <w:rPr>
          <w:rFonts w:ascii="Arial" w:hAnsi="Arial" w:cs="Arial"/>
        </w:rPr>
      </w:pPr>
      <w:r w:rsidRPr="007E40C8">
        <w:rPr>
          <w:rFonts w:ascii="Arial" w:hAnsi="Arial" w:cs="Arial"/>
        </w:rPr>
        <w:t xml:space="preserve">Image </w:t>
      </w:r>
      <w:r w:rsidR="00BC1EAD" w:rsidRPr="007E40C8">
        <w:rPr>
          <w:rFonts w:ascii="Arial" w:hAnsi="Arial" w:cs="Arial"/>
        </w:rPr>
        <w:t>5</w:t>
      </w:r>
      <w:r w:rsidRPr="007E40C8">
        <w:rPr>
          <w:rFonts w:ascii="Arial" w:hAnsi="Arial" w:cs="Arial"/>
        </w:rPr>
        <w:t xml:space="preserve">: business level strategies </w:t>
      </w:r>
      <w:r w:rsidR="00FA5728" w:rsidRPr="007E40C8">
        <w:rPr>
          <w:rFonts w:ascii="Arial" w:hAnsi="Arial" w:cs="Arial"/>
        </w:rPr>
        <w:t>(Shrivastava, 2020)</w:t>
      </w:r>
    </w:p>
    <w:p w14:paraId="11EB69A2" w14:textId="0F40149E" w:rsidR="00692319" w:rsidRPr="00692319" w:rsidRDefault="003457C4" w:rsidP="003457C4">
      <w:pPr>
        <w:rPr>
          <w:rFonts w:ascii="Arial" w:hAnsi="Arial" w:cs="Arial"/>
        </w:rPr>
      </w:pPr>
      <w:r w:rsidRPr="00E32FD3">
        <w:rPr>
          <w:rFonts w:ascii="Arial" w:hAnsi="Arial" w:cs="Arial"/>
        </w:rPr>
        <w:t xml:space="preserve">Hence, differentiation is the strategic stance recommended, and AI-powered differentiation, anchored in Sage Copilot and MTD-compliant leadership. This is based </w:t>
      </w:r>
      <w:r w:rsidRPr="00E32FD3">
        <w:rPr>
          <w:rFonts w:ascii="Arial" w:hAnsi="Arial" w:cs="Arial"/>
        </w:rPr>
        <w:lastRenderedPageBreak/>
        <w:t>on the sustainable competitive advantages of Sage, identified by the VRIO analysis — brand equity, partner network and installed customer base:</w:t>
      </w:r>
      <w:r w:rsidR="00CC3AE8" w:rsidRPr="00E32FD3">
        <w:rPr>
          <w:rFonts w:ascii="Arial" w:hAnsi="Arial" w:cs="Arial"/>
        </w:rPr>
        <w:t xml:space="preserve"> </w:t>
      </w:r>
      <w:r w:rsidRPr="00E32FD3">
        <w:rPr>
          <w:rFonts w:ascii="Arial" w:hAnsi="Arial" w:cs="Arial"/>
        </w:rPr>
        <w:t>not on the dimensions that Sage is at level or at a disadvantage. There are fundamental differences between operational effectiveness and strategy: Porter defines AI-driven differentiation, built on Sage's unique financial data of SMEs, as a ‘strategic positioning’ rather than a ‘feature race' that any competitor with the funds can beat</w:t>
      </w:r>
      <w:r w:rsidR="00FA5728" w:rsidRPr="00E32FD3">
        <w:rPr>
          <w:rFonts w:ascii="Arial" w:hAnsi="Arial" w:cs="Arial"/>
        </w:rPr>
        <w:t xml:space="preserve"> (Shrivastava, 2020)</w:t>
      </w:r>
      <w:r w:rsidRPr="00E32FD3">
        <w:rPr>
          <w:rFonts w:ascii="Arial" w:hAnsi="Arial" w:cs="Arial"/>
        </w:rPr>
        <w:t xml:space="preserve">. </w:t>
      </w:r>
    </w:p>
    <w:p w14:paraId="4C63D9AA" w14:textId="77777777" w:rsidR="007A131C" w:rsidRPr="00692319" w:rsidRDefault="007A131C" w:rsidP="007A131C">
      <w:pPr>
        <w:pStyle w:val="Heading3"/>
        <w:rPr>
          <w:rFonts w:ascii="Arial" w:hAnsi="Arial" w:cs="Arial"/>
        </w:rPr>
      </w:pPr>
      <w:bookmarkStart w:id="12" w:name="_Toc231772972"/>
      <w:r w:rsidRPr="00692319">
        <w:rPr>
          <w:rFonts w:ascii="Arial" w:hAnsi="Arial" w:cs="Arial"/>
        </w:rPr>
        <w:t>Porter's Five Forces Analysis</w:t>
      </w:r>
      <w:bookmarkEnd w:id="12"/>
    </w:p>
    <w:p w14:paraId="526B41AD" w14:textId="2D2D7C19" w:rsidR="00746BD9" w:rsidRPr="00E32FD3" w:rsidRDefault="007A131C" w:rsidP="007A131C">
      <w:pPr>
        <w:rPr>
          <w:rFonts w:ascii="Arial" w:hAnsi="Arial" w:cs="Arial"/>
        </w:rPr>
      </w:pPr>
      <w:r w:rsidRPr="00E32FD3">
        <w:rPr>
          <w:rFonts w:ascii="Arial" w:hAnsi="Arial" w:cs="Arial"/>
        </w:rPr>
        <w:t xml:space="preserve">The industry where Sage operates must be evaluated structurally, prior to the recommendation of the strategy, in order to validate it </w:t>
      </w:r>
      <w:r w:rsidR="008379D9" w:rsidRPr="00E32FD3">
        <w:rPr>
          <w:rFonts w:ascii="Arial" w:hAnsi="Arial" w:cs="Arial"/>
        </w:rPr>
        <w:t>(Gilad, 2011)</w:t>
      </w:r>
      <w:r w:rsidRPr="00E32FD3">
        <w:rPr>
          <w:rFonts w:ascii="Arial" w:hAnsi="Arial" w:cs="Arial"/>
        </w:rPr>
        <w: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1500"/>
        <w:gridCol w:w="5660"/>
      </w:tblGrid>
      <w:tr w:rsidR="0049273A" w:rsidRPr="0049273A" w14:paraId="08E582B2" w14:textId="77777777" w:rsidTr="00693F83">
        <w:tc>
          <w:tcPr>
            <w:tcW w:w="220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16263CC9" w14:textId="77777777" w:rsidR="0049273A" w:rsidRPr="0049273A" w:rsidRDefault="0049273A" w:rsidP="0049273A">
            <w:r w:rsidRPr="0049273A">
              <w:rPr>
                <w:b/>
                <w:bCs/>
              </w:rPr>
              <w:t>Force</w:t>
            </w:r>
          </w:p>
        </w:tc>
        <w:tc>
          <w:tcPr>
            <w:tcW w:w="150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53F6B0ED" w14:textId="77777777" w:rsidR="0049273A" w:rsidRPr="0049273A" w:rsidRDefault="0049273A" w:rsidP="0049273A">
            <w:r w:rsidRPr="0049273A">
              <w:rPr>
                <w:b/>
                <w:bCs/>
              </w:rPr>
              <w:t>Intensity</w:t>
            </w:r>
          </w:p>
        </w:tc>
        <w:tc>
          <w:tcPr>
            <w:tcW w:w="566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39EE5FFF" w14:textId="77777777" w:rsidR="0049273A" w:rsidRPr="0049273A" w:rsidRDefault="0049273A" w:rsidP="0049273A">
            <w:r w:rsidRPr="0049273A">
              <w:rPr>
                <w:b/>
                <w:bCs/>
              </w:rPr>
              <w:t>Key Factors</w:t>
            </w:r>
          </w:p>
        </w:tc>
      </w:tr>
      <w:tr w:rsidR="0049273A" w:rsidRPr="0049273A" w14:paraId="119B58A6" w14:textId="77777777" w:rsidTr="00693F83">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67D39DF6" w14:textId="77777777" w:rsidR="0049273A" w:rsidRPr="0049273A" w:rsidRDefault="0049273A" w:rsidP="0049273A">
            <w:r w:rsidRPr="0049273A">
              <w:rPr>
                <w:b/>
                <w:bCs/>
              </w:rPr>
              <w:t>Competitive Rivalry</w:t>
            </w:r>
          </w:p>
        </w:tc>
        <w:tc>
          <w:tcPr>
            <w:tcW w:w="1500" w:type="dxa"/>
            <w:tcBorders>
              <w:top w:val="single" w:sz="4" w:space="0" w:color="CCCCCC"/>
              <w:left w:val="single" w:sz="4" w:space="0" w:color="CCCCCC"/>
              <w:bottom w:val="single" w:sz="4" w:space="0" w:color="CCCCCC"/>
              <w:right w:val="single" w:sz="4" w:space="0" w:color="CCCCCC"/>
            </w:tcBorders>
            <w:shd w:val="clear" w:color="auto" w:fill="FCE4D6"/>
            <w:tcMar>
              <w:top w:w="80" w:type="dxa"/>
              <w:left w:w="120" w:type="dxa"/>
              <w:bottom w:w="80" w:type="dxa"/>
              <w:right w:w="120" w:type="dxa"/>
            </w:tcMar>
            <w:vAlign w:val="center"/>
          </w:tcPr>
          <w:p w14:paraId="3C5FC228" w14:textId="77777777" w:rsidR="0049273A" w:rsidRPr="0049273A" w:rsidRDefault="0049273A" w:rsidP="0049273A">
            <w:r w:rsidRPr="0049273A">
              <w:rPr>
                <w:b/>
                <w:bCs/>
              </w:rPr>
              <w:t>HIGH</w:t>
            </w:r>
          </w:p>
        </w:tc>
        <w:tc>
          <w:tcPr>
            <w:tcW w:w="5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40A83F90" w14:textId="46C88BC4" w:rsidR="0049273A" w:rsidRPr="0049273A" w:rsidRDefault="0049273A" w:rsidP="0049273A">
            <w:r w:rsidRPr="0049273A">
              <w:t>Xero's UK PPC market share is 45% while Intuit QuickBooks and Microsoft Dynamics 365 are competitors across segments. The main battleground is differentiation in respect of AI and MTD compliance.</w:t>
            </w:r>
          </w:p>
        </w:tc>
      </w:tr>
      <w:tr w:rsidR="0049273A" w:rsidRPr="0049273A" w14:paraId="74FC616F" w14:textId="77777777" w:rsidTr="00693F83">
        <w:tc>
          <w:tcPr>
            <w:tcW w:w="2200" w:type="dxa"/>
            <w:tcBorders>
              <w:top w:val="single" w:sz="4" w:space="0" w:color="CCCCCC"/>
              <w:left w:val="single" w:sz="4" w:space="0" w:color="CCCCCC"/>
              <w:bottom w:val="single" w:sz="4" w:space="0" w:color="CCCCCC"/>
              <w:right w:val="single" w:sz="4" w:space="0" w:color="CCCCCC"/>
            </w:tcBorders>
            <w:shd w:val="clear" w:color="auto" w:fill="F9F9F9"/>
            <w:tcMar>
              <w:top w:w="80" w:type="dxa"/>
              <w:left w:w="120" w:type="dxa"/>
              <w:bottom w:w="80" w:type="dxa"/>
              <w:right w:w="120" w:type="dxa"/>
            </w:tcMar>
            <w:vAlign w:val="center"/>
          </w:tcPr>
          <w:p w14:paraId="0FA489E9" w14:textId="77777777" w:rsidR="0049273A" w:rsidRPr="0049273A" w:rsidRDefault="0049273A" w:rsidP="0049273A">
            <w:r w:rsidRPr="0049273A">
              <w:rPr>
                <w:b/>
                <w:bCs/>
              </w:rPr>
              <w:t>Threat of New Entrants</w:t>
            </w:r>
          </w:p>
        </w:tc>
        <w:tc>
          <w:tcPr>
            <w:tcW w:w="1500" w:type="dxa"/>
            <w:tcBorders>
              <w:top w:val="single" w:sz="4" w:space="0" w:color="CCCCCC"/>
              <w:left w:val="single" w:sz="4" w:space="0" w:color="CCCCCC"/>
              <w:bottom w:val="single" w:sz="4" w:space="0" w:color="CCCCCC"/>
              <w:right w:val="single" w:sz="4" w:space="0" w:color="CCCCCC"/>
            </w:tcBorders>
            <w:shd w:val="clear" w:color="auto" w:fill="FFF2CC"/>
            <w:tcMar>
              <w:top w:w="80" w:type="dxa"/>
              <w:left w:w="120" w:type="dxa"/>
              <w:bottom w:w="80" w:type="dxa"/>
              <w:right w:w="120" w:type="dxa"/>
            </w:tcMar>
            <w:vAlign w:val="center"/>
          </w:tcPr>
          <w:p w14:paraId="364B6C90" w14:textId="77777777" w:rsidR="0049273A" w:rsidRPr="0049273A" w:rsidRDefault="0049273A" w:rsidP="0049273A">
            <w:r w:rsidRPr="0049273A">
              <w:rPr>
                <w:b/>
                <w:bCs/>
              </w:rPr>
              <w:t>LOW-MEDIUM</w:t>
            </w:r>
          </w:p>
        </w:tc>
        <w:tc>
          <w:tcPr>
            <w:tcW w:w="5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06909DA4" w14:textId="607CDC1A" w:rsidR="0049273A" w:rsidRPr="0049273A" w:rsidRDefault="0049273A" w:rsidP="0049273A">
            <w:r w:rsidRPr="0049273A">
              <w:t>MTD regulatory compliance, UK GDPR obligations, high development costs pose significant barriers. While AI startups can potentially challenge point solutions, they are not easily able to do the same for an ERP system.</w:t>
            </w:r>
            <w:r>
              <w:t xml:space="preserve"> </w:t>
            </w:r>
          </w:p>
        </w:tc>
      </w:tr>
      <w:tr w:rsidR="0049273A" w:rsidRPr="0049273A" w14:paraId="5D974D84" w14:textId="77777777" w:rsidTr="00693F83">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1132DCC2" w14:textId="77777777" w:rsidR="0049273A" w:rsidRPr="0049273A" w:rsidRDefault="0049273A" w:rsidP="0049273A">
            <w:r w:rsidRPr="0049273A">
              <w:rPr>
                <w:b/>
                <w:bCs/>
              </w:rPr>
              <w:t>Bargaining Power of Suppliers</w:t>
            </w:r>
          </w:p>
        </w:tc>
        <w:tc>
          <w:tcPr>
            <w:tcW w:w="1500" w:type="dxa"/>
            <w:tcBorders>
              <w:top w:val="single" w:sz="4" w:space="0" w:color="CCCCCC"/>
              <w:left w:val="single" w:sz="4" w:space="0" w:color="CCCCCC"/>
              <w:bottom w:val="single" w:sz="4" w:space="0" w:color="CCCCCC"/>
              <w:right w:val="single" w:sz="4" w:space="0" w:color="CCCCCC"/>
            </w:tcBorders>
            <w:shd w:val="clear" w:color="auto" w:fill="E2EFDA"/>
            <w:tcMar>
              <w:top w:w="80" w:type="dxa"/>
              <w:left w:w="120" w:type="dxa"/>
              <w:bottom w:w="80" w:type="dxa"/>
              <w:right w:w="120" w:type="dxa"/>
            </w:tcMar>
            <w:vAlign w:val="center"/>
          </w:tcPr>
          <w:p w14:paraId="674BB4A6" w14:textId="77777777" w:rsidR="0049273A" w:rsidRPr="0049273A" w:rsidRDefault="0049273A" w:rsidP="0049273A">
            <w:r w:rsidRPr="0049273A">
              <w:rPr>
                <w:b/>
                <w:bCs/>
              </w:rPr>
              <w:t>LOW</w:t>
            </w:r>
          </w:p>
        </w:tc>
        <w:tc>
          <w:tcPr>
            <w:tcW w:w="5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5E5E2AA8" w14:textId="1F5267A9" w:rsidR="0049273A" w:rsidRPr="0049273A" w:rsidRDefault="00A84260" w:rsidP="0049273A">
            <w:r w:rsidRPr="00A84260">
              <w:t xml:space="preserve">Cloud infrastructure supplied by competing </w:t>
            </w:r>
            <w:proofErr w:type="spellStart"/>
            <w:r w:rsidRPr="00A84260">
              <w:t>hyperscalers</w:t>
            </w:r>
            <w:proofErr w:type="spellEnd"/>
            <w:r w:rsidRPr="00A84260">
              <w:t xml:space="preserve"> (AWS, Azure) limits pricing power. AI talent is limited input and yet not supplier controlled.</w:t>
            </w:r>
            <w:r>
              <w:t xml:space="preserve"> </w:t>
            </w:r>
          </w:p>
        </w:tc>
      </w:tr>
      <w:tr w:rsidR="0049273A" w:rsidRPr="0049273A" w14:paraId="757CAEC8" w14:textId="77777777" w:rsidTr="00693F83">
        <w:tc>
          <w:tcPr>
            <w:tcW w:w="2200" w:type="dxa"/>
            <w:tcBorders>
              <w:top w:val="single" w:sz="4" w:space="0" w:color="CCCCCC"/>
              <w:left w:val="single" w:sz="4" w:space="0" w:color="CCCCCC"/>
              <w:bottom w:val="single" w:sz="4" w:space="0" w:color="CCCCCC"/>
              <w:right w:val="single" w:sz="4" w:space="0" w:color="CCCCCC"/>
            </w:tcBorders>
            <w:shd w:val="clear" w:color="auto" w:fill="F9F9F9"/>
            <w:tcMar>
              <w:top w:w="80" w:type="dxa"/>
              <w:left w:w="120" w:type="dxa"/>
              <w:bottom w:w="80" w:type="dxa"/>
              <w:right w:w="120" w:type="dxa"/>
            </w:tcMar>
            <w:vAlign w:val="center"/>
          </w:tcPr>
          <w:p w14:paraId="10859CAB" w14:textId="77777777" w:rsidR="0049273A" w:rsidRPr="0049273A" w:rsidRDefault="0049273A" w:rsidP="0049273A">
            <w:r w:rsidRPr="0049273A">
              <w:rPr>
                <w:b/>
                <w:bCs/>
              </w:rPr>
              <w:t>Bargaining Power of Buyers</w:t>
            </w:r>
          </w:p>
        </w:tc>
        <w:tc>
          <w:tcPr>
            <w:tcW w:w="1500" w:type="dxa"/>
            <w:tcBorders>
              <w:top w:val="single" w:sz="4" w:space="0" w:color="CCCCCC"/>
              <w:left w:val="single" w:sz="4" w:space="0" w:color="CCCCCC"/>
              <w:bottom w:val="single" w:sz="4" w:space="0" w:color="CCCCCC"/>
              <w:right w:val="single" w:sz="4" w:space="0" w:color="CCCCCC"/>
            </w:tcBorders>
            <w:shd w:val="clear" w:color="auto" w:fill="FFF2CC"/>
            <w:tcMar>
              <w:top w:w="80" w:type="dxa"/>
              <w:left w:w="120" w:type="dxa"/>
              <w:bottom w:w="80" w:type="dxa"/>
              <w:right w:w="120" w:type="dxa"/>
            </w:tcMar>
            <w:vAlign w:val="center"/>
          </w:tcPr>
          <w:p w14:paraId="70D80C2F" w14:textId="77777777" w:rsidR="0049273A" w:rsidRPr="0049273A" w:rsidRDefault="0049273A" w:rsidP="0049273A">
            <w:r w:rsidRPr="0049273A">
              <w:rPr>
                <w:b/>
                <w:bCs/>
              </w:rPr>
              <w:t>MEDIUM</w:t>
            </w:r>
          </w:p>
        </w:tc>
        <w:tc>
          <w:tcPr>
            <w:tcW w:w="5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2B584C87" w14:textId="2F0B0226" w:rsidR="0049273A" w:rsidRPr="0049273A" w:rsidRDefault="00A84260" w:rsidP="0049273A">
            <w:r w:rsidRPr="00A84260">
              <w:t>Switching costs moderate once data migration is taken into consideration. A buyer's leverage is decreased by accountant recommendations. Micro-businesses are more willing to change than established SMEs, and this is because they are price sensitive.</w:t>
            </w:r>
            <w:r>
              <w:t xml:space="preserve"> </w:t>
            </w:r>
          </w:p>
        </w:tc>
      </w:tr>
      <w:tr w:rsidR="0049273A" w:rsidRPr="0049273A" w14:paraId="1680EACF" w14:textId="77777777" w:rsidTr="00693F83">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4B4A2365" w14:textId="77777777" w:rsidR="0049273A" w:rsidRPr="0049273A" w:rsidRDefault="0049273A" w:rsidP="0049273A">
            <w:r w:rsidRPr="0049273A">
              <w:rPr>
                <w:b/>
                <w:bCs/>
              </w:rPr>
              <w:lastRenderedPageBreak/>
              <w:t>Threat of Substitutes</w:t>
            </w:r>
          </w:p>
        </w:tc>
        <w:tc>
          <w:tcPr>
            <w:tcW w:w="1500" w:type="dxa"/>
            <w:tcBorders>
              <w:top w:val="single" w:sz="4" w:space="0" w:color="CCCCCC"/>
              <w:left w:val="single" w:sz="4" w:space="0" w:color="CCCCCC"/>
              <w:bottom w:val="single" w:sz="4" w:space="0" w:color="CCCCCC"/>
              <w:right w:val="single" w:sz="4" w:space="0" w:color="CCCCCC"/>
            </w:tcBorders>
            <w:shd w:val="clear" w:color="auto" w:fill="FFF2CC"/>
            <w:tcMar>
              <w:top w:w="80" w:type="dxa"/>
              <w:left w:w="120" w:type="dxa"/>
              <w:bottom w:w="80" w:type="dxa"/>
              <w:right w:w="120" w:type="dxa"/>
            </w:tcMar>
            <w:vAlign w:val="center"/>
          </w:tcPr>
          <w:p w14:paraId="763CB387" w14:textId="77777777" w:rsidR="0049273A" w:rsidRPr="0049273A" w:rsidRDefault="0049273A" w:rsidP="0049273A">
            <w:r w:rsidRPr="0049273A">
              <w:rPr>
                <w:b/>
                <w:bCs/>
              </w:rPr>
              <w:t>MEDIUM</w:t>
            </w:r>
          </w:p>
        </w:tc>
        <w:tc>
          <w:tcPr>
            <w:tcW w:w="56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11C03A15" w14:textId="49D93E1C" w:rsidR="0049273A" w:rsidRPr="0049273A" w:rsidRDefault="00A84260" w:rsidP="0049273A">
            <w:r w:rsidRPr="00A84260">
              <w:t xml:space="preserve">Spreadsheets remain in use among micro-businesses. Specific modules (standalone AI bookkeeping tools like </w:t>
            </w:r>
            <w:proofErr w:type="spellStart"/>
            <w:r w:rsidRPr="00A84260">
              <w:t>Dext</w:t>
            </w:r>
            <w:proofErr w:type="spellEnd"/>
            <w:r w:rsidRPr="00A84260">
              <w:t xml:space="preserve"> or </w:t>
            </w:r>
            <w:proofErr w:type="spellStart"/>
            <w:r w:rsidRPr="00A84260">
              <w:t>AutoEntry</w:t>
            </w:r>
            <w:proofErr w:type="spellEnd"/>
            <w:r w:rsidRPr="00A84260">
              <w:t>) may be replaced, but cannot be replaced by an integrated ERP.</w:t>
            </w:r>
            <w:r>
              <w:t xml:space="preserve"> </w:t>
            </w:r>
          </w:p>
        </w:tc>
      </w:tr>
    </w:tbl>
    <w:p w14:paraId="2D376343" w14:textId="46C1BE73" w:rsidR="00CB37D8" w:rsidRPr="00692319" w:rsidRDefault="00450E74" w:rsidP="00692319">
      <w:pPr>
        <w:jc w:val="center"/>
        <w:rPr>
          <w:rFonts w:ascii="Arial" w:hAnsi="Arial" w:cs="Arial"/>
        </w:rPr>
      </w:pPr>
      <w:r w:rsidRPr="00692319">
        <w:rPr>
          <w:rFonts w:ascii="Arial" w:hAnsi="Arial" w:cs="Arial"/>
        </w:rPr>
        <w:t>Table</w:t>
      </w:r>
      <w:r w:rsidR="00C90C46" w:rsidRPr="00692319">
        <w:rPr>
          <w:rFonts w:ascii="Arial" w:hAnsi="Arial" w:cs="Arial"/>
        </w:rPr>
        <w:t xml:space="preserve"> 3</w:t>
      </w:r>
      <w:r w:rsidRPr="00692319">
        <w:rPr>
          <w:rFonts w:ascii="Arial" w:hAnsi="Arial" w:cs="Arial"/>
        </w:rPr>
        <w:t>: Porter's Five Forces</w:t>
      </w:r>
      <w:r w:rsidR="00424DB1" w:rsidRPr="00692319">
        <w:rPr>
          <w:rFonts w:ascii="Arial" w:hAnsi="Arial" w:cs="Arial"/>
        </w:rPr>
        <w:t xml:space="preserve">- </w:t>
      </w:r>
      <w:r w:rsidRPr="00692319">
        <w:rPr>
          <w:rFonts w:ascii="Arial" w:hAnsi="Arial" w:cs="Arial"/>
        </w:rPr>
        <w:t>UK SME Accounting and ERP Software Market (Author's own and adapted from Porter</w:t>
      </w:r>
      <w:r w:rsidR="008F00EF" w:rsidRPr="00692319">
        <w:rPr>
          <w:rFonts w:ascii="Arial" w:hAnsi="Arial" w:cs="Arial"/>
        </w:rPr>
        <w:t>’s model</w:t>
      </w:r>
      <w:r w:rsidRPr="00692319">
        <w:rPr>
          <w:rFonts w:ascii="Arial" w:hAnsi="Arial" w:cs="Arial"/>
        </w:rPr>
        <w:t>)</w:t>
      </w:r>
    </w:p>
    <w:p w14:paraId="2F5E60EE" w14:textId="1329010C" w:rsidR="00CB37D8" w:rsidRPr="00692319" w:rsidRDefault="00CB37D8" w:rsidP="00CB37D8">
      <w:pPr>
        <w:pStyle w:val="Heading3"/>
        <w:rPr>
          <w:rFonts w:ascii="Arial" w:hAnsi="Arial" w:cs="Arial"/>
        </w:rPr>
      </w:pPr>
      <w:bookmarkStart w:id="13" w:name="_Toc231772973"/>
      <w:r w:rsidRPr="00692319">
        <w:rPr>
          <w:rFonts w:ascii="Arial" w:hAnsi="Arial" w:cs="Arial"/>
        </w:rPr>
        <w:t>Ansoff Matrix: Growth Direction</w:t>
      </w:r>
      <w:bookmarkEnd w:id="13"/>
    </w:p>
    <w:p w14:paraId="19578AD1" w14:textId="52B96559" w:rsidR="00CB37D8" w:rsidRPr="00E32FD3" w:rsidRDefault="00CB37D8" w:rsidP="00CB37D8">
      <w:pPr>
        <w:rPr>
          <w:rFonts w:ascii="Arial" w:hAnsi="Arial" w:cs="Arial"/>
        </w:rPr>
      </w:pPr>
      <w:r w:rsidRPr="00E32FD3">
        <w:rPr>
          <w:rFonts w:ascii="Arial" w:hAnsi="Arial" w:cs="Arial"/>
        </w:rPr>
        <w:t>The four growth strategies, as identified by Ansoff's Matrix (1957), are based on the novelty of a market and a product.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3510"/>
        <w:gridCol w:w="3510"/>
      </w:tblGrid>
      <w:tr w:rsidR="00866979" w:rsidRPr="00866979" w14:paraId="436BE591" w14:textId="77777777" w:rsidTr="00693F83">
        <w:tc>
          <w:tcPr>
            <w:tcW w:w="2340" w:type="dxa"/>
            <w:tcBorders>
              <w:top w:val="single" w:sz="4" w:space="0" w:color="CCCCCC"/>
              <w:left w:val="single" w:sz="4" w:space="0" w:color="CCCCCC"/>
              <w:bottom w:val="single" w:sz="4" w:space="0" w:color="CCCCCC"/>
              <w:right w:val="single" w:sz="4" w:space="0" w:color="CCCCCC"/>
            </w:tcBorders>
            <w:shd w:val="clear" w:color="auto" w:fill="CCCCCC"/>
            <w:tcMar>
              <w:top w:w="100" w:type="dxa"/>
              <w:left w:w="120" w:type="dxa"/>
              <w:bottom w:w="100" w:type="dxa"/>
              <w:right w:w="120" w:type="dxa"/>
            </w:tcMar>
            <w:vAlign w:val="center"/>
          </w:tcPr>
          <w:p w14:paraId="15DAC44C" w14:textId="77777777" w:rsidR="00866979" w:rsidRPr="00866979" w:rsidRDefault="00866979" w:rsidP="00866979"/>
        </w:tc>
        <w:tc>
          <w:tcPr>
            <w:tcW w:w="351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04A94552" w14:textId="77777777" w:rsidR="00866979" w:rsidRPr="00866979" w:rsidRDefault="00866979" w:rsidP="00866979">
            <w:r w:rsidRPr="00866979">
              <w:rPr>
                <w:b/>
                <w:bCs/>
              </w:rPr>
              <w:t>Existing Products</w:t>
            </w:r>
          </w:p>
        </w:tc>
        <w:tc>
          <w:tcPr>
            <w:tcW w:w="351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6CD5069F" w14:textId="77777777" w:rsidR="00866979" w:rsidRPr="00866979" w:rsidRDefault="00866979" w:rsidP="00866979">
            <w:r w:rsidRPr="00866979">
              <w:rPr>
                <w:b/>
                <w:bCs/>
              </w:rPr>
              <w:t>New Products</w:t>
            </w:r>
          </w:p>
        </w:tc>
      </w:tr>
      <w:tr w:rsidR="00866979" w:rsidRPr="00866979" w14:paraId="24926ED4" w14:textId="77777777" w:rsidTr="00693F83">
        <w:tc>
          <w:tcPr>
            <w:tcW w:w="2340" w:type="dxa"/>
            <w:tcBorders>
              <w:top w:val="single" w:sz="4" w:space="0" w:color="CCCCCC"/>
              <w:left w:val="single" w:sz="4" w:space="0" w:color="CCCCCC"/>
              <w:bottom w:val="single" w:sz="4" w:space="0" w:color="CCCCCC"/>
              <w:right w:val="single" w:sz="4" w:space="0" w:color="CCCCCC"/>
            </w:tcBorders>
            <w:shd w:val="clear" w:color="auto" w:fill="EBF3FB"/>
            <w:tcMar>
              <w:top w:w="80" w:type="dxa"/>
              <w:left w:w="120" w:type="dxa"/>
              <w:bottom w:w="80" w:type="dxa"/>
              <w:right w:w="120" w:type="dxa"/>
            </w:tcMar>
            <w:vAlign w:val="center"/>
          </w:tcPr>
          <w:p w14:paraId="1D52C36B" w14:textId="77777777" w:rsidR="00866979" w:rsidRPr="00866979" w:rsidRDefault="00866979" w:rsidP="00866979">
            <w:r w:rsidRPr="00866979">
              <w:rPr>
                <w:b/>
                <w:bCs/>
              </w:rPr>
              <w:t>Existing Markets</w:t>
            </w:r>
          </w:p>
        </w:tc>
        <w:tc>
          <w:tcPr>
            <w:tcW w:w="3510" w:type="dxa"/>
            <w:tcBorders>
              <w:top w:val="single" w:sz="4" w:space="0" w:color="CCCCCC"/>
              <w:left w:val="single" w:sz="4" w:space="0" w:color="CCCCCC"/>
              <w:bottom w:val="single" w:sz="4" w:space="0" w:color="CCCCCC"/>
              <w:right w:val="single" w:sz="4" w:space="0" w:color="CCCCCC"/>
            </w:tcBorders>
            <w:shd w:val="clear" w:color="auto" w:fill="E2EFDA"/>
            <w:tcMar>
              <w:top w:w="100" w:type="dxa"/>
              <w:left w:w="150" w:type="dxa"/>
              <w:bottom w:w="100" w:type="dxa"/>
              <w:right w:w="150" w:type="dxa"/>
            </w:tcMar>
          </w:tcPr>
          <w:p w14:paraId="0B1FAE40" w14:textId="77777777" w:rsidR="00866979" w:rsidRPr="00866979" w:rsidRDefault="00866979" w:rsidP="00866979">
            <w:r w:rsidRPr="00866979">
              <w:rPr>
                <w:b/>
                <w:bCs/>
              </w:rPr>
              <w:t>Market Penetration (PRIMARY STRATEGY)</w:t>
            </w:r>
          </w:p>
          <w:p w14:paraId="596C8093" w14:textId="1C958F97" w:rsidR="00866979" w:rsidRPr="00866979" w:rsidRDefault="002C6373" w:rsidP="00866979">
            <w:r w:rsidRPr="002C6373">
              <w:t>Accelerate cloud migration of legacy Sage 50/200 customers. Make MTD April 2026 deadline as a catalyst for migration. Provide complimentary data transfers and integrated Copilot pilot programs.</w:t>
            </w:r>
          </w:p>
        </w:tc>
        <w:tc>
          <w:tcPr>
            <w:tcW w:w="3510" w:type="dxa"/>
            <w:tcBorders>
              <w:top w:val="single" w:sz="4" w:space="0" w:color="CCCCCC"/>
              <w:left w:val="single" w:sz="4" w:space="0" w:color="CCCCCC"/>
              <w:bottom w:val="single" w:sz="4" w:space="0" w:color="CCCCCC"/>
              <w:right w:val="single" w:sz="4" w:space="0" w:color="CCCCCC"/>
            </w:tcBorders>
            <w:shd w:val="clear" w:color="auto" w:fill="FFF2CC"/>
            <w:tcMar>
              <w:top w:w="100" w:type="dxa"/>
              <w:left w:w="150" w:type="dxa"/>
              <w:bottom w:w="100" w:type="dxa"/>
              <w:right w:w="150" w:type="dxa"/>
            </w:tcMar>
          </w:tcPr>
          <w:p w14:paraId="328D7180" w14:textId="77777777" w:rsidR="00866979" w:rsidRPr="00866979" w:rsidRDefault="00866979" w:rsidP="00866979">
            <w:r w:rsidRPr="00866979">
              <w:rPr>
                <w:b/>
                <w:bCs/>
              </w:rPr>
              <w:t>Product Development (SECONDARY STRATEGY)</w:t>
            </w:r>
          </w:p>
          <w:p w14:paraId="77481D21" w14:textId="765346B2" w:rsidR="00866979" w:rsidRPr="00866979" w:rsidRDefault="002C6373" w:rsidP="00866979">
            <w:r w:rsidRPr="002C6373">
              <w:t>Extend Sage Copilot functionalities: predictive cash flow, automated VAT filing, built-in payroll AI. Prepare MTD Corporation Tax tool in advance of 2030.</w:t>
            </w:r>
            <w:r>
              <w:t xml:space="preserve"> </w:t>
            </w:r>
          </w:p>
        </w:tc>
      </w:tr>
      <w:tr w:rsidR="00866979" w:rsidRPr="00866979" w14:paraId="7960F63F" w14:textId="77777777" w:rsidTr="00693F83">
        <w:tc>
          <w:tcPr>
            <w:tcW w:w="2340" w:type="dxa"/>
            <w:tcBorders>
              <w:top w:val="single" w:sz="4" w:space="0" w:color="CCCCCC"/>
              <w:left w:val="single" w:sz="4" w:space="0" w:color="CCCCCC"/>
              <w:bottom w:val="single" w:sz="4" w:space="0" w:color="CCCCCC"/>
              <w:right w:val="single" w:sz="4" w:space="0" w:color="CCCCCC"/>
            </w:tcBorders>
            <w:shd w:val="clear" w:color="auto" w:fill="EBF3FB"/>
            <w:tcMar>
              <w:top w:w="80" w:type="dxa"/>
              <w:left w:w="120" w:type="dxa"/>
              <w:bottom w:w="80" w:type="dxa"/>
              <w:right w:w="120" w:type="dxa"/>
            </w:tcMar>
            <w:vAlign w:val="center"/>
          </w:tcPr>
          <w:p w14:paraId="20B28DF7" w14:textId="77777777" w:rsidR="00866979" w:rsidRPr="00866979" w:rsidRDefault="00866979" w:rsidP="00866979">
            <w:r w:rsidRPr="00866979">
              <w:rPr>
                <w:b/>
                <w:bCs/>
              </w:rPr>
              <w:t>New Markets</w:t>
            </w:r>
          </w:p>
        </w:tc>
        <w:tc>
          <w:tcPr>
            <w:tcW w:w="3510" w:type="dxa"/>
            <w:tcBorders>
              <w:top w:val="single" w:sz="4" w:space="0" w:color="CCCCCC"/>
              <w:left w:val="single" w:sz="4" w:space="0" w:color="CCCCCC"/>
              <w:bottom w:val="single" w:sz="4" w:space="0" w:color="CCCCCC"/>
              <w:right w:val="single" w:sz="4" w:space="0" w:color="CCCCCC"/>
            </w:tcBorders>
            <w:shd w:val="clear" w:color="auto" w:fill="FCE4D6"/>
            <w:tcMar>
              <w:top w:w="100" w:type="dxa"/>
              <w:left w:w="150" w:type="dxa"/>
              <w:bottom w:w="100" w:type="dxa"/>
              <w:right w:w="150" w:type="dxa"/>
            </w:tcMar>
          </w:tcPr>
          <w:p w14:paraId="7CFCF320" w14:textId="77777777" w:rsidR="00866979" w:rsidRPr="00866979" w:rsidRDefault="00866979" w:rsidP="00866979">
            <w:r w:rsidRPr="00866979">
              <w:rPr>
                <w:b/>
                <w:bCs/>
              </w:rPr>
              <w:t>Market Development</w:t>
            </w:r>
          </w:p>
          <w:p w14:paraId="0F080DE3" w14:textId="51B503E9" w:rsidR="00866979" w:rsidRPr="00866979" w:rsidRDefault="002C6373" w:rsidP="00866979">
            <w:r w:rsidRPr="002C6373">
              <w:t xml:space="preserve">New pricing in the gig economy and freelancer segment of the market; explore tailored pricing in the charity and not-for-profit sectors. Geographic growth </w:t>
            </w:r>
            <w:r w:rsidRPr="002C6373">
              <w:lastRenderedPageBreak/>
              <w:t>through the Inform SAS acquisition (France).</w:t>
            </w:r>
          </w:p>
        </w:tc>
        <w:tc>
          <w:tcPr>
            <w:tcW w:w="3510" w:type="dxa"/>
            <w:tcBorders>
              <w:top w:val="single" w:sz="4" w:space="0" w:color="CCCCCC"/>
              <w:left w:val="single" w:sz="4" w:space="0" w:color="CCCCCC"/>
              <w:bottom w:val="single" w:sz="4" w:space="0" w:color="CCCCCC"/>
              <w:right w:val="single" w:sz="4" w:space="0" w:color="CCCCCC"/>
            </w:tcBorders>
            <w:shd w:val="clear" w:color="auto" w:fill="F3E6FF"/>
            <w:tcMar>
              <w:top w:w="100" w:type="dxa"/>
              <w:left w:w="150" w:type="dxa"/>
              <w:bottom w:w="100" w:type="dxa"/>
              <w:right w:w="150" w:type="dxa"/>
            </w:tcMar>
          </w:tcPr>
          <w:p w14:paraId="4309694C" w14:textId="77777777" w:rsidR="00866979" w:rsidRPr="00866979" w:rsidRDefault="00866979" w:rsidP="00866979">
            <w:r w:rsidRPr="00866979">
              <w:rPr>
                <w:b/>
                <w:bCs/>
              </w:rPr>
              <w:lastRenderedPageBreak/>
              <w:t>Diversification</w:t>
            </w:r>
          </w:p>
          <w:p w14:paraId="01B56CA0" w14:textId="77777777" w:rsidR="00866979" w:rsidRDefault="002C6373" w:rsidP="00866979">
            <w:r w:rsidRPr="002C6373">
              <w:t>Exploratory only: embedded SME financial services (lending, insurance) leveraging on proprietary Sage financial data.</w:t>
            </w:r>
          </w:p>
          <w:p w14:paraId="5B196C6A" w14:textId="71E5ABCC" w:rsidR="002C6373" w:rsidRPr="00866979" w:rsidRDefault="002C6373" w:rsidP="00866979"/>
        </w:tc>
      </w:tr>
    </w:tbl>
    <w:p w14:paraId="02554AFD" w14:textId="675A1679" w:rsidR="00CB37D8" w:rsidRPr="00692319" w:rsidRDefault="0020260D" w:rsidP="00692319">
      <w:pPr>
        <w:jc w:val="center"/>
        <w:rPr>
          <w:rFonts w:ascii="Arial" w:hAnsi="Arial" w:cs="Arial"/>
        </w:rPr>
      </w:pPr>
      <w:r w:rsidRPr="00692319">
        <w:rPr>
          <w:rFonts w:ascii="Arial" w:hAnsi="Arial" w:cs="Arial"/>
        </w:rPr>
        <w:lastRenderedPageBreak/>
        <w:t xml:space="preserve">Table 4: Ansoff Matrix: Growth Direction </w:t>
      </w:r>
      <w:r w:rsidR="00FB73FA" w:rsidRPr="00692319">
        <w:rPr>
          <w:rFonts w:ascii="Arial" w:hAnsi="Arial" w:cs="Arial"/>
        </w:rPr>
        <w:t>(Paulraj and Rangaswamy, 2013)</w:t>
      </w:r>
    </w:p>
    <w:p w14:paraId="544139E3" w14:textId="061D0245" w:rsidR="004D7BAD" w:rsidRPr="00692319" w:rsidRDefault="004D7BAD" w:rsidP="00746BD9">
      <w:pPr>
        <w:rPr>
          <w:rFonts w:ascii="Arial" w:hAnsi="Arial" w:cs="Arial"/>
        </w:rPr>
      </w:pPr>
      <w:r w:rsidRPr="00E32FD3">
        <w:rPr>
          <w:rFonts w:ascii="Arial" w:hAnsi="Arial" w:cs="Arial"/>
        </w:rPr>
        <w:t>The main recommended approach is Market Penetration via faster migration of the legacy customer base to the cloud, enabled by the MTD mandate. Sage's installed base of Sage 50 and Sage 200 on-premise users is the biggest opportunity and the biggest threat for the near future: if Sage doesn't offer a clear, easy migration path, these customers face the risk of migrating to the cloud-based competition. April 2026 MTD Income Tax deadline is a switching moment that must be seized by Sage proactively in accordance with the law. The second strategic priority is Product Development through Sage Copilot expansion, which will help maximize premium upsell opportunities to existing customers as well as increase platform stickiness.</w:t>
      </w:r>
    </w:p>
    <w:p w14:paraId="4852A20D" w14:textId="3DFCCDEB" w:rsidR="0075645C" w:rsidRPr="00692319" w:rsidRDefault="0075645C" w:rsidP="0075645C">
      <w:pPr>
        <w:pStyle w:val="Heading3"/>
        <w:rPr>
          <w:rFonts w:ascii="Arial" w:hAnsi="Arial" w:cs="Arial"/>
        </w:rPr>
      </w:pPr>
      <w:bookmarkStart w:id="14" w:name="_Toc231772974"/>
      <w:r w:rsidRPr="00692319">
        <w:rPr>
          <w:rFonts w:ascii="Arial" w:hAnsi="Arial" w:cs="Arial"/>
        </w:rPr>
        <w:t>Strategy Validation- Suitability, Acceptability, Feasibility</w:t>
      </w:r>
      <w:bookmarkEnd w:id="14"/>
    </w:p>
    <w:p w14:paraId="19485D53" w14:textId="251FA4C4" w:rsidR="0075645C" w:rsidRPr="00E32FD3" w:rsidRDefault="0075645C" w:rsidP="0075645C">
      <w:pPr>
        <w:rPr>
          <w:rFonts w:ascii="Arial" w:hAnsi="Arial" w:cs="Arial"/>
        </w:rPr>
      </w:pPr>
      <w:r w:rsidRPr="00E32FD3">
        <w:rPr>
          <w:rFonts w:ascii="Arial" w:hAnsi="Arial" w:cs="Arial"/>
        </w:rPr>
        <w:t xml:space="preserve">The </w:t>
      </w:r>
      <w:proofErr w:type="spellStart"/>
      <w:r w:rsidRPr="00E32FD3">
        <w:rPr>
          <w:rFonts w:ascii="Arial" w:hAnsi="Arial" w:cs="Arial"/>
        </w:rPr>
        <w:t>SAFe</w:t>
      </w:r>
      <w:proofErr w:type="spellEnd"/>
      <w:r w:rsidRPr="00E32FD3">
        <w:rPr>
          <w:rFonts w:ascii="Arial" w:hAnsi="Arial" w:cs="Arial"/>
        </w:rPr>
        <w:t xml:space="preserve"> criteria suggested by Johnson, Whittington and Scholes (2017) is the last test used for strategic decision making. AI differentiation – by penetration and product – passes all three tests. In terms of suitability, the strategy directly targets the two drivers of the PESTEL that have the biggest impact: MTD regulation and AI disruption, and takes advantage of the sustained advantages that Sage has established through its VRIO analysis. From an acceptability point of view, the strategy generates higher ARPU (average revenue per user) through the premium tiers of the AI, meeting the shareholder return expectations, without compromising on the actual value of workflow automation to the customer. For feasibility, Sage's operating cash flow of £528m is ample for the investment in AI R&amp;D, while the current Copilot system offers a solid platform to build upon.</w:t>
      </w:r>
    </w:p>
    <w:p w14:paraId="6BA187D1" w14:textId="6F5B5A79" w:rsidR="00DE0BB6" w:rsidRDefault="00F04944" w:rsidP="00DE0BB6">
      <w:pPr>
        <w:jc w:val="center"/>
      </w:pPr>
      <w:r w:rsidRPr="00F04944">
        <w:rPr>
          <w:noProof/>
        </w:rPr>
        <w:lastRenderedPageBreak/>
        <w:drawing>
          <wp:inline distT="0" distB="0" distL="0" distR="0" wp14:anchorId="1EAAC733" wp14:editId="7A8CFEC2">
            <wp:extent cx="5501768" cy="3591432"/>
            <wp:effectExtent l="0" t="0" r="0" b="0"/>
            <wp:docPr id="346083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083841" name=""/>
                    <pic:cNvPicPr/>
                  </pic:nvPicPr>
                  <pic:blipFill>
                    <a:blip r:embed="rId22"/>
                    <a:stretch>
                      <a:fillRect/>
                    </a:stretch>
                  </pic:blipFill>
                  <pic:spPr>
                    <a:xfrm>
                      <a:off x="0" y="0"/>
                      <a:ext cx="5512314" cy="3598316"/>
                    </a:xfrm>
                    <a:prstGeom prst="rect">
                      <a:avLst/>
                    </a:prstGeom>
                  </pic:spPr>
                </pic:pic>
              </a:graphicData>
            </a:graphic>
          </wp:inline>
        </w:drawing>
      </w:r>
    </w:p>
    <w:p w14:paraId="4813D828" w14:textId="0E3D5DA7" w:rsidR="00DE0BB6" w:rsidRPr="00692319" w:rsidRDefault="00DE0BB6" w:rsidP="00DE0BB6">
      <w:pPr>
        <w:jc w:val="center"/>
        <w:rPr>
          <w:rFonts w:ascii="Arial" w:hAnsi="Arial" w:cs="Arial"/>
        </w:rPr>
      </w:pPr>
      <w:r w:rsidRPr="00692319">
        <w:rPr>
          <w:rFonts w:ascii="Arial" w:hAnsi="Arial" w:cs="Arial"/>
        </w:rPr>
        <w:t xml:space="preserve">Image 6: </w:t>
      </w:r>
      <w:proofErr w:type="spellStart"/>
      <w:r w:rsidRPr="00692319">
        <w:rPr>
          <w:rFonts w:ascii="Arial" w:hAnsi="Arial" w:cs="Arial"/>
        </w:rPr>
        <w:t>SAFe</w:t>
      </w:r>
      <w:proofErr w:type="spellEnd"/>
      <w:r w:rsidRPr="00692319">
        <w:rPr>
          <w:rFonts w:ascii="Arial" w:hAnsi="Arial" w:cs="Arial"/>
        </w:rPr>
        <w:t xml:space="preserve"> criteria (Johnson, Whittington and Scholes, 2017)</w:t>
      </w:r>
    </w:p>
    <w:p w14:paraId="2AEA2E67" w14:textId="2DC1DB1B" w:rsidR="00940CE9" w:rsidRPr="00692319" w:rsidRDefault="00940CE9" w:rsidP="0047363E">
      <w:pPr>
        <w:pStyle w:val="Heading3"/>
        <w:rPr>
          <w:rFonts w:ascii="Arial" w:hAnsi="Arial" w:cs="Arial"/>
        </w:rPr>
      </w:pPr>
      <w:bookmarkStart w:id="15" w:name="_Toc231772975"/>
      <w:r w:rsidRPr="00692319">
        <w:rPr>
          <w:rFonts w:ascii="Arial" w:hAnsi="Arial" w:cs="Arial"/>
        </w:rPr>
        <w:t>Implementation challenges and mitigations</w:t>
      </w:r>
      <w:bookmarkEnd w:id="15"/>
    </w:p>
    <w:p w14:paraId="7502FD28" w14:textId="7F5EC5EC" w:rsidR="00940CE9" w:rsidRPr="00E32FD3" w:rsidRDefault="00940CE9" w:rsidP="00940CE9">
      <w:pPr>
        <w:rPr>
          <w:rFonts w:ascii="Arial" w:hAnsi="Arial" w:cs="Arial"/>
        </w:rPr>
      </w:pPr>
      <w:r w:rsidRPr="00E32FD3">
        <w:rPr>
          <w:rFonts w:ascii="Arial" w:hAnsi="Arial" w:cs="Arial"/>
        </w:rPr>
        <w:t>One of the most common ways to gain competitive advantage or fail to do so is through strategy implementation</w:t>
      </w:r>
      <w:r w:rsidR="008F00EF" w:rsidRPr="00E32FD3">
        <w:rPr>
          <w:rFonts w:ascii="Arial" w:hAnsi="Arial" w:cs="Arial"/>
        </w:rPr>
        <w:t xml:space="preserve"> (Shrivastava, 2020)</w:t>
      </w:r>
      <w:r w:rsidRPr="00E32FD3">
        <w:rPr>
          <w:rFonts w:ascii="Arial" w:hAnsi="Arial" w:cs="Arial"/>
        </w:rPr>
        <w:t>. Three main issues are highlighted for Sage: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3280"/>
        <w:gridCol w:w="3280"/>
      </w:tblGrid>
      <w:tr w:rsidR="001E6D4B" w:rsidRPr="001E6D4B" w14:paraId="6608A545" w14:textId="77777777" w:rsidTr="00693F83">
        <w:tc>
          <w:tcPr>
            <w:tcW w:w="280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3B032813" w14:textId="77777777" w:rsidR="001E6D4B" w:rsidRPr="001E6D4B" w:rsidRDefault="001E6D4B" w:rsidP="001E6D4B">
            <w:r w:rsidRPr="001E6D4B">
              <w:rPr>
                <w:b/>
                <w:bCs/>
              </w:rPr>
              <w:t>Challenge</w:t>
            </w:r>
          </w:p>
        </w:tc>
        <w:tc>
          <w:tcPr>
            <w:tcW w:w="328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032535CD" w14:textId="77777777" w:rsidR="001E6D4B" w:rsidRPr="001E6D4B" w:rsidRDefault="001E6D4B" w:rsidP="001E6D4B">
            <w:r w:rsidRPr="001E6D4B">
              <w:rPr>
                <w:b/>
                <w:bCs/>
              </w:rPr>
              <w:t>Root Cause</w:t>
            </w:r>
          </w:p>
        </w:tc>
        <w:tc>
          <w:tcPr>
            <w:tcW w:w="328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458DA53B" w14:textId="77777777" w:rsidR="001E6D4B" w:rsidRPr="001E6D4B" w:rsidRDefault="001E6D4B" w:rsidP="001E6D4B">
            <w:r w:rsidRPr="001E6D4B">
              <w:rPr>
                <w:b/>
                <w:bCs/>
              </w:rPr>
              <w:t>Proposed Mitigation</w:t>
            </w:r>
          </w:p>
        </w:tc>
      </w:tr>
      <w:tr w:rsidR="001E6D4B" w:rsidRPr="001E6D4B" w14:paraId="6010C8DB" w14:textId="77777777" w:rsidTr="00693F83">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74B93AEE" w14:textId="77777777" w:rsidR="001E6D4B" w:rsidRPr="001E6D4B" w:rsidRDefault="001E6D4B" w:rsidP="001E6D4B">
            <w:r w:rsidRPr="001E6D4B">
              <w:t>Legacy customer cloud migration resistance</w:t>
            </w:r>
          </w:p>
        </w:tc>
        <w:tc>
          <w:tcPr>
            <w:tcW w:w="32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0116A7C3" w14:textId="667079D5" w:rsidR="001E6D4B" w:rsidRPr="001E6D4B" w:rsidRDefault="001E6D4B" w:rsidP="001E6D4B">
            <w:r w:rsidRPr="001E6D4B">
              <w:t>Sage 50 customers have spent a lot of money on workflows that revolve around on-premise software. The switching costs are perceived to be high and the reluctance to cloud migration has been a risk factor for retention in the past.</w:t>
            </w:r>
            <w:r>
              <w:t xml:space="preserve"> </w:t>
            </w:r>
          </w:p>
        </w:tc>
        <w:tc>
          <w:tcPr>
            <w:tcW w:w="32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5D2E9B83" w14:textId="0068B774" w:rsidR="001E6D4B" w:rsidRPr="001E6D4B" w:rsidRDefault="001E6D4B" w:rsidP="001E6D4B">
            <w:r w:rsidRPr="001E6D4B">
              <w:t xml:space="preserve">The mitigation is a structured MTD Migration </w:t>
            </w:r>
            <w:proofErr w:type="spellStart"/>
            <w:r w:rsidRPr="001E6D4B">
              <w:t>Programme</w:t>
            </w:r>
            <w:proofErr w:type="spellEnd"/>
            <w:r w:rsidRPr="001E6D4B">
              <w:t xml:space="preserve">: free data migration concierge service, a hybrid cloud and on-premises offering during the transition period and using certified accountant partners who have a high degree of credibility with their SME </w:t>
            </w:r>
            <w:r w:rsidRPr="001E6D4B">
              <w:lastRenderedPageBreak/>
              <w:t>clients to endorse and advise on the migration.</w:t>
            </w:r>
          </w:p>
        </w:tc>
      </w:tr>
      <w:tr w:rsidR="001E6D4B" w:rsidRPr="001E6D4B" w14:paraId="11A8F8A7" w14:textId="77777777" w:rsidTr="00693F83">
        <w:tc>
          <w:tcPr>
            <w:tcW w:w="2800" w:type="dxa"/>
            <w:tcBorders>
              <w:top w:val="single" w:sz="4" w:space="0" w:color="CCCCCC"/>
              <w:left w:val="single" w:sz="4" w:space="0" w:color="CCCCCC"/>
              <w:bottom w:val="single" w:sz="4" w:space="0" w:color="CCCCCC"/>
              <w:right w:val="single" w:sz="4" w:space="0" w:color="CCCCCC"/>
            </w:tcBorders>
            <w:shd w:val="clear" w:color="auto" w:fill="F9F9F9"/>
            <w:tcMar>
              <w:top w:w="80" w:type="dxa"/>
              <w:left w:w="120" w:type="dxa"/>
              <w:bottom w:w="80" w:type="dxa"/>
              <w:right w:w="120" w:type="dxa"/>
            </w:tcMar>
            <w:vAlign w:val="center"/>
          </w:tcPr>
          <w:p w14:paraId="7EF65DCF" w14:textId="77777777" w:rsidR="001E6D4B" w:rsidRPr="001E6D4B" w:rsidRDefault="001E6D4B" w:rsidP="001E6D4B">
            <w:r w:rsidRPr="001E6D4B">
              <w:lastRenderedPageBreak/>
              <w:t xml:space="preserve">AI feature </w:t>
            </w:r>
            <w:proofErr w:type="spellStart"/>
            <w:r w:rsidRPr="001E6D4B">
              <w:t>commoditisation</w:t>
            </w:r>
            <w:proofErr w:type="spellEnd"/>
            <w:r w:rsidRPr="001E6D4B">
              <w:t xml:space="preserve"> by competitors</w:t>
            </w:r>
          </w:p>
        </w:tc>
        <w:tc>
          <w:tcPr>
            <w:tcW w:w="32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4C79CFC0" w14:textId="3ADC21B4" w:rsidR="001E6D4B" w:rsidRPr="001E6D4B" w:rsidRDefault="000A4F5C" w:rsidP="001E6D4B">
            <w:r w:rsidRPr="000A4F5C">
              <w:t>Both Xero and QuickBooks are rapidly investing in generative AI, and the current differentiation that Copilot offers could be lost in as few as 12 to 18 months, as other competitors catch up.</w:t>
            </w:r>
          </w:p>
        </w:tc>
        <w:tc>
          <w:tcPr>
            <w:tcW w:w="32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7823D4D5" w14:textId="63762983" w:rsidR="001E6D4B" w:rsidRPr="001E6D4B" w:rsidRDefault="000A4F5C" w:rsidP="001E6D4B">
            <w:r w:rsidRPr="000A4F5C">
              <w:t>The mitigation is to invest in proprietary AI models trained on Sage's unique financial data of SMEs which is a training resource that it is hard for any competitor to replicate, and to focus AI development on the MTD compliance workflows, where Sage's regulatory infrastructure provides a defensible moat that generic AI tools cannot enter without having equivalent compliance infrastructure.</w:t>
            </w:r>
            <w:r>
              <w:t xml:space="preserve"> </w:t>
            </w:r>
          </w:p>
        </w:tc>
      </w:tr>
      <w:tr w:rsidR="001E6D4B" w:rsidRPr="001E6D4B" w14:paraId="5ACAA5FD" w14:textId="77777777" w:rsidTr="00693F83">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1A57C928" w14:textId="77777777" w:rsidR="001E6D4B" w:rsidRPr="001E6D4B" w:rsidRDefault="001E6D4B" w:rsidP="001E6D4B">
            <w:r w:rsidRPr="001E6D4B">
              <w:t>Balance sheet constraints limiting strategic flexibility</w:t>
            </w:r>
          </w:p>
        </w:tc>
        <w:tc>
          <w:tcPr>
            <w:tcW w:w="32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34370220" w14:textId="77777777" w:rsidR="000A4F5C" w:rsidRDefault="001E6D4B" w:rsidP="001E6D4B">
            <w:r w:rsidRPr="001E6D4B">
              <w:t>D/E ratio of 2.19 and current ratio of 0.64 limit debt-funded acquisitions;</w:t>
            </w:r>
          </w:p>
          <w:p w14:paraId="34CCB6A2" w14:textId="3D594983" w:rsidR="001E6D4B" w:rsidRPr="001E6D4B" w:rsidRDefault="001E6D4B" w:rsidP="001E6D4B">
            <w:r w:rsidRPr="001E6D4B">
              <w:t>£300m FY2026 buyback further pressures equity base</w:t>
            </w:r>
          </w:p>
        </w:tc>
        <w:tc>
          <w:tcPr>
            <w:tcW w:w="32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vAlign w:val="center"/>
          </w:tcPr>
          <w:p w14:paraId="2C873A0C" w14:textId="4A3274DE" w:rsidR="001E6D4B" w:rsidRPr="001E6D4B" w:rsidRDefault="000A4F5C" w:rsidP="001E6D4B">
            <w:r w:rsidRPr="000A4F5C">
              <w:t>The mitigation is to be phased, keeping headroom for liquidity, focus on organic AI R&amp;D over acquisition-based growth in the short term and aim to improve the D/E ratio to 1.5 by FY2027 – to create financial flexibility to deal with competitive pressures or consolidation opportunities as they arise.</w:t>
            </w:r>
            <w:r>
              <w:t xml:space="preserve"> </w:t>
            </w:r>
          </w:p>
        </w:tc>
      </w:tr>
    </w:tbl>
    <w:p w14:paraId="7F427CFB" w14:textId="3874011B" w:rsidR="00944492" w:rsidRPr="00692319" w:rsidRDefault="000572F8" w:rsidP="00692319">
      <w:pPr>
        <w:jc w:val="center"/>
        <w:rPr>
          <w:rFonts w:ascii="Arial" w:hAnsi="Arial" w:cs="Arial"/>
        </w:rPr>
      </w:pPr>
      <w:r w:rsidRPr="00692319">
        <w:rPr>
          <w:rFonts w:ascii="Arial" w:hAnsi="Arial" w:cs="Arial"/>
        </w:rPr>
        <w:t>Figure 5: Implementation challenges and mitigations</w:t>
      </w:r>
    </w:p>
    <w:p w14:paraId="63B24604" w14:textId="1E8023A2" w:rsidR="00746BD9" w:rsidRPr="00692319" w:rsidRDefault="00FB55BC" w:rsidP="00FB55BC">
      <w:pPr>
        <w:pStyle w:val="Heading1"/>
        <w:rPr>
          <w:rFonts w:ascii="Arial" w:hAnsi="Arial" w:cs="Arial"/>
        </w:rPr>
      </w:pPr>
      <w:bookmarkStart w:id="16" w:name="_Toc231772976"/>
      <w:r w:rsidRPr="00692319">
        <w:rPr>
          <w:rFonts w:ascii="Arial" w:hAnsi="Arial" w:cs="Arial"/>
        </w:rPr>
        <w:lastRenderedPageBreak/>
        <w:t>Section 2: Self-Reflection</w:t>
      </w:r>
      <w:bookmarkEnd w:id="16"/>
    </w:p>
    <w:p w14:paraId="46107045" w14:textId="1CDA249E" w:rsidR="00FB55BC" w:rsidRPr="00E32FD3" w:rsidRDefault="00125E96" w:rsidP="00FB55BC">
      <w:pPr>
        <w:rPr>
          <w:rFonts w:ascii="Arial" w:hAnsi="Arial" w:cs="Arial"/>
        </w:rPr>
      </w:pPr>
      <w:r w:rsidRPr="00E32FD3">
        <w:rPr>
          <w:rFonts w:ascii="Arial" w:hAnsi="Arial" w:cs="Arial"/>
        </w:rPr>
        <w:t xml:space="preserve">This section provides a reflective account of the process undertaken in researching, </w:t>
      </w:r>
      <w:proofErr w:type="spellStart"/>
      <w:r w:rsidRPr="00E32FD3">
        <w:rPr>
          <w:rFonts w:ascii="Arial" w:hAnsi="Arial" w:cs="Arial"/>
        </w:rPr>
        <w:t>analysing</w:t>
      </w:r>
      <w:proofErr w:type="spellEnd"/>
      <w:r w:rsidRPr="00E32FD3">
        <w:rPr>
          <w:rFonts w:ascii="Arial" w:hAnsi="Arial" w:cs="Arial"/>
        </w:rPr>
        <w:t xml:space="preserve"> and preparing Section 1 of this report. The </w:t>
      </w:r>
      <w:proofErr w:type="spellStart"/>
      <w:r w:rsidRPr="00E32FD3">
        <w:rPr>
          <w:rFonts w:ascii="Arial" w:hAnsi="Arial" w:cs="Arial"/>
        </w:rPr>
        <w:t>organising</w:t>
      </w:r>
      <w:proofErr w:type="spellEnd"/>
      <w:r w:rsidRPr="00E32FD3">
        <w:rPr>
          <w:rFonts w:ascii="Arial" w:hAnsi="Arial" w:cs="Arial"/>
        </w:rPr>
        <w:t xml:space="preserve"> framework is Gibbs' Reflective Cycle </w:t>
      </w:r>
      <w:r w:rsidR="008F00EF" w:rsidRPr="00E32FD3">
        <w:rPr>
          <w:rFonts w:ascii="Arial" w:hAnsi="Arial" w:cs="Arial"/>
        </w:rPr>
        <w:t xml:space="preserve">(Brockbank, </w:t>
      </w:r>
      <w:proofErr w:type="spellStart"/>
      <w:r w:rsidR="008F00EF" w:rsidRPr="00E32FD3">
        <w:rPr>
          <w:rFonts w:ascii="Arial" w:hAnsi="Arial" w:cs="Arial"/>
        </w:rPr>
        <w:t>Mcgill</w:t>
      </w:r>
      <w:proofErr w:type="spellEnd"/>
      <w:r w:rsidR="008F00EF" w:rsidRPr="00E32FD3">
        <w:rPr>
          <w:rFonts w:ascii="Arial" w:hAnsi="Arial" w:cs="Arial"/>
        </w:rPr>
        <w:t xml:space="preserve"> and Beech, 2019),</w:t>
      </w:r>
      <w:r w:rsidRPr="00E32FD3">
        <w:rPr>
          <w:rFonts w:ascii="Arial" w:hAnsi="Arial" w:cs="Arial"/>
        </w:rPr>
        <w:t xml:space="preserve"> which uses six stages of reflection (Description, Feelings, Evaluation, Analysis, Conclusion, Action Plan) which offer the depth and specificity required for post graduate level reflection, and is still methodologically coherent.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7560"/>
      </w:tblGrid>
      <w:tr w:rsidR="009768D2" w:rsidRPr="009768D2" w14:paraId="26015033" w14:textId="77777777" w:rsidTr="00693F83">
        <w:tc>
          <w:tcPr>
            <w:tcW w:w="180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366D9159" w14:textId="77777777" w:rsidR="009768D2" w:rsidRPr="009768D2" w:rsidRDefault="009768D2" w:rsidP="009768D2">
            <w:r w:rsidRPr="009768D2">
              <w:rPr>
                <w:b/>
                <w:bCs/>
              </w:rPr>
              <w:t>Stage</w:t>
            </w:r>
          </w:p>
        </w:tc>
        <w:tc>
          <w:tcPr>
            <w:tcW w:w="7560" w:type="dxa"/>
            <w:tcBorders>
              <w:top w:val="single" w:sz="4" w:space="0" w:color="CCCCCC"/>
              <w:left w:val="single" w:sz="4" w:space="0" w:color="CCCCCC"/>
              <w:bottom w:val="single" w:sz="4" w:space="0" w:color="CCCCCC"/>
              <w:right w:val="single" w:sz="4" w:space="0" w:color="CCCCCC"/>
            </w:tcBorders>
            <w:shd w:val="clear" w:color="auto" w:fill="1F4E79"/>
            <w:tcMar>
              <w:top w:w="100" w:type="dxa"/>
              <w:left w:w="120" w:type="dxa"/>
              <w:bottom w:w="100" w:type="dxa"/>
              <w:right w:w="120" w:type="dxa"/>
            </w:tcMar>
            <w:vAlign w:val="center"/>
          </w:tcPr>
          <w:p w14:paraId="246DDE99" w14:textId="77777777" w:rsidR="009768D2" w:rsidRPr="009768D2" w:rsidRDefault="009768D2" w:rsidP="009768D2">
            <w:r w:rsidRPr="009768D2">
              <w:rPr>
                <w:b/>
                <w:bCs/>
              </w:rPr>
              <w:t>Reflective Account</w:t>
            </w:r>
          </w:p>
        </w:tc>
      </w:tr>
      <w:tr w:rsidR="009768D2" w:rsidRPr="009768D2" w14:paraId="6B728FA1" w14:textId="77777777" w:rsidTr="00693F83">
        <w:tc>
          <w:tcPr>
            <w:tcW w:w="1800" w:type="dxa"/>
            <w:tcBorders>
              <w:top w:val="single" w:sz="4" w:space="0" w:color="CCCCCC"/>
              <w:left w:val="single" w:sz="4" w:space="0" w:color="CCCCCC"/>
              <w:bottom w:val="single" w:sz="4" w:space="0" w:color="CCCCCC"/>
              <w:right w:val="single" w:sz="4" w:space="0" w:color="CCCCCC"/>
            </w:tcBorders>
            <w:shd w:val="clear" w:color="auto" w:fill="EBF3FB"/>
            <w:tcMar>
              <w:top w:w="80" w:type="dxa"/>
              <w:left w:w="120" w:type="dxa"/>
              <w:bottom w:w="80" w:type="dxa"/>
              <w:right w:w="120" w:type="dxa"/>
            </w:tcMar>
            <w:vAlign w:val="center"/>
          </w:tcPr>
          <w:p w14:paraId="1B6E8C59" w14:textId="77777777" w:rsidR="009768D2" w:rsidRPr="009768D2" w:rsidRDefault="009768D2" w:rsidP="009768D2">
            <w:r w:rsidRPr="009768D2">
              <w:rPr>
                <w:b/>
                <w:bCs/>
              </w:rPr>
              <w:t>1. Description (What happened?)</w:t>
            </w:r>
          </w:p>
        </w:tc>
        <w:tc>
          <w:tcPr>
            <w:tcW w:w="7560" w:type="dxa"/>
            <w:tcBorders>
              <w:top w:val="single" w:sz="4" w:space="0" w:color="CCCCCC"/>
              <w:left w:val="single" w:sz="4" w:space="0" w:color="CCCCCC"/>
              <w:bottom w:val="single" w:sz="4" w:space="0" w:color="CCCCCC"/>
              <w:right w:val="single" w:sz="4" w:space="0" w:color="CCCCCC"/>
            </w:tcBorders>
            <w:tcMar>
              <w:top w:w="100" w:type="dxa"/>
              <w:left w:w="150" w:type="dxa"/>
              <w:bottom w:w="100" w:type="dxa"/>
              <w:right w:w="150" w:type="dxa"/>
            </w:tcMar>
          </w:tcPr>
          <w:p w14:paraId="7B0AE14F" w14:textId="70E24923" w:rsidR="009768D2" w:rsidRPr="009768D2" w:rsidRDefault="00947783" w:rsidP="009768D2">
            <w:r w:rsidRPr="00947783">
              <w:t xml:space="preserve">This report involved me playing the part of a strategic management consultant and come up with a Board-level analysis of Sage Group plc, in the context of the UK SME market. The task required them to use various strategic frameworks on a true listed </w:t>
            </w:r>
            <w:proofErr w:type="spellStart"/>
            <w:r w:rsidRPr="00947783">
              <w:t>organisation</w:t>
            </w:r>
            <w:proofErr w:type="spellEnd"/>
            <w:r w:rsidRPr="00947783">
              <w:t xml:space="preserve">: PESTEL, VRIO, SWOT, Porter's Five Forces, Balanced Scorecard and Ansoff's Matrix. The reason I chose Sage was that I knew the software, and the current strategic inflection point in Sage, being powered by AI and MTD regulation, gave me lots of data to </w:t>
            </w:r>
            <w:proofErr w:type="spellStart"/>
            <w:r w:rsidRPr="00947783">
              <w:t>analyse</w:t>
            </w:r>
            <w:proofErr w:type="spellEnd"/>
            <w:r w:rsidRPr="00947783">
              <w:t>. It started with a comprehensive analysis of Sage's Annual Report for the year ending 2025, HMRC's MTD guidance, competitor research and academic research into strategic management frameworks.</w:t>
            </w:r>
            <w:r>
              <w:t xml:space="preserve"> </w:t>
            </w:r>
          </w:p>
        </w:tc>
      </w:tr>
      <w:tr w:rsidR="009768D2" w:rsidRPr="009768D2" w14:paraId="4EED6F35" w14:textId="77777777" w:rsidTr="00693F83">
        <w:tc>
          <w:tcPr>
            <w:tcW w:w="1800" w:type="dxa"/>
            <w:tcBorders>
              <w:top w:val="single" w:sz="4" w:space="0" w:color="CCCCCC"/>
              <w:left w:val="single" w:sz="4" w:space="0" w:color="CCCCCC"/>
              <w:bottom w:val="single" w:sz="4" w:space="0" w:color="CCCCCC"/>
              <w:right w:val="single" w:sz="4" w:space="0" w:color="CCCCCC"/>
            </w:tcBorders>
            <w:shd w:val="clear" w:color="auto" w:fill="E2EFDA"/>
            <w:tcMar>
              <w:top w:w="80" w:type="dxa"/>
              <w:left w:w="120" w:type="dxa"/>
              <w:bottom w:w="80" w:type="dxa"/>
              <w:right w:w="120" w:type="dxa"/>
            </w:tcMar>
            <w:vAlign w:val="center"/>
          </w:tcPr>
          <w:p w14:paraId="24FCFE1D" w14:textId="77777777" w:rsidR="009768D2" w:rsidRPr="009768D2" w:rsidRDefault="009768D2" w:rsidP="009768D2">
            <w:r w:rsidRPr="009768D2">
              <w:rPr>
                <w:b/>
                <w:bCs/>
              </w:rPr>
              <w:t>2. Feelings (What were you thinking and feeling?)</w:t>
            </w:r>
          </w:p>
        </w:tc>
        <w:tc>
          <w:tcPr>
            <w:tcW w:w="7560" w:type="dxa"/>
            <w:tcBorders>
              <w:top w:val="single" w:sz="4" w:space="0" w:color="CCCCCC"/>
              <w:left w:val="single" w:sz="4" w:space="0" w:color="CCCCCC"/>
              <w:bottom w:val="single" w:sz="4" w:space="0" w:color="CCCCCC"/>
              <w:right w:val="single" w:sz="4" w:space="0" w:color="CCCCCC"/>
            </w:tcBorders>
            <w:tcMar>
              <w:top w:w="100" w:type="dxa"/>
              <w:left w:w="150" w:type="dxa"/>
              <w:bottom w:w="100" w:type="dxa"/>
              <w:right w:w="150" w:type="dxa"/>
            </w:tcMar>
          </w:tcPr>
          <w:p w14:paraId="18AD644C" w14:textId="7C26E6A6" w:rsidR="009768D2" w:rsidRPr="009768D2" w:rsidRDefault="00C11114" w:rsidP="009768D2">
            <w:r w:rsidRPr="00C11114">
              <w:t xml:space="preserve">At first, I was daunted by the number of frameworks needed and how I could weave them all together into a story and not what was a collection of tools. I was also aware of the difficulty of the level 7 assessment - it is not just about describing frameworks, but also critically </w:t>
            </w:r>
            <w:proofErr w:type="spellStart"/>
            <w:r w:rsidRPr="00C11114">
              <w:t>analysing</w:t>
            </w:r>
            <w:proofErr w:type="spellEnd"/>
            <w:r w:rsidRPr="00C11114">
              <w:t xml:space="preserve"> them, </w:t>
            </w:r>
            <w:proofErr w:type="spellStart"/>
            <w:r w:rsidRPr="00C11114">
              <w:t>recognising</w:t>
            </w:r>
            <w:proofErr w:type="spellEnd"/>
            <w:r w:rsidRPr="00C11114">
              <w:t xml:space="preserve"> their limitations and forming arguments of my own. This created a certain uneasiness that my analysis was not too descriptive and was not enough critical. As the research unfolded, however, and themes began to form, notably the strategic paradox between Sage's strong income statement results </w:t>
            </w:r>
            <w:r w:rsidRPr="00C11114">
              <w:lastRenderedPageBreak/>
              <w:t>and its weak balance sheet, I was truly challenged and began to become more comfortable in building and supporting strategic cases.</w:t>
            </w:r>
            <w:r>
              <w:t xml:space="preserve"> </w:t>
            </w:r>
          </w:p>
        </w:tc>
      </w:tr>
      <w:tr w:rsidR="009768D2" w:rsidRPr="009768D2" w14:paraId="5D00BE2E" w14:textId="77777777" w:rsidTr="00693F83">
        <w:tc>
          <w:tcPr>
            <w:tcW w:w="1800" w:type="dxa"/>
            <w:tcBorders>
              <w:top w:val="single" w:sz="4" w:space="0" w:color="CCCCCC"/>
              <w:left w:val="single" w:sz="4" w:space="0" w:color="CCCCCC"/>
              <w:bottom w:val="single" w:sz="4" w:space="0" w:color="CCCCCC"/>
              <w:right w:val="single" w:sz="4" w:space="0" w:color="CCCCCC"/>
            </w:tcBorders>
            <w:shd w:val="clear" w:color="auto" w:fill="FFF2CC"/>
            <w:tcMar>
              <w:top w:w="80" w:type="dxa"/>
              <w:left w:w="120" w:type="dxa"/>
              <w:bottom w:w="80" w:type="dxa"/>
              <w:right w:w="120" w:type="dxa"/>
            </w:tcMar>
            <w:vAlign w:val="center"/>
          </w:tcPr>
          <w:p w14:paraId="05D0158E" w14:textId="77777777" w:rsidR="009768D2" w:rsidRPr="009768D2" w:rsidRDefault="009768D2" w:rsidP="009768D2">
            <w:r w:rsidRPr="009768D2">
              <w:rPr>
                <w:b/>
                <w:bCs/>
              </w:rPr>
              <w:lastRenderedPageBreak/>
              <w:t>3. Evaluation (What was good and bad?)</w:t>
            </w:r>
          </w:p>
        </w:tc>
        <w:tc>
          <w:tcPr>
            <w:tcW w:w="7560" w:type="dxa"/>
            <w:tcBorders>
              <w:top w:val="single" w:sz="4" w:space="0" w:color="CCCCCC"/>
              <w:left w:val="single" w:sz="4" w:space="0" w:color="CCCCCC"/>
              <w:bottom w:val="single" w:sz="4" w:space="0" w:color="CCCCCC"/>
              <w:right w:val="single" w:sz="4" w:space="0" w:color="CCCCCC"/>
            </w:tcBorders>
            <w:tcMar>
              <w:top w:w="100" w:type="dxa"/>
              <w:left w:w="150" w:type="dxa"/>
              <w:bottom w:w="100" w:type="dxa"/>
              <w:right w:w="150" w:type="dxa"/>
            </w:tcMar>
          </w:tcPr>
          <w:p w14:paraId="1AD79F23" w14:textId="101AA57F" w:rsidR="009768D2" w:rsidRPr="009768D2" w:rsidRDefault="007A3BEB" w:rsidP="009768D2">
            <w:r w:rsidRPr="007A3BEB">
              <w:t>One of the advantages of the research process was the VRIO analysis. I was able to systematically break down Sage's resources and capabilities to find a subtle finding that wasn't quite so obvious: that Sage's most powerful competitive advantage is not its products, but its relational capital — its brand history, its partners, and its installed base of customers. This insight led to the recommendation to differentiate using existing strengths rather than product-to-product competition with Xero, through the use of AI. One challenge with the process was finding granular revenue information for the UK from Sage's public disclosure, which is at group level rather than geography level. This meant that I had to work with proxy indicators (UK market narrative, competitor benchmarks) and not with accurate UK revenue data, limiting the accuracy of the financial analysis.</w:t>
            </w:r>
            <w:r>
              <w:t xml:space="preserve"> </w:t>
            </w:r>
          </w:p>
        </w:tc>
      </w:tr>
      <w:tr w:rsidR="009768D2" w:rsidRPr="009768D2" w14:paraId="63E7A5E3" w14:textId="77777777" w:rsidTr="00693F83">
        <w:tc>
          <w:tcPr>
            <w:tcW w:w="1800" w:type="dxa"/>
            <w:tcBorders>
              <w:top w:val="single" w:sz="4" w:space="0" w:color="CCCCCC"/>
              <w:left w:val="single" w:sz="4" w:space="0" w:color="CCCCCC"/>
              <w:bottom w:val="single" w:sz="4" w:space="0" w:color="CCCCCC"/>
              <w:right w:val="single" w:sz="4" w:space="0" w:color="CCCCCC"/>
            </w:tcBorders>
            <w:shd w:val="clear" w:color="auto" w:fill="FCE4D6"/>
            <w:tcMar>
              <w:top w:w="80" w:type="dxa"/>
              <w:left w:w="120" w:type="dxa"/>
              <w:bottom w:w="80" w:type="dxa"/>
              <w:right w:w="120" w:type="dxa"/>
            </w:tcMar>
            <w:vAlign w:val="center"/>
          </w:tcPr>
          <w:p w14:paraId="008CDAF5" w14:textId="77777777" w:rsidR="009768D2" w:rsidRPr="009768D2" w:rsidRDefault="009768D2" w:rsidP="009768D2">
            <w:r w:rsidRPr="009768D2">
              <w:rPr>
                <w:b/>
                <w:bCs/>
              </w:rPr>
              <w:t>4. Analysis (What sense can you make of the situation?)</w:t>
            </w:r>
          </w:p>
        </w:tc>
        <w:tc>
          <w:tcPr>
            <w:tcW w:w="7560" w:type="dxa"/>
            <w:tcBorders>
              <w:top w:val="single" w:sz="4" w:space="0" w:color="CCCCCC"/>
              <w:left w:val="single" w:sz="4" w:space="0" w:color="CCCCCC"/>
              <w:bottom w:val="single" w:sz="4" w:space="0" w:color="CCCCCC"/>
              <w:right w:val="single" w:sz="4" w:space="0" w:color="CCCCCC"/>
            </w:tcBorders>
            <w:tcMar>
              <w:top w:w="100" w:type="dxa"/>
              <w:left w:w="150" w:type="dxa"/>
              <w:bottom w:w="100" w:type="dxa"/>
              <w:right w:w="150" w:type="dxa"/>
            </w:tcMar>
          </w:tcPr>
          <w:p w14:paraId="36B8A03A" w14:textId="55867B4D" w:rsidR="009768D2" w:rsidRPr="009768D2" w:rsidRDefault="000B6767" w:rsidP="009768D2">
            <w:r w:rsidRPr="000B6767">
              <w:t xml:space="preserve">Looking back at the analytical process, I have to admit that I found the most difficult part of the process was trying to reconcile the apparent contradiction between Sage's current ratio (0.64) and D/E ratio (2.19), and the fact that it was doing so well operationally (in terms of revenue growth and cash generation). This paradox is not the result of bad management, but rather a direct result of a conscious capital allocation choice – a £605m share buyback – that focused on a short-term return for shareholders rather than on the balance sheet's resilience. This tension aligns with the CSR debate that has been raging for years between shareholder </w:t>
            </w:r>
            <w:proofErr w:type="gramStart"/>
            <w:r w:rsidRPr="000B6767">
              <w:t>primacy  and</w:t>
            </w:r>
            <w:proofErr w:type="gramEnd"/>
            <w:r w:rsidRPr="000B6767">
              <w:t xml:space="preserve"> stakeholder capitalism </w:t>
            </w:r>
            <w:r w:rsidR="00DC434F" w:rsidRPr="00DC434F">
              <w:t>(Wickham and Wong, 2019)</w:t>
            </w:r>
            <w:r w:rsidR="00DC434F">
              <w:t xml:space="preserve"> </w:t>
            </w:r>
            <w:r w:rsidRPr="000B6767">
              <w:t xml:space="preserve">and I found the Balanced Scorecard framework to be very helpful in articulating how these two goals do not have to be mutually exclusive if managed with disciplined sequencing. The concept of strategy and operational effectiveness, as defined by Porter, also </w:t>
            </w:r>
            <w:r w:rsidRPr="000B6767">
              <w:lastRenderedPageBreak/>
              <w:t>enabled me to explain the rationale for Sage's AI investments as more of a strategic positioning than a simple efficiency enhancement.</w:t>
            </w:r>
          </w:p>
        </w:tc>
      </w:tr>
      <w:tr w:rsidR="009768D2" w:rsidRPr="009768D2" w14:paraId="1C60E5D7" w14:textId="77777777" w:rsidTr="00693F83">
        <w:tc>
          <w:tcPr>
            <w:tcW w:w="1800" w:type="dxa"/>
            <w:tcBorders>
              <w:top w:val="single" w:sz="4" w:space="0" w:color="CCCCCC"/>
              <w:left w:val="single" w:sz="4" w:space="0" w:color="CCCCCC"/>
              <w:bottom w:val="single" w:sz="4" w:space="0" w:color="CCCCCC"/>
              <w:right w:val="single" w:sz="4" w:space="0" w:color="CCCCCC"/>
            </w:tcBorders>
            <w:shd w:val="clear" w:color="auto" w:fill="F3E6FF"/>
            <w:tcMar>
              <w:top w:w="80" w:type="dxa"/>
              <w:left w:w="120" w:type="dxa"/>
              <w:bottom w:w="80" w:type="dxa"/>
              <w:right w:w="120" w:type="dxa"/>
            </w:tcMar>
            <w:vAlign w:val="center"/>
          </w:tcPr>
          <w:p w14:paraId="48D3F272" w14:textId="77777777" w:rsidR="009768D2" w:rsidRPr="009768D2" w:rsidRDefault="009768D2" w:rsidP="009768D2">
            <w:r w:rsidRPr="009768D2">
              <w:rPr>
                <w:b/>
                <w:bCs/>
              </w:rPr>
              <w:lastRenderedPageBreak/>
              <w:t>5. Conclusion (What else could you have done?)</w:t>
            </w:r>
          </w:p>
        </w:tc>
        <w:tc>
          <w:tcPr>
            <w:tcW w:w="7560" w:type="dxa"/>
            <w:tcBorders>
              <w:top w:val="single" w:sz="4" w:space="0" w:color="CCCCCC"/>
              <w:left w:val="single" w:sz="4" w:space="0" w:color="CCCCCC"/>
              <w:bottom w:val="single" w:sz="4" w:space="0" w:color="CCCCCC"/>
              <w:right w:val="single" w:sz="4" w:space="0" w:color="CCCCCC"/>
            </w:tcBorders>
            <w:tcMar>
              <w:top w:w="100" w:type="dxa"/>
              <w:left w:w="150" w:type="dxa"/>
              <w:bottom w:w="100" w:type="dxa"/>
              <w:right w:w="150" w:type="dxa"/>
            </w:tcMar>
          </w:tcPr>
          <w:p w14:paraId="0608D85C" w14:textId="1DC7300E" w:rsidR="009768D2" w:rsidRPr="009768D2" w:rsidRDefault="000B6767" w:rsidP="009768D2">
            <w:r w:rsidRPr="000B6767">
              <w:t xml:space="preserve">Looking back on it, I could have done some primary research, such as a short survey of UK SME users, or accountants, to supplement some of the secondary data I had available from Sage's Annual Report and competitor analysis. This would have given a more detailed perspective of the customers' point of view for the Customer quadrant of the Balanced Scorecard and the analysis of the Five Forces, specifically the buyer bargaining power. I could also have done more to explore the BCG Matrix to see the product portfolio of Sage from the product-line level, which would have given more granularity to the Ansoff Matrix analysis. However, due to the word limit and the need to cover a broad range of frameworks I feel that </w:t>
            </w:r>
            <w:proofErr w:type="spellStart"/>
            <w:r w:rsidRPr="000B6767">
              <w:t>prioritisation</w:t>
            </w:r>
            <w:proofErr w:type="spellEnd"/>
            <w:r w:rsidRPr="000B6767">
              <w:t xml:space="preserve"> had to be done and I believe that the frameworks chosen were the most strategic for assessment purposes.</w:t>
            </w:r>
          </w:p>
        </w:tc>
      </w:tr>
      <w:tr w:rsidR="009768D2" w:rsidRPr="009768D2" w14:paraId="2E0CBB56" w14:textId="77777777" w:rsidTr="00693F83">
        <w:tc>
          <w:tcPr>
            <w:tcW w:w="1800" w:type="dxa"/>
            <w:tcBorders>
              <w:top w:val="single" w:sz="4" w:space="0" w:color="CCCCCC"/>
              <w:left w:val="single" w:sz="4" w:space="0" w:color="CCCCCC"/>
              <w:bottom w:val="single" w:sz="4" w:space="0" w:color="CCCCCC"/>
              <w:right w:val="single" w:sz="4" w:space="0" w:color="CCCCCC"/>
            </w:tcBorders>
            <w:shd w:val="clear" w:color="auto" w:fill="EBF3FB"/>
            <w:tcMar>
              <w:top w:w="80" w:type="dxa"/>
              <w:left w:w="120" w:type="dxa"/>
              <w:bottom w:w="80" w:type="dxa"/>
              <w:right w:w="120" w:type="dxa"/>
            </w:tcMar>
            <w:vAlign w:val="center"/>
          </w:tcPr>
          <w:p w14:paraId="4C5E2738" w14:textId="77777777" w:rsidR="009768D2" w:rsidRPr="009768D2" w:rsidRDefault="009768D2" w:rsidP="009768D2">
            <w:r w:rsidRPr="009768D2">
              <w:rPr>
                <w:b/>
                <w:bCs/>
              </w:rPr>
              <w:t>6. Action Plan (If it arose again, what would you do?)</w:t>
            </w:r>
          </w:p>
        </w:tc>
        <w:tc>
          <w:tcPr>
            <w:tcW w:w="7560" w:type="dxa"/>
            <w:tcBorders>
              <w:top w:val="single" w:sz="4" w:space="0" w:color="CCCCCC"/>
              <w:left w:val="single" w:sz="4" w:space="0" w:color="CCCCCC"/>
              <w:bottom w:val="single" w:sz="4" w:space="0" w:color="CCCCCC"/>
              <w:right w:val="single" w:sz="4" w:space="0" w:color="CCCCCC"/>
            </w:tcBorders>
            <w:tcMar>
              <w:top w:w="100" w:type="dxa"/>
              <w:left w:w="150" w:type="dxa"/>
              <w:bottom w:w="100" w:type="dxa"/>
              <w:right w:w="150" w:type="dxa"/>
            </w:tcMar>
          </w:tcPr>
          <w:p w14:paraId="53137F70" w14:textId="1412070A" w:rsidR="009768D2" w:rsidRPr="009768D2" w:rsidRDefault="000B6767" w:rsidP="009768D2">
            <w:r w:rsidRPr="000B6767">
              <w:t>For future strategic analysis assignments, I would put in place a research protocol at the very beginning: Start with a systematic literature review of the academic sources (the theoretical framework), then secondary data collection (Annual Report, industry reports, regulatory documents), then application of the framework (PESTEL → VRIO → SWOT) in a structured manner before moving to frameworks such as Five Forces, Ansoff, Porter's generics, etc. (external to internal). This is a logical sequence following the approach to strategic analysis outlined by Johnson, Whittington and Scholes (2017) and it avoids the cyclical revisions I had in previous drafts. I would also spend more time on Balanced Scorecard section because I think that is the most interesting part of the connection between strategy making and the operation, something that is very relevant to management practice at the MBA level.</w:t>
            </w:r>
            <w:r>
              <w:t xml:space="preserve"> </w:t>
            </w:r>
          </w:p>
        </w:tc>
      </w:tr>
    </w:tbl>
    <w:p w14:paraId="4329CB74" w14:textId="65AD6A99" w:rsidR="00E32FD3" w:rsidRDefault="009768D2" w:rsidP="00746BD9">
      <w:r>
        <w:t xml:space="preserve"> </w:t>
      </w:r>
    </w:p>
    <w:bookmarkStart w:id="17" w:name="_Toc231772977" w:displacedByCustomXml="next"/>
    <w:sdt>
      <w:sdtPr>
        <w:rPr>
          <w:rFonts w:eastAsiaTheme="minorHAnsi" w:cstheme="minorBidi"/>
          <w:b w:val="0"/>
          <w:color w:val="auto"/>
          <w:sz w:val="24"/>
          <w:szCs w:val="22"/>
        </w:rPr>
        <w:id w:val="1460452788"/>
        <w:docPartObj>
          <w:docPartGallery w:val="Bibliographies"/>
          <w:docPartUnique/>
        </w:docPartObj>
      </w:sdtPr>
      <w:sdtContent>
        <w:p w14:paraId="7DA7EFE4" w14:textId="6EEA3F2C" w:rsidR="00746BD9" w:rsidRPr="00692319" w:rsidRDefault="00746BD9">
          <w:pPr>
            <w:pStyle w:val="Heading1"/>
            <w:rPr>
              <w:rFonts w:ascii="Arial" w:hAnsi="Arial" w:cs="Arial"/>
            </w:rPr>
          </w:pPr>
          <w:r w:rsidRPr="00692319">
            <w:rPr>
              <w:rFonts w:ascii="Arial" w:hAnsi="Arial" w:cs="Arial"/>
            </w:rPr>
            <w:t>References</w:t>
          </w:r>
          <w:bookmarkEnd w:id="17"/>
        </w:p>
        <w:p w14:paraId="0511FB2A" w14:textId="77777777" w:rsidR="002806F7" w:rsidRDefault="002806F7" w:rsidP="002806F7">
          <w:r w:rsidRPr="002806F7">
            <w:t xml:space="preserve">Al, E. (2013) </w:t>
          </w:r>
          <w:r w:rsidRPr="002806F7">
            <w:rPr>
              <w:i/>
              <w:iCs/>
            </w:rPr>
            <w:t>The institute way: simplify strategic planning and management with the balanced scorecard</w:t>
          </w:r>
          <w:r w:rsidRPr="002806F7">
            <w:t>. Cary: Balanced Scorecard Institute — The Institute Press.</w:t>
          </w:r>
        </w:p>
        <w:p w14:paraId="4FF98E47" w14:textId="1C7DFAE9" w:rsidR="002806F7" w:rsidRPr="002806F7" w:rsidRDefault="002806F7" w:rsidP="002806F7">
          <w:pPr>
            <w:rPr>
              <w:color w:val="EE0000"/>
            </w:rPr>
          </w:pPr>
          <w:r w:rsidRPr="009F53EB">
            <w:t xml:space="preserve">Barney, J.B. and Hesterly, W.S. (2015) </w:t>
          </w:r>
          <w:r w:rsidRPr="009F53EB">
            <w:rPr>
              <w:i/>
              <w:iCs/>
            </w:rPr>
            <w:t>Strategic management and competitive advantage: concepts and cases</w:t>
          </w:r>
          <w:r w:rsidRPr="009F53EB">
            <w:t xml:space="preserve">. 5th </w:t>
          </w:r>
          <w:proofErr w:type="spellStart"/>
          <w:r w:rsidRPr="009F53EB">
            <w:t>edn</w:t>
          </w:r>
          <w:proofErr w:type="spellEnd"/>
          <w:r w:rsidRPr="009F53EB">
            <w:t>. Harlow: Pearson.</w:t>
          </w:r>
          <w:r>
            <w:rPr>
              <w:color w:val="EE0000"/>
            </w:rPr>
            <w:t xml:space="preserve"> </w:t>
          </w:r>
        </w:p>
        <w:p w14:paraId="4D7D95A3" w14:textId="0FC33157" w:rsidR="002806F7" w:rsidRPr="002806F7" w:rsidRDefault="002806F7" w:rsidP="002806F7">
          <w:r w:rsidRPr="002806F7">
            <w:t xml:space="preserve">Brockbank, A., McGill, I. and Beech, N. (2019) </w:t>
          </w:r>
          <w:r w:rsidRPr="002806F7">
            <w:rPr>
              <w:i/>
              <w:iCs/>
            </w:rPr>
            <w:t>Reflective learning in practice</w:t>
          </w:r>
          <w:r w:rsidRPr="002806F7">
            <w:t>. Aldershot: Gower.</w:t>
          </w:r>
        </w:p>
        <w:sdt>
          <w:sdtPr>
            <w:id w:val="-573587230"/>
            <w:bibliography/>
          </w:sdtPr>
          <w:sdtContent>
            <w:p w14:paraId="71044DED" w14:textId="534A323E" w:rsidR="009F53EB" w:rsidRPr="009F53EB" w:rsidRDefault="009F53EB" w:rsidP="009F53EB">
              <w:r w:rsidRPr="009F53EB">
                <w:t xml:space="preserve">BBC (2016) </w:t>
              </w:r>
              <w:r w:rsidRPr="009F53EB">
                <w:rPr>
                  <w:i/>
                  <w:iCs/>
                </w:rPr>
                <w:t>Sage data breach affects 280 UK businesses</w:t>
              </w:r>
              <w:r w:rsidRPr="009F53EB">
                <w:t xml:space="preserve">. Available at: </w:t>
              </w:r>
              <w:hyperlink r:id="rId23" w:history="1">
                <w:r w:rsidRPr="009F53EB">
                  <w:rPr>
                    <w:rStyle w:val="Hyperlink"/>
                  </w:rPr>
                  <w:t>https://www.bbc.co.uk/news/technology-37119343</w:t>
                </w:r>
              </w:hyperlink>
              <w:r w:rsidRPr="009F53EB">
                <w:t xml:space="preserve"> (Accessed: 1 June 2026).</w:t>
              </w:r>
            </w:p>
            <w:p w14:paraId="07DAEF24" w14:textId="77777777" w:rsidR="009F53EB" w:rsidRPr="009F53EB" w:rsidRDefault="009F53EB" w:rsidP="009F53EB">
              <w:r w:rsidRPr="009F53EB">
                <w:t xml:space="preserve">CDP (2024) </w:t>
              </w:r>
              <w:r w:rsidRPr="009F53EB">
                <w:rPr>
                  <w:i/>
                  <w:iCs/>
                </w:rPr>
                <w:t>Sage Group plc CDP climate change 2024 response</w:t>
              </w:r>
              <w:r w:rsidRPr="009F53EB">
                <w:t>. London: CDP Worldwide.</w:t>
              </w:r>
            </w:p>
            <w:p w14:paraId="7514FB10" w14:textId="77777777" w:rsidR="009F53EB" w:rsidRPr="009F53EB" w:rsidRDefault="009F53EB" w:rsidP="009F53EB">
              <w:proofErr w:type="spellStart"/>
              <w:r w:rsidRPr="009F53EB">
                <w:t>Datanyze</w:t>
              </w:r>
              <w:proofErr w:type="spellEnd"/>
              <w:r w:rsidRPr="009F53EB">
                <w:t xml:space="preserve"> (2024) </w:t>
              </w:r>
              <w:r w:rsidRPr="009F53EB">
                <w:rPr>
                  <w:i/>
                  <w:iCs/>
                </w:rPr>
                <w:t>Accounting software market share in the United Kingdom</w:t>
              </w:r>
              <w:r w:rsidRPr="009F53EB">
                <w:t xml:space="preserve">. Available at: </w:t>
              </w:r>
              <w:hyperlink r:id="rId24" w:history="1">
                <w:r w:rsidRPr="009F53EB">
                  <w:rPr>
                    <w:rStyle w:val="Hyperlink"/>
                  </w:rPr>
                  <w:t>https://www.datanyze.com</w:t>
                </w:r>
              </w:hyperlink>
              <w:r w:rsidRPr="009F53EB">
                <w:t xml:space="preserve"> (Accessed: 2 June 2026).</w:t>
              </w:r>
            </w:p>
            <w:p w14:paraId="650AF4CE" w14:textId="5407D0E2" w:rsidR="009F53EB" w:rsidRPr="008379D9" w:rsidRDefault="009F53EB" w:rsidP="009F53EB">
              <w:r w:rsidRPr="009F53EB">
                <w:t xml:space="preserve">Federation of Small Businesses [FSB] (2024) </w:t>
              </w:r>
              <w:r w:rsidRPr="009F53EB">
                <w:rPr>
                  <w:i/>
                  <w:iCs/>
                </w:rPr>
                <w:t>UK small business statistics</w:t>
              </w:r>
              <w:r w:rsidRPr="009F53EB">
                <w:t xml:space="preserve">. London: FSB. Available at: </w:t>
              </w:r>
              <w:hyperlink r:id="rId25" w:history="1">
                <w:r w:rsidRPr="009F53EB">
                  <w:rPr>
                    <w:rStyle w:val="Hyperlink"/>
                  </w:rPr>
                  <w:t>https://www.fsb.org.uk/uk-small-business-statistics.html</w:t>
                </w:r>
              </w:hyperlink>
              <w:r w:rsidRPr="009F53EB">
                <w:t xml:space="preserve"> (Accessed: 1 June 2026).</w:t>
              </w:r>
            </w:p>
            <w:p w14:paraId="705E7F37" w14:textId="77777777" w:rsidR="009F53EB" w:rsidRDefault="009F53EB" w:rsidP="009F53EB">
              <w:r w:rsidRPr="009F53EB">
                <w:t xml:space="preserve">Friedman, M. (1970) 'The social responsibility of business is to increase its profits', </w:t>
              </w:r>
              <w:r w:rsidRPr="009F53EB">
                <w:rPr>
                  <w:i/>
                  <w:iCs/>
                </w:rPr>
                <w:t>The New York Times Magazine</w:t>
              </w:r>
              <w:r w:rsidRPr="009F53EB">
                <w:t>, 13 September.</w:t>
              </w:r>
            </w:p>
            <w:p w14:paraId="0425361A" w14:textId="26A7E3B0" w:rsidR="002D7FF7" w:rsidRPr="009F53EB" w:rsidRDefault="002D7FF7" w:rsidP="009F53EB">
              <w:r w:rsidRPr="002D7FF7">
                <w:t xml:space="preserve">Gilad, B. (2011) 'Strategy without intelligence, intelligence without strategy', </w:t>
              </w:r>
              <w:r w:rsidRPr="002D7FF7">
                <w:rPr>
                  <w:i/>
                  <w:iCs/>
                </w:rPr>
                <w:t>Business Strategy Series</w:t>
              </w:r>
              <w:r w:rsidRPr="002D7FF7">
                <w:t xml:space="preserve">, 12(1), pp. 4–11. Available at: </w:t>
              </w:r>
              <w:hyperlink r:id="rId26" w:history="1">
                <w:r w:rsidRPr="002D7FF7">
                  <w:rPr>
                    <w:rStyle w:val="Hyperlink"/>
                  </w:rPr>
                  <w:t>https://doi.org/10.1108/17515631111106821</w:t>
                </w:r>
              </w:hyperlink>
              <w:r>
                <w:t xml:space="preserve"> </w:t>
              </w:r>
            </w:p>
            <w:p w14:paraId="70494201" w14:textId="4F88ECD2" w:rsidR="002D7FF7" w:rsidRPr="009F53EB" w:rsidRDefault="009F53EB" w:rsidP="009F53EB">
              <w:r w:rsidRPr="009F53EB">
                <w:t xml:space="preserve">HMRC (2024) </w:t>
              </w:r>
              <w:r w:rsidRPr="009F53EB">
                <w:rPr>
                  <w:i/>
                  <w:iCs/>
                </w:rPr>
                <w:t>Making Tax Digital for Income Tax Self-Assessment: overview</w:t>
              </w:r>
              <w:r w:rsidRPr="009F53EB">
                <w:t xml:space="preserve">. London: HM Revenue and Customs. Available at: </w:t>
              </w:r>
              <w:hyperlink r:id="rId27" w:history="1">
                <w:r w:rsidRPr="009F53EB">
                  <w:rPr>
                    <w:rStyle w:val="Hyperlink"/>
                  </w:rPr>
                  <w:t>https://www.gov.uk/government/publications/making-tax-digital-for-income-tax</w:t>
                </w:r>
              </w:hyperlink>
              <w:r w:rsidRPr="009F53EB">
                <w:t xml:space="preserve"> (Accessed: 3 June 2026).</w:t>
              </w:r>
            </w:p>
            <w:p w14:paraId="2F728067" w14:textId="77777777" w:rsidR="009F53EB" w:rsidRPr="009F53EB" w:rsidRDefault="009F53EB" w:rsidP="009F53EB">
              <w:r w:rsidRPr="009F53EB">
                <w:t xml:space="preserve">Intuit (2024) </w:t>
              </w:r>
              <w:r w:rsidRPr="009F53EB">
                <w:rPr>
                  <w:i/>
                  <w:iCs/>
                </w:rPr>
                <w:t>Intuit annual report 2024</w:t>
              </w:r>
              <w:r w:rsidRPr="009F53EB">
                <w:t>. Mountain View, CA: Intuit Inc.</w:t>
              </w:r>
            </w:p>
            <w:p w14:paraId="56B4B1CE" w14:textId="77777777" w:rsidR="009F53EB" w:rsidRDefault="009F53EB" w:rsidP="009F53EB">
              <w:r w:rsidRPr="009F53EB">
                <w:t xml:space="preserve">Johnson, G., Whittington, R. and Scholes, K. (2017) </w:t>
              </w:r>
              <w:r w:rsidRPr="009F53EB">
                <w:rPr>
                  <w:i/>
                  <w:iCs/>
                </w:rPr>
                <w:t>Exploring strategy: text and cases</w:t>
              </w:r>
              <w:r w:rsidRPr="009F53EB">
                <w:t xml:space="preserve">. 11th </w:t>
              </w:r>
              <w:proofErr w:type="spellStart"/>
              <w:r w:rsidRPr="009F53EB">
                <w:t>edn</w:t>
              </w:r>
              <w:proofErr w:type="spellEnd"/>
              <w:r w:rsidRPr="009F53EB">
                <w:t>. Harlow: Pearson.</w:t>
              </w:r>
            </w:p>
            <w:p w14:paraId="12EE6A44" w14:textId="77777777" w:rsidR="00B95C9A" w:rsidRPr="00B95C9A" w:rsidRDefault="00B95C9A" w:rsidP="00B95C9A">
              <w:r w:rsidRPr="00B95C9A">
                <w:t xml:space="preserve">Marcus, A. (2015) </w:t>
              </w:r>
              <w:r w:rsidRPr="00B95C9A">
                <w:rPr>
                  <w:i/>
                  <w:iCs/>
                </w:rPr>
                <w:t>Management strategy: achieving sustained competitive advantage</w:t>
              </w:r>
              <w:r w:rsidRPr="00B95C9A">
                <w:t>. New York: McGraw-Hill Higher Education.</w:t>
              </w:r>
            </w:p>
            <w:p w14:paraId="5F6F7649" w14:textId="77777777" w:rsidR="00B95C9A" w:rsidRPr="00B95C9A" w:rsidRDefault="00B95C9A" w:rsidP="00B95C9A">
              <w:r w:rsidRPr="00B95C9A">
                <w:lastRenderedPageBreak/>
                <w:t xml:space="preserve">McCance, M. (2024) </w:t>
              </w:r>
              <w:r w:rsidRPr="00B95C9A">
                <w:rPr>
                  <w:i/>
                  <w:iCs/>
                </w:rPr>
                <w:t>Stakeholder: how Ed Freeman's vision for responsible business moved from theory to reality</w:t>
              </w:r>
              <w:r w:rsidRPr="00B95C9A">
                <w:t xml:space="preserve">. Available at: </w:t>
              </w:r>
              <w:hyperlink r:id="rId28" w:history="1">
                <w:r w:rsidRPr="00B95C9A">
                  <w:rPr>
                    <w:rStyle w:val="Hyperlink"/>
                  </w:rPr>
                  <w:t>https://news.darden.virginia.edu/2024/05/16/stakeholder-how-ed-freemans-vision-for-responsible-business-moved-from-theory-to-reality/</w:t>
                </w:r>
              </w:hyperlink>
              <w:r w:rsidRPr="00B95C9A">
                <w:t xml:space="preserve"> (Accessed: 1 June 2026).</w:t>
              </w:r>
            </w:p>
            <w:p w14:paraId="0082D3EC" w14:textId="42B9DBB7" w:rsidR="009F53EB" w:rsidRDefault="009F53EB" w:rsidP="009F53EB">
              <w:r w:rsidRPr="009F53EB">
                <w:t xml:space="preserve">Office for Budget Responsibility [OBR] (2025) </w:t>
              </w:r>
              <w:r w:rsidRPr="009F53EB">
                <w:rPr>
                  <w:i/>
                  <w:iCs/>
                </w:rPr>
                <w:t xml:space="preserve">Economic and fiscal outlook </w:t>
              </w:r>
              <w:r>
                <w:rPr>
                  <w:i/>
                  <w:iCs/>
                </w:rPr>
                <w:t>-</w:t>
              </w:r>
              <w:r w:rsidRPr="009F53EB">
                <w:rPr>
                  <w:i/>
                  <w:iCs/>
                </w:rPr>
                <w:t>March 2025</w:t>
              </w:r>
              <w:r w:rsidRPr="009F53EB">
                <w:t>. London: OBR.</w:t>
              </w:r>
            </w:p>
            <w:p w14:paraId="39A684E6" w14:textId="65D6A030" w:rsidR="00B95C9A" w:rsidRPr="009F53EB" w:rsidRDefault="00B95C9A" w:rsidP="009F53EB">
              <w:r w:rsidRPr="00B95C9A">
                <w:t xml:space="preserve">Paulraj, K. and Rangaswamy, S. (2013) </w:t>
              </w:r>
              <w:r w:rsidRPr="00B95C9A">
                <w:rPr>
                  <w:i/>
                  <w:iCs/>
                </w:rPr>
                <w:t>Diversification strategies for managing a business</w:t>
              </w:r>
              <w:r w:rsidRPr="00B95C9A">
                <w:t xml:space="preserve">. Available at: </w:t>
              </w:r>
              <w:hyperlink r:id="rId29" w:history="1">
                <w:r w:rsidRPr="00B95C9A">
                  <w:rPr>
                    <w:rStyle w:val="Hyperlink"/>
                  </w:rPr>
                  <w:t>https://www.researchgate.net/publication/328828082_Diversification-strategies_for_managing_a_business</w:t>
                </w:r>
              </w:hyperlink>
              <w:r w:rsidRPr="00B95C9A">
                <w:t xml:space="preserve"> (Accessed: </w:t>
              </w:r>
              <w:r w:rsidR="00632591">
                <w:t>2</w:t>
              </w:r>
              <w:r w:rsidRPr="00B95C9A">
                <w:t xml:space="preserve"> June 2026).</w:t>
              </w:r>
              <w:r>
                <w:t xml:space="preserve"> </w:t>
              </w:r>
            </w:p>
            <w:p w14:paraId="6E5AFCDA" w14:textId="77777777" w:rsidR="009F53EB" w:rsidRPr="009F53EB" w:rsidRDefault="009F53EB" w:rsidP="009F53EB">
              <w:r w:rsidRPr="009F53EB">
                <w:t xml:space="preserve">Sage Group plc (2025a) </w:t>
              </w:r>
              <w:r w:rsidRPr="009F53EB">
                <w:rPr>
                  <w:i/>
                  <w:iCs/>
                </w:rPr>
                <w:t>Annual report and accounts 2025</w:t>
              </w:r>
              <w:r w:rsidRPr="009F53EB">
                <w:t>. Newcastle upon Tyne: Sage Group plc.</w:t>
              </w:r>
            </w:p>
            <w:p w14:paraId="33A32B8F" w14:textId="77777777" w:rsidR="009F53EB" w:rsidRPr="009F53EB" w:rsidRDefault="009F53EB" w:rsidP="009F53EB">
              <w:r w:rsidRPr="009F53EB">
                <w:t xml:space="preserve">Sage Group plc (2025b) </w:t>
              </w:r>
              <w:r w:rsidRPr="009F53EB">
                <w:rPr>
                  <w:i/>
                  <w:iCs/>
                </w:rPr>
                <w:t>Sage strategy and vision</w:t>
              </w:r>
              <w:r w:rsidRPr="009F53EB">
                <w:t xml:space="preserve">. Available at: </w:t>
              </w:r>
              <w:hyperlink r:id="rId30" w:history="1">
                <w:r w:rsidRPr="009F53EB">
                  <w:rPr>
                    <w:rStyle w:val="Hyperlink"/>
                  </w:rPr>
                  <w:t>https://www.sage.com/en-gb/company/</w:t>
                </w:r>
              </w:hyperlink>
              <w:r w:rsidRPr="009F53EB">
                <w:t xml:space="preserve"> (Accessed: 31 May 2026).</w:t>
              </w:r>
            </w:p>
            <w:p w14:paraId="15CAEA3D" w14:textId="77777777" w:rsidR="009F53EB" w:rsidRPr="009F53EB" w:rsidRDefault="009F53EB" w:rsidP="009F53EB">
              <w:r w:rsidRPr="009F53EB">
                <w:t xml:space="preserve">Sage Group plc (2025c) </w:t>
              </w:r>
              <w:r w:rsidRPr="009F53EB">
                <w:rPr>
                  <w:i/>
                  <w:iCs/>
                </w:rPr>
                <w:t>Sage launches UK's first MTD Income Tax AI Agent</w:t>
              </w:r>
              <w:r w:rsidRPr="009F53EB">
                <w:t>. Press release, September 2025. Newcastle upon Tyne: Sage Group plc.</w:t>
              </w:r>
            </w:p>
            <w:p w14:paraId="616DF9CC" w14:textId="77777777" w:rsidR="0056785C" w:rsidRPr="0056785C" w:rsidRDefault="009F53EB" w:rsidP="0056785C">
              <w:r>
                <w:t xml:space="preserve"> </w:t>
              </w:r>
              <w:r w:rsidR="0056785C" w:rsidRPr="0056785C">
                <w:t xml:space="preserve">Shrivastava, P. (2020) 'Corporate strategy', </w:t>
              </w:r>
              <w:r w:rsidR="0056785C" w:rsidRPr="0056785C">
                <w:rPr>
                  <w:i/>
                  <w:iCs/>
                </w:rPr>
                <w:t>Journal of Business Strategy</w:t>
              </w:r>
              <w:r w:rsidR="0056785C" w:rsidRPr="0056785C">
                <w:t xml:space="preserve">, 5(3), pp. 103–111. Available at: </w:t>
              </w:r>
              <w:hyperlink r:id="rId31" w:history="1">
                <w:r w:rsidR="0056785C" w:rsidRPr="0056785C">
                  <w:rPr>
                    <w:rStyle w:val="Hyperlink"/>
                  </w:rPr>
                  <w:t>https://doi.org/10.1108/eb039080</w:t>
                </w:r>
              </w:hyperlink>
            </w:p>
            <w:p w14:paraId="634C8456" w14:textId="2C1D1561" w:rsidR="00746BD9" w:rsidRDefault="0056785C">
              <w:r w:rsidRPr="0056785C">
                <w:t xml:space="preserve">Wickham, M. and Wong, T. (2019) 'Stakeholder management capability: exploring the strategic management of dissenting stakeholder groups', </w:t>
              </w:r>
              <w:r w:rsidRPr="0056785C">
                <w:rPr>
                  <w:i/>
                  <w:iCs/>
                </w:rPr>
                <w:t>Corporate Ownership and Control</w:t>
              </w:r>
              <w:r w:rsidRPr="0056785C">
                <w:t xml:space="preserve">, 6(4). Available at: </w:t>
              </w:r>
              <w:hyperlink r:id="rId32" w:history="1">
                <w:r w:rsidRPr="0056785C">
                  <w:rPr>
                    <w:rStyle w:val="Hyperlink"/>
                  </w:rPr>
                  <w:t>https://doi.org/10.22495/cocv6i4c2p3</w:t>
                </w:r>
              </w:hyperlink>
              <w:r>
                <w:t xml:space="preserve"> </w:t>
              </w:r>
            </w:p>
            <w:p w14:paraId="5341B35F" w14:textId="77777777" w:rsidR="00787B79" w:rsidRDefault="00787B79"/>
            <w:p w14:paraId="6792A49D" w14:textId="77777777" w:rsidR="00787B79" w:rsidRDefault="00787B79"/>
            <w:p w14:paraId="513A8BC2" w14:textId="77777777" w:rsidR="00787B79" w:rsidRDefault="00787B79"/>
            <w:p w14:paraId="378632B7" w14:textId="77777777" w:rsidR="00746BD9" w:rsidRDefault="00746BD9"/>
            <w:p w14:paraId="2EAAF7E3" w14:textId="097DBB46" w:rsidR="00746BD9" w:rsidRDefault="00000000"/>
          </w:sdtContent>
        </w:sdt>
      </w:sdtContent>
    </w:sdt>
    <w:p w14:paraId="58DD3743" w14:textId="399DF7AE" w:rsidR="00746BD9" w:rsidRDefault="00746BD9" w:rsidP="00746BD9"/>
    <w:p w14:paraId="7C33AF17" w14:textId="77777777" w:rsidR="00746BD9" w:rsidRPr="00746BD9" w:rsidRDefault="00746BD9" w:rsidP="00746BD9"/>
    <w:sectPr w:rsidR="00746BD9" w:rsidRPr="00746BD9" w:rsidSect="00746BD9">
      <w:footerReference w:type="default" r:id="rId33"/>
      <w:footerReference w:type="first" r:id="rId34"/>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7DD3B6" w14:textId="77777777" w:rsidR="00723DBD" w:rsidRDefault="00723DBD" w:rsidP="00746BD9">
      <w:pPr>
        <w:spacing w:after="0" w:line="240" w:lineRule="auto"/>
      </w:pPr>
      <w:r>
        <w:separator/>
      </w:r>
    </w:p>
  </w:endnote>
  <w:endnote w:type="continuationSeparator" w:id="0">
    <w:p w14:paraId="4CAB4E45" w14:textId="77777777" w:rsidR="00723DBD" w:rsidRDefault="00723DBD" w:rsidP="00746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21DFC9" w14:textId="77777777" w:rsidR="00025EA1" w:rsidRDefault="00025E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2761951"/>
      <w:docPartObj>
        <w:docPartGallery w:val="Page Numbers (Bottom of Page)"/>
        <w:docPartUnique/>
      </w:docPartObj>
    </w:sdtPr>
    <w:sdtEndPr>
      <w:rPr>
        <w:noProof/>
      </w:rPr>
    </w:sdtEndPr>
    <w:sdtContent>
      <w:p w14:paraId="0946CA53" w14:textId="6E971586" w:rsidR="00746BD9" w:rsidRDefault="00746B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96A30B" w14:textId="77777777" w:rsidR="00746BD9" w:rsidRDefault="00746B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B212EE" w14:textId="77777777" w:rsidR="00025EA1" w:rsidRDefault="00025EA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9312499"/>
      <w:docPartObj>
        <w:docPartGallery w:val="Page Numbers (Bottom of Page)"/>
        <w:docPartUnique/>
      </w:docPartObj>
    </w:sdtPr>
    <w:sdtEndPr>
      <w:rPr>
        <w:noProof/>
      </w:rPr>
    </w:sdtEndPr>
    <w:sdtContent>
      <w:p w14:paraId="096B62F1" w14:textId="77777777" w:rsidR="00746BD9" w:rsidRDefault="00746B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BF7D02" w14:textId="77777777" w:rsidR="00746BD9" w:rsidRDefault="00746BD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3D123" w14:textId="2CF1D381" w:rsidR="00746BD9" w:rsidRDefault="00C72ED6" w:rsidP="00C72ED6">
    <w:pPr>
      <w:pStyle w:val="Footer"/>
      <w:jc w:val="cen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00738" w14:textId="77777777" w:rsidR="00723DBD" w:rsidRDefault="00723DBD" w:rsidP="00746BD9">
      <w:pPr>
        <w:spacing w:after="0" w:line="240" w:lineRule="auto"/>
      </w:pPr>
      <w:r>
        <w:separator/>
      </w:r>
    </w:p>
  </w:footnote>
  <w:footnote w:type="continuationSeparator" w:id="0">
    <w:p w14:paraId="429954C2" w14:textId="77777777" w:rsidR="00723DBD" w:rsidRDefault="00723DBD" w:rsidP="00746B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5590CD" w14:textId="77777777" w:rsidR="00025EA1" w:rsidRDefault="00025E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231642" w14:textId="77777777" w:rsidR="00025EA1" w:rsidRDefault="00025E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43A13" w14:textId="77777777" w:rsidR="00025EA1" w:rsidRDefault="00025E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FD7210"/>
    <w:multiLevelType w:val="hybridMultilevel"/>
    <w:tmpl w:val="58A8AF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631909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87D"/>
    <w:rsid w:val="00017E05"/>
    <w:rsid w:val="00025EA1"/>
    <w:rsid w:val="0002711D"/>
    <w:rsid w:val="000308FF"/>
    <w:rsid w:val="000318E4"/>
    <w:rsid w:val="000572F8"/>
    <w:rsid w:val="00067843"/>
    <w:rsid w:val="0008671D"/>
    <w:rsid w:val="000A4C42"/>
    <w:rsid w:val="000A4F5C"/>
    <w:rsid w:val="000B1A5F"/>
    <w:rsid w:val="000B6767"/>
    <w:rsid w:val="000C2B3C"/>
    <w:rsid w:val="00125E96"/>
    <w:rsid w:val="00155026"/>
    <w:rsid w:val="00160597"/>
    <w:rsid w:val="001753BA"/>
    <w:rsid w:val="001A10AD"/>
    <w:rsid w:val="001A3D18"/>
    <w:rsid w:val="001B7985"/>
    <w:rsid w:val="001E6D4B"/>
    <w:rsid w:val="001F50D5"/>
    <w:rsid w:val="0020260D"/>
    <w:rsid w:val="00226AE1"/>
    <w:rsid w:val="00233E81"/>
    <w:rsid w:val="00246A24"/>
    <w:rsid w:val="00254DD2"/>
    <w:rsid w:val="00266567"/>
    <w:rsid w:val="00271FC0"/>
    <w:rsid w:val="002806F7"/>
    <w:rsid w:val="002943E7"/>
    <w:rsid w:val="002C6373"/>
    <w:rsid w:val="002D7FF7"/>
    <w:rsid w:val="0033744A"/>
    <w:rsid w:val="003439F2"/>
    <w:rsid w:val="003457C4"/>
    <w:rsid w:val="0034687D"/>
    <w:rsid w:val="003659CF"/>
    <w:rsid w:val="00395AC3"/>
    <w:rsid w:val="0040533C"/>
    <w:rsid w:val="00424DB1"/>
    <w:rsid w:val="00450E74"/>
    <w:rsid w:val="0047363E"/>
    <w:rsid w:val="004875D2"/>
    <w:rsid w:val="0049273A"/>
    <w:rsid w:val="0049471B"/>
    <w:rsid w:val="004A6AC8"/>
    <w:rsid w:val="004D118F"/>
    <w:rsid w:val="004D7BAD"/>
    <w:rsid w:val="005308F8"/>
    <w:rsid w:val="005366AA"/>
    <w:rsid w:val="0054360D"/>
    <w:rsid w:val="0056785C"/>
    <w:rsid w:val="00596CCD"/>
    <w:rsid w:val="005A3892"/>
    <w:rsid w:val="00607BFF"/>
    <w:rsid w:val="00617D30"/>
    <w:rsid w:val="006259D5"/>
    <w:rsid w:val="00626345"/>
    <w:rsid w:val="00632591"/>
    <w:rsid w:val="00651882"/>
    <w:rsid w:val="00687968"/>
    <w:rsid w:val="00692319"/>
    <w:rsid w:val="006A0C42"/>
    <w:rsid w:val="006A1936"/>
    <w:rsid w:val="006B2CFF"/>
    <w:rsid w:val="006B4055"/>
    <w:rsid w:val="006C77CB"/>
    <w:rsid w:val="00722D8E"/>
    <w:rsid w:val="00723DBD"/>
    <w:rsid w:val="00746BD9"/>
    <w:rsid w:val="0075645C"/>
    <w:rsid w:val="007624E2"/>
    <w:rsid w:val="00766262"/>
    <w:rsid w:val="00787B79"/>
    <w:rsid w:val="007A131C"/>
    <w:rsid w:val="007A3BEB"/>
    <w:rsid w:val="007B6D62"/>
    <w:rsid w:val="007C6EDD"/>
    <w:rsid w:val="007D62DA"/>
    <w:rsid w:val="007E3C61"/>
    <w:rsid w:val="007E40C8"/>
    <w:rsid w:val="007F67B2"/>
    <w:rsid w:val="00835C57"/>
    <w:rsid w:val="008379D9"/>
    <w:rsid w:val="008424EA"/>
    <w:rsid w:val="00866979"/>
    <w:rsid w:val="00871B81"/>
    <w:rsid w:val="00883AB7"/>
    <w:rsid w:val="008A7372"/>
    <w:rsid w:val="008C58CF"/>
    <w:rsid w:val="008F00EF"/>
    <w:rsid w:val="008F5FB6"/>
    <w:rsid w:val="00940CE9"/>
    <w:rsid w:val="00944492"/>
    <w:rsid w:val="00947783"/>
    <w:rsid w:val="00974CF1"/>
    <w:rsid w:val="009768D2"/>
    <w:rsid w:val="009806D9"/>
    <w:rsid w:val="009C5D54"/>
    <w:rsid w:val="009D284F"/>
    <w:rsid w:val="009F53EB"/>
    <w:rsid w:val="00A0151A"/>
    <w:rsid w:val="00A26628"/>
    <w:rsid w:val="00A454A6"/>
    <w:rsid w:val="00A47D23"/>
    <w:rsid w:val="00A74C70"/>
    <w:rsid w:val="00A84260"/>
    <w:rsid w:val="00AE2FF0"/>
    <w:rsid w:val="00B20259"/>
    <w:rsid w:val="00B26DB3"/>
    <w:rsid w:val="00B439FC"/>
    <w:rsid w:val="00B7093B"/>
    <w:rsid w:val="00B81DC1"/>
    <w:rsid w:val="00B8786A"/>
    <w:rsid w:val="00B95C9A"/>
    <w:rsid w:val="00BA32AD"/>
    <w:rsid w:val="00BC1EAD"/>
    <w:rsid w:val="00BE1607"/>
    <w:rsid w:val="00C11114"/>
    <w:rsid w:val="00C44F66"/>
    <w:rsid w:val="00C72ED6"/>
    <w:rsid w:val="00C90C46"/>
    <w:rsid w:val="00CB37D8"/>
    <w:rsid w:val="00CC3AE8"/>
    <w:rsid w:val="00D037BC"/>
    <w:rsid w:val="00D13F17"/>
    <w:rsid w:val="00D41E17"/>
    <w:rsid w:val="00D65F49"/>
    <w:rsid w:val="00DC434F"/>
    <w:rsid w:val="00DE0BB6"/>
    <w:rsid w:val="00DE0CA8"/>
    <w:rsid w:val="00E122EB"/>
    <w:rsid w:val="00E32FD3"/>
    <w:rsid w:val="00E4057D"/>
    <w:rsid w:val="00E42AB4"/>
    <w:rsid w:val="00E778CA"/>
    <w:rsid w:val="00E80C12"/>
    <w:rsid w:val="00E832B8"/>
    <w:rsid w:val="00E848E5"/>
    <w:rsid w:val="00E91582"/>
    <w:rsid w:val="00EA0E7A"/>
    <w:rsid w:val="00EB66E4"/>
    <w:rsid w:val="00EC5A82"/>
    <w:rsid w:val="00EE75E2"/>
    <w:rsid w:val="00F04944"/>
    <w:rsid w:val="00F235E9"/>
    <w:rsid w:val="00F95A75"/>
    <w:rsid w:val="00FA1B2D"/>
    <w:rsid w:val="00FA5728"/>
    <w:rsid w:val="00FB21F9"/>
    <w:rsid w:val="00FB55BC"/>
    <w:rsid w:val="00FB73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5AF50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89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A3892"/>
    <w:pPr>
      <w:keepNext/>
      <w:keepLines/>
      <w:spacing w:before="240" w:after="0"/>
      <w:jc w:val="left"/>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8C58CF"/>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8C58CF"/>
    <w:pPr>
      <w:keepNext/>
      <w:keepLines/>
      <w:spacing w:before="40" w:after="0"/>
      <w:outlineLvl w:val="2"/>
    </w:pPr>
    <w:rPr>
      <w:rFonts w:eastAsiaTheme="majorEastAsia" w:cstheme="majorBidi"/>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892"/>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8C58CF"/>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AE2FF0"/>
    <w:pPr>
      <w:spacing w:after="0"/>
      <w:contextualSpacing/>
      <w:jc w:val="left"/>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AE2FF0"/>
    <w:rPr>
      <w:rFonts w:ascii="Times New Roman" w:eastAsiaTheme="majorEastAsia" w:hAnsi="Times New Roman" w:cstheme="majorBidi"/>
      <w:b/>
      <w:spacing w:val="-10"/>
      <w:kern w:val="28"/>
      <w:sz w:val="48"/>
      <w:szCs w:val="56"/>
    </w:rPr>
  </w:style>
  <w:style w:type="paragraph" w:styleId="Subtitle">
    <w:name w:val="Subtitle"/>
    <w:basedOn w:val="Normal"/>
    <w:next w:val="Normal"/>
    <w:link w:val="SubtitleChar"/>
    <w:uiPriority w:val="11"/>
    <w:qFormat/>
    <w:rsid w:val="005A3892"/>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5A3892"/>
    <w:rPr>
      <w:rFonts w:ascii="Times New Roman" w:eastAsiaTheme="minorEastAsia" w:hAnsi="Times New Roman"/>
      <w:color w:val="000000" w:themeColor="text1"/>
      <w:spacing w:val="15"/>
      <w:sz w:val="24"/>
    </w:rPr>
  </w:style>
  <w:style w:type="paragraph" w:styleId="TOCHeading">
    <w:name w:val="TOC Heading"/>
    <w:basedOn w:val="Heading1"/>
    <w:next w:val="Normal"/>
    <w:uiPriority w:val="39"/>
    <w:unhideWhenUsed/>
    <w:qFormat/>
    <w:rsid w:val="00746BD9"/>
    <w:pPr>
      <w:spacing w:line="259" w:lineRule="auto"/>
      <w:outlineLvl w:val="9"/>
    </w:pPr>
    <w:rPr>
      <w:rFonts w:asciiTheme="majorHAnsi" w:hAnsiTheme="majorHAnsi"/>
      <w:b w:val="0"/>
      <w:color w:val="2F5496" w:themeColor="accent1" w:themeShade="BF"/>
    </w:rPr>
  </w:style>
  <w:style w:type="paragraph" w:styleId="Header">
    <w:name w:val="header"/>
    <w:basedOn w:val="Normal"/>
    <w:link w:val="HeaderChar"/>
    <w:uiPriority w:val="99"/>
    <w:unhideWhenUsed/>
    <w:rsid w:val="00746B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6BD9"/>
    <w:rPr>
      <w:rFonts w:ascii="Times New Roman" w:hAnsi="Times New Roman"/>
      <w:sz w:val="24"/>
    </w:rPr>
  </w:style>
  <w:style w:type="paragraph" w:styleId="Footer">
    <w:name w:val="footer"/>
    <w:basedOn w:val="Normal"/>
    <w:link w:val="FooterChar"/>
    <w:uiPriority w:val="99"/>
    <w:unhideWhenUsed/>
    <w:rsid w:val="00746B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6BD9"/>
    <w:rPr>
      <w:rFonts w:ascii="Times New Roman" w:hAnsi="Times New Roman"/>
      <w:sz w:val="24"/>
    </w:rPr>
  </w:style>
  <w:style w:type="character" w:customStyle="1" w:styleId="Heading3Char">
    <w:name w:val="Heading 3 Char"/>
    <w:basedOn w:val="DefaultParagraphFont"/>
    <w:link w:val="Heading3"/>
    <w:uiPriority w:val="9"/>
    <w:rsid w:val="008C58CF"/>
    <w:rPr>
      <w:rFonts w:ascii="Times New Roman" w:eastAsiaTheme="majorEastAsia" w:hAnsi="Times New Roman" w:cstheme="majorBidi"/>
      <w:b/>
      <w:color w:val="000000" w:themeColor="text1"/>
      <w:sz w:val="26"/>
      <w:szCs w:val="24"/>
    </w:rPr>
  </w:style>
  <w:style w:type="character" w:styleId="Hyperlink">
    <w:name w:val="Hyperlink"/>
    <w:basedOn w:val="DefaultParagraphFont"/>
    <w:uiPriority w:val="99"/>
    <w:unhideWhenUsed/>
    <w:rsid w:val="009F53EB"/>
    <w:rPr>
      <w:color w:val="0563C1" w:themeColor="hyperlink"/>
      <w:u w:val="single"/>
    </w:rPr>
  </w:style>
  <w:style w:type="character" w:styleId="UnresolvedMention">
    <w:name w:val="Unresolved Mention"/>
    <w:basedOn w:val="DefaultParagraphFont"/>
    <w:uiPriority w:val="99"/>
    <w:semiHidden/>
    <w:unhideWhenUsed/>
    <w:rsid w:val="009F53EB"/>
    <w:rPr>
      <w:color w:val="605E5C"/>
      <w:shd w:val="clear" w:color="auto" w:fill="E1DFDD"/>
    </w:rPr>
  </w:style>
  <w:style w:type="character" w:styleId="FollowedHyperlink">
    <w:name w:val="FollowedHyperlink"/>
    <w:basedOn w:val="DefaultParagraphFont"/>
    <w:uiPriority w:val="99"/>
    <w:semiHidden/>
    <w:unhideWhenUsed/>
    <w:rsid w:val="00871B81"/>
    <w:rPr>
      <w:color w:val="954F72" w:themeColor="followedHyperlink"/>
      <w:u w:val="single"/>
    </w:rPr>
  </w:style>
  <w:style w:type="paragraph" w:styleId="TOC1">
    <w:name w:val="toc 1"/>
    <w:basedOn w:val="Normal"/>
    <w:next w:val="Normal"/>
    <w:autoRedefine/>
    <w:uiPriority w:val="39"/>
    <w:unhideWhenUsed/>
    <w:rsid w:val="00B26DB3"/>
    <w:pPr>
      <w:spacing w:after="100"/>
    </w:pPr>
  </w:style>
  <w:style w:type="paragraph" w:styleId="TOC2">
    <w:name w:val="toc 2"/>
    <w:basedOn w:val="Normal"/>
    <w:next w:val="Normal"/>
    <w:autoRedefine/>
    <w:uiPriority w:val="39"/>
    <w:unhideWhenUsed/>
    <w:rsid w:val="00B26DB3"/>
    <w:pPr>
      <w:spacing w:after="100"/>
      <w:ind w:left="240"/>
    </w:pPr>
  </w:style>
  <w:style w:type="paragraph" w:styleId="TOC3">
    <w:name w:val="toc 3"/>
    <w:basedOn w:val="Normal"/>
    <w:next w:val="Normal"/>
    <w:autoRedefine/>
    <w:uiPriority w:val="39"/>
    <w:unhideWhenUsed/>
    <w:rsid w:val="00B26DB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4.emf"/><Relationship Id="rId26" Type="http://schemas.openxmlformats.org/officeDocument/2006/relationships/hyperlink" Target="https://doi.org/10.1108/17515631111106821" TargetMode="External"/><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hyperlink" Target="https://www.fsb.org.uk/uk-small-business-statistics.html" TargetMode="External"/><Relationship Id="rId33"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www.researchgate.net/publication/328828082_Diversification-strategies_for_managing_a_busin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yperlink" Target="https://www.datanyze.com" TargetMode="External"/><Relationship Id="rId32" Type="http://schemas.openxmlformats.org/officeDocument/2006/relationships/hyperlink" Target="https://doi.org/10.22495/cocv6i4c2p3" TargetMode="Externa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hyperlink" Target="https://www.bbc.co.uk/news/technology-37119343" TargetMode="External"/><Relationship Id="rId28" Type="http://schemas.openxmlformats.org/officeDocument/2006/relationships/hyperlink" Target="https://news.darden.virginia.edu/2024/05/16/stakeholder-how-ed-freemans-vision-for-responsible-business-moved-from-theory-to-reality/" TargetMode="External"/><Relationship Id="rId36"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5.png"/><Relationship Id="rId31" Type="http://schemas.openxmlformats.org/officeDocument/2006/relationships/hyperlink" Target="https://doi.org/10.1108/eb03908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 Id="rId22" Type="http://schemas.openxmlformats.org/officeDocument/2006/relationships/image" Target="media/image8.png"/><Relationship Id="rId27" Type="http://schemas.openxmlformats.org/officeDocument/2006/relationships/hyperlink" Target="https://www.gov.uk/government/publications/making-tax-digital-for-income-tax" TargetMode="External"/><Relationship Id="rId30" Type="http://schemas.openxmlformats.org/officeDocument/2006/relationships/hyperlink" Target="https://www.sage.com/en-gb/company/"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9F507-A729-41A1-9EEA-6AE684547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5778</Words>
  <Characters>32935</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2026-06-30T09:04:00Z</dcterms:created>
  <dcterms:modified xsi:type="dcterms:W3CDTF">2026-07-16T19:13:00Z</dcterms:modified>
</cp:coreProperties>
</file>