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506368" w14:textId="77777777" w:rsidR="00173A70" w:rsidRPr="00173A70" w:rsidRDefault="00173A70" w:rsidP="00173A70">
      <w:pPr>
        <w:spacing w:line="360" w:lineRule="auto"/>
        <w:rPr>
          <w:rFonts w:ascii="Arial" w:hAnsi="Arial" w:cs="Arial"/>
          <w:b/>
          <w:bCs/>
          <w:sz w:val="22"/>
          <w:szCs w:val="22"/>
        </w:rPr>
      </w:pPr>
    </w:p>
    <w:p w14:paraId="170B7742" w14:textId="77777777" w:rsidR="00173A70" w:rsidRPr="00173A70" w:rsidRDefault="00173A70" w:rsidP="00173A70">
      <w:pPr>
        <w:spacing w:line="360" w:lineRule="auto"/>
        <w:rPr>
          <w:rFonts w:ascii="Arial" w:hAnsi="Arial" w:cs="Arial"/>
          <w:b/>
          <w:bCs/>
          <w:sz w:val="22"/>
          <w:szCs w:val="22"/>
        </w:rPr>
      </w:pPr>
    </w:p>
    <w:p w14:paraId="28E28C69" w14:textId="77777777" w:rsidR="00173A70" w:rsidRPr="00173A70" w:rsidRDefault="00173A70" w:rsidP="00173A70">
      <w:pPr>
        <w:spacing w:line="360" w:lineRule="auto"/>
        <w:rPr>
          <w:rFonts w:ascii="Arial" w:hAnsi="Arial" w:cs="Arial"/>
          <w:b/>
          <w:bCs/>
          <w:sz w:val="22"/>
          <w:szCs w:val="22"/>
        </w:rPr>
      </w:pPr>
    </w:p>
    <w:p w14:paraId="374F03F3" w14:textId="77777777" w:rsidR="00173A70" w:rsidRPr="00173A70" w:rsidRDefault="00173A70" w:rsidP="00173A70">
      <w:pPr>
        <w:spacing w:line="360" w:lineRule="auto"/>
        <w:rPr>
          <w:rFonts w:ascii="Arial" w:hAnsi="Arial" w:cs="Arial"/>
          <w:b/>
          <w:bCs/>
          <w:sz w:val="22"/>
          <w:szCs w:val="22"/>
        </w:rPr>
      </w:pPr>
    </w:p>
    <w:p w14:paraId="47476E00" w14:textId="77777777" w:rsidR="00173A70" w:rsidRPr="00173A70" w:rsidRDefault="00173A70" w:rsidP="00173A70">
      <w:pPr>
        <w:spacing w:line="360" w:lineRule="auto"/>
        <w:rPr>
          <w:rFonts w:ascii="Arial" w:hAnsi="Arial" w:cs="Arial"/>
          <w:b/>
          <w:bCs/>
          <w:sz w:val="22"/>
          <w:szCs w:val="22"/>
        </w:rPr>
      </w:pPr>
    </w:p>
    <w:p w14:paraId="19C9DA44" w14:textId="5436EC8F" w:rsidR="00173A70" w:rsidRDefault="000D2915" w:rsidP="000D2915">
      <w:pPr>
        <w:spacing w:line="360" w:lineRule="auto"/>
        <w:jc w:val="center"/>
        <w:rPr>
          <w:rFonts w:ascii="Arial" w:hAnsi="Arial" w:cs="Arial"/>
          <w:b/>
          <w:sz w:val="48"/>
          <w:szCs w:val="48"/>
        </w:rPr>
      </w:pPr>
      <w:r w:rsidRPr="000D2915">
        <w:rPr>
          <w:rFonts w:ascii="Arial" w:hAnsi="Arial" w:cs="Arial"/>
          <w:b/>
          <w:sz w:val="48"/>
          <w:szCs w:val="48"/>
        </w:rPr>
        <w:t>Protecting and Supporting Families in Health and Care</w:t>
      </w:r>
    </w:p>
    <w:p w14:paraId="0545E14D" w14:textId="77777777" w:rsidR="000D2915" w:rsidRPr="000D2915" w:rsidRDefault="000D2915" w:rsidP="000D2915">
      <w:pPr>
        <w:spacing w:line="360" w:lineRule="auto"/>
        <w:jc w:val="center"/>
        <w:rPr>
          <w:rFonts w:ascii="Arial" w:hAnsi="Arial" w:cs="Arial"/>
          <w:b/>
          <w:sz w:val="48"/>
          <w:szCs w:val="48"/>
        </w:rPr>
      </w:pPr>
    </w:p>
    <w:p w14:paraId="29A3AC61" w14:textId="727C4B0F" w:rsidR="00173A70" w:rsidRDefault="000D2915" w:rsidP="000D2915">
      <w:pPr>
        <w:spacing w:line="360" w:lineRule="auto"/>
        <w:jc w:val="center"/>
        <w:rPr>
          <w:rFonts w:ascii="Arial" w:hAnsi="Arial" w:cs="Arial"/>
          <w:b/>
          <w:sz w:val="48"/>
          <w:szCs w:val="48"/>
        </w:rPr>
      </w:pPr>
      <w:r w:rsidRPr="000D2915">
        <w:rPr>
          <w:rFonts w:ascii="Arial" w:hAnsi="Arial" w:cs="Arial"/>
          <w:b/>
          <w:sz w:val="48"/>
          <w:szCs w:val="48"/>
        </w:rPr>
        <w:t>Module Code: BMHP5021</w:t>
      </w:r>
    </w:p>
    <w:p w14:paraId="3B8B4286" w14:textId="70AB28B9" w:rsidR="0049024C" w:rsidRDefault="0049024C" w:rsidP="000D2915">
      <w:pPr>
        <w:spacing w:line="360" w:lineRule="auto"/>
        <w:jc w:val="center"/>
        <w:rPr>
          <w:rFonts w:ascii="Arial" w:hAnsi="Arial" w:cs="Arial"/>
          <w:b/>
          <w:sz w:val="48"/>
          <w:szCs w:val="48"/>
        </w:rPr>
      </w:pPr>
      <w:r>
        <w:rPr>
          <w:rFonts w:ascii="Arial" w:hAnsi="Arial" w:cs="Arial"/>
          <w:b/>
          <w:sz w:val="48"/>
          <w:szCs w:val="48"/>
        </w:rPr>
        <w:t xml:space="preserve">Noreen Akhtar  </w:t>
      </w:r>
    </w:p>
    <w:p w14:paraId="2B73F711" w14:textId="5C12BF28" w:rsidR="0049024C" w:rsidRDefault="0036153F" w:rsidP="000D2915">
      <w:pPr>
        <w:spacing w:line="360" w:lineRule="auto"/>
        <w:jc w:val="center"/>
        <w:rPr>
          <w:rFonts w:ascii="Arial" w:hAnsi="Arial" w:cs="Arial"/>
          <w:b/>
          <w:bCs/>
          <w:sz w:val="48"/>
          <w:szCs w:val="48"/>
        </w:rPr>
      </w:pPr>
      <w:r>
        <w:rPr>
          <w:rFonts w:ascii="Arial" w:hAnsi="Arial" w:cs="Arial"/>
          <w:b/>
          <w:sz w:val="48"/>
          <w:szCs w:val="48"/>
        </w:rPr>
        <w:t>2321475</w:t>
      </w:r>
    </w:p>
    <w:p w14:paraId="4F9517B0" w14:textId="77777777" w:rsidR="000D2915" w:rsidRPr="000D2915" w:rsidRDefault="000D2915" w:rsidP="000D2915">
      <w:pPr>
        <w:spacing w:line="360" w:lineRule="auto"/>
        <w:jc w:val="center"/>
        <w:rPr>
          <w:rFonts w:ascii="Arial" w:hAnsi="Arial" w:cs="Arial"/>
          <w:b/>
          <w:bCs/>
          <w:sz w:val="48"/>
          <w:szCs w:val="48"/>
        </w:rPr>
      </w:pPr>
    </w:p>
    <w:p w14:paraId="60835051" w14:textId="77777777" w:rsidR="00173A70" w:rsidRPr="00173A70" w:rsidRDefault="00173A70" w:rsidP="00173A70">
      <w:pPr>
        <w:spacing w:line="360" w:lineRule="auto"/>
        <w:rPr>
          <w:rFonts w:ascii="Arial" w:hAnsi="Arial" w:cs="Arial"/>
          <w:b/>
          <w:bCs/>
          <w:sz w:val="48"/>
          <w:szCs w:val="48"/>
        </w:rPr>
      </w:pPr>
    </w:p>
    <w:p w14:paraId="7FDA6585" w14:textId="0718E12E" w:rsidR="00392D9E" w:rsidRPr="00173A70" w:rsidRDefault="00392D9E" w:rsidP="00173A70">
      <w:pPr>
        <w:spacing w:line="360" w:lineRule="auto"/>
        <w:jc w:val="center"/>
        <w:rPr>
          <w:rFonts w:ascii="Arial" w:hAnsi="Arial" w:cs="Arial"/>
          <w:b/>
          <w:bCs/>
          <w:sz w:val="48"/>
          <w:szCs w:val="48"/>
        </w:rPr>
      </w:pPr>
      <w:r w:rsidRPr="00173A70">
        <w:rPr>
          <w:rFonts w:ascii="Arial" w:hAnsi="Arial" w:cs="Arial"/>
          <w:b/>
          <w:bCs/>
          <w:sz w:val="48"/>
          <w:szCs w:val="48"/>
        </w:rPr>
        <w:t>An Examination and Analysis of How the Early Help System is Signposted to UK Families by Local Authority Websites</w:t>
      </w:r>
    </w:p>
    <w:p w14:paraId="122F986E" w14:textId="77777777" w:rsidR="00173A70" w:rsidRPr="00173A70" w:rsidRDefault="00173A70" w:rsidP="00173A70">
      <w:pPr>
        <w:spacing w:line="360" w:lineRule="auto"/>
        <w:rPr>
          <w:rFonts w:ascii="Arial" w:hAnsi="Arial" w:cs="Arial"/>
          <w:sz w:val="48"/>
          <w:szCs w:val="48"/>
        </w:rPr>
      </w:pPr>
    </w:p>
    <w:p w14:paraId="1F8C7FBA" w14:textId="77777777" w:rsidR="00173A70" w:rsidRPr="00173A70" w:rsidRDefault="00173A70" w:rsidP="00173A70">
      <w:pPr>
        <w:spacing w:line="360" w:lineRule="auto"/>
        <w:rPr>
          <w:rFonts w:ascii="Arial" w:hAnsi="Arial" w:cs="Arial"/>
          <w:sz w:val="22"/>
          <w:szCs w:val="22"/>
        </w:rPr>
      </w:pPr>
    </w:p>
    <w:p w14:paraId="249083F4" w14:textId="77777777" w:rsidR="00173A70" w:rsidRDefault="00173A70" w:rsidP="00173A70">
      <w:pPr>
        <w:spacing w:line="360" w:lineRule="auto"/>
        <w:rPr>
          <w:rFonts w:ascii="Arial" w:hAnsi="Arial" w:cs="Arial"/>
          <w:sz w:val="22"/>
          <w:szCs w:val="22"/>
        </w:rPr>
      </w:pPr>
    </w:p>
    <w:p w14:paraId="15A5F1CA" w14:textId="77777777" w:rsidR="009058EE" w:rsidRDefault="009058EE" w:rsidP="00173A70">
      <w:pPr>
        <w:spacing w:line="360" w:lineRule="auto"/>
        <w:rPr>
          <w:rFonts w:ascii="Arial" w:hAnsi="Arial" w:cs="Arial"/>
          <w:sz w:val="22"/>
          <w:szCs w:val="22"/>
        </w:rPr>
      </w:pPr>
    </w:p>
    <w:p w14:paraId="71310911" w14:textId="77777777" w:rsidR="00173A70" w:rsidRDefault="00173A70" w:rsidP="00173A70">
      <w:pPr>
        <w:spacing w:line="360" w:lineRule="auto"/>
        <w:rPr>
          <w:rFonts w:ascii="Arial" w:hAnsi="Arial" w:cs="Arial"/>
          <w:sz w:val="22"/>
          <w:szCs w:val="22"/>
        </w:rPr>
      </w:pPr>
    </w:p>
    <w:p w14:paraId="04A3768C" w14:textId="77777777" w:rsidR="00173A70" w:rsidRPr="00173A70" w:rsidRDefault="00173A70" w:rsidP="00173A70">
      <w:pPr>
        <w:spacing w:line="360" w:lineRule="auto"/>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2066598758"/>
        <w:docPartObj>
          <w:docPartGallery w:val="Table of Contents"/>
          <w:docPartUnique/>
        </w:docPartObj>
      </w:sdtPr>
      <w:sdtEndPr>
        <w:rPr>
          <w:b/>
          <w:bCs/>
          <w:noProof/>
        </w:rPr>
      </w:sdtEndPr>
      <w:sdtContent>
        <w:p w14:paraId="2C320A22" w14:textId="5F3BEB20" w:rsidR="00173A70" w:rsidRDefault="00173A70">
          <w:pPr>
            <w:pStyle w:val="TOCHeading"/>
          </w:pPr>
          <w:r>
            <w:t>Contents</w:t>
          </w:r>
        </w:p>
        <w:p w14:paraId="240E37B6" w14:textId="5FAF6A76" w:rsidR="00173A70" w:rsidRDefault="00173A70">
          <w:pPr>
            <w:pStyle w:val="TOC1"/>
            <w:tabs>
              <w:tab w:val="left" w:pos="480"/>
              <w:tab w:val="right" w:leader="dot" w:pos="9016"/>
            </w:tabs>
            <w:rPr>
              <w:noProof/>
            </w:rPr>
          </w:pPr>
          <w:r>
            <w:fldChar w:fldCharType="begin"/>
          </w:r>
          <w:r>
            <w:instrText xml:space="preserve"> TOC \o "1-3" \h \z \u </w:instrText>
          </w:r>
          <w:r>
            <w:fldChar w:fldCharType="separate"/>
          </w:r>
          <w:hyperlink w:anchor="_Toc230998333" w:history="1">
            <w:r w:rsidRPr="00E40218">
              <w:rPr>
                <w:rStyle w:val="Hyperlink"/>
                <w:rFonts w:ascii="Arial" w:hAnsi="Arial" w:cs="Arial"/>
                <w:b/>
                <w:bCs/>
                <w:noProof/>
              </w:rPr>
              <w:t>1.</w:t>
            </w:r>
            <w:r>
              <w:rPr>
                <w:noProof/>
              </w:rPr>
              <w:tab/>
            </w:r>
            <w:r w:rsidRPr="00E4021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_Toc230998333 \h </w:instrText>
            </w:r>
            <w:r>
              <w:rPr>
                <w:noProof/>
                <w:webHidden/>
              </w:rPr>
            </w:r>
            <w:r>
              <w:rPr>
                <w:noProof/>
                <w:webHidden/>
              </w:rPr>
              <w:fldChar w:fldCharType="separate"/>
            </w:r>
            <w:r>
              <w:rPr>
                <w:noProof/>
                <w:webHidden/>
              </w:rPr>
              <w:t>3</w:t>
            </w:r>
            <w:r>
              <w:rPr>
                <w:noProof/>
                <w:webHidden/>
              </w:rPr>
              <w:fldChar w:fldCharType="end"/>
            </w:r>
          </w:hyperlink>
        </w:p>
        <w:p w14:paraId="507C1124" w14:textId="35C4AF6B" w:rsidR="00173A70" w:rsidRDefault="00173A70">
          <w:pPr>
            <w:pStyle w:val="TOC1"/>
            <w:tabs>
              <w:tab w:val="left" w:pos="480"/>
              <w:tab w:val="right" w:leader="dot" w:pos="9016"/>
            </w:tabs>
            <w:rPr>
              <w:noProof/>
            </w:rPr>
          </w:pPr>
          <w:hyperlink w:anchor="_Toc230998334" w:history="1">
            <w:r w:rsidRPr="00E40218">
              <w:rPr>
                <w:rStyle w:val="Hyperlink"/>
                <w:rFonts w:ascii="Arial" w:hAnsi="Arial" w:cs="Arial"/>
                <w:b/>
                <w:bCs/>
                <w:noProof/>
              </w:rPr>
              <w:t>2.</w:t>
            </w:r>
            <w:r>
              <w:rPr>
                <w:noProof/>
              </w:rPr>
              <w:tab/>
            </w:r>
            <w:r w:rsidRPr="00E40218">
              <w:rPr>
                <w:rStyle w:val="Hyperlink"/>
                <w:rFonts w:ascii="Arial" w:hAnsi="Arial" w:cs="Arial"/>
                <w:b/>
                <w:bCs/>
                <w:noProof/>
              </w:rPr>
              <w:t>Explanation of the Early Help System</w:t>
            </w:r>
            <w:r>
              <w:rPr>
                <w:noProof/>
                <w:webHidden/>
              </w:rPr>
              <w:tab/>
            </w:r>
            <w:r>
              <w:rPr>
                <w:noProof/>
                <w:webHidden/>
              </w:rPr>
              <w:fldChar w:fldCharType="begin"/>
            </w:r>
            <w:r>
              <w:rPr>
                <w:noProof/>
                <w:webHidden/>
              </w:rPr>
              <w:instrText xml:space="preserve"> PAGEREF _Toc230998334 \h </w:instrText>
            </w:r>
            <w:r>
              <w:rPr>
                <w:noProof/>
                <w:webHidden/>
              </w:rPr>
            </w:r>
            <w:r>
              <w:rPr>
                <w:noProof/>
                <w:webHidden/>
              </w:rPr>
              <w:fldChar w:fldCharType="separate"/>
            </w:r>
            <w:r>
              <w:rPr>
                <w:noProof/>
                <w:webHidden/>
              </w:rPr>
              <w:t>3</w:t>
            </w:r>
            <w:r>
              <w:rPr>
                <w:noProof/>
                <w:webHidden/>
              </w:rPr>
              <w:fldChar w:fldCharType="end"/>
            </w:r>
          </w:hyperlink>
        </w:p>
        <w:p w14:paraId="42AA6B9E" w14:textId="39DB8F6C" w:rsidR="00173A70" w:rsidRDefault="00173A70">
          <w:pPr>
            <w:pStyle w:val="TOC1"/>
            <w:tabs>
              <w:tab w:val="left" w:pos="480"/>
              <w:tab w:val="right" w:leader="dot" w:pos="9016"/>
            </w:tabs>
            <w:rPr>
              <w:noProof/>
            </w:rPr>
          </w:pPr>
          <w:hyperlink w:anchor="_Toc230998335" w:history="1">
            <w:r w:rsidRPr="00E40218">
              <w:rPr>
                <w:rStyle w:val="Hyperlink"/>
                <w:rFonts w:ascii="Arial" w:hAnsi="Arial" w:cs="Arial"/>
                <w:b/>
                <w:bCs/>
                <w:noProof/>
              </w:rPr>
              <w:t>3.</w:t>
            </w:r>
            <w:r>
              <w:rPr>
                <w:noProof/>
              </w:rPr>
              <w:tab/>
            </w:r>
            <w:r w:rsidRPr="00E40218">
              <w:rPr>
                <w:rStyle w:val="Hyperlink"/>
                <w:rFonts w:ascii="Arial" w:hAnsi="Arial" w:cs="Arial"/>
                <w:b/>
                <w:bCs/>
                <w:noProof/>
              </w:rPr>
              <w:t>Explanation of Multi- Agency Working</w:t>
            </w:r>
            <w:r>
              <w:rPr>
                <w:noProof/>
                <w:webHidden/>
              </w:rPr>
              <w:tab/>
            </w:r>
            <w:r>
              <w:rPr>
                <w:noProof/>
                <w:webHidden/>
              </w:rPr>
              <w:fldChar w:fldCharType="begin"/>
            </w:r>
            <w:r>
              <w:rPr>
                <w:noProof/>
                <w:webHidden/>
              </w:rPr>
              <w:instrText xml:space="preserve"> PAGEREF _Toc230998335 \h </w:instrText>
            </w:r>
            <w:r>
              <w:rPr>
                <w:noProof/>
                <w:webHidden/>
              </w:rPr>
            </w:r>
            <w:r>
              <w:rPr>
                <w:noProof/>
                <w:webHidden/>
              </w:rPr>
              <w:fldChar w:fldCharType="separate"/>
            </w:r>
            <w:r>
              <w:rPr>
                <w:noProof/>
                <w:webHidden/>
              </w:rPr>
              <w:t>4</w:t>
            </w:r>
            <w:r>
              <w:rPr>
                <w:noProof/>
                <w:webHidden/>
              </w:rPr>
              <w:fldChar w:fldCharType="end"/>
            </w:r>
          </w:hyperlink>
        </w:p>
        <w:p w14:paraId="1EEF6890" w14:textId="79AEE4AB" w:rsidR="00173A70" w:rsidRDefault="00173A70">
          <w:pPr>
            <w:pStyle w:val="TOC1"/>
            <w:tabs>
              <w:tab w:val="left" w:pos="480"/>
              <w:tab w:val="right" w:leader="dot" w:pos="9016"/>
            </w:tabs>
            <w:rPr>
              <w:noProof/>
            </w:rPr>
          </w:pPr>
          <w:hyperlink w:anchor="_Toc230998336" w:history="1">
            <w:r w:rsidRPr="00E40218">
              <w:rPr>
                <w:rStyle w:val="Hyperlink"/>
                <w:rFonts w:ascii="Arial" w:hAnsi="Arial" w:cs="Arial"/>
                <w:b/>
                <w:bCs/>
                <w:noProof/>
              </w:rPr>
              <w:t>4.</w:t>
            </w:r>
            <w:r>
              <w:rPr>
                <w:noProof/>
              </w:rPr>
              <w:tab/>
            </w:r>
            <w:r w:rsidRPr="00E40218">
              <w:rPr>
                <w:rStyle w:val="Hyperlink"/>
                <w:rFonts w:ascii="Arial" w:hAnsi="Arial" w:cs="Arial"/>
                <w:b/>
                <w:bCs/>
                <w:noProof/>
              </w:rPr>
              <w:t>Evaluation of Local Authority Websites</w:t>
            </w:r>
            <w:r>
              <w:rPr>
                <w:noProof/>
                <w:webHidden/>
              </w:rPr>
              <w:tab/>
            </w:r>
            <w:r>
              <w:rPr>
                <w:noProof/>
                <w:webHidden/>
              </w:rPr>
              <w:fldChar w:fldCharType="begin"/>
            </w:r>
            <w:r>
              <w:rPr>
                <w:noProof/>
                <w:webHidden/>
              </w:rPr>
              <w:instrText xml:space="preserve"> PAGEREF _Toc230998336 \h </w:instrText>
            </w:r>
            <w:r>
              <w:rPr>
                <w:noProof/>
                <w:webHidden/>
              </w:rPr>
            </w:r>
            <w:r>
              <w:rPr>
                <w:noProof/>
                <w:webHidden/>
              </w:rPr>
              <w:fldChar w:fldCharType="separate"/>
            </w:r>
            <w:r>
              <w:rPr>
                <w:noProof/>
                <w:webHidden/>
              </w:rPr>
              <w:t>4</w:t>
            </w:r>
            <w:r>
              <w:rPr>
                <w:noProof/>
                <w:webHidden/>
              </w:rPr>
              <w:fldChar w:fldCharType="end"/>
            </w:r>
          </w:hyperlink>
        </w:p>
        <w:p w14:paraId="618B1FD2" w14:textId="76C8D9DE" w:rsidR="00173A70" w:rsidRDefault="00173A70">
          <w:pPr>
            <w:pStyle w:val="TOC1"/>
            <w:tabs>
              <w:tab w:val="left" w:pos="480"/>
              <w:tab w:val="right" w:leader="dot" w:pos="9016"/>
            </w:tabs>
            <w:rPr>
              <w:noProof/>
            </w:rPr>
          </w:pPr>
          <w:hyperlink w:anchor="_Toc230998337" w:history="1">
            <w:r w:rsidRPr="00E40218">
              <w:rPr>
                <w:rStyle w:val="Hyperlink"/>
                <w:rFonts w:ascii="Arial" w:hAnsi="Arial" w:cs="Arial"/>
                <w:b/>
                <w:bCs/>
                <w:noProof/>
              </w:rPr>
              <w:t>5.</w:t>
            </w:r>
            <w:r>
              <w:rPr>
                <w:noProof/>
              </w:rPr>
              <w:tab/>
            </w:r>
            <w:r w:rsidRPr="00E40218">
              <w:rPr>
                <w:rStyle w:val="Hyperlink"/>
                <w:rFonts w:ascii="Arial" w:hAnsi="Arial" w:cs="Arial"/>
                <w:b/>
                <w:bCs/>
                <w:noProof/>
              </w:rPr>
              <w:t>Comparative Analysis</w:t>
            </w:r>
            <w:r>
              <w:rPr>
                <w:noProof/>
                <w:webHidden/>
              </w:rPr>
              <w:tab/>
            </w:r>
            <w:r>
              <w:rPr>
                <w:noProof/>
                <w:webHidden/>
              </w:rPr>
              <w:fldChar w:fldCharType="begin"/>
            </w:r>
            <w:r>
              <w:rPr>
                <w:noProof/>
                <w:webHidden/>
              </w:rPr>
              <w:instrText xml:space="preserve"> PAGEREF _Toc230998337 \h </w:instrText>
            </w:r>
            <w:r>
              <w:rPr>
                <w:noProof/>
                <w:webHidden/>
              </w:rPr>
            </w:r>
            <w:r>
              <w:rPr>
                <w:noProof/>
                <w:webHidden/>
              </w:rPr>
              <w:fldChar w:fldCharType="separate"/>
            </w:r>
            <w:r>
              <w:rPr>
                <w:noProof/>
                <w:webHidden/>
              </w:rPr>
              <w:t>6</w:t>
            </w:r>
            <w:r>
              <w:rPr>
                <w:noProof/>
                <w:webHidden/>
              </w:rPr>
              <w:fldChar w:fldCharType="end"/>
            </w:r>
          </w:hyperlink>
        </w:p>
        <w:p w14:paraId="3150AE61" w14:textId="49E7C9F1" w:rsidR="00173A70" w:rsidRDefault="00173A70">
          <w:pPr>
            <w:pStyle w:val="TOC1"/>
            <w:tabs>
              <w:tab w:val="left" w:pos="480"/>
              <w:tab w:val="right" w:leader="dot" w:pos="9016"/>
            </w:tabs>
            <w:rPr>
              <w:noProof/>
            </w:rPr>
          </w:pPr>
          <w:hyperlink w:anchor="_Toc230998338" w:history="1">
            <w:r w:rsidRPr="00E40218">
              <w:rPr>
                <w:rStyle w:val="Hyperlink"/>
                <w:rFonts w:ascii="Arial" w:hAnsi="Arial" w:cs="Arial"/>
                <w:b/>
                <w:bCs/>
                <w:noProof/>
              </w:rPr>
              <w:t>6.</w:t>
            </w:r>
            <w:r>
              <w:rPr>
                <w:noProof/>
              </w:rPr>
              <w:tab/>
            </w:r>
            <w:r w:rsidRPr="00E40218">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_Toc230998338 \h </w:instrText>
            </w:r>
            <w:r>
              <w:rPr>
                <w:noProof/>
                <w:webHidden/>
              </w:rPr>
            </w:r>
            <w:r>
              <w:rPr>
                <w:noProof/>
                <w:webHidden/>
              </w:rPr>
              <w:fldChar w:fldCharType="separate"/>
            </w:r>
            <w:r>
              <w:rPr>
                <w:noProof/>
                <w:webHidden/>
              </w:rPr>
              <w:t>6</w:t>
            </w:r>
            <w:r>
              <w:rPr>
                <w:noProof/>
                <w:webHidden/>
              </w:rPr>
              <w:fldChar w:fldCharType="end"/>
            </w:r>
          </w:hyperlink>
        </w:p>
        <w:p w14:paraId="16BB81B0" w14:textId="5C3B0501" w:rsidR="00173A70" w:rsidRDefault="00173A70">
          <w:r>
            <w:rPr>
              <w:b/>
              <w:bCs/>
              <w:noProof/>
            </w:rPr>
            <w:fldChar w:fldCharType="end"/>
          </w:r>
        </w:p>
      </w:sdtContent>
    </w:sdt>
    <w:p w14:paraId="335FFD6D" w14:textId="77777777" w:rsidR="00173A70" w:rsidRPr="00173A70" w:rsidRDefault="00173A70" w:rsidP="00173A70">
      <w:pPr>
        <w:spacing w:line="360" w:lineRule="auto"/>
        <w:rPr>
          <w:rFonts w:ascii="Arial" w:hAnsi="Arial" w:cs="Arial"/>
          <w:sz w:val="22"/>
          <w:szCs w:val="22"/>
        </w:rPr>
      </w:pPr>
    </w:p>
    <w:p w14:paraId="41CCA75E" w14:textId="77777777" w:rsidR="00173A70" w:rsidRPr="00173A70" w:rsidRDefault="00173A70" w:rsidP="00173A70">
      <w:pPr>
        <w:spacing w:line="360" w:lineRule="auto"/>
        <w:rPr>
          <w:rFonts w:ascii="Arial" w:hAnsi="Arial" w:cs="Arial"/>
          <w:sz w:val="22"/>
          <w:szCs w:val="22"/>
        </w:rPr>
      </w:pPr>
    </w:p>
    <w:p w14:paraId="4C9DD706" w14:textId="77777777" w:rsidR="00173A70" w:rsidRDefault="00173A70" w:rsidP="00173A70">
      <w:pPr>
        <w:spacing w:line="360" w:lineRule="auto"/>
        <w:rPr>
          <w:rFonts w:ascii="Arial" w:hAnsi="Arial" w:cs="Arial"/>
          <w:sz w:val="22"/>
          <w:szCs w:val="22"/>
        </w:rPr>
      </w:pPr>
    </w:p>
    <w:p w14:paraId="300FA9B6" w14:textId="77777777" w:rsidR="009058EE" w:rsidRDefault="009058EE" w:rsidP="00173A70">
      <w:pPr>
        <w:spacing w:line="360" w:lineRule="auto"/>
        <w:rPr>
          <w:rFonts w:ascii="Arial" w:hAnsi="Arial" w:cs="Arial"/>
          <w:sz w:val="22"/>
          <w:szCs w:val="22"/>
        </w:rPr>
      </w:pPr>
    </w:p>
    <w:p w14:paraId="4CE3258B" w14:textId="77777777" w:rsidR="009058EE" w:rsidRDefault="009058EE" w:rsidP="00173A70">
      <w:pPr>
        <w:spacing w:line="360" w:lineRule="auto"/>
        <w:rPr>
          <w:rFonts w:ascii="Arial" w:hAnsi="Arial" w:cs="Arial"/>
          <w:sz w:val="22"/>
          <w:szCs w:val="22"/>
        </w:rPr>
      </w:pPr>
    </w:p>
    <w:p w14:paraId="21713C50" w14:textId="77777777" w:rsidR="009058EE" w:rsidRDefault="009058EE" w:rsidP="00173A70">
      <w:pPr>
        <w:spacing w:line="360" w:lineRule="auto"/>
        <w:rPr>
          <w:rFonts w:ascii="Arial" w:hAnsi="Arial" w:cs="Arial"/>
          <w:sz w:val="22"/>
          <w:szCs w:val="22"/>
        </w:rPr>
      </w:pPr>
    </w:p>
    <w:p w14:paraId="401C6163" w14:textId="77777777" w:rsidR="009058EE" w:rsidRDefault="009058EE" w:rsidP="00173A70">
      <w:pPr>
        <w:spacing w:line="360" w:lineRule="auto"/>
        <w:rPr>
          <w:rFonts w:ascii="Arial" w:hAnsi="Arial" w:cs="Arial"/>
          <w:sz w:val="22"/>
          <w:szCs w:val="22"/>
        </w:rPr>
      </w:pPr>
    </w:p>
    <w:p w14:paraId="37AF3CCE" w14:textId="77777777" w:rsidR="009058EE" w:rsidRDefault="009058EE" w:rsidP="00173A70">
      <w:pPr>
        <w:spacing w:line="360" w:lineRule="auto"/>
        <w:rPr>
          <w:rFonts w:ascii="Arial" w:hAnsi="Arial" w:cs="Arial"/>
          <w:sz w:val="22"/>
          <w:szCs w:val="22"/>
        </w:rPr>
      </w:pPr>
    </w:p>
    <w:p w14:paraId="507D5213" w14:textId="77777777" w:rsidR="009058EE" w:rsidRDefault="009058EE" w:rsidP="00173A70">
      <w:pPr>
        <w:spacing w:line="360" w:lineRule="auto"/>
        <w:rPr>
          <w:rFonts w:ascii="Arial" w:hAnsi="Arial" w:cs="Arial"/>
          <w:sz w:val="22"/>
          <w:szCs w:val="22"/>
        </w:rPr>
      </w:pPr>
    </w:p>
    <w:p w14:paraId="2B5D8981" w14:textId="77777777" w:rsidR="009058EE" w:rsidRDefault="009058EE" w:rsidP="00173A70">
      <w:pPr>
        <w:spacing w:line="360" w:lineRule="auto"/>
        <w:rPr>
          <w:rFonts w:ascii="Arial" w:hAnsi="Arial" w:cs="Arial"/>
          <w:sz w:val="22"/>
          <w:szCs w:val="22"/>
        </w:rPr>
      </w:pPr>
    </w:p>
    <w:p w14:paraId="0E700FFF" w14:textId="77777777" w:rsidR="009058EE" w:rsidRDefault="009058EE" w:rsidP="00173A70">
      <w:pPr>
        <w:spacing w:line="360" w:lineRule="auto"/>
        <w:rPr>
          <w:rFonts w:ascii="Arial" w:hAnsi="Arial" w:cs="Arial"/>
          <w:sz w:val="22"/>
          <w:szCs w:val="22"/>
        </w:rPr>
      </w:pPr>
    </w:p>
    <w:p w14:paraId="4EE7A15C" w14:textId="77777777" w:rsidR="009058EE" w:rsidRPr="00173A70" w:rsidRDefault="009058EE" w:rsidP="00173A70">
      <w:pPr>
        <w:spacing w:line="360" w:lineRule="auto"/>
        <w:rPr>
          <w:rFonts w:ascii="Arial" w:hAnsi="Arial" w:cs="Arial"/>
          <w:sz w:val="22"/>
          <w:szCs w:val="22"/>
        </w:rPr>
      </w:pPr>
    </w:p>
    <w:p w14:paraId="113B0BBE" w14:textId="77777777" w:rsidR="00173A70" w:rsidRPr="00173A70" w:rsidRDefault="00173A70" w:rsidP="00173A70">
      <w:pPr>
        <w:spacing w:line="360" w:lineRule="auto"/>
        <w:rPr>
          <w:rFonts w:ascii="Arial" w:hAnsi="Arial" w:cs="Arial"/>
          <w:sz w:val="22"/>
          <w:szCs w:val="22"/>
        </w:rPr>
      </w:pPr>
    </w:p>
    <w:p w14:paraId="6B03290E" w14:textId="77777777" w:rsidR="00173A70" w:rsidRPr="00173A70" w:rsidRDefault="00173A70" w:rsidP="00173A70">
      <w:pPr>
        <w:spacing w:line="360" w:lineRule="auto"/>
        <w:rPr>
          <w:rFonts w:ascii="Arial" w:hAnsi="Arial" w:cs="Arial"/>
          <w:sz w:val="22"/>
          <w:szCs w:val="22"/>
        </w:rPr>
      </w:pPr>
    </w:p>
    <w:p w14:paraId="1CD9A7C7" w14:textId="77777777" w:rsidR="00173A70" w:rsidRPr="00173A70" w:rsidRDefault="00173A70" w:rsidP="00173A70">
      <w:pPr>
        <w:spacing w:line="360" w:lineRule="auto"/>
        <w:rPr>
          <w:rFonts w:ascii="Arial" w:hAnsi="Arial" w:cs="Arial"/>
          <w:sz w:val="22"/>
          <w:szCs w:val="22"/>
        </w:rPr>
      </w:pPr>
    </w:p>
    <w:p w14:paraId="30629621" w14:textId="77777777" w:rsidR="00173A70" w:rsidRPr="00173A70" w:rsidRDefault="00173A70" w:rsidP="00173A70">
      <w:pPr>
        <w:spacing w:line="360" w:lineRule="auto"/>
        <w:rPr>
          <w:rFonts w:ascii="Arial" w:hAnsi="Arial" w:cs="Arial"/>
          <w:sz w:val="22"/>
          <w:szCs w:val="22"/>
        </w:rPr>
      </w:pPr>
    </w:p>
    <w:p w14:paraId="49A6480C" w14:textId="66F27F6D" w:rsidR="00392D9E" w:rsidRPr="00173A70" w:rsidRDefault="00392D9E" w:rsidP="00173A70">
      <w:pPr>
        <w:pStyle w:val="Heading1"/>
        <w:numPr>
          <w:ilvl w:val="0"/>
          <w:numId w:val="3"/>
        </w:numPr>
        <w:jc w:val="both"/>
        <w:rPr>
          <w:rFonts w:ascii="Arial" w:hAnsi="Arial" w:cs="Arial"/>
          <w:b/>
          <w:bCs/>
          <w:color w:val="000000" w:themeColor="text1"/>
          <w:sz w:val="28"/>
          <w:szCs w:val="28"/>
        </w:rPr>
      </w:pPr>
      <w:bookmarkStart w:id="0" w:name="_Toc230998333"/>
      <w:r w:rsidRPr="00173A70">
        <w:rPr>
          <w:rFonts w:ascii="Arial" w:hAnsi="Arial" w:cs="Arial"/>
          <w:b/>
          <w:bCs/>
          <w:color w:val="000000" w:themeColor="text1"/>
          <w:sz w:val="28"/>
          <w:szCs w:val="28"/>
        </w:rPr>
        <w:t>Introduction</w:t>
      </w:r>
      <w:bookmarkEnd w:id="0"/>
    </w:p>
    <w:p w14:paraId="62F6044A" w14:textId="563A067B"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Early Help is a critical part of the protect practice in England and so is expected to ensure children, youths, and their families access the support that is necessary to them as quickly as possible. Early Help as an alternative to permitting a situation to escalate to a level when a statutory intervention becomes a problem, it seeks to eliminate the adoption of a statutory intervention by uncovering the problem and providing integrated preventive assistance. It is one of the fundamental strategies of improving the performance of children in the long-term perspective and reducing an imposition on the specialist service provision such as child protection, and social care (Roy., 2022). The local authorities have a moral and legal obligation to make sure that the Early Help services are available, coordinated and explained to the families. The local authority sites tend to be the land of parents, carers and professionals in the modern scenario where advice and help is required. Therefore, accessibility, structure and clarity of the Early Help information available on the internet is paramount in ensuring that families can access the help as soon as they need it.</w:t>
      </w:r>
    </w:p>
    <w:p w14:paraId="130F80AC" w14:textId="77777777"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This report provides a comparison between how the Early Help and other family support services are communicated by three local authorities in the UK through their official websites. The chosen authorities are Leeds City Council, Leister County Council and Nottingham Council (Barrett et al., 2024). The report assesses the effectiveness of each of the websites in signposting Early Help services and compares the merits and the flaws of the websites, and which authority offers the most efficient and accessible information to the user. To inform the analysis, early help system guide (2023) and working together to Safeguard Children (2023) were reviewed since they are concerned with the early intervention, cross-agency collaboration, and accessible service design.</w:t>
      </w:r>
    </w:p>
    <w:p w14:paraId="54C80EA4" w14:textId="1B809F9C" w:rsidR="009E0FE5" w:rsidRPr="009E0FE5" w:rsidRDefault="009E0FE5" w:rsidP="009E0FE5">
      <w:pPr>
        <w:pStyle w:val="Heading1"/>
        <w:numPr>
          <w:ilvl w:val="0"/>
          <w:numId w:val="3"/>
        </w:numPr>
        <w:jc w:val="both"/>
        <w:rPr>
          <w:rFonts w:ascii="Arial" w:hAnsi="Arial" w:cs="Arial"/>
          <w:b/>
          <w:bCs/>
          <w:color w:val="000000" w:themeColor="text1"/>
          <w:sz w:val="28"/>
          <w:szCs w:val="28"/>
        </w:rPr>
      </w:pPr>
      <w:r w:rsidRPr="009E0FE5">
        <w:rPr>
          <w:rFonts w:ascii="Arial" w:hAnsi="Arial" w:cs="Arial"/>
          <w:b/>
          <w:bCs/>
          <w:color w:val="000000" w:themeColor="text1"/>
          <w:sz w:val="28"/>
          <w:szCs w:val="28"/>
        </w:rPr>
        <w:t>Introduction to Early Help System</w:t>
      </w:r>
    </w:p>
    <w:p w14:paraId="19E68059" w14:textId="7FF362D2"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 xml:space="preserve">The Early Help system is a coordinated mechanism of providing support to children, young people as well as families who encounter emerging or additional needs, which cannot be effectively met through the provision of universal services which are available to them, i.e. schools, GPs or community services alone. According to the Early Help System Guide (2023), Early Help is not a single system whenever it is a systemic just as several agencies are brought together to act under working together towards helping families in their initial difficulty stage (Holmes et al., 2025). Early Help has a goal is to prevent the disastrous development of the issues before they can become severe like neglect, family breakdown, mental health crisis, and statutory intervention by the child protection system. It emphasizes the focus on identifying the needs during early stages and a responsive appropriate approach. Early Help support can be in the form of parenting programmes, emotional wellbeing support, housing support, domestic abuse support, school attendance support and financial or debt support. </w:t>
      </w:r>
    </w:p>
    <w:p w14:paraId="3AD696D9" w14:textId="28C34F44"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The fact that Early Help is voluntary means that in most cases, it is not imposed upon families nor forced to be used, rather, they seek the services and choose to include them into Early Help. That also develops a sense of trust, and the families make referrals easily without fear of being detected and incur statutory repercussions. Where there is however an objection to raise or alert on protection concerns, then Early Help may be diverted towards a statutory social interventional measure (Neto et al., 2024). The Early Help Systems Guide (2023) adds that the ideal Early Help systems must be locally situated, integrated, and accessible to all. It highlights the importance of effective referral pathways, good practice in partnerships and family-centred practice. In the same manner, Working Together to Safeguard Children (2023) confirms that Early Help is an essential component of safeguarding and stands to make it accessible to all families, who might need further assistance at any point.</w:t>
      </w:r>
    </w:p>
    <w:p w14:paraId="5565C55E" w14:textId="0B58A0D5" w:rsidR="009E0FE5" w:rsidRPr="009E0FE5" w:rsidRDefault="009E0FE5" w:rsidP="009E0FE5">
      <w:pPr>
        <w:pStyle w:val="Heading1"/>
        <w:numPr>
          <w:ilvl w:val="0"/>
          <w:numId w:val="3"/>
        </w:numPr>
        <w:jc w:val="both"/>
        <w:rPr>
          <w:rFonts w:ascii="Arial" w:hAnsi="Arial" w:cs="Arial"/>
          <w:b/>
          <w:bCs/>
          <w:color w:val="000000" w:themeColor="text1"/>
          <w:sz w:val="28"/>
          <w:szCs w:val="28"/>
        </w:rPr>
      </w:pPr>
      <w:r w:rsidRPr="009E0FE5">
        <w:rPr>
          <w:rFonts w:ascii="Arial" w:hAnsi="Arial" w:cs="Arial"/>
          <w:b/>
          <w:bCs/>
          <w:color w:val="000000" w:themeColor="text1"/>
          <w:sz w:val="28"/>
          <w:szCs w:val="28"/>
        </w:rPr>
        <w:t>Multi- Agency Working explained</w:t>
      </w:r>
    </w:p>
    <w:p w14:paraId="3C518C61" w14:textId="1E0845E8"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Working across agencies is a fundamental value in the Early Help and the safeguarding systems. It is a combination of various professional services collaborating to help children and their families in a cooperative and steady manner. Typically, these services are provision education providers, health workers, social workers, police and voluntary/community sector organisations. The Working Together to Safeguard Children (2023) remarks that any agency cannot cover the multifaceted needs of children and families, particularly when these concerns are interconnected (Cantrell et al., 2024). Using the example of a child who badly attends school, the unstable housing, parents with mental health issues, or economic circumstances may also be a contributing factor. We must have a combined method to these areas and not individual approach to a single service. The formal procedures such as Early Help Assessments are often present in helping the multi-agency working, in practice. Through these assessments, the professionals of the various agencies can share information (with due permission), develop a collective needs identification, and come up with a coordinated action plan (Matthews et al., 2024). This would make sure the families do not have to keep on explaining the situation to the various professionals. Positive multi-agency working results in better protection outcomes, better resource utilization, and communication of services. It also serves to maintain that support is holistic and should be need based on the needs of the entire family and not individual issues. The local authority sites play a vital role in laying the foundation of how this system will work and how families and professionals will access the system.</w:t>
      </w:r>
    </w:p>
    <w:p w14:paraId="1F8327ED" w14:textId="33154852" w:rsidR="009E0FE5" w:rsidRPr="009E0FE5" w:rsidRDefault="009E0FE5" w:rsidP="009E0FE5">
      <w:pPr>
        <w:pStyle w:val="Heading1"/>
        <w:numPr>
          <w:ilvl w:val="0"/>
          <w:numId w:val="3"/>
        </w:numPr>
        <w:jc w:val="both"/>
        <w:rPr>
          <w:rFonts w:ascii="Arial" w:hAnsi="Arial" w:cs="Arial"/>
          <w:b/>
          <w:bCs/>
          <w:color w:val="000000" w:themeColor="text1"/>
          <w:sz w:val="28"/>
          <w:szCs w:val="28"/>
        </w:rPr>
      </w:pPr>
      <w:r w:rsidRPr="009E0FE5">
        <w:rPr>
          <w:rFonts w:ascii="Arial" w:hAnsi="Arial" w:cs="Arial"/>
          <w:b/>
          <w:bCs/>
          <w:color w:val="000000" w:themeColor="text1"/>
          <w:sz w:val="28"/>
          <w:szCs w:val="28"/>
        </w:rPr>
        <w:t>Assessment of Local Authority Websites</w:t>
      </w:r>
    </w:p>
    <w:p w14:paraId="059F7BE7" w14:textId="331979C9"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The Leeds City Council site is more explanatory and structured because it provides a better view of the Early Help in an expanded context of the services of the Family support and child protection provided by it. Early Help is presented in the context of a broader plan of Family Valued that aims at establishing collaboration between the services and empowerment of family relationships. It can be seen on the site of what Early Help is and what kind of issues can be eligible as needing assistance, including Emotional wellbeing scenarios, behaviour issues, parent problems and even school attendance. The primary strength of Leeds web site can be viewed in its focus on the idea of multi-agency working as well as its clearly specified referral pathways (Manthorpe et al., 2023). All professionals are now given systematic instructions as to how to avail Early Help services and the system is well networked with other support services in the city. This is indicative of an effective strategic development in line with the national guidance. However, despite being rather robust, the site lacks accessibility to families but becomes more accessible to professionals. It is not easy to follow all that occurs as some parts are written in a formal and technical language, and therefore not easily accessed by a parent or carer. Besides, the text-heavy part occupies part of the pages and must be traversed with utility, which reduces accessibility to people who are in need to acquire the information quickly.</w:t>
      </w:r>
    </w:p>
    <w:p w14:paraId="5261075C" w14:textId="680F79A0"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Information given in the Early Help on the Leister County Council site is more family friendly. It emphasizes much on prevention and early intervention, and it is well-explained that one can help prior to the problems getting out of hand. The site layout is normally simple to navigate, and the language employed is less complex and more straightforward as compared to the other local authority sites. Transparent forms of referral are also available in Early Help section of Leister, and a wide range of local services and voluntary and community organisations are highlighted (Geddes et al., 2023). This also contributes to the image of collaborating locally and acts to assure families the level of assistance they can receive. The site is a good indication of the commitment to community-based support and is close to the principles of the Early Help System Guide (2023).</w:t>
      </w:r>
    </w:p>
    <w:p w14:paraId="6F644855" w14:textId="63D83CB9"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Despite such benefits, the Leister location has a few weaknesses. In certain cases, data are spread in multiple locations which are termed sections that can be quite tricky to navigate through. Additionally, the information is easy to follow, though can be more interactive with instructional directions or graphics to ensure that the families can better imagine the actions to be taken to get assistance. The Nottingham Council site includes the Early Help as a part of some broader system of safeguarding and children services (Burlingham., 2026). The information above is accurate and in line with the statutory guidance, but Early Help is a comparatively less prominently signed area, compared to safeguarding and child protection information. There is more frequently a focus on statutory intervention and vulnerable children rather than the proactive Early Help support. As a result, the families themselves wishing to be helped at low level of development may undergo another problem of locating the suitable information. The language that is used is also more official and service oriented that is, it may not be easily understood by the parents who would not be conversant with the terminologies that they used to safeguard them. Though the description of the referral routes is straightforward the rest of the presentation is not as user friendly as the one in the two local authorities.</w:t>
      </w:r>
    </w:p>
    <w:p w14:paraId="7537E501" w14:textId="459C61A4" w:rsidR="009E0FE5" w:rsidRPr="009E0FE5" w:rsidRDefault="009E0FE5" w:rsidP="009E0FE5">
      <w:pPr>
        <w:pStyle w:val="Heading1"/>
        <w:numPr>
          <w:ilvl w:val="0"/>
          <w:numId w:val="3"/>
        </w:numPr>
        <w:jc w:val="both"/>
        <w:rPr>
          <w:rFonts w:ascii="Arial" w:hAnsi="Arial" w:cs="Arial"/>
          <w:b/>
          <w:bCs/>
          <w:color w:val="000000" w:themeColor="text1"/>
          <w:sz w:val="28"/>
          <w:szCs w:val="28"/>
        </w:rPr>
      </w:pPr>
      <w:r w:rsidRPr="009E0FE5">
        <w:rPr>
          <w:rFonts w:ascii="Arial" w:hAnsi="Arial" w:cs="Arial"/>
          <w:b/>
          <w:bCs/>
          <w:color w:val="000000" w:themeColor="text1"/>
          <w:sz w:val="28"/>
          <w:szCs w:val="28"/>
        </w:rPr>
        <w:t>Comparative Analysis</w:t>
      </w:r>
    </w:p>
    <w:p w14:paraId="7C594894" w14:textId="77777777" w:rsidR="009E0FE5" w:rsidRPr="009E0FE5" w:rsidRDefault="009E0FE5" w:rsidP="009E0FE5">
      <w:pPr>
        <w:spacing w:line="360" w:lineRule="auto"/>
        <w:jc w:val="both"/>
        <w:rPr>
          <w:rFonts w:ascii="Arial" w:hAnsi="Arial" w:cs="Arial"/>
          <w:sz w:val="22"/>
          <w:szCs w:val="22"/>
        </w:rPr>
      </w:pPr>
      <w:r w:rsidRPr="009E0FE5">
        <w:rPr>
          <w:rFonts w:ascii="Arial" w:hAnsi="Arial" w:cs="Arial"/>
          <w:sz w:val="22"/>
          <w:szCs w:val="22"/>
        </w:rPr>
        <w:t>Comparing the three local authorities, it is evident that there are differences in the effectiveness of Early Help communication to families. The most accessible, friendly and helpful process is that of Leister County Council because of its good knowledge of English, the great visibility of services proposed by Early Help, and its ease of use. This will help to know what the families can receive support and how to access them not necessarily having an idea on the protection mechanisms. Leeds City Council boasts most of the strategic and professional structure and ideal combination of multi-agency work alongside well-integrated structure of professionals (Holmes et al., 2025). However, because it focuses more on formal practices and the usage of technical vocabulary, its use among families seeking rapid or simple assistance is not that easy. It is therefore a more professional campaign as opposed to a family support mechanism which is out in the open. Nottingham Council is the least effective in terms of the accessibility of Early Help. Although it contains relevant information on safeguarding it, there is no priority, or signposts of Early Help. The initial issue of assistance to families might thus be difficult to find in Early Help and this undermines the preventative aspect of the system.</w:t>
      </w:r>
    </w:p>
    <w:p w14:paraId="0842414B" w14:textId="53359DC2" w:rsidR="009E0FE5" w:rsidRPr="009E0FE5" w:rsidRDefault="009E0FE5" w:rsidP="009E0FE5">
      <w:pPr>
        <w:pStyle w:val="Heading1"/>
        <w:numPr>
          <w:ilvl w:val="0"/>
          <w:numId w:val="3"/>
        </w:numPr>
        <w:jc w:val="both"/>
        <w:rPr>
          <w:rFonts w:ascii="Arial" w:hAnsi="Arial" w:cs="Arial"/>
          <w:b/>
          <w:bCs/>
          <w:color w:val="000000" w:themeColor="text1"/>
          <w:sz w:val="28"/>
          <w:szCs w:val="28"/>
        </w:rPr>
      </w:pPr>
      <w:r w:rsidRPr="009E0FE5">
        <w:rPr>
          <w:rFonts w:ascii="Arial" w:hAnsi="Arial" w:cs="Arial"/>
          <w:b/>
          <w:bCs/>
          <w:color w:val="000000" w:themeColor="text1"/>
          <w:sz w:val="28"/>
          <w:szCs w:val="28"/>
        </w:rPr>
        <w:t>Conclusion and Recommendations</w:t>
      </w:r>
    </w:p>
    <w:p w14:paraId="2E0A9B86" w14:textId="4CF8D24A" w:rsidR="009E0FE5" w:rsidRDefault="009E0FE5" w:rsidP="009E0FE5">
      <w:pPr>
        <w:spacing w:line="360" w:lineRule="auto"/>
        <w:jc w:val="both"/>
        <w:rPr>
          <w:rFonts w:ascii="Arial" w:hAnsi="Arial" w:cs="Arial"/>
          <w:sz w:val="22"/>
          <w:szCs w:val="22"/>
        </w:rPr>
      </w:pPr>
      <w:r w:rsidRPr="009E0FE5">
        <w:rPr>
          <w:rFonts w:ascii="Arial" w:hAnsi="Arial" w:cs="Arial"/>
          <w:sz w:val="22"/>
          <w:szCs w:val="22"/>
        </w:rPr>
        <w:t>In conclusion, it is possible to note that all three local authorities demonstrate their compliance to the requirements that are offered by Working Together to Safeguard Children (2023) and the Early Help System Guide (2023). Everybody has Early Help information and demonstrates some sort of multi-agency coordination. Soon, though, the quality of communication to families is significantly influenced by its clarity, accessibility and design of the websites. The Leister County Council is the most effective in terms of delivery of the Early Help in relation to the use of either simple word, clear organization and respect towards offering prevention and community-based support. The strategic fit and integration of multi-agencies are good in the Leeds City Council but less accessible to families, due to its professional orientation. The Nottingham Council offers sufficient safeguarding information but does not have a good visibility and access to Early Help services. The communications of Early Help can be improved through a few recommendations that can be given to improve the practices in every locality. To begin with, the information must be presented in easier to understand an accessible language with no after-all fancy jargon. Second, the Early Help services ought to be put more prominently at the forefront of the homepages to make the families access the help in time. Third, one more idea that may be considered by the local authorities is using interactive tools to assess their needs using guided pathways or self-assessment checklists. Finally, the usage of the visual aids (flowcharts, videos, step-by-step guides, etc.) might help to add a lot of value to the appreciation of the information and to engross the users. Finally, to provide families with timely support and the Early Help system to fulfil its preventative role, the accessibility of the Early Help information needs to be brought to a higher level.</w:t>
      </w:r>
    </w:p>
    <w:p w14:paraId="51E7CA41" w14:textId="6382DAA3" w:rsidR="00173A70" w:rsidRDefault="00BB7C2C" w:rsidP="009E0FE5">
      <w:pPr>
        <w:spacing w:line="360" w:lineRule="auto"/>
        <w:jc w:val="both"/>
        <w:rPr>
          <w:rFonts w:ascii="Arial" w:hAnsi="Arial" w:cs="Arial"/>
          <w:b/>
          <w:bCs/>
          <w:sz w:val="22"/>
          <w:szCs w:val="22"/>
        </w:rPr>
      </w:pPr>
      <w:r w:rsidRPr="00BB7C2C">
        <w:rPr>
          <w:rFonts w:ascii="Arial" w:hAnsi="Arial" w:cs="Arial"/>
          <w:b/>
          <w:bCs/>
          <w:sz w:val="22"/>
          <w:szCs w:val="22"/>
        </w:rPr>
        <w:t xml:space="preserve">References </w:t>
      </w:r>
    </w:p>
    <w:p w14:paraId="55D6EDA6" w14:textId="77777777" w:rsidR="00BB7C2C" w:rsidRDefault="00BB7C2C" w:rsidP="000966F3">
      <w:pPr>
        <w:spacing w:line="360" w:lineRule="auto"/>
        <w:ind w:left="1276" w:hanging="1276"/>
      </w:pPr>
      <w:r w:rsidRPr="006E1609">
        <w:t>Barrett, M., Spires, M. and Vogel, C., 2024. The Healthy Start scheme in England “is a lifeline for families but many are missing out”: a rapid qualitative analysis. </w:t>
      </w:r>
      <w:r w:rsidRPr="006E1609">
        <w:rPr>
          <w:i/>
          <w:iCs/>
        </w:rPr>
        <w:t>BMC medicine</w:t>
      </w:r>
      <w:r w:rsidRPr="006E1609">
        <w:t>, </w:t>
      </w:r>
      <w:r w:rsidRPr="006E1609">
        <w:rPr>
          <w:i/>
          <w:iCs/>
        </w:rPr>
        <w:t>22</w:t>
      </w:r>
      <w:r w:rsidRPr="006E1609">
        <w:t>(1), p.177.</w:t>
      </w:r>
    </w:p>
    <w:p w14:paraId="7B4D095C" w14:textId="77777777" w:rsidR="00BB7C2C" w:rsidRPr="006E1609" w:rsidRDefault="00BB7C2C" w:rsidP="000966F3">
      <w:pPr>
        <w:spacing w:line="360" w:lineRule="auto"/>
        <w:ind w:left="1276" w:hanging="1276"/>
      </w:pPr>
      <w:r w:rsidRPr="006E1609">
        <w:t>Burlingham, M., 2026. </w:t>
      </w:r>
      <w:r w:rsidRPr="000966F3">
        <w:t>THE IMPORTANCE OF THE EARLY YEARS: EXPLORING THE LIVED EXPERIENCES OF PARENTS AND HOME-START GLOUCESTERSHIRE’S EARLY INTERVENTION SERVICES</w:t>
      </w:r>
      <w:r w:rsidRPr="006E1609">
        <w:t> (Doctoral dissertation, University of Gloucestershire).</w:t>
      </w:r>
    </w:p>
    <w:p w14:paraId="2FF2A4A8" w14:textId="77777777" w:rsidR="00BB7C2C" w:rsidRDefault="00BB7C2C" w:rsidP="000966F3">
      <w:pPr>
        <w:spacing w:line="360" w:lineRule="auto"/>
        <w:ind w:left="1276" w:hanging="1276"/>
      </w:pPr>
      <w:r w:rsidRPr="006E1609">
        <w:t>Cantrell, A., Booth, A. and Chambers, D., 2024. Signposting services for people with health and care needs: a rapid realist review. </w:t>
      </w:r>
      <w:r w:rsidRPr="000966F3">
        <w:t>Health and Social Care Delivery Research</w:t>
      </w:r>
      <w:r w:rsidRPr="006E1609">
        <w:t>, </w:t>
      </w:r>
      <w:r w:rsidRPr="000966F3">
        <w:t>12</w:t>
      </w:r>
      <w:r w:rsidRPr="006E1609">
        <w:t>(26), pp.1-86.</w:t>
      </w:r>
    </w:p>
    <w:p w14:paraId="0617E530" w14:textId="77777777" w:rsidR="00BB7C2C" w:rsidRDefault="00BB7C2C" w:rsidP="000966F3">
      <w:pPr>
        <w:spacing w:line="360" w:lineRule="auto"/>
        <w:ind w:left="1276" w:hanging="1276"/>
      </w:pPr>
      <w:r w:rsidRPr="006E1609">
        <w:t>Geddes, E., Harford, T., Hill, D., O'Keefe, R. and Skinner, A., 2023. Evaluation of the Early Help services provided as a part of the Cluster Collaborative in Leeds. </w:t>
      </w:r>
      <w:r w:rsidRPr="000966F3">
        <w:t>Leeds Beckett University</w:t>
      </w:r>
      <w:r w:rsidRPr="006E1609">
        <w:t>.</w:t>
      </w:r>
    </w:p>
    <w:p w14:paraId="5B4827D8" w14:textId="695EB6D9" w:rsidR="00BB7C2C" w:rsidRDefault="00BB7C2C" w:rsidP="000966F3">
      <w:pPr>
        <w:spacing w:line="360" w:lineRule="auto"/>
        <w:ind w:left="1276" w:hanging="1276"/>
      </w:pPr>
      <w:r w:rsidRPr="006E1609">
        <w:t xml:space="preserve">Holmes, S.E., Parr, E., Martel, D.B., Hakija, J., Wills, R., Fung, W.K. and Mackenzie, L., 2025. Do Parents/Carers Feel Supported? Evaluating the Landscape of Parent/Carer Services in a City in </w:t>
      </w:r>
      <w:r w:rsidR="0058384F" w:rsidRPr="006E1609">
        <w:t>Northwest</w:t>
      </w:r>
      <w:r w:rsidRPr="006E1609">
        <w:t xml:space="preserve"> England. </w:t>
      </w:r>
      <w:r w:rsidRPr="000966F3">
        <w:t>Family Sciences</w:t>
      </w:r>
      <w:r w:rsidRPr="006E1609">
        <w:t>, </w:t>
      </w:r>
      <w:r w:rsidRPr="000966F3">
        <w:t>1</w:t>
      </w:r>
      <w:r w:rsidRPr="006E1609">
        <w:t>(2), p.12.</w:t>
      </w:r>
    </w:p>
    <w:p w14:paraId="046513D1" w14:textId="65AB3A2F" w:rsidR="00BB7C2C" w:rsidRDefault="00BB7C2C" w:rsidP="000966F3">
      <w:pPr>
        <w:spacing w:line="360" w:lineRule="auto"/>
        <w:ind w:left="1276" w:hanging="1276"/>
      </w:pPr>
      <w:r w:rsidRPr="006E1609">
        <w:t>Matthews, J., Black</w:t>
      </w:r>
      <w:r w:rsidRPr="000966F3">
        <w:rPr>
          <w:rFonts w:ascii="Cambria Math" w:hAnsi="Cambria Math" w:cs="Cambria Math"/>
        </w:rPr>
        <w:t>‐</w:t>
      </w:r>
      <w:r w:rsidRPr="006E1609">
        <w:t xml:space="preserve">Hawkins, K., Basu, A., Necula, A.I., Downs, J., Ford, T., Saxton, J. and HOPE Study, 2024. To what extent do England's local offer websites adhere to the statutory guidance as set out in the special educational needs and disabilities code of </w:t>
      </w:r>
      <w:r w:rsidR="0058384F" w:rsidRPr="006E1609">
        <w:t>practice?</w:t>
      </w:r>
      <w:r w:rsidRPr="000966F3">
        <w:t> British Educational Research Journal</w:t>
      </w:r>
      <w:r w:rsidRPr="006E1609">
        <w:t>, </w:t>
      </w:r>
      <w:r w:rsidRPr="000966F3">
        <w:t>50</w:t>
      </w:r>
      <w:r w:rsidRPr="006E1609">
        <w:t>(4), pp.1724-1740.</w:t>
      </w:r>
    </w:p>
    <w:p w14:paraId="34B5FE89" w14:textId="77777777" w:rsidR="00BB7C2C" w:rsidRDefault="00BB7C2C" w:rsidP="000966F3">
      <w:pPr>
        <w:spacing w:line="360" w:lineRule="auto"/>
        <w:ind w:left="1276" w:hanging="1276"/>
      </w:pPr>
      <w:r w:rsidRPr="006E1609">
        <w:t>Manthorpe, J., Moriarty, J., Damant, J., Brimblecombe, N., Marczak, J., Knapp, M. and Fernández, J.L., 2023. Local online information for carers in England: content and complexity. </w:t>
      </w:r>
      <w:r w:rsidRPr="000966F3">
        <w:t>Practice</w:t>
      </w:r>
      <w:r w:rsidRPr="006E1609">
        <w:t>, </w:t>
      </w:r>
      <w:r w:rsidRPr="000966F3">
        <w:t>35</w:t>
      </w:r>
      <w:r w:rsidRPr="006E1609">
        <w:t>(5), pp.425-449.</w:t>
      </w:r>
    </w:p>
    <w:p w14:paraId="52A7FAE7" w14:textId="77777777" w:rsidR="00BB7C2C" w:rsidRDefault="00BB7C2C" w:rsidP="000966F3">
      <w:pPr>
        <w:spacing w:line="360" w:lineRule="auto"/>
        <w:ind w:left="1276" w:hanging="1276"/>
      </w:pPr>
      <w:r w:rsidRPr="006E1609">
        <w:t>Neto, E.D.A.L., Bailiss, J., Finke, A., Miller, J. and Cosma, G., 2024. Identifying early help referrals for local authorities with machine learning and bias analysis. </w:t>
      </w:r>
      <w:r w:rsidRPr="000966F3">
        <w:t>Journal of Computational Social Science</w:t>
      </w:r>
      <w:r w:rsidRPr="006E1609">
        <w:t>, </w:t>
      </w:r>
      <w:r w:rsidRPr="000966F3">
        <w:t>7</w:t>
      </w:r>
      <w:r w:rsidRPr="006E1609">
        <w:t>(1), pp.385-403.</w:t>
      </w:r>
    </w:p>
    <w:p w14:paraId="220FBD0F" w14:textId="77777777" w:rsidR="00BB7C2C" w:rsidRDefault="00BB7C2C" w:rsidP="000966F3">
      <w:pPr>
        <w:spacing w:line="360" w:lineRule="auto"/>
        <w:ind w:left="1276" w:hanging="1276"/>
      </w:pPr>
      <w:r w:rsidRPr="006E1609">
        <w:t>Roy, J., 2022. Signs of safety: The view from early help. </w:t>
      </w:r>
      <w:r w:rsidRPr="000966F3">
        <w:t>Child Care in Practice</w:t>
      </w:r>
      <w:r w:rsidRPr="006E1609">
        <w:t>, </w:t>
      </w:r>
      <w:r w:rsidRPr="000966F3">
        <w:t>28</w:t>
      </w:r>
      <w:r w:rsidRPr="006E1609">
        <w:t>(3), pp.482-498.</w:t>
      </w:r>
    </w:p>
    <w:p w14:paraId="17A7B48F" w14:textId="77777777" w:rsidR="00BB7C2C" w:rsidRPr="000966F3" w:rsidRDefault="00BB7C2C" w:rsidP="000966F3">
      <w:pPr>
        <w:spacing w:line="360" w:lineRule="auto"/>
        <w:ind w:left="1276" w:hanging="1276"/>
      </w:pPr>
    </w:p>
    <w:sectPr w:rsidR="00BB7C2C" w:rsidRPr="000966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E1DDE"/>
    <w:multiLevelType w:val="multilevel"/>
    <w:tmpl w:val="F768E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B078DC"/>
    <w:multiLevelType w:val="multilevel"/>
    <w:tmpl w:val="A1E4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1F48FE"/>
    <w:multiLevelType w:val="hybridMultilevel"/>
    <w:tmpl w:val="9DD8D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1146284">
    <w:abstractNumId w:val="1"/>
  </w:num>
  <w:num w:numId="2" w16cid:durableId="471408138">
    <w:abstractNumId w:val="0"/>
  </w:num>
  <w:num w:numId="3" w16cid:durableId="2493199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D9E"/>
    <w:rsid w:val="000966F3"/>
    <w:rsid w:val="000D2915"/>
    <w:rsid w:val="00173A70"/>
    <w:rsid w:val="001C698C"/>
    <w:rsid w:val="0036153F"/>
    <w:rsid w:val="00392D9E"/>
    <w:rsid w:val="003E118C"/>
    <w:rsid w:val="0049024C"/>
    <w:rsid w:val="0050620A"/>
    <w:rsid w:val="0058384F"/>
    <w:rsid w:val="0072696F"/>
    <w:rsid w:val="008813CF"/>
    <w:rsid w:val="009058EE"/>
    <w:rsid w:val="009E0FE5"/>
    <w:rsid w:val="00A82F2C"/>
    <w:rsid w:val="00B84660"/>
    <w:rsid w:val="00BB7C2C"/>
    <w:rsid w:val="00CF3407"/>
    <w:rsid w:val="00DA3E32"/>
    <w:rsid w:val="00E32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5440A"/>
  <w15:chartTrackingRefBased/>
  <w15:docId w15:val="{5B885BA5-C39C-481C-B8A7-3B4BA8B03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D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D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D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D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D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D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D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D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D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D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D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D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D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D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D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D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D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D9E"/>
    <w:rPr>
      <w:rFonts w:eastAsiaTheme="majorEastAsia" w:cstheme="majorBidi"/>
      <w:color w:val="272727" w:themeColor="text1" w:themeTint="D8"/>
    </w:rPr>
  </w:style>
  <w:style w:type="paragraph" w:styleId="Title">
    <w:name w:val="Title"/>
    <w:basedOn w:val="Normal"/>
    <w:next w:val="Normal"/>
    <w:link w:val="TitleChar"/>
    <w:uiPriority w:val="10"/>
    <w:qFormat/>
    <w:rsid w:val="00392D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D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D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D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D9E"/>
    <w:pPr>
      <w:spacing w:before="160"/>
      <w:jc w:val="center"/>
    </w:pPr>
    <w:rPr>
      <w:i/>
      <w:iCs/>
      <w:color w:val="404040" w:themeColor="text1" w:themeTint="BF"/>
    </w:rPr>
  </w:style>
  <w:style w:type="character" w:customStyle="1" w:styleId="QuoteChar">
    <w:name w:val="Quote Char"/>
    <w:basedOn w:val="DefaultParagraphFont"/>
    <w:link w:val="Quote"/>
    <w:uiPriority w:val="29"/>
    <w:rsid w:val="00392D9E"/>
    <w:rPr>
      <w:i/>
      <w:iCs/>
      <w:color w:val="404040" w:themeColor="text1" w:themeTint="BF"/>
    </w:rPr>
  </w:style>
  <w:style w:type="paragraph" w:styleId="ListParagraph">
    <w:name w:val="List Paragraph"/>
    <w:basedOn w:val="Normal"/>
    <w:uiPriority w:val="34"/>
    <w:qFormat/>
    <w:rsid w:val="00392D9E"/>
    <w:pPr>
      <w:ind w:left="720"/>
      <w:contextualSpacing/>
    </w:pPr>
  </w:style>
  <w:style w:type="character" w:styleId="IntenseEmphasis">
    <w:name w:val="Intense Emphasis"/>
    <w:basedOn w:val="DefaultParagraphFont"/>
    <w:uiPriority w:val="21"/>
    <w:qFormat/>
    <w:rsid w:val="00392D9E"/>
    <w:rPr>
      <w:i/>
      <w:iCs/>
      <w:color w:val="0F4761" w:themeColor="accent1" w:themeShade="BF"/>
    </w:rPr>
  </w:style>
  <w:style w:type="paragraph" w:styleId="IntenseQuote">
    <w:name w:val="Intense Quote"/>
    <w:basedOn w:val="Normal"/>
    <w:next w:val="Normal"/>
    <w:link w:val="IntenseQuoteChar"/>
    <w:uiPriority w:val="30"/>
    <w:qFormat/>
    <w:rsid w:val="00392D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D9E"/>
    <w:rPr>
      <w:i/>
      <w:iCs/>
      <w:color w:val="0F4761" w:themeColor="accent1" w:themeShade="BF"/>
    </w:rPr>
  </w:style>
  <w:style w:type="character" w:styleId="IntenseReference">
    <w:name w:val="Intense Reference"/>
    <w:basedOn w:val="DefaultParagraphFont"/>
    <w:uiPriority w:val="32"/>
    <w:qFormat/>
    <w:rsid w:val="00392D9E"/>
    <w:rPr>
      <w:b/>
      <w:bCs/>
      <w:smallCaps/>
      <w:color w:val="0F4761" w:themeColor="accent1" w:themeShade="BF"/>
      <w:spacing w:val="5"/>
    </w:rPr>
  </w:style>
  <w:style w:type="paragraph" w:styleId="TOCHeading">
    <w:name w:val="TOC Heading"/>
    <w:basedOn w:val="Heading1"/>
    <w:next w:val="Normal"/>
    <w:uiPriority w:val="39"/>
    <w:unhideWhenUsed/>
    <w:qFormat/>
    <w:rsid w:val="00173A7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73A70"/>
    <w:pPr>
      <w:spacing w:after="100"/>
    </w:pPr>
  </w:style>
  <w:style w:type="character" w:styleId="Hyperlink">
    <w:name w:val="Hyperlink"/>
    <w:basedOn w:val="DefaultParagraphFont"/>
    <w:uiPriority w:val="99"/>
    <w:unhideWhenUsed/>
    <w:rsid w:val="00173A7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32D1E-09F2-480E-AA26-3065DDF9C1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2355</Words>
  <Characters>13426</Characters>
  <Application>Microsoft Office Word</Application>
  <DocSecurity>0</DocSecurity>
  <Lines>111</Lines>
  <Paragraphs>31</Paragraphs>
  <ScaleCrop>false</ScaleCrop>
  <Company/>
  <LinksUpToDate>false</LinksUpToDate>
  <CharactersWithSpaces>15750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Noreen Akhtar</cp:lastModifiedBy>
  <cp:revision>2</cp:revision>
  <dcterms:created xsi:type="dcterms:W3CDTF">2026-07-16T09:26:00Z</dcterms:created>
  <dcterms:modified xsi:type="dcterms:W3CDTF">2026-07-16T09:26:00Z</dcterms:modified>
</cp:coreProperties>
</file>