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49EEC2" w14:textId="77777777" w:rsidR="00CA2F62" w:rsidRDefault="009D6907">
      <w:pPr>
        <w:spacing w:line="360" w:lineRule="auto"/>
        <w:jc w:val="both"/>
        <w:rPr>
          <w:rFonts w:ascii="Arial" w:eastAsia="Arial" w:hAnsi="Arial" w:cs="Arial"/>
          <w:sz w:val="22"/>
          <w:szCs w:val="22"/>
        </w:rPr>
      </w:pPr>
      <w:r>
        <w:rPr>
          <w:noProof/>
        </w:rPr>
        <w:drawing>
          <wp:anchor distT="0" distB="0" distL="114300" distR="114300" simplePos="0" relativeHeight="251658240" behindDoc="0" locked="0" layoutInCell="1" hidden="0" allowOverlap="1" wp14:anchorId="24266211" wp14:editId="6F8CF586">
            <wp:simplePos x="0" y="0"/>
            <wp:positionH relativeFrom="column">
              <wp:posOffset>1</wp:posOffset>
            </wp:positionH>
            <wp:positionV relativeFrom="paragraph">
              <wp:posOffset>292100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14:paraId="15593D27" w14:textId="77777777" w:rsidR="00CA2F62" w:rsidRDefault="00CA2F62">
      <w:pPr>
        <w:spacing w:line="360" w:lineRule="auto"/>
        <w:jc w:val="both"/>
        <w:rPr>
          <w:rFonts w:ascii="Arial" w:eastAsia="Arial" w:hAnsi="Arial" w:cs="Arial"/>
          <w:sz w:val="22"/>
          <w:szCs w:val="22"/>
        </w:rPr>
      </w:pPr>
    </w:p>
    <w:p w14:paraId="1B8BCF3F" w14:textId="77777777" w:rsidR="00CA2F62" w:rsidRDefault="00CA2F62">
      <w:pPr>
        <w:spacing w:line="360" w:lineRule="auto"/>
        <w:jc w:val="both"/>
        <w:rPr>
          <w:rFonts w:ascii="Arial" w:eastAsia="Arial" w:hAnsi="Arial" w:cs="Arial"/>
          <w:sz w:val="22"/>
          <w:szCs w:val="22"/>
        </w:rPr>
      </w:pPr>
    </w:p>
    <w:p w14:paraId="5D9A61B3" w14:textId="77777777" w:rsidR="00CA2F62" w:rsidRDefault="00CA2F62">
      <w:pPr>
        <w:spacing w:line="360" w:lineRule="auto"/>
        <w:jc w:val="both"/>
        <w:rPr>
          <w:rFonts w:ascii="Arial" w:eastAsia="Arial" w:hAnsi="Arial" w:cs="Arial"/>
          <w:sz w:val="22"/>
          <w:szCs w:val="22"/>
        </w:rPr>
      </w:pPr>
    </w:p>
    <w:p w14:paraId="06A30A9D" w14:textId="77777777" w:rsidR="00CA2F62" w:rsidRDefault="00CA2F62">
      <w:pPr>
        <w:tabs>
          <w:tab w:val="left" w:pos="6540"/>
        </w:tabs>
        <w:spacing w:line="360" w:lineRule="auto"/>
        <w:jc w:val="both"/>
        <w:rPr>
          <w:rFonts w:ascii="Arial" w:eastAsia="Arial" w:hAnsi="Arial" w:cs="Arial"/>
          <w:sz w:val="22"/>
          <w:szCs w:val="22"/>
        </w:rPr>
      </w:pPr>
    </w:p>
    <w:p w14:paraId="37DAE2CE" w14:textId="76D61963" w:rsidR="00CA2F62" w:rsidRPr="007A2DAE" w:rsidRDefault="009D6907">
      <w:pPr>
        <w:tabs>
          <w:tab w:val="left" w:pos="6540"/>
        </w:tabs>
        <w:spacing w:line="360" w:lineRule="auto"/>
        <w:jc w:val="both"/>
        <w:rPr>
          <w:rFonts w:ascii="Arial" w:eastAsia="Arial" w:hAnsi="Arial" w:cs="Arial"/>
          <w:b/>
          <w:bCs/>
          <w:sz w:val="22"/>
          <w:szCs w:val="22"/>
        </w:rPr>
      </w:pPr>
      <w:r w:rsidRPr="007A2DAE">
        <w:rPr>
          <w:rFonts w:ascii="Arial" w:eastAsia="Arial" w:hAnsi="Arial" w:cs="Arial"/>
          <w:b/>
          <w:bCs/>
          <w:sz w:val="22"/>
          <w:szCs w:val="22"/>
        </w:rPr>
        <w:t>Student name:</w:t>
      </w:r>
      <w:r w:rsidR="007A2DAE" w:rsidRPr="007A2DAE">
        <w:rPr>
          <w:rFonts w:ascii="Arial" w:eastAsia="Arial" w:hAnsi="Arial" w:cs="Arial"/>
          <w:b/>
          <w:bCs/>
          <w:sz w:val="22"/>
          <w:szCs w:val="22"/>
        </w:rPr>
        <w:t xml:space="preserve"> Irise Lewis</w:t>
      </w:r>
    </w:p>
    <w:p w14:paraId="633BD466" w14:textId="489DFFC8" w:rsidR="00CA2F62" w:rsidRPr="007A2DAE" w:rsidRDefault="009D6907">
      <w:pPr>
        <w:tabs>
          <w:tab w:val="left" w:pos="6540"/>
        </w:tabs>
        <w:spacing w:line="360" w:lineRule="auto"/>
        <w:jc w:val="both"/>
        <w:rPr>
          <w:rFonts w:ascii="Arial" w:eastAsia="Arial" w:hAnsi="Arial" w:cs="Arial"/>
          <w:b/>
          <w:bCs/>
          <w:sz w:val="22"/>
          <w:szCs w:val="22"/>
        </w:rPr>
      </w:pPr>
      <w:r w:rsidRPr="007A2DAE">
        <w:rPr>
          <w:rFonts w:ascii="Arial" w:eastAsia="Arial" w:hAnsi="Arial" w:cs="Arial"/>
          <w:b/>
          <w:bCs/>
          <w:sz w:val="22"/>
          <w:szCs w:val="22"/>
        </w:rPr>
        <w:t>Student ID:</w:t>
      </w:r>
      <w:r w:rsidR="007A2DAE" w:rsidRPr="007A2DAE">
        <w:rPr>
          <w:b/>
          <w:bCs/>
        </w:rPr>
        <w:t xml:space="preserve"> </w:t>
      </w:r>
      <w:r w:rsidR="007A2DAE" w:rsidRPr="007A2DAE">
        <w:rPr>
          <w:rFonts w:ascii="Arial" w:eastAsia="Arial" w:hAnsi="Arial" w:cs="Arial"/>
          <w:b/>
          <w:bCs/>
          <w:sz w:val="22"/>
          <w:szCs w:val="22"/>
        </w:rPr>
        <w:t>2437142</w:t>
      </w:r>
    </w:p>
    <w:p w14:paraId="0950258C" w14:textId="77777777" w:rsidR="00CA2F62" w:rsidRPr="007A2DAE" w:rsidRDefault="00CA2F62">
      <w:pPr>
        <w:tabs>
          <w:tab w:val="left" w:pos="6540"/>
        </w:tabs>
        <w:spacing w:line="360" w:lineRule="auto"/>
        <w:jc w:val="both"/>
        <w:rPr>
          <w:rFonts w:ascii="Arial" w:eastAsia="Arial" w:hAnsi="Arial" w:cs="Arial"/>
          <w:b/>
          <w:bCs/>
          <w:sz w:val="22"/>
          <w:szCs w:val="22"/>
        </w:rPr>
      </w:pPr>
    </w:p>
    <w:p w14:paraId="62BD3330" w14:textId="77777777" w:rsidR="00CA2F62" w:rsidRPr="007A2DAE" w:rsidRDefault="009D6907">
      <w:pPr>
        <w:tabs>
          <w:tab w:val="left" w:pos="6540"/>
        </w:tabs>
        <w:spacing w:line="360" w:lineRule="auto"/>
        <w:jc w:val="both"/>
        <w:rPr>
          <w:rFonts w:ascii="Arial" w:eastAsia="Arial" w:hAnsi="Arial" w:cs="Arial"/>
          <w:b/>
          <w:bCs/>
          <w:sz w:val="22"/>
          <w:szCs w:val="22"/>
        </w:rPr>
      </w:pPr>
      <w:r w:rsidRPr="007A2DAE">
        <w:rPr>
          <w:rFonts w:ascii="Arial" w:eastAsia="Arial" w:hAnsi="Arial" w:cs="Arial"/>
          <w:b/>
          <w:bCs/>
          <w:sz w:val="22"/>
          <w:szCs w:val="22"/>
        </w:rPr>
        <w:t>Module name: Principles of Health and Social Care Practice</w:t>
      </w:r>
    </w:p>
    <w:p w14:paraId="0F61B5A5" w14:textId="77777777" w:rsidR="00CA2F62" w:rsidRPr="007A2DAE" w:rsidRDefault="009D6907">
      <w:pPr>
        <w:tabs>
          <w:tab w:val="left" w:pos="6540"/>
        </w:tabs>
        <w:spacing w:line="360" w:lineRule="auto"/>
        <w:jc w:val="both"/>
        <w:rPr>
          <w:rFonts w:ascii="Arial" w:eastAsia="Arial" w:hAnsi="Arial" w:cs="Arial"/>
          <w:b/>
          <w:bCs/>
          <w:sz w:val="22"/>
          <w:szCs w:val="22"/>
        </w:rPr>
      </w:pPr>
      <w:r w:rsidRPr="007A2DAE">
        <w:rPr>
          <w:rFonts w:ascii="Arial" w:eastAsia="Arial" w:hAnsi="Arial" w:cs="Arial"/>
          <w:b/>
          <w:bCs/>
          <w:sz w:val="22"/>
          <w:szCs w:val="22"/>
        </w:rPr>
        <w:t>Component: 1</w:t>
      </w:r>
    </w:p>
    <w:p w14:paraId="3282426D" w14:textId="77777777" w:rsidR="00CA2F62" w:rsidRPr="007A2DAE" w:rsidRDefault="009D6907">
      <w:pPr>
        <w:tabs>
          <w:tab w:val="left" w:pos="6540"/>
        </w:tabs>
        <w:spacing w:line="360" w:lineRule="auto"/>
        <w:jc w:val="both"/>
        <w:rPr>
          <w:rFonts w:ascii="Arial" w:eastAsia="Arial" w:hAnsi="Arial" w:cs="Arial"/>
          <w:b/>
          <w:bCs/>
          <w:sz w:val="22"/>
          <w:szCs w:val="22"/>
        </w:rPr>
      </w:pPr>
      <w:r w:rsidRPr="007A2DAE">
        <w:rPr>
          <w:rFonts w:ascii="Arial" w:eastAsia="Arial" w:hAnsi="Arial" w:cs="Arial"/>
          <w:b/>
          <w:bCs/>
          <w:sz w:val="22"/>
          <w:szCs w:val="22"/>
        </w:rPr>
        <w:t xml:space="preserve">Module code: BMHP5016 </w:t>
      </w:r>
    </w:p>
    <w:p w14:paraId="4A3B0E03" w14:textId="5C3A4ECD" w:rsidR="00CA2F62" w:rsidRPr="007A2DAE" w:rsidRDefault="009D6907">
      <w:pPr>
        <w:tabs>
          <w:tab w:val="left" w:pos="6540"/>
        </w:tabs>
        <w:spacing w:line="360" w:lineRule="auto"/>
        <w:jc w:val="both"/>
        <w:rPr>
          <w:rFonts w:ascii="Arial" w:eastAsia="Arial" w:hAnsi="Arial" w:cs="Arial"/>
          <w:b/>
          <w:bCs/>
          <w:sz w:val="22"/>
          <w:szCs w:val="22"/>
        </w:rPr>
      </w:pPr>
      <w:r w:rsidRPr="007A2DAE">
        <w:rPr>
          <w:rFonts w:ascii="Arial" w:eastAsia="Arial" w:hAnsi="Arial" w:cs="Arial"/>
          <w:b/>
          <w:bCs/>
          <w:sz w:val="22"/>
          <w:szCs w:val="22"/>
        </w:rPr>
        <w:t>Lecturer name:</w:t>
      </w:r>
      <w:r w:rsidR="007A2DAE" w:rsidRPr="007A2DAE">
        <w:rPr>
          <w:b/>
          <w:bCs/>
        </w:rPr>
        <w:t xml:space="preserve"> </w:t>
      </w:r>
      <w:r w:rsidR="007A2DAE" w:rsidRPr="007A2DAE">
        <w:rPr>
          <w:rFonts w:ascii="Arial" w:eastAsia="Arial" w:hAnsi="Arial" w:cs="Arial"/>
          <w:b/>
          <w:bCs/>
          <w:sz w:val="22"/>
          <w:szCs w:val="22"/>
        </w:rPr>
        <w:t>Sam Parker</w:t>
      </w:r>
    </w:p>
    <w:p w14:paraId="56956EB1" w14:textId="77777777" w:rsidR="00CA2F62" w:rsidRDefault="00CA2F62">
      <w:pPr>
        <w:tabs>
          <w:tab w:val="left" w:pos="6540"/>
        </w:tabs>
        <w:spacing w:line="360" w:lineRule="auto"/>
        <w:jc w:val="both"/>
        <w:rPr>
          <w:rFonts w:ascii="Arial" w:eastAsia="Arial" w:hAnsi="Arial" w:cs="Arial"/>
          <w:sz w:val="22"/>
          <w:szCs w:val="22"/>
        </w:rPr>
      </w:pPr>
    </w:p>
    <w:p w14:paraId="3DC461D4" w14:textId="77777777" w:rsidR="00CA2F62" w:rsidRDefault="009D6907">
      <w:pPr>
        <w:spacing w:line="360" w:lineRule="auto"/>
        <w:jc w:val="both"/>
        <w:rPr>
          <w:rFonts w:ascii="Arial" w:eastAsia="Arial" w:hAnsi="Arial" w:cs="Arial"/>
          <w:sz w:val="22"/>
          <w:szCs w:val="22"/>
        </w:rPr>
      </w:pPr>
      <w:r>
        <w:br w:type="page"/>
      </w:r>
    </w:p>
    <w:sdt>
      <w:sdtPr>
        <w:rPr>
          <w:rFonts w:ascii="Times New Roman" w:eastAsia="Times New Roman" w:hAnsi="Times New Roman" w:cs="Times New Roman"/>
          <w:b w:val="0"/>
          <w:bCs w:val="0"/>
          <w:color w:val="auto"/>
          <w:sz w:val="24"/>
          <w:szCs w:val="24"/>
          <w:lang w:val="en-IN" w:eastAsia="en-IN"/>
        </w:rPr>
        <w:id w:val="-305238838"/>
        <w:docPartObj>
          <w:docPartGallery w:val="Table of Contents"/>
          <w:docPartUnique/>
        </w:docPartObj>
      </w:sdtPr>
      <w:sdtEndPr>
        <w:rPr>
          <w:noProof/>
        </w:rPr>
      </w:sdtEndPr>
      <w:sdtContent>
        <w:p w14:paraId="31E9E094" w14:textId="77777777" w:rsidR="00027B22" w:rsidRPr="00027B22" w:rsidRDefault="00027B22" w:rsidP="00027B22">
          <w:pPr>
            <w:pStyle w:val="TOCHeading"/>
            <w:jc w:val="center"/>
            <w:rPr>
              <w:rFonts w:ascii="Arial" w:hAnsi="Arial" w:cs="Arial"/>
              <w:color w:val="000000" w:themeColor="text1"/>
              <w:sz w:val="22"/>
              <w:szCs w:val="22"/>
            </w:rPr>
          </w:pPr>
          <w:r w:rsidRPr="00027B22">
            <w:rPr>
              <w:rFonts w:ascii="Arial" w:hAnsi="Arial" w:cs="Arial"/>
              <w:color w:val="000000" w:themeColor="text1"/>
              <w:sz w:val="22"/>
              <w:szCs w:val="22"/>
            </w:rPr>
            <w:t>Table of Contents</w:t>
          </w:r>
        </w:p>
        <w:p w14:paraId="74594A14" w14:textId="77777777" w:rsidR="00027B22" w:rsidRPr="00027B22" w:rsidRDefault="00027B22">
          <w:pPr>
            <w:pStyle w:val="TOC1"/>
            <w:tabs>
              <w:tab w:val="right" w:leader="dot" w:pos="9016"/>
            </w:tabs>
            <w:rPr>
              <w:rFonts w:ascii="Arial" w:hAnsi="Arial" w:cs="Arial"/>
              <w:noProof/>
              <w:sz w:val="22"/>
              <w:szCs w:val="22"/>
            </w:rPr>
          </w:pPr>
          <w:r w:rsidRPr="00027B22">
            <w:rPr>
              <w:rFonts w:ascii="Arial" w:hAnsi="Arial" w:cs="Arial"/>
              <w:sz w:val="22"/>
              <w:szCs w:val="22"/>
            </w:rPr>
            <w:fldChar w:fldCharType="begin"/>
          </w:r>
          <w:r w:rsidRPr="00027B22">
            <w:rPr>
              <w:rFonts w:ascii="Arial" w:hAnsi="Arial" w:cs="Arial"/>
              <w:sz w:val="22"/>
              <w:szCs w:val="22"/>
            </w:rPr>
            <w:instrText xml:space="preserve"> TOC \o "1-3" \h \z \u </w:instrText>
          </w:r>
          <w:r w:rsidRPr="00027B22">
            <w:rPr>
              <w:rFonts w:ascii="Arial" w:hAnsi="Arial" w:cs="Arial"/>
              <w:sz w:val="22"/>
              <w:szCs w:val="22"/>
            </w:rPr>
            <w:fldChar w:fldCharType="separate"/>
          </w:r>
          <w:hyperlink w:anchor="_Toc234326122" w:history="1">
            <w:r w:rsidRPr="00027B22">
              <w:rPr>
                <w:rStyle w:val="Hyperlink"/>
                <w:rFonts w:ascii="Arial" w:hAnsi="Arial" w:cs="Arial"/>
                <w:noProof/>
                <w:sz w:val="22"/>
                <w:szCs w:val="22"/>
              </w:rPr>
              <w:t>Task 1:  Understanding Person-Centred Care, Partnership Working, and Ethics</w:t>
            </w:r>
            <w:r w:rsidRPr="00027B22">
              <w:rPr>
                <w:rFonts w:ascii="Arial" w:hAnsi="Arial" w:cs="Arial"/>
                <w:noProof/>
                <w:webHidden/>
                <w:sz w:val="22"/>
                <w:szCs w:val="22"/>
              </w:rPr>
              <w:tab/>
            </w:r>
            <w:r w:rsidRPr="00027B22">
              <w:rPr>
                <w:rFonts w:ascii="Arial" w:hAnsi="Arial" w:cs="Arial"/>
                <w:noProof/>
                <w:webHidden/>
                <w:sz w:val="22"/>
                <w:szCs w:val="22"/>
              </w:rPr>
              <w:fldChar w:fldCharType="begin"/>
            </w:r>
            <w:r w:rsidRPr="00027B22">
              <w:rPr>
                <w:rFonts w:ascii="Arial" w:hAnsi="Arial" w:cs="Arial"/>
                <w:noProof/>
                <w:webHidden/>
                <w:sz w:val="22"/>
                <w:szCs w:val="22"/>
              </w:rPr>
              <w:instrText xml:space="preserve"> PAGEREF _Toc234326122 \h </w:instrText>
            </w:r>
            <w:r w:rsidRPr="00027B22">
              <w:rPr>
                <w:rFonts w:ascii="Arial" w:hAnsi="Arial" w:cs="Arial"/>
                <w:noProof/>
                <w:webHidden/>
                <w:sz w:val="22"/>
                <w:szCs w:val="22"/>
              </w:rPr>
            </w:r>
            <w:r w:rsidRPr="00027B22">
              <w:rPr>
                <w:rFonts w:ascii="Arial" w:hAnsi="Arial" w:cs="Arial"/>
                <w:noProof/>
                <w:webHidden/>
                <w:sz w:val="22"/>
                <w:szCs w:val="22"/>
              </w:rPr>
              <w:fldChar w:fldCharType="separate"/>
            </w:r>
            <w:r w:rsidRPr="00027B22">
              <w:rPr>
                <w:rFonts w:ascii="Arial" w:hAnsi="Arial" w:cs="Arial"/>
                <w:noProof/>
                <w:webHidden/>
                <w:sz w:val="22"/>
                <w:szCs w:val="22"/>
              </w:rPr>
              <w:t>3</w:t>
            </w:r>
            <w:r w:rsidRPr="00027B22">
              <w:rPr>
                <w:rFonts w:ascii="Arial" w:hAnsi="Arial" w:cs="Arial"/>
                <w:noProof/>
                <w:webHidden/>
                <w:sz w:val="22"/>
                <w:szCs w:val="22"/>
              </w:rPr>
              <w:fldChar w:fldCharType="end"/>
            </w:r>
          </w:hyperlink>
        </w:p>
        <w:p w14:paraId="207BE9F0" w14:textId="77777777" w:rsidR="00027B22" w:rsidRPr="00027B22" w:rsidRDefault="00027B22">
          <w:pPr>
            <w:pStyle w:val="TOC1"/>
            <w:tabs>
              <w:tab w:val="right" w:leader="dot" w:pos="9016"/>
            </w:tabs>
            <w:rPr>
              <w:rFonts w:ascii="Arial" w:hAnsi="Arial" w:cs="Arial"/>
              <w:noProof/>
              <w:sz w:val="22"/>
              <w:szCs w:val="22"/>
            </w:rPr>
          </w:pPr>
          <w:hyperlink w:anchor="_Toc234326123" w:history="1">
            <w:r w:rsidRPr="00027B22">
              <w:rPr>
                <w:rStyle w:val="Hyperlink"/>
                <w:rFonts w:ascii="Arial" w:hAnsi="Arial" w:cs="Arial"/>
                <w:noProof/>
                <w:sz w:val="22"/>
                <w:szCs w:val="22"/>
              </w:rPr>
              <w:t>Task 2: Practical Examples of Person-Centred Care, Partnership Working, and Ethics in Improving Care and Health Outcomes</w:t>
            </w:r>
            <w:r w:rsidRPr="00027B22">
              <w:rPr>
                <w:rFonts w:ascii="Arial" w:hAnsi="Arial" w:cs="Arial"/>
                <w:noProof/>
                <w:webHidden/>
                <w:sz w:val="22"/>
                <w:szCs w:val="22"/>
              </w:rPr>
              <w:tab/>
            </w:r>
            <w:r w:rsidRPr="00027B22">
              <w:rPr>
                <w:rFonts w:ascii="Arial" w:hAnsi="Arial" w:cs="Arial"/>
                <w:noProof/>
                <w:webHidden/>
                <w:sz w:val="22"/>
                <w:szCs w:val="22"/>
              </w:rPr>
              <w:fldChar w:fldCharType="begin"/>
            </w:r>
            <w:r w:rsidRPr="00027B22">
              <w:rPr>
                <w:rFonts w:ascii="Arial" w:hAnsi="Arial" w:cs="Arial"/>
                <w:noProof/>
                <w:webHidden/>
                <w:sz w:val="22"/>
                <w:szCs w:val="22"/>
              </w:rPr>
              <w:instrText xml:space="preserve"> PAGEREF _Toc234326123 \h </w:instrText>
            </w:r>
            <w:r w:rsidRPr="00027B22">
              <w:rPr>
                <w:rFonts w:ascii="Arial" w:hAnsi="Arial" w:cs="Arial"/>
                <w:noProof/>
                <w:webHidden/>
                <w:sz w:val="22"/>
                <w:szCs w:val="22"/>
              </w:rPr>
            </w:r>
            <w:r w:rsidRPr="00027B22">
              <w:rPr>
                <w:rFonts w:ascii="Arial" w:hAnsi="Arial" w:cs="Arial"/>
                <w:noProof/>
                <w:webHidden/>
                <w:sz w:val="22"/>
                <w:szCs w:val="22"/>
              </w:rPr>
              <w:fldChar w:fldCharType="separate"/>
            </w:r>
            <w:r w:rsidRPr="00027B22">
              <w:rPr>
                <w:rFonts w:ascii="Arial" w:hAnsi="Arial" w:cs="Arial"/>
                <w:noProof/>
                <w:webHidden/>
                <w:sz w:val="22"/>
                <w:szCs w:val="22"/>
              </w:rPr>
              <w:t>4</w:t>
            </w:r>
            <w:r w:rsidRPr="00027B22">
              <w:rPr>
                <w:rFonts w:ascii="Arial" w:hAnsi="Arial" w:cs="Arial"/>
                <w:noProof/>
                <w:webHidden/>
                <w:sz w:val="22"/>
                <w:szCs w:val="22"/>
              </w:rPr>
              <w:fldChar w:fldCharType="end"/>
            </w:r>
          </w:hyperlink>
        </w:p>
        <w:p w14:paraId="4CCA5BA7" w14:textId="77777777" w:rsidR="00027B22" w:rsidRPr="00027B22" w:rsidRDefault="00027B22">
          <w:pPr>
            <w:pStyle w:val="TOC1"/>
            <w:tabs>
              <w:tab w:val="right" w:leader="dot" w:pos="9016"/>
            </w:tabs>
            <w:rPr>
              <w:rFonts w:ascii="Arial" w:hAnsi="Arial" w:cs="Arial"/>
              <w:noProof/>
              <w:sz w:val="22"/>
              <w:szCs w:val="22"/>
            </w:rPr>
          </w:pPr>
          <w:hyperlink w:anchor="_Toc234326124" w:history="1">
            <w:r w:rsidRPr="00027B22">
              <w:rPr>
                <w:rStyle w:val="Hyperlink"/>
                <w:rFonts w:ascii="Arial" w:hAnsi="Arial" w:cs="Arial"/>
                <w:noProof/>
                <w:sz w:val="22"/>
                <w:szCs w:val="22"/>
              </w:rPr>
              <w:t>Task 3: Critical Reflection on Professional Growth</w:t>
            </w:r>
            <w:r w:rsidRPr="00027B22">
              <w:rPr>
                <w:rFonts w:ascii="Arial" w:hAnsi="Arial" w:cs="Arial"/>
                <w:noProof/>
                <w:webHidden/>
                <w:sz w:val="22"/>
                <w:szCs w:val="22"/>
              </w:rPr>
              <w:tab/>
            </w:r>
            <w:r w:rsidRPr="00027B22">
              <w:rPr>
                <w:rFonts w:ascii="Arial" w:hAnsi="Arial" w:cs="Arial"/>
                <w:noProof/>
                <w:webHidden/>
                <w:sz w:val="22"/>
                <w:szCs w:val="22"/>
              </w:rPr>
              <w:fldChar w:fldCharType="begin"/>
            </w:r>
            <w:r w:rsidRPr="00027B22">
              <w:rPr>
                <w:rFonts w:ascii="Arial" w:hAnsi="Arial" w:cs="Arial"/>
                <w:noProof/>
                <w:webHidden/>
                <w:sz w:val="22"/>
                <w:szCs w:val="22"/>
              </w:rPr>
              <w:instrText xml:space="preserve"> PAGEREF _Toc234326124 \h </w:instrText>
            </w:r>
            <w:r w:rsidRPr="00027B22">
              <w:rPr>
                <w:rFonts w:ascii="Arial" w:hAnsi="Arial" w:cs="Arial"/>
                <w:noProof/>
                <w:webHidden/>
                <w:sz w:val="22"/>
                <w:szCs w:val="22"/>
              </w:rPr>
            </w:r>
            <w:r w:rsidRPr="00027B22">
              <w:rPr>
                <w:rFonts w:ascii="Arial" w:hAnsi="Arial" w:cs="Arial"/>
                <w:noProof/>
                <w:webHidden/>
                <w:sz w:val="22"/>
                <w:szCs w:val="22"/>
              </w:rPr>
              <w:fldChar w:fldCharType="separate"/>
            </w:r>
            <w:r w:rsidRPr="00027B22">
              <w:rPr>
                <w:rFonts w:ascii="Arial" w:hAnsi="Arial" w:cs="Arial"/>
                <w:noProof/>
                <w:webHidden/>
                <w:sz w:val="22"/>
                <w:szCs w:val="22"/>
              </w:rPr>
              <w:t>5</w:t>
            </w:r>
            <w:r w:rsidRPr="00027B22">
              <w:rPr>
                <w:rFonts w:ascii="Arial" w:hAnsi="Arial" w:cs="Arial"/>
                <w:noProof/>
                <w:webHidden/>
                <w:sz w:val="22"/>
                <w:szCs w:val="22"/>
              </w:rPr>
              <w:fldChar w:fldCharType="end"/>
            </w:r>
          </w:hyperlink>
        </w:p>
        <w:p w14:paraId="0A2AE9BE" w14:textId="77777777" w:rsidR="00027B22" w:rsidRPr="00027B22" w:rsidRDefault="00027B22">
          <w:pPr>
            <w:pStyle w:val="TOC3"/>
            <w:tabs>
              <w:tab w:val="right" w:leader="dot" w:pos="9016"/>
            </w:tabs>
            <w:rPr>
              <w:rFonts w:ascii="Arial" w:hAnsi="Arial" w:cs="Arial"/>
              <w:noProof/>
              <w:sz w:val="22"/>
              <w:szCs w:val="22"/>
            </w:rPr>
          </w:pPr>
          <w:hyperlink w:anchor="_Toc234326125" w:history="1">
            <w:r w:rsidRPr="00027B22">
              <w:rPr>
                <w:rStyle w:val="Hyperlink"/>
                <w:rFonts w:ascii="Arial" w:eastAsia="Arial" w:hAnsi="Arial" w:cs="Arial"/>
                <w:noProof/>
                <w:sz w:val="22"/>
                <w:szCs w:val="22"/>
              </w:rPr>
              <w:t>Gibbs' Reflective Cycle</w:t>
            </w:r>
            <w:r w:rsidRPr="00027B22">
              <w:rPr>
                <w:rFonts w:ascii="Arial" w:hAnsi="Arial" w:cs="Arial"/>
                <w:noProof/>
                <w:webHidden/>
                <w:sz w:val="22"/>
                <w:szCs w:val="22"/>
              </w:rPr>
              <w:tab/>
            </w:r>
            <w:r w:rsidRPr="00027B22">
              <w:rPr>
                <w:rFonts w:ascii="Arial" w:hAnsi="Arial" w:cs="Arial"/>
                <w:noProof/>
                <w:webHidden/>
                <w:sz w:val="22"/>
                <w:szCs w:val="22"/>
              </w:rPr>
              <w:fldChar w:fldCharType="begin"/>
            </w:r>
            <w:r w:rsidRPr="00027B22">
              <w:rPr>
                <w:rFonts w:ascii="Arial" w:hAnsi="Arial" w:cs="Arial"/>
                <w:noProof/>
                <w:webHidden/>
                <w:sz w:val="22"/>
                <w:szCs w:val="22"/>
              </w:rPr>
              <w:instrText xml:space="preserve"> PAGEREF _Toc234326125 \h </w:instrText>
            </w:r>
            <w:r w:rsidRPr="00027B22">
              <w:rPr>
                <w:rFonts w:ascii="Arial" w:hAnsi="Arial" w:cs="Arial"/>
                <w:noProof/>
                <w:webHidden/>
                <w:sz w:val="22"/>
                <w:szCs w:val="22"/>
              </w:rPr>
            </w:r>
            <w:r w:rsidRPr="00027B22">
              <w:rPr>
                <w:rFonts w:ascii="Arial" w:hAnsi="Arial" w:cs="Arial"/>
                <w:noProof/>
                <w:webHidden/>
                <w:sz w:val="22"/>
                <w:szCs w:val="22"/>
              </w:rPr>
              <w:fldChar w:fldCharType="separate"/>
            </w:r>
            <w:r w:rsidRPr="00027B22">
              <w:rPr>
                <w:rFonts w:ascii="Arial" w:hAnsi="Arial" w:cs="Arial"/>
                <w:noProof/>
                <w:webHidden/>
                <w:sz w:val="22"/>
                <w:szCs w:val="22"/>
              </w:rPr>
              <w:t>5</w:t>
            </w:r>
            <w:r w:rsidRPr="00027B22">
              <w:rPr>
                <w:rFonts w:ascii="Arial" w:hAnsi="Arial" w:cs="Arial"/>
                <w:noProof/>
                <w:webHidden/>
                <w:sz w:val="22"/>
                <w:szCs w:val="22"/>
              </w:rPr>
              <w:fldChar w:fldCharType="end"/>
            </w:r>
          </w:hyperlink>
        </w:p>
        <w:p w14:paraId="2B55C9DC" w14:textId="77777777" w:rsidR="00027B22" w:rsidRPr="00027B22" w:rsidRDefault="00027B22">
          <w:pPr>
            <w:pStyle w:val="TOC1"/>
            <w:tabs>
              <w:tab w:val="right" w:leader="dot" w:pos="9016"/>
            </w:tabs>
            <w:rPr>
              <w:rFonts w:ascii="Arial" w:hAnsi="Arial" w:cs="Arial"/>
              <w:noProof/>
              <w:sz w:val="22"/>
              <w:szCs w:val="22"/>
            </w:rPr>
          </w:pPr>
          <w:hyperlink w:anchor="_Toc234326126" w:history="1">
            <w:r w:rsidRPr="00027B22">
              <w:rPr>
                <w:rStyle w:val="Hyperlink"/>
                <w:rFonts w:ascii="Arial" w:hAnsi="Arial" w:cs="Arial"/>
                <w:noProof/>
                <w:sz w:val="22"/>
                <w:szCs w:val="22"/>
              </w:rPr>
              <w:t>Conclusion</w:t>
            </w:r>
            <w:r w:rsidRPr="00027B22">
              <w:rPr>
                <w:rFonts w:ascii="Arial" w:hAnsi="Arial" w:cs="Arial"/>
                <w:noProof/>
                <w:webHidden/>
                <w:sz w:val="22"/>
                <w:szCs w:val="22"/>
              </w:rPr>
              <w:tab/>
            </w:r>
            <w:r w:rsidRPr="00027B22">
              <w:rPr>
                <w:rFonts w:ascii="Arial" w:hAnsi="Arial" w:cs="Arial"/>
                <w:noProof/>
                <w:webHidden/>
                <w:sz w:val="22"/>
                <w:szCs w:val="22"/>
              </w:rPr>
              <w:fldChar w:fldCharType="begin"/>
            </w:r>
            <w:r w:rsidRPr="00027B22">
              <w:rPr>
                <w:rFonts w:ascii="Arial" w:hAnsi="Arial" w:cs="Arial"/>
                <w:noProof/>
                <w:webHidden/>
                <w:sz w:val="22"/>
                <w:szCs w:val="22"/>
              </w:rPr>
              <w:instrText xml:space="preserve"> PAGEREF _Toc234326126 \h </w:instrText>
            </w:r>
            <w:r w:rsidRPr="00027B22">
              <w:rPr>
                <w:rFonts w:ascii="Arial" w:hAnsi="Arial" w:cs="Arial"/>
                <w:noProof/>
                <w:webHidden/>
                <w:sz w:val="22"/>
                <w:szCs w:val="22"/>
              </w:rPr>
            </w:r>
            <w:r w:rsidRPr="00027B22">
              <w:rPr>
                <w:rFonts w:ascii="Arial" w:hAnsi="Arial" w:cs="Arial"/>
                <w:noProof/>
                <w:webHidden/>
                <w:sz w:val="22"/>
                <w:szCs w:val="22"/>
              </w:rPr>
              <w:fldChar w:fldCharType="separate"/>
            </w:r>
            <w:r w:rsidRPr="00027B22">
              <w:rPr>
                <w:rFonts w:ascii="Arial" w:hAnsi="Arial" w:cs="Arial"/>
                <w:noProof/>
                <w:webHidden/>
                <w:sz w:val="22"/>
                <w:szCs w:val="22"/>
              </w:rPr>
              <w:t>8</w:t>
            </w:r>
            <w:r w:rsidRPr="00027B22">
              <w:rPr>
                <w:rFonts w:ascii="Arial" w:hAnsi="Arial" w:cs="Arial"/>
                <w:noProof/>
                <w:webHidden/>
                <w:sz w:val="22"/>
                <w:szCs w:val="22"/>
              </w:rPr>
              <w:fldChar w:fldCharType="end"/>
            </w:r>
          </w:hyperlink>
        </w:p>
        <w:p w14:paraId="152DBA5E" w14:textId="77777777" w:rsidR="00027B22" w:rsidRDefault="00027B22">
          <w:r w:rsidRPr="00027B22">
            <w:rPr>
              <w:rFonts w:ascii="Arial" w:hAnsi="Arial" w:cs="Arial"/>
              <w:b/>
              <w:bCs/>
              <w:noProof/>
              <w:sz w:val="22"/>
              <w:szCs w:val="22"/>
            </w:rPr>
            <w:fldChar w:fldCharType="end"/>
          </w:r>
        </w:p>
      </w:sdtContent>
    </w:sdt>
    <w:p w14:paraId="16535987" w14:textId="77777777" w:rsidR="00027B22" w:rsidRDefault="00027B22">
      <w:pPr>
        <w:spacing w:line="360" w:lineRule="auto"/>
        <w:jc w:val="both"/>
        <w:rPr>
          <w:rFonts w:ascii="Arial" w:eastAsia="Arial" w:hAnsi="Arial" w:cs="Arial"/>
          <w:b/>
          <w:bCs/>
          <w:sz w:val="22"/>
          <w:szCs w:val="22"/>
        </w:rPr>
      </w:pPr>
    </w:p>
    <w:p w14:paraId="169E5E6C" w14:textId="77777777" w:rsidR="00CA2F62" w:rsidRDefault="00CA2F62">
      <w:pPr>
        <w:spacing w:line="360" w:lineRule="auto"/>
        <w:jc w:val="both"/>
        <w:rPr>
          <w:rFonts w:ascii="Arial" w:eastAsia="Arial" w:hAnsi="Arial" w:cs="Arial"/>
          <w:sz w:val="22"/>
          <w:szCs w:val="22"/>
        </w:rPr>
      </w:pPr>
    </w:p>
    <w:p w14:paraId="5499088F" w14:textId="77777777" w:rsidR="00CA2F62" w:rsidRDefault="00CA2F62">
      <w:pPr>
        <w:spacing w:line="360" w:lineRule="auto"/>
        <w:jc w:val="both"/>
        <w:rPr>
          <w:rFonts w:ascii="Arial" w:eastAsia="Arial" w:hAnsi="Arial" w:cs="Arial"/>
          <w:sz w:val="22"/>
          <w:szCs w:val="22"/>
        </w:rPr>
      </w:pPr>
    </w:p>
    <w:p w14:paraId="0DEA400D" w14:textId="77777777" w:rsidR="00CA2F62" w:rsidRDefault="00CA2F62">
      <w:pPr>
        <w:spacing w:line="360" w:lineRule="auto"/>
        <w:jc w:val="both"/>
        <w:rPr>
          <w:rFonts w:ascii="Arial" w:eastAsia="Arial" w:hAnsi="Arial" w:cs="Arial"/>
          <w:sz w:val="22"/>
          <w:szCs w:val="22"/>
        </w:rPr>
      </w:pPr>
    </w:p>
    <w:p w14:paraId="6EA7EDFD" w14:textId="77777777" w:rsidR="00CA2F62" w:rsidRDefault="00CA2F62">
      <w:pPr>
        <w:spacing w:line="360" w:lineRule="auto"/>
        <w:jc w:val="both"/>
        <w:rPr>
          <w:rFonts w:ascii="Arial" w:eastAsia="Arial" w:hAnsi="Arial" w:cs="Arial"/>
          <w:sz w:val="22"/>
          <w:szCs w:val="22"/>
        </w:rPr>
      </w:pPr>
    </w:p>
    <w:p w14:paraId="3B61F6C0" w14:textId="77777777" w:rsidR="00CA2F62" w:rsidRDefault="009D6907">
      <w:pPr>
        <w:spacing w:line="360" w:lineRule="auto"/>
        <w:jc w:val="both"/>
        <w:rPr>
          <w:rFonts w:ascii="Arial" w:eastAsia="Arial" w:hAnsi="Arial" w:cs="Arial"/>
          <w:sz w:val="22"/>
          <w:szCs w:val="22"/>
        </w:rPr>
      </w:pPr>
      <w:r>
        <w:br w:type="page"/>
      </w:r>
    </w:p>
    <w:p w14:paraId="3843F6B2" w14:textId="5DC82480" w:rsidR="00CA2F62" w:rsidRDefault="009D6907">
      <w:pPr>
        <w:pStyle w:val="Heading1"/>
      </w:pPr>
      <w:bookmarkStart w:id="0" w:name="_heading=h.e9etc29rwrtr" w:colFirst="0" w:colLast="0"/>
      <w:bookmarkStart w:id="1" w:name="_Toc234326122"/>
      <w:bookmarkEnd w:id="0"/>
      <w:r>
        <w:lastRenderedPageBreak/>
        <w:t>Understanding Person-Centred Care, Partnership Working, and Ethics</w:t>
      </w:r>
      <w:bookmarkEnd w:id="1"/>
    </w:p>
    <w:p w14:paraId="225BE76D" w14:textId="77777777" w:rsidR="00CA2F62" w:rsidRDefault="009D6907">
      <w:pPr>
        <w:spacing w:before="240" w:after="240" w:line="360" w:lineRule="auto"/>
        <w:jc w:val="both"/>
        <w:rPr>
          <w:rFonts w:ascii="Arial" w:eastAsia="Arial" w:hAnsi="Arial" w:cs="Arial"/>
          <w:sz w:val="22"/>
          <w:szCs w:val="22"/>
        </w:rPr>
      </w:pPr>
      <w:r>
        <w:rPr>
          <w:rFonts w:ascii="Arial" w:eastAsia="Arial" w:hAnsi="Arial" w:cs="Arial"/>
          <w:sz w:val="22"/>
          <w:szCs w:val="22"/>
        </w:rPr>
        <w:t>In the United Kingdom, delivering safe, effective and high-quality health and social care services is based on principles of person-centred care, partnership working and ethics. These concepts help to ensure that care is tailored to meet individual needs, encourage collaboration between stakeholders and promote best practice and the rights and dignity of those receiving care. Person centred care is about giving people a role in their plans for care and decision making and in reviewing their care (</w:t>
      </w:r>
      <w:r>
        <w:rPr>
          <w:rFonts w:ascii="Arial" w:eastAsia="Arial" w:hAnsi="Arial" w:cs="Arial"/>
          <w:sz w:val="22"/>
          <w:szCs w:val="22"/>
          <w:highlight w:val="white"/>
        </w:rPr>
        <w:t>Cribb and Woodcock, 2022)</w:t>
      </w:r>
      <w:r>
        <w:rPr>
          <w:rFonts w:ascii="Arial" w:eastAsia="Arial" w:hAnsi="Arial" w:cs="Arial"/>
          <w:sz w:val="22"/>
          <w:szCs w:val="22"/>
        </w:rPr>
        <w:t>. It is not about illness or disability, but it does take account of the person's preferences, values, cultural context and personal aspirations. Personalised care is a key tenet of delivering personalised health services and is a priority of the National Health Service (NHS) to allow people to choose and control their care. NHS England states that personalised care should be working for around 2.5 million people every year, via shared decision-making and personalised care planning (</w:t>
      </w:r>
      <w:r>
        <w:rPr>
          <w:rFonts w:ascii="Arial" w:eastAsia="Arial" w:hAnsi="Arial" w:cs="Arial"/>
          <w:sz w:val="22"/>
          <w:szCs w:val="22"/>
          <w:highlight w:val="white"/>
        </w:rPr>
        <w:t xml:space="preserve">Ahmed </w:t>
      </w:r>
      <w:r>
        <w:rPr>
          <w:rFonts w:ascii="Arial" w:eastAsia="Arial" w:hAnsi="Arial" w:cs="Arial"/>
          <w:i/>
          <w:iCs/>
          <w:sz w:val="22"/>
          <w:szCs w:val="22"/>
          <w:highlight w:val="white"/>
        </w:rPr>
        <w:t>et al.</w:t>
      </w:r>
      <w:r>
        <w:rPr>
          <w:rFonts w:ascii="Arial" w:eastAsia="Arial" w:hAnsi="Arial" w:cs="Arial"/>
          <w:sz w:val="22"/>
          <w:szCs w:val="22"/>
          <w:highlight w:val="white"/>
        </w:rPr>
        <w:t xml:space="preserve"> 2022)</w:t>
      </w:r>
      <w:r>
        <w:rPr>
          <w:rFonts w:ascii="Arial" w:eastAsia="Arial" w:hAnsi="Arial" w:cs="Arial"/>
          <w:sz w:val="22"/>
          <w:szCs w:val="22"/>
        </w:rPr>
        <w:t>. Additionally, the Care Quality Commission (CQC) have set this as an important measure for assessing the quality of health and social care services. This helps to increase patient satisfaction, adherence to treatment, quality of life, and decrease unnecessary hospitalisations.</w:t>
      </w:r>
    </w:p>
    <w:p w14:paraId="3ACA157E" w14:textId="77777777" w:rsidR="00CA2F62" w:rsidRDefault="009D6907">
      <w:pPr>
        <w:spacing w:before="240" w:after="240" w:line="360" w:lineRule="auto"/>
        <w:jc w:val="both"/>
        <w:rPr>
          <w:rFonts w:ascii="Arial" w:eastAsia="Arial" w:hAnsi="Arial" w:cs="Arial"/>
          <w:sz w:val="22"/>
          <w:szCs w:val="22"/>
        </w:rPr>
      </w:pPr>
      <w:r>
        <w:rPr>
          <w:rFonts w:ascii="Arial" w:eastAsia="Arial" w:hAnsi="Arial" w:cs="Arial"/>
          <w:sz w:val="22"/>
          <w:szCs w:val="22"/>
        </w:rPr>
        <w:t>Partnership working is where service providers, healthcare providers, the service user, families, carers, voluntary organisations and local authorities work together to deliver coordinated and integrated services. There is effective partnership working to enable information, decision-making, and continuity of care between various services (</w:t>
      </w:r>
      <w:r>
        <w:rPr>
          <w:rFonts w:ascii="Arial" w:eastAsia="Arial" w:hAnsi="Arial" w:cs="Arial"/>
          <w:sz w:val="22"/>
          <w:szCs w:val="22"/>
          <w:highlight w:val="white"/>
        </w:rPr>
        <w:t xml:space="preserve">Entwistle </w:t>
      </w:r>
      <w:r>
        <w:rPr>
          <w:rFonts w:ascii="Arial" w:eastAsia="Arial" w:hAnsi="Arial" w:cs="Arial"/>
          <w:i/>
          <w:iCs/>
          <w:sz w:val="22"/>
          <w:szCs w:val="22"/>
          <w:highlight w:val="white"/>
        </w:rPr>
        <w:t xml:space="preserve">et al.  </w:t>
      </w:r>
      <w:r>
        <w:rPr>
          <w:rFonts w:ascii="Arial" w:eastAsia="Arial" w:hAnsi="Arial" w:cs="Arial"/>
          <w:sz w:val="22"/>
          <w:szCs w:val="22"/>
          <w:highlight w:val="white"/>
        </w:rPr>
        <w:t>2022)</w:t>
      </w:r>
      <w:r>
        <w:rPr>
          <w:rFonts w:ascii="Arial" w:eastAsia="Arial" w:hAnsi="Arial" w:cs="Arial"/>
          <w:sz w:val="22"/>
          <w:szCs w:val="22"/>
        </w:rPr>
        <w:t>. The introduction of Integrated Care Systems (ICSs) in England has been a key development to encourage collaboration between the NHS and local government in England, with a focus on ensuring the health of the population and the elimination of health inequalities. The Government's commitment to the delivery of integrated health care is evidenced by more than 42 Integrated Care Systems (ICSs) now coordinating the care of about 58 million people in England (</w:t>
      </w:r>
      <w:r>
        <w:rPr>
          <w:rFonts w:ascii="Arial" w:eastAsia="Arial" w:hAnsi="Arial" w:cs="Arial"/>
          <w:sz w:val="22"/>
          <w:szCs w:val="22"/>
          <w:highlight w:val="white"/>
        </w:rPr>
        <w:t xml:space="preserve">Gallagher, </w:t>
      </w:r>
      <w:r>
        <w:rPr>
          <w:rFonts w:ascii="Arial" w:eastAsia="Arial" w:hAnsi="Arial" w:cs="Arial"/>
          <w:i/>
          <w:iCs/>
          <w:sz w:val="22"/>
          <w:szCs w:val="22"/>
          <w:highlight w:val="white"/>
        </w:rPr>
        <w:t xml:space="preserve">et al. </w:t>
      </w:r>
      <w:r>
        <w:rPr>
          <w:rFonts w:ascii="Arial" w:eastAsia="Arial" w:hAnsi="Arial" w:cs="Arial"/>
          <w:sz w:val="22"/>
          <w:szCs w:val="22"/>
          <w:highlight w:val="white"/>
        </w:rPr>
        <w:t>2024)</w:t>
      </w:r>
      <w:r>
        <w:rPr>
          <w:rFonts w:ascii="Arial" w:eastAsia="Arial" w:hAnsi="Arial" w:cs="Arial"/>
          <w:sz w:val="22"/>
          <w:szCs w:val="22"/>
        </w:rPr>
        <w:t>. Good partnership working helps to avoid duplication of services, enhance communication between professionals and help to make health services more effective.</w:t>
      </w:r>
    </w:p>
    <w:p w14:paraId="75A754E4" w14:textId="77777777" w:rsidR="00CA2F62" w:rsidRDefault="009D6907">
      <w:pPr>
        <w:spacing w:before="240" w:after="240" w:line="360" w:lineRule="auto"/>
        <w:jc w:val="both"/>
        <w:rPr>
          <w:rFonts w:ascii="Arial" w:eastAsia="Arial" w:hAnsi="Arial" w:cs="Arial"/>
          <w:sz w:val="22"/>
          <w:szCs w:val="22"/>
        </w:rPr>
      </w:pPr>
      <w:r>
        <w:rPr>
          <w:rFonts w:ascii="Arial" w:eastAsia="Arial" w:hAnsi="Arial" w:cs="Arial"/>
          <w:sz w:val="22"/>
          <w:szCs w:val="22"/>
        </w:rPr>
        <w:t>Ethics is about the morals that influence the decisions that professionals make and their actions in health and social care. Ethical Care is grounded in values such as autonomy, beneficence, non-maleficence, justice, confidentiality and respect for human dignity. The principles are designed to ensure that care is offered fairly, that individual rights are respected, and that informed consent is upheld (</w:t>
      </w:r>
      <w:hyperlink r:id="rId9">
        <w:r>
          <w:rPr>
            <w:rFonts w:ascii="Arial" w:eastAsia="Arial" w:hAnsi="Arial" w:cs="Arial"/>
            <w:sz w:val="22"/>
            <w:szCs w:val="22"/>
            <w:highlight w:val="white"/>
          </w:rPr>
          <w:t>NHS England</w:t>
        </w:r>
      </w:hyperlink>
      <w:r>
        <w:rPr>
          <w:rFonts w:ascii="Arial" w:eastAsia="Arial" w:hAnsi="Arial" w:cs="Arial"/>
          <w:sz w:val="22"/>
          <w:szCs w:val="22"/>
          <w:highlight w:val="white"/>
        </w:rPr>
        <w:t>, 2021)</w:t>
      </w:r>
      <w:r>
        <w:rPr>
          <w:rFonts w:ascii="Arial" w:eastAsia="Arial" w:hAnsi="Arial" w:cs="Arial"/>
          <w:sz w:val="22"/>
          <w:szCs w:val="22"/>
        </w:rPr>
        <w:t xml:space="preserve">. The Care Act 2014, the Mental Capacity Act 2005 and the UK General Data Protection Regulation place a legal responsibility on those working with children and young people to ensure that they practice </w:t>
      </w:r>
      <w:r>
        <w:rPr>
          <w:rFonts w:ascii="Arial" w:eastAsia="Arial" w:hAnsi="Arial" w:cs="Arial"/>
          <w:sz w:val="22"/>
          <w:szCs w:val="22"/>
        </w:rPr>
        <w:lastRenderedPageBreak/>
        <w:t>ethically (</w:t>
      </w:r>
      <w:r>
        <w:rPr>
          <w:rFonts w:ascii="Arial" w:eastAsia="Arial" w:hAnsi="Arial" w:cs="Arial"/>
          <w:sz w:val="22"/>
          <w:szCs w:val="22"/>
          <w:highlight w:val="white"/>
        </w:rPr>
        <w:t>Kelsall-Knight and Stevens, 2024)</w:t>
      </w:r>
      <w:r>
        <w:rPr>
          <w:rFonts w:ascii="Arial" w:eastAsia="Arial" w:hAnsi="Arial" w:cs="Arial"/>
          <w:sz w:val="22"/>
          <w:szCs w:val="22"/>
        </w:rPr>
        <w:t>. The ethical aspects of decision making are especially crucial in situations where professionals must make decisions about vulnerable individuals, at the end of life or in cases of conflict between patient autonomy and clinical judgement (</w:t>
      </w:r>
      <w:r>
        <w:rPr>
          <w:rFonts w:ascii="Arial" w:eastAsia="Arial" w:hAnsi="Arial" w:cs="Arial"/>
          <w:sz w:val="22"/>
          <w:szCs w:val="22"/>
          <w:highlight w:val="white"/>
        </w:rPr>
        <w:t>Rossiter, Levett-Jones, and Pich, 2020)</w:t>
      </w:r>
      <w:r>
        <w:rPr>
          <w:rFonts w:ascii="Arial" w:eastAsia="Arial" w:hAnsi="Arial" w:cs="Arial"/>
          <w:sz w:val="22"/>
          <w:szCs w:val="22"/>
        </w:rPr>
        <w:t xml:space="preserve">. Together, these three elements (person-centred care, partnership working and ethical practice) lay the groundwork for compassionate, coordinated, and evidence-based health and social care. Their incorporation helps the people in the UK to achieve better health, better experience, better service and better reduction in health inequalities. </w:t>
      </w:r>
    </w:p>
    <w:p w14:paraId="2F70B207" w14:textId="52C92662" w:rsidR="00CA2F62" w:rsidRDefault="009D6907">
      <w:pPr>
        <w:pStyle w:val="Heading1"/>
      </w:pPr>
      <w:bookmarkStart w:id="2" w:name="_heading=h.7bm95s4hf9fy" w:colFirst="0" w:colLast="0"/>
      <w:bookmarkStart w:id="3" w:name="_Toc234326123"/>
      <w:bookmarkEnd w:id="2"/>
      <w:r>
        <w:t>Practical Examples of Person-Centred Care, Partnership Working, and Ethics in Improving Care and Health Outcomes</w:t>
      </w:r>
      <w:bookmarkEnd w:id="3"/>
      <w:r>
        <w:t xml:space="preserve"> </w:t>
      </w:r>
    </w:p>
    <w:p w14:paraId="116A927C" w14:textId="77777777" w:rsidR="00CA2F62" w:rsidRDefault="009D6907">
      <w:pPr>
        <w:spacing w:before="240" w:after="240" w:line="360" w:lineRule="auto"/>
        <w:jc w:val="both"/>
        <w:rPr>
          <w:rFonts w:ascii="Arial" w:eastAsia="Arial" w:hAnsi="Arial" w:cs="Arial"/>
          <w:sz w:val="22"/>
          <w:szCs w:val="22"/>
        </w:rPr>
      </w:pPr>
      <w:r>
        <w:rPr>
          <w:rFonts w:ascii="Arial" w:eastAsia="Arial" w:hAnsi="Arial" w:cs="Arial"/>
          <w:sz w:val="22"/>
          <w:szCs w:val="22"/>
        </w:rPr>
        <w:t>Person-centred care, partnership working and ethical practice principles are known to enhance the quality of health and social care services and the health outcomes of people in the UK. These practices can be seen in evidence in professional practice, in published case studies, and in the research literature, and they all help to foster safer, more effective and compassionate care (</w:t>
      </w:r>
      <w:hyperlink r:id="rId10">
        <w:r>
          <w:rPr>
            <w:rFonts w:ascii="Arial" w:eastAsia="Arial" w:hAnsi="Arial" w:cs="Arial"/>
            <w:sz w:val="22"/>
            <w:szCs w:val="22"/>
            <w:highlight w:val="white"/>
          </w:rPr>
          <w:t>NHS England</w:t>
        </w:r>
      </w:hyperlink>
      <w:r>
        <w:rPr>
          <w:rFonts w:ascii="Arial" w:eastAsia="Arial" w:hAnsi="Arial" w:cs="Arial"/>
          <w:sz w:val="22"/>
          <w:szCs w:val="22"/>
          <w:highlight w:val="white"/>
        </w:rPr>
        <w:t>, 2023)</w:t>
      </w:r>
      <w:r>
        <w:rPr>
          <w:rFonts w:ascii="Arial" w:eastAsia="Arial" w:hAnsi="Arial" w:cs="Arial"/>
          <w:sz w:val="22"/>
          <w:szCs w:val="22"/>
        </w:rPr>
        <w:t>. One such example from a residential setting is an older person with dementia who would often become anxious when being cared for in relation to personal care. Routine was abandoned, and the staff approach was person-centred, with individuals' and families' preferred daily routines, favourite music and communication preferences being taken into account. Care activities were then planned around the individual's lifestyle and not for organisational convenience (</w:t>
      </w:r>
      <w:hyperlink r:id="rId11">
        <w:r>
          <w:rPr>
            <w:rFonts w:ascii="Arial" w:eastAsia="Arial" w:hAnsi="Arial" w:cs="Arial"/>
            <w:sz w:val="22"/>
            <w:szCs w:val="22"/>
            <w:highlight w:val="white"/>
          </w:rPr>
          <w:t>Care Quality Commission</w:t>
        </w:r>
      </w:hyperlink>
      <w:r>
        <w:rPr>
          <w:rFonts w:ascii="Arial" w:eastAsia="Arial" w:hAnsi="Arial" w:cs="Arial"/>
          <w:sz w:val="22"/>
          <w:szCs w:val="22"/>
          <w:highlight w:val="white"/>
        </w:rPr>
        <w:t>, 2024)</w:t>
      </w:r>
      <w:r>
        <w:rPr>
          <w:rFonts w:ascii="Arial" w:eastAsia="Arial" w:hAnsi="Arial" w:cs="Arial"/>
          <w:sz w:val="22"/>
          <w:szCs w:val="22"/>
        </w:rPr>
        <w:t>. The changes were followed by a decrease in episodes of distress, an increase in cooperation while in care, and an improvement in the person's emotional well-being. The example illustrates how to 'respect' people's preferences to improve quality of life and to minimise some of the behavioural issues often linked with dementia.</w:t>
      </w:r>
    </w:p>
    <w:p w14:paraId="40824DA7" w14:textId="77777777" w:rsidR="00CA2F62" w:rsidRDefault="009D6907">
      <w:pPr>
        <w:spacing w:before="240" w:after="240" w:line="360" w:lineRule="auto"/>
        <w:jc w:val="both"/>
        <w:rPr>
          <w:rFonts w:ascii="Arial" w:eastAsia="Arial" w:hAnsi="Arial" w:cs="Arial"/>
          <w:sz w:val="22"/>
          <w:szCs w:val="22"/>
        </w:rPr>
      </w:pPr>
      <w:r>
        <w:rPr>
          <w:rFonts w:ascii="Arial" w:eastAsia="Arial" w:hAnsi="Arial" w:cs="Arial"/>
          <w:sz w:val="22"/>
          <w:szCs w:val="22"/>
        </w:rPr>
        <w:t>It is particularly effective to manage long-term health conditions through partnership working. A published UK case study with a patient with chronic obstructive pulmonary disease (COPD) showed a successful partnership between general practitioners, respiratory specialists, community nurses, physiotherapists, pharmacists and family carers (</w:t>
      </w:r>
      <w:r>
        <w:rPr>
          <w:rFonts w:ascii="Arial" w:eastAsia="Arial" w:hAnsi="Arial" w:cs="Arial"/>
          <w:sz w:val="22"/>
          <w:szCs w:val="22"/>
          <w:highlight w:val="white"/>
        </w:rPr>
        <w:t>McCormack, 2022)</w:t>
      </w:r>
      <w:r>
        <w:rPr>
          <w:rFonts w:ascii="Arial" w:eastAsia="Arial" w:hAnsi="Arial" w:cs="Arial"/>
          <w:sz w:val="22"/>
          <w:szCs w:val="22"/>
        </w:rPr>
        <w:t>. The patient had fewer emergency hospital admissions and better symptom management with coordinated care planning, regular medication review, pulmonary rehabilitation and home monitoring. This is supported by evidence at the national level, which demonstrates that a multidisciplinary approach to the care of a chronic illness can enhance the continuity of care and reduce unnecessary use of hospital services.</w:t>
      </w:r>
    </w:p>
    <w:p w14:paraId="61E9D8C2" w14:textId="77777777" w:rsidR="00CA2F62" w:rsidRDefault="009D6907">
      <w:pPr>
        <w:spacing w:before="240" w:after="240" w:line="360" w:lineRule="auto"/>
        <w:jc w:val="both"/>
        <w:rPr>
          <w:rFonts w:ascii="Arial" w:eastAsia="Arial" w:hAnsi="Arial" w:cs="Arial"/>
          <w:sz w:val="22"/>
          <w:szCs w:val="22"/>
        </w:rPr>
      </w:pPr>
      <w:r>
        <w:rPr>
          <w:rFonts w:ascii="Arial" w:eastAsia="Arial" w:hAnsi="Arial" w:cs="Arial"/>
          <w:sz w:val="22"/>
          <w:szCs w:val="22"/>
        </w:rPr>
        <w:lastRenderedPageBreak/>
        <w:t>Ethical practice also directly impacts good patient outcomes. There was, for instance, a case of a patient at a hospital who lost some mental capacity and had to make a big decision. Staff implemented the Mental Capacity Act 2005 by conducting a formal capacity assessment and taking advice from family members before deciding on the “best interests” of the individual (</w:t>
      </w:r>
      <w:hyperlink r:id="rId12">
        <w:r>
          <w:rPr>
            <w:rFonts w:ascii="Arial" w:eastAsia="Arial" w:hAnsi="Arial" w:cs="Arial"/>
            <w:sz w:val="22"/>
            <w:szCs w:val="22"/>
            <w:highlight w:val="white"/>
          </w:rPr>
          <w:t>GMC</w:t>
        </w:r>
      </w:hyperlink>
      <w:r>
        <w:rPr>
          <w:rFonts w:ascii="Arial" w:eastAsia="Arial" w:hAnsi="Arial" w:cs="Arial"/>
          <w:sz w:val="22"/>
          <w:szCs w:val="22"/>
          <w:highlight w:val="white"/>
        </w:rPr>
        <w:t>, 2024)</w:t>
      </w:r>
      <w:r>
        <w:rPr>
          <w:rFonts w:ascii="Arial" w:eastAsia="Arial" w:hAnsi="Arial" w:cs="Arial"/>
          <w:sz w:val="22"/>
          <w:szCs w:val="22"/>
        </w:rPr>
        <w:t xml:space="preserve">. During the decision-making process, the patient's dignity, his/her expressed wishes and clinical needs were thoughtfully considered. This ethical approach safeguarded the rights of the individual, as well as providing for the appropriate treatment. Confidentiality, informed consent (wherever possible) and respect for autonomy enhanced trust between family members and health care professionals. These principles are also well established through research. Likewise, the development of integrated care across England has facilitated better integration between health and social care organisations, and has minimised duplication of services and facilitated earlier intervention for vulnerable groups. Research has also shown benefits of person-centred care in reducing readmission to hospital, medication adherence, mental wellbeing and satisfaction of patients and healthcare professionals. </w:t>
      </w:r>
    </w:p>
    <w:p w14:paraId="632D6331" w14:textId="77777777" w:rsidR="00CA2F62" w:rsidRDefault="00CA2F62">
      <w:pPr>
        <w:spacing w:after="0" w:line="360" w:lineRule="auto"/>
        <w:jc w:val="both"/>
        <w:rPr>
          <w:rFonts w:ascii="Arial" w:eastAsia="Arial" w:hAnsi="Arial" w:cs="Arial"/>
          <w:sz w:val="22"/>
          <w:szCs w:val="22"/>
        </w:rPr>
      </w:pPr>
    </w:p>
    <w:p w14:paraId="5F432B09" w14:textId="30D740AE" w:rsidR="00CA2F62" w:rsidRDefault="009D6907">
      <w:pPr>
        <w:pStyle w:val="Heading1"/>
      </w:pPr>
      <w:bookmarkStart w:id="4" w:name="_heading=h.j8byws3dgdf" w:colFirst="0" w:colLast="0"/>
      <w:bookmarkStart w:id="5" w:name="_Toc234326124"/>
      <w:bookmarkEnd w:id="4"/>
      <w:r>
        <w:t>Critical Reflection on Professional Growth</w:t>
      </w:r>
      <w:bookmarkEnd w:id="5"/>
      <w:r>
        <w:t xml:space="preserve"> </w:t>
      </w:r>
    </w:p>
    <w:p w14:paraId="2ED6E91D" w14:textId="77777777" w:rsidR="00CA2F62" w:rsidRDefault="009D6907">
      <w:pPr>
        <w:pStyle w:val="Heading3"/>
        <w:keepNext w:val="0"/>
        <w:keepLines w:val="0"/>
        <w:spacing w:line="360" w:lineRule="auto"/>
        <w:jc w:val="both"/>
        <w:rPr>
          <w:rFonts w:ascii="Arial" w:eastAsia="Arial" w:hAnsi="Arial" w:cs="Arial"/>
          <w:sz w:val="22"/>
          <w:szCs w:val="22"/>
        </w:rPr>
      </w:pPr>
      <w:bookmarkStart w:id="6" w:name="_heading=h.u5cquosba1mj" w:colFirst="0" w:colLast="0"/>
      <w:bookmarkStart w:id="7" w:name="_Toc234326125"/>
      <w:bookmarkEnd w:id="6"/>
      <w:r>
        <w:rPr>
          <w:rFonts w:ascii="Arial" w:eastAsia="Arial" w:hAnsi="Arial" w:cs="Arial"/>
          <w:sz w:val="22"/>
          <w:szCs w:val="22"/>
        </w:rPr>
        <w:t>Gibbs' Reflective Cycle</w:t>
      </w:r>
      <w:bookmarkEnd w:id="7"/>
    </w:p>
    <w:p w14:paraId="05B9C625" w14:textId="77777777" w:rsidR="00CA2F62" w:rsidRDefault="009D6907">
      <w:pPr>
        <w:spacing w:line="360" w:lineRule="auto"/>
        <w:jc w:val="both"/>
        <w:rPr>
          <w:rFonts w:ascii="Arial" w:eastAsia="Arial" w:hAnsi="Arial" w:cs="Arial"/>
          <w:b/>
          <w:bCs/>
          <w:sz w:val="22"/>
          <w:szCs w:val="22"/>
        </w:rPr>
      </w:pPr>
      <w:r>
        <w:rPr>
          <w:rFonts w:ascii="Arial" w:eastAsia="Arial" w:hAnsi="Arial" w:cs="Arial"/>
          <w:b/>
          <w:bCs/>
          <w:sz w:val="22"/>
          <w:szCs w:val="22"/>
        </w:rPr>
        <w:t>Description</w:t>
      </w:r>
    </w:p>
    <w:p w14:paraId="42F32D4B" w14:textId="77777777" w:rsidR="00CA2F62" w:rsidRDefault="009D6907">
      <w:pPr>
        <w:spacing w:line="360" w:lineRule="auto"/>
        <w:jc w:val="both"/>
        <w:rPr>
          <w:rFonts w:ascii="Arial" w:eastAsia="Arial" w:hAnsi="Arial" w:cs="Arial"/>
          <w:sz w:val="22"/>
          <w:szCs w:val="22"/>
        </w:rPr>
      </w:pPr>
      <w:r>
        <w:rPr>
          <w:rFonts w:ascii="Arial" w:eastAsia="Arial" w:hAnsi="Arial" w:cs="Arial"/>
          <w:sz w:val="22"/>
          <w:szCs w:val="22"/>
        </w:rPr>
        <w:t>In a residential care home, during one placement, I saw an older person with dementia who frequently became distressed while receiving care in relation to care activities, such as bathing. This happened because the person was not allowed to take the time they wanted for showing, bathing or dressing, but rather was bathed and dressed at a time determined by the schedule of the home. With family members, care staff found out about the person's past lifestyle and favourite music, their preferred waking time and their communication style. A person-centred care plan was put in place, and care was provided in line with this plan. There was effective collaboration between the nurse, care assistant, GP and family members in reviewing the care plan regularly, and all decisions maintained confidentiality and dignity and were in accordance with the principles of the Care Act 2014 and the Health and Care Act 2022 (</w:t>
      </w:r>
      <w:hyperlink r:id="rId13">
        <w:r>
          <w:rPr>
            <w:rFonts w:ascii="Arial" w:eastAsia="Arial" w:hAnsi="Arial" w:cs="Arial"/>
            <w:sz w:val="22"/>
            <w:szCs w:val="22"/>
            <w:highlight w:val="white"/>
          </w:rPr>
          <w:t>The Health Foundation</w:t>
        </w:r>
      </w:hyperlink>
      <w:r>
        <w:rPr>
          <w:rFonts w:ascii="Arial" w:eastAsia="Arial" w:hAnsi="Arial" w:cs="Arial"/>
          <w:sz w:val="22"/>
          <w:szCs w:val="22"/>
          <w:highlight w:val="white"/>
        </w:rPr>
        <w:t>, 2021)</w:t>
      </w:r>
      <w:r>
        <w:rPr>
          <w:rFonts w:ascii="Arial" w:eastAsia="Arial" w:hAnsi="Arial" w:cs="Arial"/>
          <w:sz w:val="22"/>
          <w:szCs w:val="22"/>
        </w:rPr>
        <w:t>. While I was a student, I saw multidisciplinary meetings, helped with communication and commented on the benefits of collaborative working to enhance the individual's wellbeing.</w:t>
      </w:r>
    </w:p>
    <w:p w14:paraId="061D6466" w14:textId="77777777" w:rsidR="00CA2F62" w:rsidRDefault="009D6907">
      <w:pPr>
        <w:spacing w:line="360" w:lineRule="auto"/>
        <w:jc w:val="both"/>
        <w:rPr>
          <w:rFonts w:ascii="Arial" w:eastAsia="Arial" w:hAnsi="Arial" w:cs="Arial"/>
          <w:b/>
          <w:bCs/>
          <w:sz w:val="22"/>
          <w:szCs w:val="22"/>
        </w:rPr>
      </w:pPr>
      <w:r>
        <w:rPr>
          <w:rFonts w:ascii="Arial" w:eastAsia="Arial" w:hAnsi="Arial" w:cs="Arial"/>
          <w:b/>
          <w:bCs/>
          <w:sz w:val="22"/>
          <w:szCs w:val="22"/>
        </w:rPr>
        <w:t>Feelings</w:t>
      </w:r>
    </w:p>
    <w:p w14:paraId="30A161D7" w14:textId="77777777" w:rsidR="00CA2F62" w:rsidRDefault="009D6907">
      <w:pPr>
        <w:spacing w:line="360" w:lineRule="auto"/>
        <w:jc w:val="both"/>
        <w:rPr>
          <w:rFonts w:ascii="Arial" w:eastAsia="Arial" w:hAnsi="Arial" w:cs="Arial"/>
          <w:sz w:val="22"/>
          <w:szCs w:val="22"/>
        </w:rPr>
      </w:pPr>
      <w:r>
        <w:rPr>
          <w:rFonts w:ascii="Arial" w:eastAsia="Arial" w:hAnsi="Arial" w:cs="Arial"/>
          <w:sz w:val="22"/>
          <w:szCs w:val="22"/>
        </w:rPr>
        <w:lastRenderedPageBreak/>
        <w:t>At first, I thought that by doing routine things in the organisation, it would mean that the care is delivered efficiently. I do see the distress, though, and that made me realise that efficiency should never take precedence over individual care. I also realised that dementia impacts communication, but it does not take away a person's dignity and respect. It has been really good for me to see health care professionals engaging families in decision-making, making my appreciation for partnership working greater. I felt inspired towards enhancing my communication skills and to become more confident at participating in multidisciplinary discussions. The experience only furthered my dedication to being compassionate towards all people, both physically and mentally.</w:t>
      </w:r>
    </w:p>
    <w:p w14:paraId="3A334534" w14:textId="77777777" w:rsidR="00CA2F62" w:rsidRDefault="009D6907">
      <w:pPr>
        <w:spacing w:line="360" w:lineRule="auto"/>
        <w:jc w:val="both"/>
        <w:rPr>
          <w:rFonts w:ascii="Arial" w:eastAsia="Arial" w:hAnsi="Arial" w:cs="Arial"/>
          <w:b/>
          <w:bCs/>
          <w:sz w:val="22"/>
          <w:szCs w:val="22"/>
        </w:rPr>
      </w:pPr>
      <w:r>
        <w:rPr>
          <w:rFonts w:ascii="Arial" w:eastAsia="Arial" w:hAnsi="Arial" w:cs="Arial"/>
          <w:b/>
          <w:bCs/>
          <w:sz w:val="22"/>
          <w:szCs w:val="22"/>
        </w:rPr>
        <w:t>Evaluation</w:t>
      </w:r>
    </w:p>
    <w:p w14:paraId="5BF2BC66" w14:textId="77777777" w:rsidR="00CA2F62" w:rsidRDefault="009D6907">
      <w:pPr>
        <w:spacing w:line="360" w:lineRule="auto"/>
        <w:jc w:val="both"/>
        <w:rPr>
          <w:rFonts w:ascii="Arial" w:eastAsia="Arial" w:hAnsi="Arial" w:cs="Arial"/>
          <w:sz w:val="22"/>
          <w:szCs w:val="22"/>
        </w:rPr>
      </w:pPr>
      <w:r>
        <w:rPr>
          <w:rFonts w:ascii="Arial" w:eastAsia="Arial" w:hAnsi="Arial" w:cs="Arial"/>
          <w:sz w:val="22"/>
          <w:szCs w:val="22"/>
        </w:rPr>
        <w:t>Several things worked really well in the care. Staff showed person-centred care when they adapted their routines according to the individual's preferences and did not expect the individual to do this. Family members provided insights that enhanced the knowledge of the person and their needs/history. There was good continuity of care through regular communication between the nurse, carer, GP and family members, with a reduction in behavioural distress (</w:t>
      </w:r>
      <w:r>
        <w:rPr>
          <w:rFonts w:ascii="Arial" w:eastAsia="Arial" w:hAnsi="Arial" w:cs="Arial"/>
          <w:sz w:val="22"/>
          <w:szCs w:val="22"/>
          <w:highlight w:val="white"/>
        </w:rPr>
        <w:t xml:space="preserve">Damant </w:t>
      </w:r>
      <w:r>
        <w:rPr>
          <w:rFonts w:ascii="Arial" w:eastAsia="Arial" w:hAnsi="Arial" w:cs="Arial"/>
          <w:i/>
          <w:iCs/>
          <w:sz w:val="22"/>
          <w:szCs w:val="22"/>
          <w:highlight w:val="white"/>
        </w:rPr>
        <w:t xml:space="preserve">et al. </w:t>
      </w:r>
      <w:r>
        <w:rPr>
          <w:rFonts w:ascii="Arial" w:eastAsia="Arial" w:hAnsi="Arial" w:cs="Arial"/>
          <w:sz w:val="22"/>
          <w:szCs w:val="22"/>
          <w:highlight w:val="white"/>
        </w:rPr>
        <w:t>2025)</w:t>
      </w:r>
      <w:r>
        <w:rPr>
          <w:rFonts w:ascii="Arial" w:eastAsia="Arial" w:hAnsi="Arial" w:cs="Arial"/>
          <w:sz w:val="22"/>
          <w:szCs w:val="22"/>
        </w:rPr>
        <w:t>. The respect for confidentiality and the inclusion of the individual wherever possible was an ethical practice and in line with the UK professional standards. Some of the following limitations were evident, however. There was first a patchwork approach to communication amongst professionals, which meant that the revised care plan wasn't put into practice until later. Some staff time was allocated to other activities, which led to fewer opportunities for residents to have meaningful conversations with staff. I also realised I was not confident when adding my ideas to care plan meetings due to not having much practical experience. This highlighted aspects in which my own professional skills need to be developed further.</w:t>
      </w:r>
    </w:p>
    <w:p w14:paraId="0A326D19" w14:textId="77777777" w:rsidR="00CA2F62" w:rsidRDefault="009D6907">
      <w:pPr>
        <w:spacing w:line="360" w:lineRule="auto"/>
        <w:jc w:val="both"/>
        <w:rPr>
          <w:rFonts w:ascii="Arial" w:eastAsia="Arial" w:hAnsi="Arial" w:cs="Arial"/>
          <w:b/>
          <w:bCs/>
          <w:sz w:val="22"/>
          <w:szCs w:val="22"/>
        </w:rPr>
      </w:pPr>
      <w:r>
        <w:rPr>
          <w:rFonts w:ascii="Arial" w:eastAsia="Arial" w:hAnsi="Arial" w:cs="Arial"/>
          <w:b/>
          <w:bCs/>
          <w:sz w:val="22"/>
          <w:szCs w:val="22"/>
        </w:rPr>
        <w:t>Analysis</w:t>
      </w:r>
    </w:p>
    <w:p w14:paraId="4B901BF7" w14:textId="77777777" w:rsidR="00CA2F62" w:rsidRDefault="009D6907">
      <w:pPr>
        <w:spacing w:line="360" w:lineRule="auto"/>
        <w:jc w:val="both"/>
        <w:rPr>
          <w:rFonts w:ascii="Arial" w:eastAsia="Arial" w:hAnsi="Arial" w:cs="Arial"/>
          <w:sz w:val="22"/>
          <w:szCs w:val="22"/>
        </w:rPr>
      </w:pPr>
      <w:r>
        <w:rPr>
          <w:rFonts w:ascii="Arial" w:eastAsia="Arial" w:hAnsi="Arial" w:cs="Arial"/>
          <w:sz w:val="22"/>
          <w:szCs w:val="22"/>
        </w:rPr>
        <w:t>This experience proved the applicability of Maslow's Hierarchy of Needs. The individual's psychological needs – his or her sense of belonging, of esteem, and his or her emotional needs – could be met only after his or her physiological and safety needs had been met respectfully and reassuringly. Emotional security was supported, and the individual's dignity was maintained by enabling care to be personalised, taking into account their routines and preferences. This was a person-centred approach which enhanced working relationships in care and contributed to the well-being of the care recipient. The experience was also a good example of partnership working that is promoted within the Health and Care Act 2022, which aims for integrated care working across health and social care organisations (</w:t>
      </w:r>
      <w:r>
        <w:rPr>
          <w:rFonts w:ascii="Arial" w:eastAsia="Arial" w:hAnsi="Arial" w:cs="Arial"/>
          <w:sz w:val="22"/>
          <w:szCs w:val="22"/>
          <w:highlight w:val="white"/>
        </w:rPr>
        <w:t>Lombard, 2025)</w:t>
      </w:r>
      <w:r>
        <w:rPr>
          <w:rFonts w:ascii="Arial" w:eastAsia="Arial" w:hAnsi="Arial" w:cs="Arial"/>
          <w:sz w:val="22"/>
          <w:szCs w:val="22"/>
        </w:rPr>
        <w:t xml:space="preserve">. Coordination and collaboration between healthcare professionals and family </w:t>
      </w:r>
      <w:r>
        <w:rPr>
          <w:rFonts w:ascii="Arial" w:eastAsia="Arial" w:hAnsi="Arial" w:cs="Arial"/>
          <w:sz w:val="22"/>
          <w:szCs w:val="22"/>
        </w:rPr>
        <w:lastRenderedPageBreak/>
        <w:t>members led to collective decision-making and more consistent care delivery. Moreover, the Care Act 2014 highlights the importance of wellbeing, prevention, safeguarding and individual care planning; all of which were evidenced when caring for the individual (</w:t>
      </w:r>
      <w:r>
        <w:rPr>
          <w:rFonts w:ascii="Arial" w:eastAsia="Arial" w:hAnsi="Arial" w:cs="Arial"/>
          <w:sz w:val="22"/>
          <w:szCs w:val="22"/>
          <w:highlight w:val="white"/>
        </w:rPr>
        <w:t xml:space="preserve">Forsgren </w:t>
      </w:r>
      <w:r>
        <w:rPr>
          <w:rFonts w:ascii="Arial" w:eastAsia="Arial" w:hAnsi="Arial" w:cs="Arial"/>
          <w:i/>
          <w:iCs/>
          <w:sz w:val="22"/>
          <w:szCs w:val="22"/>
          <w:highlight w:val="white"/>
        </w:rPr>
        <w:t xml:space="preserve">et al. </w:t>
      </w:r>
      <w:r>
        <w:rPr>
          <w:rFonts w:ascii="Arial" w:eastAsia="Arial" w:hAnsi="Arial" w:cs="Arial"/>
          <w:sz w:val="22"/>
          <w:szCs w:val="22"/>
          <w:highlight w:val="white"/>
        </w:rPr>
        <w:t>2025)</w:t>
      </w:r>
      <w:r>
        <w:rPr>
          <w:rFonts w:ascii="Arial" w:eastAsia="Arial" w:hAnsi="Arial" w:cs="Arial"/>
          <w:sz w:val="22"/>
          <w:szCs w:val="22"/>
        </w:rPr>
        <w:t>.</w:t>
      </w:r>
    </w:p>
    <w:p w14:paraId="728DC24C" w14:textId="77777777" w:rsidR="00CA2F62" w:rsidRDefault="009D6907">
      <w:pPr>
        <w:spacing w:line="360" w:lineRule="auto"/>
        <w:jc w:val="both"/>
        <w:rPr>
          <w:rFonts w:ascii="Arial" w:eastAsia="Arial" w:hAnsi="Arial" w:cs="Arial"/>
          <w:sz w:val="22"/>
          <w:szCs w:val="22"/>
        </w:rPr>
      </w:pPr>
      <w:r>
        <w:rPr>
          <w:rFonts w:ascii="Arial" w:eastAsia="Arial" w:hAnsi="Arial" w:cs="Arial"/>
          <w:sz w:val="22"/>
          <w:szCs w:val="22"/>
        </w:rPr>
        <w:t>Practice was also influenced by professional codes of conduct. The Nursing and Midwifery Council (NMC) Code 2018 is a document that identifies the priorities for the nursing and midwifery profession (</w:t>
      </w:r>
      <w:r>
        <w:rPr>
          <w:rFonts w:ascii="Arial" w:eastAsia="Arial" w:hAnsi="Arial" w:cs="Arial"/>
          <w:sz w:val="22"/>
          <w:szCs w:val="22"/>
          <w:highlight w:val="white"/>
        </w:rPr>
        <w:t xml:space="preserve">Martin </w:t>
      </w:r>
      <w:r>
        <w:rPr>
          <w:rFonts w:ascii="Arial" w:eastAsia="Arial" w:hAnsi="Arial" w:cs="Arial"/>
          <w:i/>
          <w:iCs/>
          <w:sz w:val="22"/>
          <w:szCs w:val="22"/>
          <w:highlight w:val="white"/>
        </w:rPr>
        <w:t>et al.</w:t>
      </w:r>
      <w:r>
        <w:rPr>
          <w:rFonts w:ascii="Arial" w:eastAsia="Arial" w:hAnsi="Arial" w:cs="Arial"/>
          <w:sz w:val="22"/>
          <w:szCs w:val="22"/>
          <w:highlight w:val="white"/>
        </w:rPr>
        <w:t xml:space="preserve"> 2025)</w:t>
      </w:r>
      <w:r>
        <w:rPr>
          <w:rFonts w:ascii="Arial" w:eastAsia="Arial" w:hAnsi="Arial" w:cs="Arial"/>
          <w:sz w:val="22"/>
          <w:szCs w:val="22"/>
        </w:rPr>
        <w:t>. The priorities are: to put people first; to practise effectively; to keep safe; and to promote professionalism. The professional responsibilities of the nurse were evident in the way they worked respectfully and with confidentiality, obtained consent wherever possible and engaged family members. All aspects of care planning were guided by ethical principles such as autonomy, beneficence, non-maleficence and justice. Numerous studies have shown that person-centred care is associated with improved satisfaction, increased adherence, decreased anxiety and improved quality of life for patients, especially those with dementia and for older people. Likewise, fewer avoidable hospital admissions and improved continuity of care have been linked to multidisciplinary working. The results confirm the need for the implementation of evidence-based practice, in combination with legislation and professional standards.</w:t>
      </w:r>
    </w:p>
    <w:p w14:paraId="4363C935" w14:textId="77777777" w:rsidR="00CA2F62" w:rsidRDefault="009D6907">
      <w:pPr>
        <w:spacing w:line="360" w:lineRule="auto"/>
        <w:jc w:val="both"/>
        <w:rPr>
          <w:rFonts w:ascii="Arial" w:eastAsia="Arial" w:hAnsi="Arial" w:cs="Arial"/>
          <w:b/>
          <w:bCs/>
          <w:sz w:val="22"/>
          <w:szCs w:val="22"/>
        </w:rPr>
      </w:pPr>
      <w:r>
        <w:rPr>
          <w:rFonts w:ascii="Arial" w:eastAsia="Arial" w:hAnsi="Arial" w:cs="Arial"/>
          <w:b/>
          <w:bCs/>
          <w:sz w:val="22"/>
          <w:szCs w:val="22"/>
        </w:rPr>
        <w:t>Conclusion</w:t>
      </w:r>
    </w:p>
    <w:p w14:paraId="662AC9CC" w14:textId="77777777" w:rsidR="00CA2F62" w:rsidRDefault="009D6907">
      <w:pPr>
        <w:spacing w:line="360" w:lineRule="auto"/>
        <w:jc w:val="both"/>
        <w:rPr>
          <w:rFonts w:ascii="Arial" w:eastAsia="Arial" w:hAnsi="Arial" w:cs="Arial"/>
          <w:sz w:val="22"/>
          <w:szCs w:val="22"/>
        </w:rPr>
      </w:pPr>
      <w:r>
        <w:rPr>
          <w:rFonts w:ascii="Arial" w:eastAsia="Arial" w:hAnsi="Arial" w:cs="Arial"/>
          <w:sz w:val="22"/>
          <w:szCs w:val="22"/>
        </w:rPr>
        <w:t>This experience greatly enhanced my knowledge and skills around person-centred care, partnership working and ethics in practice. I learnt that the provision of quality care is not just about doing clinical work but about listening to people, respecting their choices and collaborating with families and other professionals. I also realised that communication is key to safe and coordinated health care. I showed empathy and a desire to learn, while I identified opportunities to build up my confidence, leadership and communication skills in multidisciplinary teams.</w:t>
      </w:r>
    </w:p>
    <w:p w14:paraId="128C8542" w14:textId="77777777" w:rsidR="00CA2F62" w:rsidRDefault="009D6907">
      <w:pPr>
        <w:spacing w:line="360" w:lineRule="auto"/>
        <w:jc w:val="both"/>
        <w:rPr>
          <w:rFonts w:ascii="Arial" w:eastAsia="Arial" w:hAnsi="Arial" w:cs="Arial"/>
          <w:b/>
          <w:bCs/>
          <w:sz w:val="22"/>
          <w:szCs w:val="22"/>
        </w:rPr>
      </w:pPr>
      <w:r>
        <w:rPr>
          <w:rFonts w:ascii="Arial" w:eastAsia="Arial" w:hAnsi="Arial" w:cs="Arial"/>
          <w:b/>
          <w:bCs/>
          <w:sz w:val="22"/>
          <w:szCs w:val="22"/>
        </w:rPr>
        <w:t>Action Plan</w:t>
      </w:r>
    </w:p>
    <w:p w14:paraId="33E0E8E7" w14:textId="77777777" w:rsidR="00CA2F62" w:rsidRDefault="009D6907">
      <w:pPr>
        <w:spacing w:line="360" w:lineRule="auto"/>
        <w:jc w:val="both"/>
        <w:rPr>
          <w:rFonts w:ascii="Arial" w:eastAsia="Arial" w:hAnsi="Arial" w:cs="Arial"/>
          <w:sz w:val="22"/>
          <w:szCs w:val="22"/>
        </w:rPr>
      </w:pPr>
      <w:r>
        <w:rPr>
          <w:rFonts w:ascii="Arial" w:eastAsia="Arial" w:hAnsi="Arial" w:cs="Arial"/>
          <w:sz w:val="22"/>
          <w:szCs w:val="22"/>
        </w:rPr>
        <w:t xml:space="preserve">This reflection has led to some goals for future professional development. First, I will improve my communication skills by engaging in multi-disciplinary meetings, engaging in feedback from practising colleagues who are more experienced in dementia care and completing Continuing Professional Development (CPD) training in communication and dementia care. Secondly, I will develop my understanding of UK legislation such as the Care Act 2014, Health and Care Act 2022, Mental Capacity Act 2005 and safeguarding policies to ensure that I practice legally and ethically in the future. There will be regular checks on the latest national guidance from the NHS, the NMC and the Care Quality Commission to facilitate evidence-based decision-making. Third, I will put the principles of person-centred care into </w:t>
      </w:r>
      <w:r>
        <w:rPr>
          <w:rFonts w:ascii="Arial" w:eastAsia="Arial" w:hAnsi="Arial" w:cs="Arial"/>
          <w:sz w:val="22"/>
          <w:szCs w:val="22"/>
        </w:rPr>
        <w:lastRenderedPageBreak/>
        <w:t>practice, involving the individual and their family in the assessment, care planning and evaluation, where appropriate. I will ensure that care plans are designed to be individual to each person, rather than just following the standard care procedures in the organisation, and taking into account their preferences, cultural values and personal goals. Last but not least, I will build the reflective practice as I will use Gibbs' reflective cycle regularly to analyse my experiences, to identify learning opportunities and continuously get better in my professional practice. I want to provide compassionate, ethical, and quality care that will have a positive impact on the health of individuals and on their wellbeing through lifelong learning, effective partnership working and by following professional codes of conduct in all UK health and social care settings.</w:t>
      </w:r>
    </w:p>
    <w:p w14:paraId="5653BB09" w14:textId="77777777" w:rsidR="00CA2F62" w:rsidRDefault="009D6907">
      <w:pPr>
        <w:pStyle w:val="Heading1"/>
      </w:pPr>
      <w:bookmarkStart w:id="8" w:name="_heading=h.ml2cbt5u3qp1" w:colFirst="0" w:colLast="0"/>
      <w:bookmarkStart w:id="9" w:name="_Toc234326126"/>
      <w:bookmarkEnd w:id="8"/>
      <w:r>
        <w:t>Conclusion</w:t>
      </w:r>
      <w:bookmarkEnd w:id="9"/>
    </w:p>
    <w:p w14:paraId="653B2F4B" w14:textId="77777777" w:rsidR="00CA2F62" w:rsidRDefault="009D6907">
      <w:pPr>
        <w:spacing w:line="360" w:lineRule="auto"/>
        <w:jc w:val="both"/>
        <w:rPr>
          <w:rFonts w:ascii="Arial" w:eastAsia="Arial" w:hAnsi="Arial" w:cs="Arial"/>
          <w:sz w:val="22"/>
          <w:szCs w:val="22"/>
        </w:rPr>
      </w:pPr>
      <w:r>
        <w:rPr>
          <w:rFonts w:ascii="Arial" w:eastAsia="Arial" w:hAnsi="Arial" w:cs="Arial"/>
          <w:sz w:val="22"/>
          <w:szCs w:val="22"/>
        </w:rPr>
        <w:t xml:space="preserve">As key considerations in delivering safe, effective and compassionate health and social care in the UK, partnership working and ethical practice go hand-in-hand with person-centred care. These values help health workers show respect for the needs of individuals, work towards promoting dignity and enhancing health outcomes through collaborative and evidence-based practice. Learner experiences emphasise the need to communicate effectively, work collaboratively across the disciplines and follow the standards and legislation, including the Care Act 2014 and the Health and Care Act 2022. In my future role as a health and social care worker, I will further extend my knowledge, skills and reflective practice to ensure that I deliver excellent quality, person-centred care to promote the wellbeing, independence and rights of all. </w:t>
      </w:r>
    </w:p>
    <w:p w14:paraId="2A924716" w14:textId="77777777" w:rsidR="00027B22" w:rsidRDefault="00027B22">
      <w:pPr>
        <w:rPr>
          <w:rFonts w:ascii="Arial" w:eastAsia="Arial" w:hAnsi="Arial" w:cs="Arial"/>
          <w:b/>
          <w:bCs/>
          <w:sz w:val="22"/>
          <w:szCs w:val="22"/>
        </w:rPr>
      </w:pPr>
      <w:r>
        <w:rPr>
          <w:rFonts w:ascii="Arial" w:eastAsia="Arial" w:hAnsi="Arial" w:cs="Arial"/>
          <w:b/>
          <w:bCs/>
          <w:sz w:val="22"/>
          <w:szCs w:val="22"/>
        </w:rPr>
        <w:br w:type="page"/>
      </w:r>
    </w:p>
    <w:p w14:paraId="48BDCD9D" w14:textId="77777777" w:rsidR="00027B22" w:rsidRPr="00027B22" w:rsidRDefault="009D6907">
      <w:pPr>
        <w:spacing w:line="360" w:lineRule="auto"/>
        <w:jc w:val="both"/>
        <w:rPr>
          <w:rFonts w:ascii="Arial" w:eastAsia="Arial" w:hAnsi="Arial" w:cs="Arial"/>
          <w:b/>
          <w:bCs/>
          <w:sz w:val="22"/>
          <w:szCs w:val="22"/>
        </w:rPr>
      </w:pPr>
      <w:r>
        <w:rPr>
          <w:rFonts w:ascii="Arial" w:eastAsia="Arial" w:hAnsi="Arial" w:cs="Arial"/>
          <w:b/>
          <w:bCs/>
          <w:sz w:val="22"/>
          <w:szCs w:val="22"/>
        </w:rPr>
        <w:lastRenderedPageBreak/>
        <w:t>References</w:t>
      </w:r>
    </w:p>
    <w:p w14:paraId="3485E9D6" w14:textId="77777777" w:rsidR="00027B22" w:rsidRDefault="00027B22">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Ahmed, A., van den Muijsenbergh, M.E.T.C. and Vrijhoef, H.J.M. (2022) ‘Person-centred care in primary care: What works for whom, how and in what circumstances?’, </w:t>
      </w:r>
      <w:r>
        <w:rPr>
          <w:rFonts w:ascii="Arial" w:eastAsia="Arial" w:hAnsi="Arial" w:cs="Arial"/>
          <w:i/>
          <w:iCs/>
          <w:sz w:val="22"/>
          <w:szCs w:val="22"/>
          <w:highlight w:val="white"/>
        </w:rPr>
        <w:t>Health &amp; Social Care in the Community</w:t>
      </w:r>
      <w:r>
        <w:rPr>
          <w:rFonts w:ascii="Arial" w:eastAsia="Arial" w:hAnsi="Arial" w:cs="Arial"/>
          <w:sz w:val="22"/>
          <w:szCs w:val="22"/>
          <w:highlight w:val="white"/>
        </w:rPr>
        <w:t>, 30(6), pp. e3328–e3341. Available at:</w:t>
      </w:r>
      <w:hyperlink r:id="rId14">
        <w:r>
          <w:rPr>
            <w:rFonts w:ascii="Arial" w:eastAsia="Arial" w:hAnsi="Arial" w:cs="Arial"/>
            <w:sz w:val="22"/>
            <w:szCs w:val="22"/>
            <w:highlight w:val="white"/>
          </w:rPr>
          <w:t xml:space="preserve"> </w:t>
        </w:r>
      </w:hyperlink>
      <w:hyperlink r:id="rId15">
        <w:r>
          <w:rPr>
            <w:rFonts w:ascii="Arial" w:eastAsia="Arial" w:hAnsi="Arial" w:cs="Arial"/>
            <w:color w:val="1155CC"/>
            <w:sz w:val="22"/>
            <w:szCs w:val="22"/>
            <w:highlight w:val="white"/>
            <w:u w:val="single"/>
          </w:rPr>
          <w:t>https://onlinelibrary.wiley.com/doi/10.1111/hsc.13913</w:t>
        </w:r>
      </w:hyperlink>
      <w:r>
        <w:rPr>
          <w:rFonts w:ascii="Arial" w:eastAsia="Arial" w:hAnsi="Arial" w:cs="Arial"/>
          <w:sz w:val="22"/>
          <w:szCs w:val="22"/>
          <w:highlight w:val="white"/>
        </w:rPr>
        <w:t xml:space="preserve"> (Accessed: 7 July 2026).</w:t>
      </w:r>
    </w:p>
    <w:p w14:paraId="10687C81" w14:textId="77777777" w:rsidR="00027B22" w:rsidRDefault="00027B22">
      <w:pPr>
        <w:spacing w:after="0" w:line="360" w:lineRule="auto"/>
        <w:jc w:val="both"/>
        <w:rPr>
          <w:rFonts w:ascii="Arial" w:eastAsia="Arial" w:hAnsi="Arial" w:cs="Arial"/>
          <w:sz w:val="22"/>
          <w:szCs w:val="22"/>
          <w:highlight w:val="white"/>
        </w:rPr>
      </w:pPr>
      <w:hyperlink r:id="rId16">
        <w:r>
          <w:rPr>
            <w:rFonts w:ascii="Arial" w:eastAsia="Arial" w:hAnsi="Arial" w:cs="Arial"/>
            <w:sz w:val="22"/>
            <w:szCs w:val="22"/>
            <w:highlight w:val="white"/>
          </w:rPr>
          <w:t>Care Quality Commission (CQC)</w:t>
        </w:r>
      </w:hyperlink>
      <w:r>
        <w:rPr>
          <w:rFonts w:ascii="Arial" w:eastAsia="Arial" w:hAnsi="Arial" w:cs="Arial"/>
          <w:sz w:val="22"/>
          <w:szCs w:val="22"/>
          <w:highlight w:val="white"/>
        </w:rPr>
        <w:t xml:space="preserve"> (2024) </w:t>
      </w:r>
      <w:r>
        <w:rPr>
          <w:rFonts w:ascii="Arial" w:eastAsia="Arial" w:hAnsi="Arial" w:cs="Arial"/>
          <w:i/>
          <w:iCs/>
          <w:sz w:val="22"/>
          <w:szCs w:val="22"/>
          <w:highlight w:val="white"/>
        </w:rPr>
        <w:t>Person-centred care: Single Assessment Framework</w:t>
      </w:r>
      <w:r>
        <w:rPr>
          <w:rFonts w:ascii="Arial" w:eastAsia="Arial" w:hAnsi="Arial" w:cs="Arial"/>
          <w:sz w:val="22"/>
          <w:szCs w:val="22"/>
          <w:highlight w:val="white"/>
        </w:rPr>
        <w:t>. Available at:</w:t>
      </w:r>
      <w:hyperlink r:id="rId17">
        <w:r>
          <w:rPr>
            <w:rFonts w:ascii="Arial" w:eastAsia="Arial" w:hAnsi="Arial" w:cs="Arial"/>
            <w:sz w:val="22"/>
            <w:szCs w:val="22"/>
            <w:highlight w:val="white"/>
          </w:rPr>
          <w:t xml:space="preserve"> </w:t>
        </w:r>
      </w:hyperlink>
      <w:hyperlink r:id="rId18">
        <w:r>
          <w:rPr>
            <w:rFonts w:ascii="Arial" w:eastAsia="Arial" w:hAnsi="Arial" w:cs="Arial"/>
            <w:color w:val="1155CC"/>
            <w:sz w:val="22"/>
            <w:szCs w:val="22"/>
            <w:highlight w:val="white"/>
            <w:u w:val="single"/>
          </w:rPr>
          <w:t>https://www.cqc.org.uk/guidance-regulation/providers/assessment/single-assessment-framework/responsive/person-centred-care</w:t>
        </w:r>
      </w:hyperlink>
      <w:r>
        <w:rPr>
          <w:rFonts w:ascii="Arial" w:eastAsia="Arial" w:hAnsi="Arial" w:cs="Arial"/>
          <w:sz w:val="22"/>
          <w:szCs w:val="22"/>
          <w:highlight w:val="white"/>
        </w:rPr>
        <w:t xml:space="preserve"> (Accessed: 7 July 2026).</w:t>
      </w:r>
    </w:p>
    <w:p w14:paraId="137D1877" w14:textId="77777777" w:rsidR="00027B22" w:rsidRDefault="00027B22">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Cribb, A. and Woodcock, T. (2022) ‘Measuring with quality: The example of person-centred care’, </w:t>
      </w:r>
      <w:r>
        <w:rPr>
          <w:rFonts w:ascii="Arial" w:eastAsia="Arial" w:hAnsi="Arial" w:cs="Arial"/>
          <w:i/>
          <w:iCs/>
          <w:sz w:val="22"/>
          <w:szCs w:val="22"/>
          <w:highlight w:val="white"/>
        </w:rPr>
        <w:t>Journal of Health Services Research &amp; Policy</w:t>
      </w:r>
      <w:r>
        <w:rPr>
          <w:rFonts w:ascii="Arial" w:eastAsia="Arial" w:hAnsi="Arial" w:cs="Arial"/>
          <w:sz w:val="22"/>
          <w:szCs w:val="22"/>
          <w:highlight w:val="white"/>
        </w:rPr>
        <w:t>, 27(2), pp. 122–128. Available at:</w:t>
      </w:r>
      <w:hyperlink r:id="rId19">
        <w:r>
          <w:rPr>
            <w:rFonts w:ascii="Arial" w:eastAsia="Arial" w:hAnsi="Arial" w:cs="Arial"/>
            <w:sz w:val="22"/>
            <w:szCs w:val="22"/>
            <w:highlight w:val="white"/>
          </w:rPr>
          <w:t xml:space="preserve"> </w:t>
        </w:r>
      </w:hyperlink>
      <w:hyperlink r:id="rId20">
        <w:r>
          <w:rPr>
            <w:rFonts w:ascii="Arial" w:eastAsia="Arial" w:hAnsi="Arial" w:cs="Arial"/>
            <w:color w:val="1155CC"/>
            <w:sz w:val="22"/>
            <w:szCs w:val="22"/>
            <w:highlight w:val="white"/>
            <w:u w:val="single"/>
          </w:rPr>
          <w:t>https://journals.sagepub.com/doi/10.1177/13558196211054278</w:t>
        </w:r>
      </w:hyperlink>
      <w:r>
        <w:rPr>
          <w:rFonts w:ascii="Arial" w:eastAsia="Arial" w:hAnsi="Arial" w:cs="Arial"/>
          <w:sz w:val="22"/>
          <w:szCs w:val="22"/>
          <w:highlight w:val="white"/>
        </w:rPr>
        <w:t xml:space="preserve"> (Accessed: 7 July 2026).</w:t>
      </w:r>
    </w:p>
    <w:p w14:paraId="4120382A" w14:textId="77777777" w:rsidR="00027B22" w:rsidRDefault="00027B22">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Damant, J., Hamashima, Y., Toma, M., Smith, N., Peters, M., Knapp, M. and Towers, A.-M. (2025) ‘Investigating person-centred care planning in care homes across England: An exploratory study of practices and contextual factors’, </w:t>
      </w:r>
      <w:r>
        <w:rPr>
          <w:rFonts w:ascii="Arial" w:eastAsia="Arial" w:hAnsi="Arial" w:cs="Arial"/>
          <w:i/>
          <w:iCs/>
          <w:sz w:val="22"/>
          <w:szCs w:val="22"/>
          <w:highlight w:val="white"/>
        </w:rPr>
        <w:t>Journal of Advanced Nursing</w:t>
      </w:r>
      <w:r>
        <w:rPr>
          <w:rFonts w:ascii="Arial" w:eastAsia="Arial" w:hAnsi="Arial" w:cs="Arial"/>
          <w:sz w:val="22"/>
          <w:szCs w:val="22"/>
          <w:highlight w:val="white"/>
        </w:rPr>
        <w:t xml:space="preserve">. Available at: </w:t>
      </w:r>
      <w:hyperlink r:id="rId21">
        <w:r>
          <w:rPr>
            <w:rFonts w:ascii="Arial" w:eastAsia="Arial" w:hAnsi="Arial" w:cs="Arial"/>
            <w:color w:val="1155CC"/>
            <w:sz w:val="22"/>
            <w:szCs w:val="22"/>
            <w:highlight w:val="white"/>
            <w:u w:val="single"/>
          </w:rPr>
          <w:t>https://doi.org/10.1111/jan.16965</w:t>
        </w:r>
      </w:hyperlink>
      <w:r>
        <w:rPr>
          <w:rFonts w:ascii="Arial" w:eastAsia="Arial" w:hAnsi="Arial" w:cs="Arial"/>
          <w:sz w:val="22"/>
          <w:szCs w:val="22"/>
          <w:highlight w:val="white"/>
        </w:rPr>
        <w:t xml:space="preserve"> (Accessed: 7 July 2026).</w:t>
      </w:r>
    </w:p>
    <w:p w14:paraId="0C17802C" w14:textId="77777777" w:rsidR="00027B22" w:rsidRDefault="00027B22">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Entwistle, V.A., Cribb, A., Mitchell, P. and Walter, S. (2022) ‘Unifying and universalizing personalised care? An analysis of a national curriculum with implications for policy and education relating to person-centred care’, </w:t>
      </w:r>
      <w:r>
        <w:rPr>
          <w:rFonts w:ascii="Arial" w:eastAsia="Arial" w:hAnsi="Arial" w:cs="Arial"/>
          <w:i/>
          <w:iCs/>
          <w:sz w:val="22"/>
          <w:szCs w:val="22"/>
          <w:highlight w:val="white"/>
        </w:rPr>
        <w:t>Patient Education and Counseling</w:t>
      </w:r>
      <w:r>
        <w:rPr>
          <w:rFonts w:ascii="Arial" w:eastAsia="Arial" w:hAnsi="Arial" w:cs="Arial"/>
          <w:sz w:val="22"/>
          <w:szCs w:val="22"/>
          <w:highlight w:val="white"/>
        </w:rPr>
        <w:t>, 105(12), pp. 3422–3428. Available at:</w:t>
      </w:r>
      <w:hyperlink r:id="rId22">
        <w:r>
          <w:rPr>
            <w:rFonts w:ascii="Arial" w:eastAsia="Arial" w:hAnsi="Arial" w:cs="Arial"/>
            <w:sz w:val="22"/>
            <w:szCs w:val="22"/>
            <w:highlight w:val="white"/>
          </w:rPr>
          <w:t xml:space="preserve"> </w:t>
        </w:r>
      </w:hyperlink>
      <w:hyperlink r:id="rId23">
        <w:r>
          <w:rPr>
            <w:rFonts w:ascii="Arial" w:eastAsia="Arial" w:hAnsi="Arial" w:cs="Arial"/>
            <w:color w:val="1155CC"/>
            <w:sz w:val="22"/>
            <w:szCs w:val="22"/>
            <w:highlight w:val="white"/>
            <w:u w:val="single"/>
          </w:rPr>
          <w:t>https://doi.org/10.1016/j.pec.2022.07.003</w:t>
        </w:r>
      </w:hyperlink>
      <w:r>
        <w:rPr>
          <w:rFonts w:ascii="Arial" w:eastAsia="Arial" w:hAnsi="Arial" w:cs="Arial"/>
          <w:sz w:val="22"/>
          <w:szCs w:val="22"/>
          <w:highlight w:val="white"/>
        </w:rPr>
        <w:t xml:space="preserve"> (Accessed: 7 July 2026).</w:t>
      </w:r>
    </w:p>
    <w:p w14:paraId="7C9CD473" w14:textId="77777777" w:rsidR="00027B22" w:rsidRDefault="00027B22">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Forsgren, E., Feldthusen, C., Wallström, S., Thunström, L., Kullman, L., Sawatzky, R. and Öhlén, J. (2025) ‘Person-centred care as an evolving field of research: A scoping review’, </w:t>
      </w:r>
      <w:r>
        <w:rPr>
          <w:rFonts w:ascii="Arial" w:eastAsia="Arial" w:hAnsi="Arial" w:cs="Arial"/>
          <w:i/>
          <w:iCs/>
          <w:sz w:val="22"/>
          <w:szCs w:val="22"/>
          <w:highlight w:val="white"/>
        </w:rPr>
        <w:t>Frontiers in Health Services</w:t>
      </w:r>
      <w:r>
        <w:rPr>
          <w:rFonts w:ascii="Arial" w:eastAsia="Arial" w:hAnsi="Arial" w:cs="Arial"/>
          <w:sz w:val="22"/>
          <w:szCs w:val="22"/>
          <w:highlight w:val="white"/>
        </w:rPr>
        <w:t>, 5, Article 1534178. Available at:</w:t>
      </w:r>
      <w:hyperlink r:id="rId24">
        <w:r>
          <w:rPr>
            <w:rFonts w:ascii="Arial" w:eastAsia="Arial" w:hAnsi="Arial" w:cs="Arial"/>
            <w:sz w:val="22"/>
            <w:szCs w:val="22"/>
            <w:highlight w:val="white"/>
          </w:rPr>
          <w:t xml:space="preserve"> </w:t>
        </w:r>
      </w:hyperlink>
      <w:hyperlink r:id="rId25">
        <w:r>
          <w:rPr>
            <w:rFonts w:ascii="Arial" w:eastAsia="Arial" w:hAnsi="Arial" w:cs="Arial"/>
            <w:color w:val="1155CC"/>
            <w:sz w:val="22"/>
            <w:szCs w:val="22"/>
            <w:highlight w:val="white"/>
            <w:u w:val="single"/>
          </w:rPr>
          <w:t>https://www.frontiersin.org/journals/health-services/articles/10.3389/frhs.2025.1534178/full</w:t>
        </w:r>
      </w:hyperlink>
      <w:r>
        <w:rPr>
          <w:rFonts w:ascii="Arial" w:eastAsia="Arial" w:hAnsi="Arial" w:cs="Arial"/>
          <w:sz w:val="22"/>
          <w:szCs w:val="22"/>
          <w:highlight w:val="white"/>
        </w:rPr>
        <w:t xml:space="preserve"> (Accessed: 7 July 2026).</w:t>
      </w:r>
    </w:p>
    <w:p w14:paraId="278F3006" w14:textId="77777777" w:rsidR="00027B22" w:rsidRDefault="00027B22">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Gallagher, J., Evans, C., Sampson, E., Barclay, S. and Ward, J. (2024) ‘The Janus Face of Person-Centred Care’, </w:t>
      </w:r>
      <w:r>
        <w:rPr>
          <w:rFonts w:ascii="Arial" w:eastAsia="Arial" w:hAnsi="Arial" w:cs="Arial"/>
          <w:i/>
          <w:iCs/>
          <w:sz w:val="22"/>
          <w:szCs w:val="22"/>
          <w:highlight w:val="white"/>
        </w:rPr>
        <w:t>International Journal of Geriatric Psychiatry</w:t>
      </w:r>
      <w:r>
        <w:rPr>
          <w:rFonts w:ascii="Arial" w:eastAsia="Arial" w:hAnsi="Arial" w:cs="Arial"/>
          <w:sz w:val="22"/>
          <w:szCs w:val="22"/>
          <w:highlight w:val="white"/>
        </w:rPr>
        <w:t>, 39(12), e70030. Available at:</w:t>
      </w:r>
      <w:hyperlink r:id="rId26">
        <w:r>
          <w:rPr>
            <w:rFonts w:ascii="Arial" w:eastAsia="Arial" w:hAnsi="Arial" w:cs="Arial"/>
            <w:sz w:val="22"/>
            <w:szCs w:val="22"/>
            <w:highlight w:val="white"/>
          </w:rPr>
          <w:t xml:space="preserve"> </w:t>
        </w:r>
      </w:hyperlink>
      <w:hyperlink r:id="rId27">
        <w:r>
          <w:rPr>
            <w:rFonts w:ascii="Arial" w:eastAsia="Arial" w:hAnsi="Arial" w:cs="Arial"/>
            <w:color w:val="1155CC"/>
            <w:sz w:val="22"/>
            <w:szCs w:val="22"/>
            <w:highlight w:val="white"/>
            <w:u w:val="single"/>
          </w:rPr>
          <w:t>https://pubmed.ncbi.nlm.nih.gov/39648161/</w:t>
        </w:r>
      </w:hyperlink>
      <w:r>
        <w:rPr>
          <w:rFonts w:ascii="Arial" w:eastAsia="Arial" w:hAnsi="Arial" w:cs="Arial"/>
          <w:sz w:val="22"/>
          <w:szCs w:val="22"/>
          <w:highlight w:val="white"/>
        </w:rPr>
        <w:t xml:space="preserve"> (Accessed: 7 July 2026).</w:t>
      </w:r>
    </w:p>
    <w:p w14:paraId="3B320D8D" w14:textId="77777777" w:rsidR="00027B22" w:rsidRDefault="00027B22">
      <w:pPr>
        <w:spacing w:after="0" w:line="360" w:lineRule="auto"/>
        <w:jc w:val="both"/>
        <w:rPr>
          <w:rFonts w:ascii="Arial" w:eastAsia="Arial" w:hAnsi="Arial" w:cs="Arial"/>
          <w:sz w:val="22"/>
          <w:szCs w:val="22"/>
          <w:highlight w:val="white"/>
        </w:rPr>
      </w:pPr>
      <w:hyperlink r:id="rId28">
        <w:r>
          <w:rPr>
            <w:rFonts w:ascii="Arial" w:eastAsia="Arial" w:hAnsi="Arial" w:cs="Arial"/>
            <w:sz w:val="22"/>
            <w:szCs w:val="22"/>
            <w:highlight w:val="white"/>
          </w:rPr>
          <w:t>GMC</w:t>
        </w:r>
      </w:hyperlink>
      <w:r>
        <w:rPr>
          <w:rFonts w:ascii="Arial" w:eastAsia="Arial" w:hAnsi="Arial" w:cs="Arial"/>
          <w:sz w:val="22"/>
          <w:szCs w:val="22"/>
          <w:highlight w:val="white"/>
        </w:rPr>
        <w:t xml:space="preserve"> (2024) </w:t>
      </w:r>
      <w:r>
        <w:rPr>
          <w:rFonts w:ascii="Arial" w:eastAsia="Arial" w:hAnsi="Arial" w:cs="Arial"/>
          <w:i/>
          <w:iCs/>
          <w:sz w:val="22"/>
          <w:szCs w:val="22"/>
          <w:highlight w:val="white"/>
        </w:rPr>
        <w:t>Good Medical Practice: Promoting patient-centred care</w:t>
      </w:r>
      <w:r>
        <w:rPr>
          <w:rFonts w:ascii="Arial" w:eastAsia="Arial" w:hAnsi="Arial" w:cs="Arial"/>
          <w:sz w:val="22"/>
          <w:szCs w:val="22"/>
          <w:highlight w:val="white"/>
        </w:rPr>
        <w:t>. Available at:</w:t>
      </w:r>
      <w:hyperlink r:id="rId29">
        <w:r>
          <w:rPr>
            <w:rFonts w:ascii="Arial" w:eastAsia="Arial" w:hAnsi="Arial" w:cs="Arial"/>
            <w:sz w:val="22"/>
            <w:szCs w:val="22"/>
            <w:highlight w:val="white"/>
          </w:rPr>
          <w:t xml:space="preserve"> </w:t>
        </w:r>
      </w:hyperlink>
      <w:hyperlink r:id="rId30">
        <w:r>
          <w:rPr>
            <w:rFonts w:ascii="Arial" w:eastAsia="Arial" w:hAnsi="Arial" w:cs="Arial"/>
            <w:color w:val="1155CC"/>
            <w:sz w:val="22"/>
            <w:szCs w:val="22"/>
            <w:highlight w:val="white"/>
            <w:u w:val="single"/>
          </w:rPr>
          <w:t>https://www.gmc-uk.org/professional-standards/good-medical-practice-2024/key-changes-to-good-medical-practice-2024/promoting-patient-centred-care</w:t>
        </w:r>
      </w:hyperlink>
      <w:r>
        <w:rPr>
          <w:rFonts w:ascii="Arial" w:eastAsia="Arial" w:hAnsi="Arial" w:cs="Arial"/>
          <w:sz w:val="22"/>
          <w:szCs w:val="22"/>
          <w:highlight w:val="white"/>
        </w:rPr>
        <w:t xml:space="preserve"> (Accessed: 7 July 2026).</w:t>
      </w:r>
    </w:p>
    <w:p w14:paraId="0A3EBCFB" w14:textId="77777777" w:rsidR="00027B22" w:rsidRDefault="00027B22">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Kelsall-Knight, L. and Stevens, R. (2024) ‘Exploring the implementation of person-centred care in nursing practice’, </w:t>
      </w:r>
      <w:r>
        <w:rPr>
          <w:rFonts w:ascii="Arial" w:eastAsia="Arial" w:hAnsi="Arial" w:cs="Arial"/>
          <w:i/>
          <w:iCs/>
          <w:sz w:val="22"/>
          <w:szCs w:val="22"/>
          <w:highlight w:val="white"/>
        </w:rPr>
        <w:t>Nursing Standard</w:t>
      </w:r>
      <w:r>
        <w:rPr>
          <w:rFonts w:ascii="Arial" w:eastAsia="Arial" w:hAnsi="Arial" w:cs="Arial"/>
          <w:sz w:val="22"/>
          <w:szCs w:val="22"/>
          <w:highlight w:val="white"/>
        </w:rPr>
        <w:t>, 39(1), pp. 70–75. Available at:</w:t>
      </w:r>
      <w:hyperlink r:id="rId31">
        <w:r>
          <w:rPr>
            <w:rFonts w:ascii="Arial" w:eastAsia="Arial" w:hAnsi="Arial" w:cs="Arial"/>
            <w:sz w:val="22"/>
            <w:szCs w:val="22"/>
            <w:highlight w:val="white"/>
          </w:rPr>
          <w:t xml:space="preserve"> </w:t>
        </w:r>
      </w:hyperlink>
      <w:hyperlink r:id="rId32">
        <w:r>
          <w:rPr>
            <w:rFonts w:ascii="Arial" w:eastAsia="Arial" w:hAnsi="Arial" w:cs="Arial"/>
            <w:color w:val="1155CC"/>
            <w:sz w:val="22"/>
            <w:szCs w:val="22"/>
            <w:highlight w:val="white"/>
            <w:u w:val="single"/>
          </w:rPr>
          <w:t>https://pubmed.ncbi.nlm.nih.gov/38093586/</w:t>
        </w:r>
      </w:hyperlink>
      <w:r>
        <w:rPr>
          <w:rFonts w:ascii="Arial" w:eastAsia="Arial" w:hAnsi="Arial" w:cs="Arial"/>
          <w:sz w:val="22"/>
          <w:szCs w:val="22"/>
          <w:highlight w:val="white"/>
        </w:rPr>
        <w:t xml:space="preserve"> (Accessed: 7 July 2026).</w:t>
      </w:r>
    </w:p>
    <w:p w14:paraId="23E4AC19" w14:textId="77777777" w:rsidR="00027B22" w:rsidRDefault="00027B22">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Lombard, D. (2025) ‘Three philosophies of person-centred care, from the perspectives of care workers and managers supporting older people’, </w:t>
      </w:r>
      <w:r>
        <w:rPr>
          <w:rFonts w:ascii="Arial" w:eastAsia="Arial" w:hAnsi="Arial" w:cs="Arial"/>
          <w:i/>
          <w:iCs/>
          <w:sz w:val="22"/>
          <w:szCs w:val="22"/>
          <w:highlight w:val="white"/>
        </w:rPr>
        <w:t>Social Policy &amp; Administration</w:t>
      </w:r>
      <w:r>
        <w:rPr>
          <w:rFonts w:ascii="Arial" w:eastAsia="Arial" w:hAnsi="Arial" w:cs="Arial"/>
          <w:sz w:val="22"/>
          <w:szCs w:val="22"/>
          <w:highlight w:val="white"/>
        </w:rPr>
        <w:t xml:space="preserve">, 59(5), </w:t>
      </w:r>
      <w:r>
        <w:rPr>
          <w:rFonts w:ascii="Arial" w:eastAsia="Arial" w:hAnsi="Arial" w:cs="Arial"/>
          <w:sz w:val="22"/>
          <w:szCs w:val="22"/>
          <w:highlight w:val="white"/>
        </w:rPr>
        <w:lastRenderedPageBreak/>
        <w:t>pp. 790–802. Available at:</w:t>
      </w:r>
      <w:hyperlink r:id="rId33">
        <w:r>
          <w:rPr>
            <w:rFonts w:ascii="Arial" w:eastAsia="Arial" w:hAnsi="Arial" w:cs="Arial"/>
            <w:sz w:val="22"/>
            <w:szCs w:val="22"/>
            <w:highlight w:val="white"/>
          </w:rPr>
          <w:t xml:space="preserve"> </w:t>
        </w:r>
      </w:hyperlink>
      <w:hyperlink r:id="rId34">
        <w:r>
          <w:rPr>
            <w:rFonts w:ascii="Arial" w:eastAsia="Arial" w:hAnsi="Arial" w:cs="Arial"/>
            <w:color w:val="1155CC"/>
            <w:sz w:val="22"/>
            <w:szCs w:val="22"/>
            <w:highlight w:val="white"/>
            <w:u w:val="single"/>
          </w:rPr>
          <w:t>https://onlinelibrary.wiley.com/doi/10.1111/spol.13088</w:t>
        </w:r>
      </w:hyperlink>
      <w:r>
        <w:rPr>
          <w:rFonts w:ascii="Arial" w:eastAsia="Arial" w:hAnsi="Arial" w:cs="Arial"/>
          <w:sz w:val="22"/>
          <w:szCs w:val="22"/>
          <w:highlight w:val="white"/>
        </w:rPr>
        <w:t xml:space="preserve"> (Accessed: 7 July 2026).</w:t>
      </w:r>
    </w:p>
    <w:p w14:paraId="16AAF66E" w14:textId="77777777" w:rsidR="00027B22" w:rsidRDefault="00027B22">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Martin, L., Nunn, A., Felce, D., Forster, S. and Jones, E. (2025) ‘Person-centred care for people with profound intellectual and multiple disabilities: A rapid review’, </w:t>
      </w:r>
      <w:r>
        <w:rPr>
          <w:rFonts w:ascii="Arial" w:eastAsia="Arial" w:hAnsi="Arial" w:cs="Arial"/>
          <w:i/>
          <w:iCs/>
          <w:sz w:val="22"/>
          <w:szCs w:val="22"/>
          <w:highlight w:val="white"/>
        </w:rPr>
        <w:t>Journal of Long-Term Care</w:t>
      </w:r>
      <w:r>
        <w:rPr>
          <w:rFonts w:ascii="Arial" w:eastAsia="Arial" w:hAnsi="Arial" w:cs="Arial"/>
          <w:sz w:val="22"/>
          <w:szCs w:val="22"/>
          <w:highlight w:val="white"/>
        </w:rPr>
        <w:t>, pp. 110–126. Available at:</w:t>
      </w:r>
      <w:hyperlink r:id="rId35">
        <w:r>
          <w:rPr>
            <w:rFonts w:ascii="Arial" w:eastAsia="Arial" w:hAnsi="Arial" w:cs="Arial"/>
            <w:sz w:val="22"/>
            <w:szCs w:val="22"/>
            <w:highlight w:val="white"/>
          </w:rPr>
          <w:t xml:space="preserve"> </w:t>
        </w:r>
      </w:hyperlink>
      <w:hyperlink r:id="rId36">
        <w:r>
          <w:rPr>
            <w:rFonts w:ascii="Arial" w:eastAsia="Arial" w:hAnsi="Arial" w:cs="Arial"/>
            <w:color w:val="1155CC"/>
            <w:sz w:val="22"/>
            <w:szCs w:val="22"/>
            <w:highlight w:val="white"/>
            <w:u w:val="single"/>
          </w:rPr>
          <w:t>https://journal.ilpnetwork.org/articles/324</w:t>
        </w:r>
      </w:hyperlink>
      <w:r>
        <w:rPr>
          <w:rFonts w:ascii="Arial" w:eastAsia="Arial" w:hAnsi="Arial" w:cs="Arial"/>
          <w:sz w:val="22"/>
          <w:szCs w:val="22"/>
          <w:highlight w:val="white"/>
        </w:rPr>
        <w:t xml:space="preserve"> (Accessed: 7 July 2026).</w:t>
      </w:r>
    </w:p>
    <w:p w14:paraId="37BC880B" w14:textId="77777777" w:rsidR="00027B22" w:rsidRDefault="00027B22">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McCormack, B. (2022) ‘Person-centred care and measurement: The more one sees, the better one knows where to look’, </w:t>
      </w:r>
      <w:r>
        <w:rPr>
          <w:rFonts w:ascii="Arial" w:eastAsia="Arial" w:hAnsi="Arial" w:cs="Arial"/>
          <w:i/>
          <w:iCs/>
          <w:sz w:val="22"/>
          <w:szCs w:val="22"/>
          <w:highlight w:val="white"/>
        </w:rPr>
        <w:t>Journal of Health Services Research &amp; Policy</w:t>
      </w:r>
      <w:r>
        <w:rPr>
          <w:rFonts w:ascii="Arial" w:eastAsia="Arial" w:hAnsi="Arial" w:cs="Arial"/>
          <w:sz w:val="22"/>
          <w:szCs w:val="22"/>
          <w:highlight w:val="white"/>
        </w:rPr>
        <w:t>, 27(2), pp. 119–121. Available at:</w:t>
      </w:r>
      <w:hyperlink r:id="rId37">
        <w:r>
          <w:rPr>
            <w:rFonts w:ascii="Arial" w:eastAsia="Arial" w:hAnsi="Arial" w:cs="Arial"/>
            <w:sz w:val="22"/>
            <w:szCs w:val="22"/>
            <w:highlight w:val="white"/>
          </w:rPr>
          <w:t xml:space="preserve"> </w:t>
        </w:r>
      </w:hyperlink>
      <w:hyperlink r:id="rId38">
        <w:r>
          <w:rPr>
            <w:rFonts w:ascii="Arial" w:eastAsia="Arial" w:hAnsi="Arial" w:cs="Arial"/>
            <w:color w:val="1155CC"/>
            <w:sz w:val="22"/>
            <w:szCs w:val="22"/>
            <w:highlight w:val="white"/>
            <w:u w:val="single"/>
          </w:rPr>
          <w:t>https://journals.sagepub.com/doi/10.1177/13558196211071041</w:t>
        </w:r>
      </w:hyperlink>
      <w:r>
        <w:rPr>
          <w:rFonts w:ascii="Arial" w:eastAsia="Arial" w:hAnsi="Arial" w:cs="Arial"/>
          <w:sz w:val="22"/>
          <w:szCs w:val="22"/>
          <w:highlight w:val="white"/>
        </w:rPr>
        <w:t xml:space="preserve"> (Accessed: 7 July 2026).</w:t>
      </w:r>
    </w:p>
    <w:p w14:paraId="56BBDCAB" w14:textId="77777777" w:rsidR="00027B22" w:rsidRDefault="00027B22">
      <w:pPr>
        <w:spacing w:after="0" w:line="360" w:lineRule="auto"/>
        <w:jc w:val="both"/>
        <w:rPr>
          <w:rFonts w:ascii="Arial" w:eastAsia="Arial" w:hAnsi="Arial" w:cs="Arial"/>
          <w:sz w:val="22"/>
          <w:szCs w:val="22"/>
          <w:highlight w:val="white"/>
        </w:rPr>
      </w:pPr>
      <w:hyperlink r:id="rId39">
        <w:r>
          <w:rPr>
            <w:rFonts w:ascii="Arial" w:eastAsia="Arial" w:hAnsi="Arial" w:cs="Arial"/>
            <w:sz w:val="22"/>
            <w:szCs w:val="22"/>
            <w:highlight w:val="white"/>
          </w:rPr>
          <w:t>NHS England</w:t>
        </w:r>
      </w:hyperlink>
      <w:r>
        <w:rPr>
          <w:rFonts w:ascii="Arial" w:eastAsia="Arial" w:hAnsi="Arial" w:cs="Arial"/>
          <w:sz w:val="22"/>
          <w:szCs w:val="22"/>
          <w:highlight w:val="white"/>
        </w:rPr>
        <w:t xml:space="preserve"> (2021) </w:t>
      </w:r>
      <w:r>
        <w:rPr>
          <w:rFonts w:ascii="Arial" w:eastAsia="Arial" w:hAnsi="Arial" w:cs="Arial"/>
          <w:i/>
          <w:iCs/>
          <w:sz w:val="22"/>
          <w:szCs w:val="22"/>
          <w:highlight w:val="white"/>
        </w:rPr>
        <w:t>Personalised Care Operating Model</w:t>
      </w:r>
      <w:r>
        <w:rPr>
          <w:rFonts w:ascii="Arial" w:eastAsia="Arial" w:hAnsi="Arial" w:cs="Arial"/>
          <w:sz w:val="22"/>
          <w:szCs w:val="22"/>
          <w:highlight w:val="white"/>
        </w:rPr>
        <w:t>. Available at:</w:t>
      </w:r>
      <w:hyperlink r:id="rId40">
        <w:r>
          <w:rPr>
            <w:rFonts w:ascii="Arial" w:eastAsia="Arial" w:hAnsi="Arial" w:cs="Arial"/>
            <w:sz w:val="22"/>
            <w:szCs w:val="22"/>
            <w:highlight w:val="white"/>
          </w:rPr>
          <w:t xml:space="preserve"> </w:t>
        </w:r>
      </w:hyperlink>
      <w:hyperlink r:id="rId41">
        <w:r>
          <w:rPr>
            <w:rFonts w:ascii="Arial" w:eastAsia="Arial" w:hAnsi="Arial" w:cs="Arial"/>
            <w:color w:val="1155CC"/>
            <w:sz w:val="22"/>
            <w:szCs w:val="22"/>
            <w:highlight w:val="white"/>
            <w:u w:val="single"/>
          </w:rPr>
          <w:t>https://www.england.nhs.uk/publication/personalised-care-operating-model/</w:t>
        </w:r>
      </w:hyperlink>
      <w:r>
        <w:rPr>
          <w:rFonts w:ascii="Arial" w:eastAsia="Arial" w:hAnsi="Arial" w:cs="Arial"/>
          <w:sz w:val="22"/>
          <w:szCs w:val="22"/>
          <w:highlight w:val="white"/>
        </w:rPr>
        <w:t xml:space="preserve"> (Accessed: 7 July 2026).</w:t>
      </w:r>
    </w:p>
    <w:p w14:paraId="000D81B0" w14:textId="77777777" w:rsidR="00027B22" w:rsidRDefault="00027B22">
      <w:pPr>
        <w:spacing w:after="0" w:line="360" w:lineRule="auto"/>
        <w:jc w:val="both"/>
        <w:rPr>
          <w:rFonts w:ascii="Arial" w:eastAsia="Arial" w:hAnsi="Arial" w:cs="Arial"/>
          <w:sz w:val="22"/>
          <w:szCs w:val="22"/>
          <w:highlight w:val="white"/>
        </w:rPr>
      </w:pPr>
      <w:hyperlink r:id="rId42">
        <w:r>
          <w:rPr>
            <w:rFonts w:ascii="Arial" w:eastAsia="Arial" w:hAnsi="Arial" w:cs="Arial"/>
            <w:sz w:val="22"/>
            <w:szCs w:val="22"/>
            <w:highlight w:val="white"/>
          </w:rPr>
          <w:t>NHS England</w:t>
        </w:r>
      </w:hyperlink>
      <w:r>
        <w:rPr>
          <w:rFonts w:ascii="Arial" w:eastAsia="Arial" w:hAnsi="Arial" w:cs="Arial"/>
          <w:sz w:val="22"/>
          <w:szCs w:val="22"/>
          <w:highlight w:val="white"/>
        </w:rPr>
        <w:t xml:space="preserve"> (2023) </w:t>
      </w:r>
      <w:r>
        <w:rPr>
          <w:rFonts w:ascii="Arial" w:eastAsia="Arial" w:hAnsi="Arial" w:cs="Arial"/>
          <w:i/>
          <w:iCs/>
          <w:sz w:val="22"/>
          <w:szCs w:val="22"/>
          <w:highlight w:val="white"/>
        </w:rPr>
        <w:t>Workforce Development Framework: Social Prescribing Link Workers</w:t>
      </w:r>
      <w:r>
        <w:rPr>
          <w:rFonts w:ascii="Arial" w:eastAsia="Arial" w:hAnsi="Arial" w:cs="Arial"/>
          <w:sz w:val="22"/>
          <w:szCs w:val="22"/>
          <w:highlight w:val="white"/>
        </w:rPr>
        <w:t>. Available at:</w:t>
      </w:r>
      <w:hyperlink r:id="rId43">
        <w:r>
          <w:rPr>
            <w:rFonts w:ascii="Arial" w:eastAsia="Arial" w:hAnsi="Arial" w:cs="Arial"/>
            <w:sz w:val="22"/>
            <w:szCs w:val="22"/>
            <w:highlight w:val="white"/>
          </w:rPr>
          <w:t xml:space="preserve"> </w:t>
        </w:r>
      </w:hyperlink>
      <w:hyperlink r:id="rId44">
        <w:r>
          <w:rPr>
            <w:rFonts w:ascii="Arial" w:eastAsia="Arial" w:hAnsi="Arial" w:cs="Arial"/>
            <w:color w:val="1155CC"/>
            <w:sz w:val="22"/>
            <w:szCs w:val="22"/>
            <w:highlight w:val="white"/>
            <w:u w:val="single"/>
          </w:rPr>
          <w:t>https://www.england.nhs.uk/long-read/workforce-development-framework-social-prescribing-link-workers/</w:t>
        </w:r>
      </w:hyperlink>
      <w:r>
        <w:rPr>
          <w:rFonts w:ascii="Arial" w:eastAsia="Arial" w:hAnsi="Arial" w:cs="Arial"/>
          <w:sz w:val="22"/>
          <w:szCs w:val="22"/>
          <w:highlight w:val="white"/>
        </w:rPr>
        <w:t xml:space="preserve"> (Accessed: 7 July 2026).</w:t>
      </w:r>
    </w:p>
    <w:p w14:paraId="2134F031" w14:textId="77777777" w:rsidR="00027B22" w:rsidRDefault="00027B22">
      <w:pPr>
        <w:spacing w:after="0" w:line="360" w:lineRule="auto"/>
        <w:jc w:val="both"/>
        <w:rPr>
          <w:rFonts w:ascii="Arial" w:eastAsia="Arial" w:hAnsi="Arial" w:cs="Arial"/>
          <w:sz w:val="22"/>
          <w:szCs w:val="22"/>
          <w:highlight w:val="white"/>
        </w:rPr>
      </w:pPr>
      <w:r>
        <w:rPr>
          <w:rFonts w:ascii="Arial" w:eastAsia="Arial" w:hAnsi="Arial" w:cs="Arial"/>
          <w:sz w:val="22"/>
          <w:szCs w:val="22"/>
          <w:highlight w:val="white"/>
        </w:rPr>
        <w:t xml:space="preserve">Rossiter, C., Levett-Jones, T. and Pich, J. (2020) ‘The impact of person-centred care on patient safety: An umbrella review of systematic reviews’, </w:t>
      </w:r>
      <w:r>
        <w:rPr>
          <w:rFonts w:ascii="Arial" w:eastAsia="Arial" w:hAnsi="Arial" w:cs="Arial"/>
          <w:i/>
          <w:iCs/>
          <w:sz w:val="22"/>
          <w:szCs w:val="22"/>
          <w:highlight w:val="white"/>
        </w:rPr>
        <w:t>International Journal of Nursing Studies</w:t>
      </w:r>
      <w:r>
        <w:rPr>
          <w:rFonts w:ascii="Arial" w:eastAsia="Arial" w:hAnsi="Arial" w:cs="Arial"/>
          <w:sz w:val="22"/>
          <w:szCs w:val="22"/>
          <w:highlight w:val="white"/>
        </w:rPr>
        <w:t xml:space="preserve">, 109, 103658. Available at: </w:t>
      </w:r>
      <w:hyperlink r:id="rId45">
        <w:r>
          <w:rPr>
            <w:rFonts w:ascii="Arial" w:eastAsia="Arial" w:hAnsi="Arial" w:cs="Arial"/>
            <w:color w:val="1155CC"/>
            <w:sz w:val="22"/>
            <w:szCs w:val="22"/>
            <w:highlight w:val="white"/>
            <w:u w:val="single"/>
          </w:rPr>
          <w:t>https://doi.org/10.1016/j.ijnurstu.2020.103658</w:t>
        </w:r>
      </w:hyperlink>
      <w:r>
        <w:rPr>
          <w:rFonts w:ascii="Arial" w:eastAsia="Arial" w:hAnsi="Arial" w:cs="Arial"/>
          <w:sz w:val="22"/>
          <w:szCs w:val="22"/>
          <w:highlight w:val="white"/>
        </w:rPr>
        <w:t xml:space="preserve"> </w:t>
      </w:r>
    </w:p>
    <w:p w14:paraId="06EF4493" w14:textId="77777777" w:rsidR="00027B22" w:rsidRDefault="00027B22">
      <w:pPr>
        <w:spacing w:after="0" w:line="360" w:lineRule="auto"/>
        <w:jc w:val="both"/>
        <w:rPr>
          <w:rFonts w:ascii="Arial" w:eastAsia="Arial" w:hAnsi="Arial" w:cs="Arial"/>
          <w:sz w:val="22"/>
          <w:szCs w:val="22"/>
          <w:highlight w:val="white"/>
        </w:rPr>
      </w:pPr>
      <w:hyperlink r:id="rId46">
        <w:r>
          <w:rPr>
            <w:rFonts w:ascii="Arial" w:eastAsia="Arial" w:hAnsi="Arial" w:cs="Arial"/>
            <w:sz w:val="22"/>
            <w:szCs w:val="22"/>
            <w:highlight w:val="white"/>
          </w:rPr>
          <w:t>The Health Foundation</w:t>
        </w:r>
      </w:hyperlink>
      <w:r>
        <w:rPr>
          <w:rFonts w:ascii="Arial" w:eastAsia="Arial" w:hAnsi="Arial" w:cs="Arial"/>
          <w:sz w:val="22"/>
          <w:szCs w:val="22"/>
          <w:highlight w:val="white"/>
        </w:rPr>
        <w:t xml:space="preserve"> (2021) Jones, B., Kwong, E. and Warburton, W. </w:t>
      </w:r>
      <w:r>
        <w:rPr>
          <w:rFonts w:ascii="Arial" w:eastAsia="Arial" w:hAnsi="Arial" w:cs="Arial"/>
          <w:i/>
          <w:iCs/>
          <w:sz w:val="22"/>
          <w:szCs w:val="22"/>
          <w:highlight w:val="white"/>
        </w:rPr>
        <w:t>Quality Improvement Made Simple: What Everyone Should Know About Health Care Quality Improvement</w:t>
      </w:r>
      <w:r>
        <w:rPr>
          <w:rFonts w:ascii="Arial" w:eastAsia="Arial" w:hAnsi="Arial" w:cs="Arial"/>
          <w:sz w:val="22"/>
          <w:szCs w:val="22"/>
          <w:highlight w:val="white"/>
        </w:rPr>
        <w:t>. Available at:</w:t>
      </w:r>
      <w:hyperlink r:id="rId47">
        <w:r>
          <w:rPr>
            <w:rFonts w:ascii="Arial" w:eastAsia="Arial" w:hAnsi="Arial" w:cs="Arial"/>
            <w:sz w:val="22"/>
            <w:szCs w:val="22"/>
            <w:highlight w:val="white"/>
          </w:rPr>
          <w:t xml:space="preserve"> </w:t>
        </w:r>
      </w:hyperlink>
      <w:hyperlink r:id="rId48">
        <w:r>
          <w:rPr>
            <w:rFonts w:ascii="Arial" w:eastAsia="Arial" w:hAnsi="Arial" w:cs="Arial"/>
            <w:color w:val="1155CC"/>
            <w:sz w:val="22"/>
            <w:szCs w:val="22"/>
            <w:highlight w:val="white"/>
            <w:u w:val="single"/>
          </w:rPr>
          <w:t>https://www.health.org.uk/publications/quality-improvement-made-simple</w:t>
        </w:r>
      </w:hyperlink>
      <w:r>
        <w:rPr>
          <w:rFonts w:ascii="Arial" w:eastAsia="Arial" w:hAnsi="Arial" w:cs="Arial"/>
          <w:sz w:val="22"/>
          <w:szCs w:val="22"/>
          <w:highlight w:val="white"/>
        </w:rPr>
        <w:t xml:space="preserve"> (Accessed: 7 July 2026).</w:t>
      </w:r>
    </w:p>
    <w:sectPr w:rsidR="00027B22" w:rsidSect="00027B22">
      <w:footerReference w:type="default" r:id="rId49"/>
      <w:pgSz w:w="11906" w:h="16838"/>
      <w:pgMar w:top="1440" w:right="1440" w:bottom="1440" w:left="1440" w:header="708" w:footer="708"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9B47ED" w14:textId="77777777" w:rsidR="00017043" w:rsidRDefault="00017043" w:rsidP="00027B22">
      <w:pPr>
        <w:spacing w:after="0" w:line="240" w:lineRule="auto"/>
      </w:pPr>
      <w:r>
        <w:separator/>
      </w:r>
    </w:p>
  </w:endnote>
  <w:endnote w:type="continuationSeparator" w:id="0">
    <w:p w14:paraId="13D1AF3D" w14:textId="77777777" w:rsidR="00017043" w:rsidRDefault="00017043" w:rsidP="00027B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C1C6A5F0-FEA7-47F2-977B-0C7A23ADA327}"/>
  </w:font>
  <w:font w:name="Calibri">
    <w:panose1 w:val="020F0502020204030204"/>
    <w:charset w:val="00"/>
    <w:family w:val="swiss"/>
    <w:pitch w:val="variable"/>
    <w:sig w:usb0="E4002EFF" w:usb1="C200247B" w:usb2="00000009" w:usb3="00000000" w:csb0="000001FF" w:csb1="00000000"/>
    <w:embedRegular r:id="rId2" w:fontKey="{6FC3E60A-979F-44EF-80D2-82D7C7222A10}"/>
    <w:embedBold r:id="rId3" w:fontKey="{127208A7-43A9-40E2-8DAC-EBD47B66129B}"/>
  </w:font>
  <w:font w:name="Tahoma">
    <w:panose1 w:val="020B0604030504040204"/>
    <w:charset w:val="00"/>
    <w:family w:val="swiss"/>
    <w:pitch w:val="variable"/>
    <w:sig w:usb0="E1002EFF" w:usb1="C000605B" w:usb2="00000029" w:usb3="00000000" w:csb0="000101FF" w:csb1="00000000"/>
    <w:embedRegular r:id="rId4" w:fontKey="{782DEE22-C2AB-4DAB-B6F1-7CC37F52F0BA}"/>
  </w:font>
  <w:font w:name="Cambria">
    <w:panose1 w:val="02040503050406030204"/>
    <w:charset w:val="00"/>
    <w:family w:val="roman"/>
    <w:pitch w:val="variable"/>
    <w:sig w:usb0="E00006FF" w:usb1="420024FF" w:usb2="02000000" w:usb3="00000000" w:csb0="0000019F" w:csb1="00000000"/>
    <w:embedRegular r:id="rId5" w:fontKey="{62293B44-A3F9-499B-B46E-BC7E70E78D3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2537677"/>
      <w:docPartObj>
        <w:docPartGallery w:val="Page Numbers (Bottom of Page)"/>
        <w:docPartUnique/>
      </w:docPartObj>
    </w:sdtPr>
    <w:sdtEndPr>
      <w:rPr>
        <w:rFonts w:ascii="Arial" w:hAnsi="Arial" w:cs="Arial"/>
      </w:rPr>
    </w:sdtEndPr>
    <w:sdtContent>
      <w:sdt>
        <w:sdtPr>
          <w:rPr>
            <w:rFonts w:ascii="Arial" w:hAnsi="Arial" w:cs="Arial"/>
          </w:rPr>
          <w:id w:val="860082579"/>
          <w:docPartObj>
            <w:docPartGallery w:val="Page Numbers (Top of Page)"/>
            <w:docPartUnique/>
          </w:docPartObj>
        </w:sdtPr>
        <w:sdtContent>
          <w:p w14:paraId="13813737" w14:textId="77777777" w:rsidR="00027B22" w:rsidRPr="00027B22" w:rsidRDefault="00027B22">
            <w:pPr>
              <w:pStyle w:val="Footer"/>
              <w:jc w:val="right"/>
              <w:rPr>
                <w:rFonts w:ascii="Arial" w:hAnsi="Arial" w:cs="Arial"/>
              </w:rPr>
            </w:pPr>
            <w:r w:rsidRPr="00027B22">
              <w:rPr>
                <w:rFonts w:ascii="Arial" w:hAnsi="Arial" w:cs="Arial"/>
              </w:rPr>
              <w:t xml:space="preserve">Page </w:t>
            </w:r>
            <w:r w:rsidRPr="00027B22">
              <w:rPr>
                <w:rFonts w:ascii="Arial" w:hAnsi="Arial" w:cs="Arial"/>
                <w:b/>
                <w:bCs/>
              </w:rPr>
              <w:fldChar w:fldCharType="begin"/>
            </w:r>
            <w:r w:rsidRPr="00027B22">
              <w:rPr>
                <w:rFonts w:ascii="Arial" w:hAnsi="Arial" w:cs="Arial"/>
                <w:b/>
                <w:bCs/>
              </w:rPr>
              <w:instrText xml:space="preserve"> PAGE </w:instrText>
            </w:r>
            <w:r w:rsidRPr="00027B22">
              <w:rPr>
                <w:rFonts w:ascii="Arial" w:hAnsi="Arial" w:cs="Arial"/>
                <w:b/>
                <w:bCs/>
              </w:rPr>
              <w:fldChar w:fldCharType="separate"/>
            </w:r>
            <w:r>
              <w:rPr>
                <w:rFonts w:ascii="Arial" w:hAnsi="Arial" w:cs="Arial"/>
                <w:b/>
                <w:bCs/>
                <w:noProof/>
              </w:rPr>
              <w:t>9</w:t>
            </w:r>
            <w:r w:rsidRPr="00027B22">
              <w:rPr>
                <w:rFonts w:ascii="Arial" w:hAnsi="Arial" w:cs="Arial"/>
                <w:b/>
                <w:bCs/>
              </w:rPr>
              <w:fldChar w:fldCharType="end"/>
            </w:r>
            <w:r w:rsidRPr="00027B22">
              <w:rPr>
                <w:rFonts w:ascii="Arial" w:hAnsi="Arial" w:cs="Arial"/>
              </w:rPr>
              <w:t xml:space="preserve"> of </w:t>
            </w:r>
            <w:r w:rsidRPr="00027B22">
              <w:rPr>
                <w:rFonts w:ascii="Arial" w:hAnsi="Arial" w:cs="Arial"/>
                <w:b/>
                <w:bCs/>
              </w:rPr>
              <w:fldChar w:fldCharType="begin"/>
            </w:r>
            <w:r w:rsidRPr="00027B22">
              <w:rPr>
                <w:rFonts w:ascii="Arial" w:hAnsi="Arial" w:cs="Arial"/>
                <w:b/>
                <w:bCs/>
              </w:rPr>
              <w:instrText xml:space="preserve"> NUMPAGES  </w:instrText>
            </w:r>
            <w:r w:rsidRPr="00027B22">
              <w:rPr>
                <w:rFonts w:ascii="Arial" w:hAnsi="Arial" w:cs="Arial"/>
                <w:b/>
                <w:bCs/>
              </w:rPr>
              <w:fldChar w:fldCharType="separate"/>
            </w:r>
            <w:r>
              <w:rPr>
                <w:rFonts w:ascii="Arial" w:hAnsi="Arial" w:cs="Arial"/>
                <w:b/>
                <w:bCs/>
                <w:noProof/>
              </w:rPr>
              <w:t>10</w:t>
            </w:r>
            <w:r w:rsidRPr="00027B22">
              <w:rPr>
                <w:rFonts w:ascii="Arial" w:hAnsi="Arial" w:cs="Arial"/>
                <w:b/>
                <w:bCs/>
              </w:rPr>
              <w:fldChar w:fldCharType="end"/>
            </w:r>
          </w:p>
        </w:sdtContent>
      </w:sdt>
    </w:sdtContent>
  </w:sdt>
  <w:p w14:paraId="5F300076" w14:textId="77777777" w:rsidR="00027B22" w:rsidRDefault="00027B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80702C" w14:textId="77777777" w:rsidR="00017043" w:rsidRDefault="00017043" w:rsidP="00027B22">
      <w:pPr>
        <w:spacing w:after="0" w:line="240" w:lineRule="auto"/>
      </w:pPr>
      <w:r>
        <w:separator/>
      </w:r>
    </w:p>
  </w:footnote>
  <w:footnote w:type="continuationSeparator" w:id="0">
    <w:p w14:paraId="1112B7D2" w14:textId="77777777" w:rsidR="00017043" w:rsidRDefault="00017043" w:rsidP="00027B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CA2F62"/>
    <w:rsid w:val="00017043"/>
    <w:rsid w:val="00027B22"/>
    <w:rsid w:val="00444D97"/>
    <w:rsid w:val="0046265B"/>
    <w:rsid w:val="004D12A4"/>
    <w:rsid w:val="007A2DAE"/>
    <w:rsid w:val="008B6A7E"/>
    <w:rsid w:val="009D6907"/>
    <w:rsid w:val="00CA2F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80CBD"/>
  <w15:docId w15:val="{55FDB901-DE9D-4E2F-942A-2D245D225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after="0" w:line="360" w:lineRule="auto"/>
      <w:jc w:val="both"/>
      <w:outlineLvl w:val="0"/>
    </w:pPr>
    <w:rPr>
      <w:rFonts w:ascii="Arial" w:eastAsia="Arial" w:hAnsi="Arial" w:cs="Arial"/>
      <w:b/>
      <w:bCs/>
    </w:rPr>
  </w:style>
  <w:style w:type="paragraph" w:styleId="Heading2">
    <w:name w:val="heading 2"/>
    <w:basedOn w:val="Normal"/>
    <w:next w:val="Normal"/>
    <w:pPr>
      <w:keepNext/>
      <w:keepLines/>
      <w:spacing w:before="360" w:after="80"/>
      <w:outlineLvl w:val="1"/>
    </w:pPr>
    <w:rPr>
      <w:b/>
      <w:bCs/>
      <w:sz w:val="36"/>
      <w:szCs w:val="36"/>
    </w:rPr>
  </w:style>
  <w:style w:type="paragraph" w:styleId="Heading3">
    <w:name w:val="heading 3"/>
    <w:basedOn w:val="Normal"/>
    <w:next w:val="Normal"/>
    <w:pPr>
      <w:keepNext/>
      <w:keepLines/>
      <w:spacing w:before="280" w:after="80"/>
      <w:outlineLvl w:val="2"/>
    </w:pPr>
    <w:rPr>
      <w:b/>
      <w:bCs/>
      <w:sz w:val="28"/>
      <w:szCs w:val="28"/>
    </w:rPr>
  </w:style>
  <w:style w:type="paragraph" w:styleId="Heading4">
    <w:name w:val="heading 4"/>
    <w:basedOn w:val="Normal"/>
    <w:next w:val="Normal"/>
    <w:pPr>
      <w:keepNext/>
      <w:keepLines/>
      <w:spacing w:before="240" w:after="40"/>
      <w:outlineLvl w:val="3"/>
    </w:pPr>
    <w:rPr>
      <w:b/>
      <w:bCs/>
    </w:rPr>
  </w:style>
  <w:style w:type="paragraph" w:styleId="Heading5">
    <w:name w:val="heading 5"/>
    <w:basedOn w:val="Normal"/>
    <w:next w:val="Normal"/>
    <w:pPr>
      <w:keepNext/>
      <w:keepLines/>
      <w:spacing w:before="220" w:after="40"/>
      <w:outlineLvl w:val="4"/>
    </w:pPr>
    <w:rPr>
      <w:b/>
      <w:bCs/>
      <w:sz w:val="22"/>
      <w:szCs w:val="22"/>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paragraph" w:styleId="TOCHeading">
    <w:name w:val="TOC Heading"/>
    <w:basedOn w:val="Heading1"/>
    <w:next w:val="Normal"/>
    <w:uiPriority w:val="39"/>
    <w:semiHidden/>
    <w:unhideWhenUsed/>
    <w:qFormat/>
    <w:rsid w:val="00027B22"/>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ja-JP"/>
    </w:rPr>
  </w:style>
  <w:style w:type="paragraph" w:styleId="TOC1">
    <w:name w:val="toc 1"/>
    <w:basedOn w:val="Normal"/>
    <w:next w:val="Normal"/>
    <w:autoRedefine/>
    <w:uiPriority w:val="39"/>
    <w:unhideWhenUsed/>
    <w:rsid w:val="00027B22"/>
    <w:pPr>
      <w:spacing w:after="100"/>
    </w:pPr>
  </w:style>
  <w:style w:type="paragraph" w:styleId="TOC3">
    <w:name w:val="toc 3"/>
    <w:basedOn w:val="Normal"/>
    <w:next w:val="Normal"/>
    <w:autoRedefine/>
    <w:uiPriority w:val="39"/>
    <w:unhideWhenUsed/>
    <w:rsid w:val="00027B22"/>
    <w:pPr>
      <w:spacing w:after="100"/>
      <w:ind w:left="480"/>
    </w:pPr>
  </w:style>
  <w:style w:type="character" w:styleId="Hyperlink">
    <w:name w:val="Hyperlink"/>
    <w:basedOn w:val="DefaultParagraphFont"/>
    <w:uiPriority w:val="99"/>
    <w:unhideWhenUsed/>
    <w:rsid w:val="00027B22"/>
    <w:rPr>
      <w:color w:val="0000FF" w:themeColor="hyperlink"/>
      <w:u w:val="single"/>
    </w:rPr>
  </w:style>
  <w:style w:type="paragraph" w:styleId="BalloonText">
    <w:name w:val="Balloon Text"/>
    <w:basedOn w:val="Normal"/>
    <w:link w:val="BalloonTextChar"/>
    <w:uiPriority w:val="99"/>
    <w:semiHidden/>
    <w:unhideWhenUsed/>
    <w:rsid w:val="00027B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7B22"/>
    <w:rPr>
      <w:rFonts w:ascii="Tahoma" w:hAnsi="Tahoma" w:cs="Tahoma"/>
      <w:sz w:val="16"/>
      <w:szCs w:val="16"/>
    </w:rPr>
  </w:style>
  <w:style w:type="paragraph" w:styleId="Header">
    <w:name w:val="header"/>
    <w:basedOn w:val="Normal"/>
    <w:link w:val="HeaderChar"/>
    <w:uiPriority w:val="99"/>
    <w:unhideWhenUsed/>
    <w:rsid w:val="00027B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B22"/>
  </w:style>
  <w:style w:type="paragraph" w:styleId="Footer">
    <w:name w:val="footer"/>
    <w:basedOn w:val="Normal"/>
    <w:link w:val="FooterChar"/>
    <w:uiPriority w:val="99"/>
    <w:unhideWhenUsed/>
    <w:rsid w:val="00027B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B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health.org.uk?utm_source=chatgpt.com" TargetMode="External"/><Relationship Id="rId18" Type="http://schemas.openxmlformats.org/officeDocument/2006/relationships/hyperlink" Target="https://www.cqc.org.uk/guidance-regulation/providers/assessment/single-assessment-framework/responsive/person-centred-care" TargetMode="External"/><Relationship Id="rId26" Type="http://schemas.openxmlformats.org/officeDocument/2006/relationships/hyperlink" Target="https://pubmed.ncbi.nlm.nih.gov/39648161/" TargetMode="External"/><Relationship Id="rId39" Type="http://schemas.openxmlformats.org/officeDocument/2006/relationships/hyperlink" Target="https://www.england.nhs.uk?utm_source=chatgpt.com" TargetMode="External"/><Relationship Id="rId21" Type="http://schemas.openxmlformats.org/officeDocument/2006/relationships/hyperlink" Target="https://doi.org/10.1111/jan.16965" TargetMode="External"/><Relationship Id="rId34" Type="http://schemas.openxmlformats.org/officeDocument/2006/relationships/hyperlink" Target="https://onlinelibrary.wiley.com/doi/10.1111/spol.13088" TargetMode="External"/><Relationship Id="rId42" Type="http://schemas.openxmlformats.org/officeDocument/2006/relationships/hyperlink" Target="https://www.england.nhs.uk?utm_source=chatgpt.com" TargetMode="External"/><Relationship Id="rId47" Type="http://schemas.openxmlformats.org/officeDocument/2006/relationships/hyperlink" Target="https://www.health.org.uk/publications/quality-improvement-made-simple"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www.cqc.org.uk?utm_source=chatgpt.com" TargetMode="External"/><Relationship Id="rId29" Type="http://schemas.openxmlformats.org/officeDocument/2006/relationships/hyperlink" Target="https://www.gmc-uk.org/professional-standards/good-medical-practice-2024/key-changes-to-good-medical-practice-2024/promoting-patient-centred-care" TargetMode="External"/><Relationship Id="rId11" Type="http://schemas.openxmlformats.org/officeDocument/2006/relationships/hyperlink" Target="https://www.cqc.org.uk?utm_source=chatgpt.com" TargetMode="External"/><Relationship Id="rId24" Type="http://schemas.openxmlformats.org/officeDocument/2006/relationships/hyperlink" Target="https://www.frontiersin.org/journals/health-services/articles/10.3389/frhs.2025.1534178/full" TargetMode="External"/><Relationship Id="rId32" Type="http://schemas.openxmlformats.org/officeDocument/2006/relationships/hyperlink" Target="https://pubmed.ncbi.nlm.nih.gov/38093586/" TargetMode="External"/><Relationship Id="rId37" Type="http://schemas.openxmlformats.org/officeDocument/2006/relationships/hyperlink" Target="https://journals.sagepub.com/doi/10.1177/13558196211071041" TargetMode="External"/><Relationship Id="rId40" Type="http://schemas.openxmlformats.org/officeDocument/2006/relationships/hyperlink" Target="https://www.england.nhs.uk/publication/personalised-care-operating-model/" TargetMode="External"/><Relationship Id="rId45" Type="http://schemas.openxmlformats.org/officeDocument/2006/relationships/hyperlink" Target="https://doi.org/10.1016/j.ijnurstu.2020.103658" TargetMode="External"/><Relationship Id="rId5" Type="http://schemas.openxmlformats.org/officeDocument/2006/relationships/webSettings" Target="webSettings.xml"/><Relationship Id="rId15" Type="http://schemas.openxmlformats.org/officeDocument/2006/relationships/hyperlink" Target="https://onlinelibrary.wiley.com/doi/10.1111/hsc.13913" TargetMode="External"/><Relationship Id="rId23" Type="http://schemas.openxmlformats.org/officeDocument/2006/relationships/hyperlink" Target="https://doi.org/10.1016/j.pec.2022.07.003" TargetMode="External"/><Relationship Id="rId28" Type="http://schemas.openxmlformats.org/officeDocument/2006/relationships/hyperlink" Target="https://www.gmc-uk.org?utm_source=chatgpt.com" TargetMode="External"/><Relationship Id="rId36" Type="http://schemas.openxmlformats.org/officeDocument/2006/relationships/hyperlink" Target="https://journal.ilpnetwork.org/articles/324" TargetMode="External"/><Relationship Id="rId49" Type="http://schemas.openxmlformats.org/officeDocument/2006/relationships/footer" Target="footer1.xml"/><Relationship Id="rId10" Type="http://schemas.openxmlformats.org/officeDocument/2006/relationships/hyperlink" Target="https://www.england.nhs.uk?utm_source=chatgpt.com" TargetMode="External"/><Relationship Id="rId19" Type="http://schemas.openxmlformats.org/officeDocument/2006/relationships/hyperlink" Target="https://journals.sagepub.com/doi/10.1177/13558196211054278" TargetMode="External"/><Relationship Id="rId31" Type="http://schemas.openxmlformats.org/officeDocument/2006/relationships/hyperlink" Target="https://pubmed.ncbi.nlm.nih.gov/38093586/" TargetMode="External"/><Relationship Id="rId44" Type="http://schemas.openxmlformats.org/officeDocument/2006/relationships/hyperlink" Target="https://www.england.nhs.uk/long-read/workforce-development-framework-social-prescribing-link-workers/" TargetMode="External"/><Relationship Id="rId4" Type="http://schemas.openxmlformats.org/officeDocument/2006/relationships/settings" Target="settings.xml"/><Relationship Id="rId9" Type="http://schemas.openxmlformats.org/officeDocument/2006/relationships/hyperlink" Target="https://www.england.nhs.uk?utm_source=chatgpt.com" TargetMode="External"/><Relationship Id="rId14" Type="http://schemas.openxmlformats.org/officeDocument/2006/relationships/hyperlink" Target="https://onlinelibrary.wiley.com/doi/10.1111/hsc.13913" TargetMode="External"/><Relationship Id="rId22" Type="http://schemas.openxmlformats.org/officeDocument/2006/relationships/hyperlink" Target="https://doi.org/10.1016/j.pec.2022.07.003" TargetMode="External"/><Relationship Id="rId27" Type="http://schemas.openxmlformats.org/officeDocument/2006/relationships/hyperlink" Target="https://pubmed.ncbi.nlm.nih.gov/39648161/" TargetMode="External"/><Relationship Id="rId30" Type="http://schemas.openxmlformats.org/officeDocument/2006/relationships/hyperlink" Target="https://www.gmc-uk.org/professional-standards/good-medical-practice-2024/key-changes-to-good-medical-practice-2024/promoting-patient-centred-care" TargetMode="External"/><Relationship Id="rId35" Type="http://schemas.openxmlformats.org/officeDocument/2006/relationships/hyperlink" Target="https://journal.ilpnetwork.org/articles/324" TargetMode="External"/><Relationship Id="rId43" Type="http://schemas.openxmlformats.org/officeDocument/2006/relationships/hyperlink" Target="https://www.england.nhs.uk/long-read/workforce-development-framework-social-prescribing-link-workers/" TargetMode="External"/><Relationship Id="rId48" Type="http://schemas.openxmlformats.org/officeDocument/2006/relationships/hyperlink" Target="https://www.health.org.uk/publications/quality-improvement-made-simple"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gmc-uk.org?utm_source=chatgpt.com" TargetMode="External"/><Relationship Id="rId17" Type="http://schemas.openxmlformats.org/officeDocument/2006/relationships/hyperlink" Target="https://www.cqc.org.uk/guidance-regulation/providers/assessment/single-assessment-framework/responsive/person-centred-care" TargetMode="External"/><Relationship Id="rId25" Type="http://schemas.openxmlformats.org/officeDocument/2006/relationships/hyperlink" Target="https://www.frontiersin.org/journals/health-services/articles/10.3389/frhs.2025.1534178/full" TargetMode="External"/><Relationship Id="rId33" Type="http://schemas.openxmlformats.org/officeDocument/2006/relationships/hyperlink" Target="https://onlinelibrary.wiley.com/doi/10.1111/spol.13088" TargetMode="External"/><Relationship Id="rId38" Type="http://schemas.openxmlformats.org/officeDocument/2006/relationships/hyperlink" Target="https://journals.sagepub.com/doi/10.1177/13558196211071041" TargetMode="External"/><Relationship Id="rId46" Type="http://schemas.openxmlformats.org/officeDocument/2006/relationships/hyperlink" Target="https://www.health.org.uk?utm_source=chatgpt.com" TargetMode="External"/><Relationship Id="rId20" Type="http://schemas.openxmlformats.org/officeDocument/2006/relationships/hyperlink" Target="https://journals.sagepub.com/doi/10.1177/13558196211054278" TargetMode="External"/><Relationship Id="rId41" Type="http://schemas.openxmlformats.org/officeDocument/2006/relationships/hyperlink" Target="https://www.england.nhs.uk/publication/personalised-care-operating-model/"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20R0bkAvROIkz9pqZd4fkh1VbA==">CgMxLjAyDmguZTlldGMyOXJ3cnRyMg5oLjdibTk1czRoZjlmeTINaC5qOGJ5d3MzZGdkZjIOaC51NWNxdW9zYmExbWoyDmgubWwyY2J0NXUzcXAxOAByITE0a2Y5aHVGX2JhVWM1N3hocWowYXNySVNvU2xnMHRKQw==</go:docsCustomData>
</go:gDocsCustomXmlDataStorage>
</file>

<file path=customXml/itemProps1.xml><?xml version="1.0" encoding="utf-8"?>
<ds:datastoreItem xmlns:ds="http://schemas.openxmlformats.org/officeDocument/2006/customXml" ds:itemID="{D6D9FEB8-5D34-46B2-8CEC-9BA52329C8CA}">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3619</Words>
  <Characters>20633</Characters>
  <Application>Microsoft Office Word</Application>
  <DocSecurity>0</DocSecurity>
  <Lines>171</Lines>
  <Paragraphs>48</Paragraphs>
  <ScaleCrop>false</ScaleCrop>
  <Company/>
  <LinksUpToDate>false</LinksUpToDate>
  <CharactersWithSpaces>24204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Alok Kumar</cp:lastModifiedBy>
  <cp:revision>4</cp:revision>
  <dcterms:created xsi:type="dcterms:W3CDTF">2026-07-07T08:44:00Z</dcterms:created>
  <dcterms:modified xsi:type="dcterms:W3CDTF">2026-07-20T03:41:00Z</dcterms:modified>
</cp:coreProperties>
</file>