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5E1CB" w14:textId="77777777" w:rsidR="00CF607F" w:rsidRPr="007A21B3" w:rsidRDefault="00000000" w:rsidP="007A21B3">
      <w:pPr>
        <w:pStyle w:val="Title"/>
        <w:spacing w:after="120" w:line="360" w:lineRule="auto"/>
        <w:rPr>
          <w:rFonts w:ascii="Aptos" w:hAnsi="Aptos" w:cs="Arial"/>
          <w:color w:val="auto"/>
        </w:rPr>
      </w:pPr>
      <w:r w:rsidRPr="007A21B3">
        <w:rPr>
          <w:rFonts w:ascii="Aptos" w:hAnsi="Aptos" w:cs="Arial"/>
          <w:color w:val="auto"/>
        </w:rPr>
        <w:t>CHAPTER 3 – METHODS AND SEARCH STRATEGY</w:t>
      </w:r>
    </w:p>
    <w:p w14:paraId="12D40E6D" w14:textId="77777777" w:rsidR="00CF607F" w:rsidRPr="007A21B3" w:rsidRDefault="00000000" w:rsidP="007A21B3">
      <w:pPr>
        <w:spacing w:after="120" w:line="360" w:lineRule="auto"/>
        <w:rPr>
          <w:rFonts w:cs="Arial"/>
        </w:rPr>
      </w:pPr>
      <w:r w:rsidRPr="007A21B3">
        <w:rPr>
          <w:rFonts w:cs="Arial"/>
          <w:i/>
          <w:sz w:val="18"/>
        </w:rPr>
        <w:t>Dissertation topic: Speech and Language Therapy Provision for Primary School Children with ADHD and DLD in Low-Income Urban Areas</w:t>
      </w:r>
    </w:p>
    <w:p w14:paraId="6C3A31BA" w14:textId="77777777" w:rsidR="00CF607F" w:rsidRPr="007A21B3" w:rsidRDefault="00000000" w:rsidP="007A21B3">
      <w:pPr>
        <w:pStyle w:val="Heading1"/>
        <w:spacing w:after="120" w:line="360" w:lineRule="auto"/>
        <w:rPr>
          <w:rFonts w:ascii="Aptos" w:hAnsi="Aptos" w:cs="Arial"/>
          <w:color w:val="auto"/>
        </w:rPr>
      </w:pPr>
      <w:r w:rsidRPr="007A21B3">
        <w:rPr>
          <w:rFonts w:ascii="Aptos" w:hAnsi="Aptos" w:cs="Arial"/>
          <w:color w:val="auto"/>
        </w:rPr>
        <w:t>3.1 Introduction</w:t>
      </w:r>
    </w:p>
    <w:p w14:paraId="0F92AD60" w14:textId="77777777" w:rsidR="00CF607F" w:rsidRPr="007A21B3" w:rsidRDefault="00000000" w:rsidP="007A21B3">
      <w:pPr>
        <w:spacing w:after="120" w:line="360" w:lineRule="auto"/>
        <w:jc w:val="both"/>
        <w:rPr>
          <w:rFonts w:cs="Arial"/>
        </w:rPr>
      </w:pPr>
      <w:r w:rsidRPr="007A21B3">
        <w:rPr>
          <w:rFonts w:cs="Arial"/>
        </w:rPr>
        <w:t>This chapter examines the secondary research methodology adopted to investigate speech and language therapy (SLT) provision for primary-school children with Attention Deficit Hyperactivity Disorder (ADHD) and Developmental Language Disorder (DLD) in low-income urban areas. Building upon the Academic Methodology Poster, it explains the identification, selection, evaluation and analysis of existing literature. A desk-based approach was appropriate because published evidence could be compared without collecting new participant data. Snyder (2019) emphasises the importance of transparent, structured methods in producing credible literature reviews. This chapter establishes the analytical foundation for the three themes discussed in Chapter 4.</w:t>
      </w:r>
    </w:p>
    <w:p w14:paraId="0911F8A5" w14:textId="77777777" w:rsidR="00CF607F" w:rsidRPr="007A21B3" w:rsidRDefault="00000000" w:rsidP="007A21B3">
      <w:pPr>
        <w:pStyle w:val="Heading1"/>
        <w:spacing w:after="120" w:line="360" w:lineRule="auto"/>
        <w:rPr>
          <w:rFonts w:ascii="Aptos" w:hAnsi="Aptos" w:cs="Arial"/>
          <w:color w:val="auto"/>
        </w:rPr>
      </w:pPr>
      <w:r w:rsidRPr="007A21B3">
        <w:rPr>
          <w:rFonts w:ascii="Aptos" w:hAnsi="Aptos" w:cs="Arial"/>
          <w:color w:val="auto"/>
        </w:rPr>
        <w:t>3.2 Search Strategy</w:t>
      </w:r>
    </w:p>
    <w:p w14:paraId="117C9155" w14:textId="77777777" w:rsidR="00CF607F" w:rsidRPr="007A21B3" w:rsidRDefault="00000000" w:rsidP="007A21B3">
      <w:pPr>
        <w:spacing w:after="120" w:line="360" w:lineRule="auto"/>
        <w:jc w:val="both"/>
        <w:rPr>
          <w:rFonts w:cs="Arial"/>
        </w:rPr>
      </w:pPr>
      <w:r w:rsidRPr="007A21B3">
        <w:rPr>
          <w:rFonts w:cs="Arial"/>
        </w:rPr>
        <w:t>A search strategy was developed around the research question, focusing on communication difficulties, SLT access, socioeconomic disadvantage and early intervention. Keywords included ADHD, developmental language disorder, speech and language therapy, communication needs, urban deprivation and health inequalities. Alternative terminology was considered to broaden retrieval; Bishop et al. (2017) clarify the distinction between DLD and wider language difficulties and recognise the possibility of co-occurring ADHD. Boolean operators AND and OR connect concepts and synonyms, whereas NOT can exclude irrelevant results (Bramer et al., 2018). An illustrative combination was: (ADHD OR attention deficit hyperactivity disorder) AND (DLD OR developmental language disorder) AND (speech and language therapy OR SLT). This is a search example, not a verbatim recorded database query.</w:t>
      </w:r>
    </w:p>
    <w:p w14:paraId="72E036FA" w14:textId="77777777" w:rsidR="00CF607F" w:rsidRPr="007A21B3" w:rsidRDefault="00000000" w:rsidP="007A21B3">
      <w:pPr>
        <w:pStyle w:val="Heading1"/>
        <w:spacing w:after="120" w:line="360" w:lineRule="auto"/>
        <w:rPr>
          <w:rFonts w:ascii="Aptos" w:hAnsi="Aptos" w:cs="Arial"/>
          <w:color w:val="auto"/>
        </w:rPr>
      </w:pPr>
      <w:r w:rsidRPr="007A21B3">
        <w:rPr>
          <w:rFonts w:ascii="Aptos" w:hAnsi="Aptos" w:cs="Arial"/>
          <w:color w:val="auto"/>
        </w:rPr>
        <w:t>3.3 Searching for Information</w:t>
      </w:r>
    </w:p>
    <w:p w14:paraId="1EAA1181" w14:textId="77777777" w:rsidR="00CF607F" w:rsidRPr="007A21B3" w:rsidRDefault="00000000" w:rsidP="007A21B3">
      <w:pPr>
        <w:spacing w:after="120" w:line="360" w:lineRule="auto"/>
        <w:jc w:val="both"/>
        <w:rPr>
          <w:rFonts w:cs="Arial"/>
        </w:rPr>
      </w:pPr>
      <w:r w:rsidRPr="007A21B3">
        <w:rPr>
          <w:rFonts w:cs="Arial"/>
        </w:rPr>
        <w:t xml:space="preserve">The proposal identified Google Scholar, PubMed, CINAHL and the University of Wales Trinity Saint David Online Library as appropriate platforms. Their multidisciplinary coverage is relevant to health, education, developmental conditions and allied-health services. Booth, Sutton and Papaioannou (2016) stress the importance of choosing suitable information sources and reporting search methods </w:t>
      </w:r>
      <w:r w:rsidRPr="007A21B3">
        <w:rPr>
          <w:rFonts w:cs="Arial"/>
        </w:rPr>
        <w:lastRenderedPageBreak/>
        <w:t>clearly. The planned selection process prioritised UK-based studies, childhood communication needs and peer-reviewed evidence, while also admitting authoritative professional and government reports. Recent sources were favoured, although foundational studies were retained when strongly relevant. The literature tracking workbook documents ten UK sources appraised for relevance and quality; the five highest-ranked, each scoring 4/5 on the overall CRAAP judgement, were prioritised for detailed analysis. These were Law, McBean and Rush (2011), Norbury et al. (2016), Dockrell et al. (2019), West et al. (2021) and Royal College of Speech and Language Therapists (RCSLT, 2025). The workbook recorded aims, methods, sample characteristics, findings, limitations and recurring concepts. Peters et al. (2020) stress the importance of defining review boundaries, although their scoping-review framework was used as methodological context rather than a claim of compliance. As exact database search dates, retrieval totals and duplicate-removal figures were not recorded, the work is described as a targeted literature review, not a completed systematic review.</w:t>
      </w:r>
    </w:p>
    <w:p w14:paraId="7D6E3EED" w14:textId="77777777" w:rsidR="00CF607F" w:rsidRPr="007A21B3" w:rsidRDefault="00000000" w:rsidP="007A21B3">
      <w:pPr>
        <w:pStyle w:val="Heading1"/>
        <w:spacing w:after="120" w:line="360" w:lineRule="auto"/>
        <w:rPr>
          <w:rFonts w:ascii="Aptos" w:hAnsi="Aptos" w:cs="Arial"/>
          <w:color w:val="auto"/>
        </w:rPr>
      </w:pPr>
      <w:r w:rsidRPr="007A21B3">
        <w:rPr>
          <w:rFonts w:ascii="Aptos" w:hAnsi="Aptos" w:cs="Arial"/>
          <w:color w:val="auto"/>
        </w:rPr>
        <w:t>3.4 Research Validation</w:t>
      </w:r>
    </w:p>
    <w:p w14:paraId="09710BBA" w14:textId="77777777" w:rsidR="00CF607F" w:rsidRPr="007A21B3" w:rsidRDefault="00000000" w:rsidP="007A21B3">
      <w:pPr>
        <w:spacing w:after="120" w:line="360" w:lineRule="auto"/>
        <w:jc w:val="both"/>
        <w:rPr>
          <w:rFonts w:cs="Arial"/>
        </w:rPr>
      </w:pPr>
      <w:r w:rsidRPr="007A21B3">
        <w:rPr>
          <w:rFonts w:cs="Arial"/>
        </w:rPr>
        <w:t>Source validation involved reviewing titles, abstracts, research methods, principal findings and conclusions before deciding whether studies merited fuller consideration. Each of the ten workbook sources was assessed through Currency, Relevance, Authority, Accuracy and Purpose (CRAAP). The five prioritised sources received overall judgements of 4/5, but these scores were not treated as validated risk-of-bias measures. For example, West et al. (2021) provides relatively strong intervention evidence through a school cluster-randomised trial, yet did not analyse children with both ADHD and DLD. RCSLT (2025) provides contemporary workforce evidence but relies on voluntary practitioner responses. Page et al. (2021) highlight transparent reporting in systematic reviews; PRISMA principles informed critical attention to reporting, without implying a completed PRISMA review. The final selection therefore balanced methodological strengths against population and setting limitations.</w:t>
      </w:r>
    </w:p>
    <w:p w14:paraId="50DB9B56" w14:textId="77777777" w:rsidR="00CF607F" w:rsidRPr="007A21B3" w:rsidRDefault="00000000" w:rsidP="007A21B3">
      <w:pPr>
        <w:pStyle w:val="Heading1"/>
        <w:spacing w:after="120" w:line="360" w:lineRule="auto"/>
        <w:rPr>
          <w:rFonts w:ascii="Aptos" w:hAnsi="Aptos" w:cs="Arial"/>
          <w:color w:val="auto"/>
        </w:rPr>
      </w:pPr>
      <w:r w:rsidRPr="007A21B3">
        <w:rPr>
          <w:rFonts w:ascii="Aptos" w:hAnsi="Aptos" w:cs="Arial"/>
          <w:color w:val="auto"/>
        </w:rPr>
        <w:t>3.5 Inclusion and Exclusion Criteria</w:t>
      </w:r>
    </w:p>
    <w:p w14:paraId="13E317FF" w14:textId="77777777" w:rsidR="00CF607F" w:rsidRPr="007A21B3" w:rsidRDefault="00000000" w:rsidP="007A21B3">
      <w:pPr>
        <w:spacing w:after="120" w:line="360" w:lineRule="auto"/>
        <w:jc w:val="both"/>
        <w:rPr>
          <w:rFonts w:cs="Arial"/>
        </w:rPr>
      </w:pPr>
      <w:r w:rsidRPr="007A21B3">
        <w:rPr>
          <w:rFonts w:cs="Arial"/>
        </w:rPr>
        <w:t xml:space="preserve">Included material comprised UK-based peer-reviewed studies and authoritative professional or government publications addressing children's language difficulties, SLT provision, educational support, socioeconomic inequalities or early intervention. Sources from approximately the preceding decade were preferred, but earlier foundational research was retained when closely aligned with the research question, particularly Law, McBean and Rush (2011). Unsupported opinion, untraceable </w:t>
      </w:r>
      <w:r w:rsidRPr="007A21B3">
        <w:rPr>
          <w:rFonts w:cs="Arial"/>
        </w:rPr>
        <w:lastRenderedPageBreak/>
        <w:t>evidence, irrelevant adult populations and publications without meaningful relevance to UK provision were excluded. The SEND Code of Practice (Department for Education and Department of Health, 2015), the SEND guide for health professionals (Department for Education, 2014) and NICE (2018) informed the contextual understanding of service responsibilities; these policy sources were not misrepresented as intervention studies.</w:t>
      </w:r>
    </w:p>
    <w:p w14:paraId="0A1C5EBE" w14:textId="77777777" w:rsidR="00CF607F" w:rsidRPr="007A21B3" w:rsidRDefault="00000000" w:rsidP="007A21B3">
      <w:pPr>
        <w:pStyle w:val="Heading1"/>
        <w:spacing w:after="120" w:line="360" w:lineRule="auto"/>
        <w:rPr>
          <w:rFonts w:ascii="Aptos" w:hAnsi="Aptos" w:cs="Arial"/>
          <w:color w:val="auto"/>
        </w:rPr>
      </w:pPr>
      <w:r w:rsidRPr="007A21B3">
        <w:rPr>
          <w:rFonts w:ascii="Aptos" w:hAnsi="Aptos" w:cs="Arial"/>
          <w:color w:val="auto"/>
        </w:rPr>
        <w:t>3.6 Analysing Research</w:t>
      </w:r>
    </w:p>
    <w:p w14:paraId="7D6B4EF9" w14:textId="77777777" w:rsidR="00CF607F" w:rsidRPr="007A21B3" w:rsidRDefault="00000000" w:rsidP="007A21B3">
      <w:pPr>
        <w:spacing w:after="120" w:line="360" w:lineRule="auto"/>
        <w:jc w:val="both"/>
        <w:rPr>
          <w:rFonts w:cs="Arial"/>
        </w:rPr>
      </w:pPr>
      <w:r w:rsidRPr="007A21B3">
        <w:rPr>
          <w:rFonts w:cs="Arial"/>
        </w:rPr>
        <w:t>The five selected publications were analysed by identifying and comparing recurring ideas. Braun and Clarke (2006) describe thematic analysis as an adaptable method for identifying and interpreting patterns across a dataset. The workbook tracked key concepts including unmet need, referral mismatch, eligibility barriers, diagnostic inequalities, school-based support and workforce pressure. Related concepts were grouped into three provisional themes: (1) barriers to equitable identification and access to support; (2) schools as settings for recognising and addressing language needs early; and (3) staff skills and service capacity as conditions for effective provision. Four of the five sources contributed to the first theme and three contributed to each remaining theme. These figures denote the number of supporting sources, not the magnitude of effects. A coding table summarising source-to-theme relationships is provided below. The themes are the framework for Chapter 4, rather than evidence of completed primary qualitative analysis.</w:t>
      </w:r>
    </w:p>
    <w:tbl>
      <w:tblPr>
        <w:tblStyle w:val="LightShading-Accent1"/>
        <w:tblW w:w="0" w:type="auto"/>
        <w:tblLook w:val="04A0" w:firstRow="1" w:lastRow="0" w:firstColumn="1" w:lastColumn="0" w:noHBand="0" w:noVBand="1"/>
      </w:tblPr>
      <w:tblGrid>
        <w:gridCol w:w="3196"/>
        <w:gridCol w:w="3197"/>
        <w:gridCol w:w="3197"/>
      </w:tblGrid>
      <w:tr w:rsidR="00CF607F" w:rsidRPr="007A21B3" w14:paraId="79E308BE" w14:textId="77777777" w:rsidTr="00CF60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18C1B041" w14:textId="77777777" w:rsidR="00CF607F" w:rsidRPr="007A21B3" w:rsidRDefault="00000000" w:rsidP="007A21B3">
            <w:pPr>
              <w:spacing w:after="120" w:line="360" w:lineRule="auto"/>
              <w:rPr>
                <w:rFonts w:cs="Arial"/>
                <w:color w:val="auto"/>
              </w:rPr>
            </w:pPr>
            <w:r w:rsidRPr="007A21B3">
              <w:rPr>
                <w:rFonts w:cs="Arial"/>
                <w:color w:val="auto"/>
              </w:rPr>
              <w:t>Theme</w:t>
            </w:r>
          </w:p>
        </w:tc>
        <w:tc>
          <w:tcPr>
            <w:tcW w:w="3197" w:type="dxa"/>
          </w:tcPr>
          <w:p w14:paraId="59936296" w14:textId="77777777" w:rsidR="00CF607F" w:rsidRPr="007A21B3" w:rsidRDefault="00000000" w:rsidP="007A21B3">
            <w:pPr>
              <w:spacing w:after="120" w:line="360" w:lineRule="auto"/>
              <w:cnfStyle w:val="100000000000" w:firstRow="1" w:lastRow="0" w:firstColumn="0" w:lastColumn="0" w:oddVBand="0" w:evenVBand="0" w:oddHBand="0" w:evenHBand="0" w:firstRowFirstColumn="0" w:firstRowLastColumn="0" w:lastRowFirstColumn="0" w:lastRowLastColumn="0"/>
              <w:rPr>
                <w:rFonts w:cs="Arial"/>
                <w:color w:val="auto"/>
              </w:rPr>
            </w:pPr>
            <w:r w:rsidRPr="007A21B3">
              <w:rPr>
                <w:rFonts w:cs="Arial"/>
                <w:color w:val="auto"/>
              </w:rPr>
              <w:t>Initial codes</w:t>
            </w:r>
          </w:p>
        </w:tc>
        <w:tc>
          <w:tcPr>
            <w:tcW w:w="3197" w:type="dxa"/>
          </w:tcPr>
          <w:p w14:paraId="0639FE72" w14:textId="77777777" w:rsidR="00CF607F" w:rsidRPr="007A21B3" w:rsidRDefault="00000000" w:rsidP="007A21B3">
            <w:pPr>
              <w:spacing w:after="120" w:line="360" w:lineRule="auto"/>
              <w:cnfStyle w:val="100000000000" w:firstRow="1" w:lastRow="0" w:firstColumn="0" w:lastColumn="0" w:oddVBand="0" w:evenVBand="0" w:oddHBand="0" w:evenHBand="0" w:firstRowFirstColumn="0" w:firstRowLastColumn="0" w:lastRowFirstColumn="0" w:lastRowLastColumn="0"/>
              <w:rPr>
                <w:rFonts w:cs="Arial"/>
                <w:color w:val="auto"/>
              </w:rPr>
            </w:pPr>
            <w:r w:rsidRPr="007A21B3">
              <w:rPr>
                <w:rFonts w:cs="Arial"/>
                <w:color w:val="auto"/>
              </w:rPr>
              <w:t>Supporting core sources</w:t>
            </w:r>
          </w:p>
        </w:tc>
      </w:tr>
      <w:tr w:rsidR="00CF607F" w:rsidRPr="007A21B3" w14:paraId="0CAC3696" w14:textId="77777777" w:rsidTr="00CF60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15D35D1C" w14:textId="77777777" w:rsidR="00CF607F" w:rsidRPr="007A21B3" w:rsidRDefault="00000000" w:rsidP="007A21B3">
            <w:pPr>
              <w:spacing w:after="120" w:line="360" w:lineRule="auto"/>
              <w:rPr>
                <w:rFonts w:cs="Arial"/>
                <w:color w:val="auto"/>
              </w:rPr>
            </w:pPr>
            <w:r w:rsidRPr="007A21B3">
              <w:rPr>
                <w:rFonts w:cs="Arial"/>
                <w:color w:val="auto"/>
              </w:rPr>
              <w:t>Barriers to equitable identification and access</w:t>
            </w:r>
          </w:p>
        </w:tc>
        <w:tc>
          <w:tcPr>
            <w:tcW w:w="3197" w:type="dxa"/>
          </w:tcPr>
          <w:p w14:paraId="68A7A6DA" w14:textId="77777777" w:rsidR="00CF607F" w:rsidRPr="007A21B3" w:rsidRDefault="00000000" w:rsidP="007A21B3">
            <w:pPr>
              <w:spacing w:after="120" w:line="360" w:lineRule="auto"/>
              <w:cnfStyle w:val="000000100000" w:firstRow="0" w:lastRow="0" w:firstColumn="0" w:lastColumn="0" w:oddVBand="0" w:evenVBand="0" w:oddHBand="1" w:evenHBand="0" w:firstRowFirstColumn="0" w:firstRowLastColumn="0" w:lastRowFirstColumn="0" w:lastRowLastColumn="0"/>
              <w:rPr>
                <w:rFonts w:cs="Arial"/>
                <w:color w:val="auto"/>
              </w:rPr>
            </w:pPr>
            <w:r w:rsidRPr="007A21B3">
              <w:rPr>
                <w:rFonts w:cs="Arial"/>
                <w:color w:val="auto"/>
              </w:rPr>
              <w:t>Unmet need, referral mismatch, eligibility, diagnostic inequality</w:t>
            </w:r>
          </w:p>
        </w:tc>
        <w:tc>
          <w:tcPr>
            <w:tcW w:w="3197" w:type="dxa"/>
          </w:tcPr>
          <w:p w14:paraId="02B8F56E" w14:textId="77777777" w:rsidR="00CF607F" w:rsidRPr="007A21B3" w:rsidRDefault="00000000" w:rsidP="007A21B3">
            <w:pPr>
              <w:spacing w:after="120" w:line="360" w:lineRule="auto"/>
              <w:cnfStyle w:val="000000100000" w:firstRow="0" w:lastRow="0" w:firstColumn="0" w:lastColumn="0" w:oddVBand="0" w:evenVBand="0" w:oddHBand="1" w:evenHBand="0" w:firstRowFirstColumn="0" w:firstRowLastColumn="0" w:lastRowFirstColumn="0" w:lastRowLastColumn="0"/>
              <w:rPr>
                <w:rFonts w:cs="Arial"/>
                <w:color w:val="auto"/>
              </w:rPr>
            </w:pPr>
            <w:r w:rsidRPr="007A21B3">
              <w:rPr>
                <w:rFonts w:cs="Arial"/>
                <w:color w:val="auto"/>
              </w:rPr>
              <w:t>Law et al. (2011); Norbury et al. (2016); Dockrell et al. (2019); RCSLT (2025)</w:t>
            </w:r>
          </w:p>
        </w:tc>
      </w:tr>
      <w:tr w:rsidR="00CF607F" w:rsidRPr="007A21B3" w14:paraId="569101A3" w14:textId="77777777" w:rsidTr="00CF607F">
        <w:tc>
          <w:tcPr>
            <w:cnfStyle w:val="001000000000" w:firstRow="0" w:lastRow="0" w:firstColumn="1" w:lastColumn="0" w:oddVBand="0" w:evenVBand="0" w:oddHBand="0" w:evenHBand="0" w:firstRowFirstColumn="0" w:firstRowLastColumn="0" w:lastRowFirstColumn="0" w:lastRowLastColumn="0"/>
            <w:tcW w:w="3197" w:type="dxa"/>
          </w:tcPr>
          <w:p w14:paraId="45B6BFC2" w14:textId="77777777" w:rsidR="00CF607F" w:rsidRPr="007A21B3" w:rsidRDefault="00000000" w:rsidP="007A21B3">
            <w:pPr>
              <w:spacing w:after="120" w:line="360" w:lineRule="auto"/>
              <w:rPr>
                <w:rFonts w:cs="Arial"/>
                <w:color w:val="auto"/>
              </w:rPr>
            </w:pPr>
            <w:r w:rsidRPr="007A21B3">
              <w:rPr>
                <w:rFonts w:cs="Arial"/>
                <w:color w:val="auto"/>
              </w:rPr>
              <w:t>Schools and early recognition</w:t>
            </w:r>
          </w:p>
        </w:tc>
        <w:tc>
          <w:tcPr>
            <w:tcW w:w="3197" w:type="dxa"/>
          </w:tcPr>
          <w:p w14:paraId="0EE746D8" w14:textId="77777777" w:rsidR="00CF607F" w:rsidRPr="007A21B3" w:rsidRDefault="00000000" w:rsidP="007A21B3">
            <w:pPr>
              <w:spacing w:after="120" w:line="360" w:lineRule="auto"/>
              <w:cnfStyle w:val="000000000000" w:firstRow="0" w:lastRow="0" w:firstColumn="0" w:lastColumn="0" w:oddVBand="0" w:evenVBand="0" w:oddHBand="0" w:evenHBand="0" w:firstRowFirstColumn="0" w:firstRowLastColumn="0" w:lastRowFirstColumn="0" w:lastRowLastColumn="0"/>
              <w:rPr>
                <w:rFonts w:cs="Arial"/>
                <w:color w:val="auto"/>
              </w:rPr>
            </w:pPr>
            <w:r w:rsidRPr="007A21B3">
              <w:rPr>
                <w:rFonts w:cs="Arial"/>
                <w:color w:val="auto"/>
              </w:rPr>
              <w:t>School support, early identification, intervention</w:t>
            </w:r>
          </w:p>
        </w:tc>
        <w:tc>
          <w:tcPr>
            <w:tcW w:w="3197" w:type="dxa"/>
          </w:tcPr>
          <w:p w14:paraId="59957AB3" w14:textId="77777777" w:rsidR="00CF607F" w:rsidRPr="007A21B3" w:rsidRDefault="00000000" w:rsidP="007A21B3">
            <w:pPr>
              <w:spacing w:after="120" w:line="360" w:lineRule="auto"/>
              <w:cnfStyle w:val="000000000000" w:firstRow="0" w:lastRow="0" w:firstColumn="0" w:lastColumn="0" w:oddVBand="0" w:evenVBand="0" w:oddHBand="0" w:evenHBand="0" w:firstRowFirstColumn="0" w:firstRowLastColumn="0" w:lastRowFirstColumn="0" w:lastRowLastColumn="0"/>
              <w:rPr>
                <w:rFonts w:cs="Arial"/>
                <w:color w:val="auto"/>
              </w:rPr>
            </w:pPr>
            <w:r w:rsidRPr="007A21B3">
              <w:rPr>
                <w:rFonts w:cs="Arial"/>
                <w:color w:val="auto"/>
              </w:rPr>
              <w:t>Norbury et al. (2016); Dockrell et al. (2019); West et al. (2021)</w:t>
            </w:r>
          </w:p>
        </w:tc>
      </w:tr>
      <w:tr w:rsidR="00CF607F" w:rsidRPr="007A21B3" w14:paraId="333ED498" w14:textId="77777777" w:rsidTr="00CF60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7" w:type="dxa"/>
          </w:tcPr>
          <w:p w14:paraId="13F8B78A" w14:textId="77777777" w:rsidR="00CF607F" w:rsidRPr="007A21B3" w:rsidRDefault="00000000" w:rsidP="007A21B3">
            <w:pPr>
              <w:spacing w:after="120" w:line="360" w:lineRule="auto"/>
              <w:rPr>
                <w:rFonts w:cs="Arial"/>
                <w:color w:val="auto"/>
              </w:rPr>
            </w:pPr>
            <w:r w:rsidRPr="007A21B3">
              <w:rPr>
                <w:rFonts w:cs="Arial"/>
                <w:color w:val="auto"/>
              </w:rPr>
              <w:t>Staff skills and service capacity</w:t>
            </w:r>
          </w:p>
        </w:tc>
        <w:tc>
          <w:tcPr>
            <w:tcW w:w="3197" w:type="dxa"/>
          </w:tcPr>
          <w:p w14:paraId="47A5DD22" w14:textId="77777777" w:rsidR="00CF607F" w:rsidRPr="007A21B3" w:rsidRDefault="00000000" w:rsidP="007A21B3">
            <w:pPr>
              <w:spacing w:after="120" w:line="360" w:lineRule="auto"/>
              <w:cnfStyle w:val="000000100000" w:firstRow="0" w:lastRow="0" w:firstColumn="0" w:lastColumn="0" w:oddVBand="0" w:evenVBand="0" w:oddHBand="1" w:evenHBand="0" w:firstRowFirstColumn="0" w:firstRowLastColumn="0" w:lastRowFirstColumn="0" w:lastRowLastColumn="0"/>
              <w:rPr>
                <w:rFonts w:cs="Arial"/>
                <w:color w:val="auto"/>
              </w:rPr>
            </w:pPr>
            <w:r w:rsidRPr="007A21B3">
              <w:rPr>
                <w:rFonts w:cs="Arial"/>
                <w:color w:val="auto"/>
              </w:rPr>
              <w:t>Workforce pressures, trained staff, support allocation</w:t>
            </w:r>
          </w:p>
        </w:tc>
        <w:tc>
          <w:tcPr>
            <w:tcW w:w="3197" w:type="dxa"/>
          </w:tcPr>
          <w:p w14:paraId="41213D70" w14:textId="77777777" w:rsidR="00CF607F" w:rsidRPr="007A21B3" w:rsidRDefault="00000000" w:rsidP="007A21B3">
            <w:pPr>
              <w:spacing w:after="120" w:line="360" w:lineRule="auto"/>
              <w:cnfStyle w:val="000000100000" w:firstRow="0" w:lastRow="0" w:firstColumn="0" w:lastColumn="0" w:oddVBand="0" w:evenVBand="0" w:oddHBand="1" w:evenHBand="0" w:firstRowFirstColumn="0" w:firstRowLastColumn="0" w:lastRowFirstColumn="0" w:lastRowLastColumn="0"/>
              <w:rPr>
                <w:rFonts w:cs="Arial"/>
                <w:color w:val="auto"/>
              </w:rPr>
            </w:pPr>
            <w:r w:rsidRPr="007A21B3">
              <w:rPr>
                <w:rFonts w:cs="Arial"/>
                <w:color w:val="auto"/>
              </w:rPr>
              <w:t>Dockrell et al. (2019); West et al. (2021); RCSLT (2025)</w:t>
            </w:r>
          </w:p>
        </w:tc>
      </w:tr>
    </w:tbl>
    <w:p w14:paraId="0C6E9C12" w14:textId="77777777" w:rsidR="00CF607F" w:rsidRPr="007A21B3" w:rsidRDefault="00000000" w:rsidP="007A21B3">
      <w:pPr>
        <w:pStyle w:val="Caption"/>
        <w:spacing w:after="120" w:line="360" w:lineRule="auto"/>
        <w:rPr>
          <w:rFonts w:cs="Arial"/>
          <w:color w:val="auto"/>
        </w:rPr>
      </w:pPr>
      <w:r w:rsidRPr="007A21B3">
        <w:rPr>
          <w:rFonts w:cs="Arial"/>
          <w:color w:val="auto"/>
        </w:rPr>
        <w:t>Table 3.1. Source-to-theme summary based on the Literature Tracking and Analysis Workbook.</w:t>
      </w:r>
    </w:p>
    <w:p w14:paraId="0A6611A5" w14:textId="77777777" w:rsidR="00CF607F" w:rsidRPr="007A21B3" w:rsidRDefault="00000000" w:rsidP="007A21B3">
      <w:pPr>
        <w:pStyle w:val="Heading1"/>
        <w:spacing w:after="120" w:line="360" w:lineRule="auto"/>
        <w:rPr>
          <w:rFonts w:ascii="Aptos" w:hAnsi="Aptos" w:cs="Arial"/>
          <w:color w:val="auto"/>
        </w:rPr>
      </w:pPr>
      <w:r w:rsidRPr="007A21B3">
        <w:rPr>
          <w:rFonts w:ascii="Aptos" w:hAnsi="Aptos" w:cs="Arial"/>
          <w:color w:val="auto"/>
        </w:rPr>
        <w:lastRenderedPageBreak/>
        <w:t>3.7 Ethical Considerations</w:t>
      </w:r>
    </w:p>
    <w:p w14:paraId="08BF95C6" w14:textId="77777777" w:rsidR="00CF607F" w:rsidRPr="007A21B3" w:rsidRDefault="00000000" w:rsidP="007A21B3">
      <w:pPr>
        <w:spacing w:after="120" w:line="360" w:lineRule="auto"/>
        <w:jc w:val="both"/>
        <w:rPr>
          <w:rFonts w:cs="Arial"/>
        </w:rPr>
      </w:pPr>
      <w:r w:rsidRPr="007A21B3">
        <w:rPr>
          <w:rFonts w:cs="Arial"/>
        </w:rPr>
        <w:t>This study used published secondary sources; no children or families were recruited and no new personal data were collected. Ethical conduct therefore concerned accurate attribution, intellectual property, transparent appraisal and fair representation of evidence. UWTSD Harvard-style citations identify the original authors and publication years. Research involving general speech, language and communication needs, autism or younger children was not presented as directly equivalent to the specific population of primary pupils with both ADHD and DLD. Snyder (2019) and Page et al. (2021) reinforce the importance of transparent reporting. The reviewer also acknowledged potential selection bias and limits to generalisability.</w:t>
      </w:r>
    </w:p>
    <w:p w14:paraId="38E19490" w14:textId="77777777" w:rsidR="00CF607F" w:rsidRPr="007A21B3" w:rsidRDefault="00000000" w:rsidP="007A21B3">
      <w:pPr>
        <w:pStyle w:val="Heading1"/>
        <w:spacing w:after="120" w:line="360" w:lineRule="auto"/>
        <w:rPr>
          <w:rFonts w:ascii="Aptos" w:hAnsi="Aptos" w:cs="Arial"/>
          <w:color w:val="auto"/>
        </w:rPr>
      </w:pPr>
      <w:r w:rsidRPr="007A21B3">
        <w:rPr>
          <w:rFonts w:ascii="Aptos" w:hAnsi="Aptos" w:cs="Arial"/>
          <w:color w:val="auto"/>
        </w:rPr>
        <w:t>3.8 Chapter Conclusion</w:t>
      </w:r>
    </w:p>
    <w:p w14:paraId="410D24AA" w14:textId="77777777" w:rsidR="00CF607F" w:rsidRPr="007A21B3" w:rsidRDefault="00000000" w:rsidP="007A21B3">
      <w:pPr>
        <w:spacing w:after="120" w:line="360" w:lineRule="auto"/>
        <w:jc w:val="both"/>
        <w:rPr>
          <w:rFonts w:cs="Arial"/>
        </w:rPr>
      </w:pPr>
      <w:r w:rsidRPr="007A21B3">
        <w:rPr>
          <w:rFonts w:cs="Arial"/>
        </w:rPr>
        <w:t>This chapter explained how a targeted secondary literature review was planned, documented, appraised and organised. Search concepts and selection priorities guided source identification, and the CRAAP framework informed the prioritisation of five studies from the ten-source workbook. Thematic coding produced three provisional categories concerning equitable access, school-based early intervention and service capacity. Limitations included incomplete search-log information and the absence of studies directly examining the full combination of ADHD, DLD and low-income urban settings. Chapter 4 uses these themes to compare the selected evidence, consider additional UK research and evaluate implications for policy and professional practice.</w:t>
      </w:r>
    </w:p>
    <w:p w14:paraId="30446B1F" w14:textId="77777777" w:rsidR="00CF607F" w:rsidRPr="007A21B3" w:rsidRDefault="00000000" w:rsidP="007A21B3">
      <w:pPr>
        <w:spacing w:after="120" w:line="360" w:lineRule="auto"/>
        <w:rPr>
          <w:rFonts w:cs="Arial"/>
        </w:rPr>
      </w:pPr>
      <w:r w:rsidRPr="007A21B3">
        <w:rPr>
          <w:rFonts w:cs="Arial"/>
        </w:rPr>
        <w:br w:type="page"/>
      </w:r>
    </w:p>
    <w:p w14:paraId="4BCE442D" w14:textId="77777777" w:rsidR="00CF607F" w:rsidRPr="007A21B3" w:rsidRDefault="00000000" w:rsidP="007A21B3">
      <w:pPr>
        <w:pStyle w:val="Heading1"/>
        <w:spacing w:after="120" w:line="360" w:lineRule="auto"/>
        <w:rPr>
          <w:rFonts w:ascii="Aptos" w:hAnsi="Aptos" w:cs="Arial"/>
          <w:color w:val="auto"/>
        </w:rPr>
      </w:pPr>
      <w:r w:rsidRPr="007A21B3">
        <w:rPr>
          <w:rFonts w:ascii="Aptos" w:hAnsi="Aptos" w:cs="Arial"/>
          <w:color w:val="auto"/>
        </w:rPr>
        <w:lastRenderedPageBreak/>
        <w:t>Reference List</w:t>
      </w:r>
    </w:p>
    <w:p w14:paraId="431A49DD" w14:textId="77777777" w:rsidR="00CF607F" w:rsidRPr="007A21B3" w:rsidRDefault="00000000" w:rsidP="007A21B3">
      <w:pPr>
        <w:spacing w:after="120" w:line="360" w:lineRule="auto"/>
        <w:ind w:left="317" w:hanging="317"/>
        <w:rPr>
          <w:rFonts w:cs="Arial"/>
        </w:rPr>
      </w:pPr>
      <w:r w:rsidRPr="007A21B3">
        <w:rPr>
          <w:rFonts w:cs="Arial"/>
        </w:rPr>
        <w:t>Bishop, D.V.M., Snowling, M.J., Thompson, P.A. and Greenhalgh, T. (2017) ‘Phase 2 of CATALISE: a multinational and multidisciplinary Delphi consensus study of problems with language development: terminology’, Journal of Child Psychology and Psychiatry, 58(10), pp. 1068–1080.</w:t>
      </w:r>
    </w:p>
    <w:p w14:paraId="6290831E" w14:textId="77777777" w:rsidR="00CF607F" w:rsidRPr="007A21B3" w:rsidRDefault="00000000" w:rsidP="007A21B3">
      <w:pPr>
        <w:spacing w:after="120" w:line="360" w:lineRule="auto"/>
        <w:ind w:left="317" w:hanging="317"/>
        <w:rPr>
          <w:rFonts w:cs="Arial"/>
        </w:rPr>
      </w:pPr>
      <w:r w:rsidRPr="007A21B3">
        <w:rPr>
          <w:rFonts w:cs="Arial"/>
        </w:rPr>
        <w:t>Booth, A., Sutton, A. and Papaioannou, D. (2016) Systematic approaches to a successful literature review. 2nd edn. London: SAGE Publications.</w:t>
      </w:r>
    </w:p>
    <w:p w14:paraId="5D02FBF3" w14:textId="77777777" w:rsidR="00CF607F" w:rsidRPr="007A21B3" w:rsidRDefault="00000000" w:rsidP="007A21B3">
      <w:pPr>
        <w:spacing w:after="120" w:line="360" w:lineRule="auto"/>
        <w:ind w:left="317" w:hanging="317"/>
        <w:rPr>
          <w:rFonts w:cs="Arial"/>
        </w:rPr>
      </w:pPr>
      <w:r w:rsidRPr="007A21B3">
        <w:rPr>
          <w:rFonts w:cs="Arial"/>
        </w:rPr>
        <w:t>Bramer, W.M., de Jonge, G.B., Rethlefsen, M.L., Mast, F. and Kleijnen, J. (2018) ‘A systematic approach to searching: an efficient and complete method to develop literature searches’, Journal of the Medical Library Association, 106(4), pp. 531–541.</w:t>
      </w:r>
    </w:p>
    <w:p w14:paraId="56888240" w14:textId="77777777" w:rsidR="00CF607F" w:rsidRPr="007A21B3" w:rsidRDefault="00000000" w:rsidP="007A21B3">
      <w:pPr>
        <w:spacing w:after="120" w:line="360" w:lineRule="auto"/>
        <w:ind w:left="317" w:hanging="317"/>
        <w:rPr>
          <w:rFonts w:cs="Arial"/>
        </w:rPr>
      </w:pPr>
      <w:r w:rsidRPr="007A21B3">
        <w:rPr>
          <w:rFonts w:cs="Arial"/>
        </w:rPr>
        <w:t>Braun, V. and Clarke, V. (2006) ‘Using thematic analysis in psychology’, Qualitative Research in Psychology, 3(2), pp. 77–101.</w:t>
      </w:r>
    </w:p>
    <w:p w14:paraId="4DF9BD72" w14:textId="77777777" w:rsidR="00CF607F" w:rsidRPr="007A21B3" w:rsidRDefault="00000000" w:rsidP="007A21B3">
      <w:pPr>
        <w:spacing w:after="120" w:line="360" w:lineRule="auto"/>
        <w:ind w:left="317" w:hanging="317"/>
        <w:rPr>
          <w:rFonts w:cs="Arial"/>
        </w:rPr>
      </w:pPr>
      <w:r w:rsidRPr="007A21B3">
        <w:rPr>
          <w:rFonts w:cs="Arial"/>
        </w:rPr>
        <w:t>Department for Education (2014) SEND: guide for health professionals. London: Department for Education.</w:t>
      </w:r>
    </w:p>
    <w:p w14:paraId="00E5A359" w14:textId="77777777" w:rsidR="00CF607F" w:rsidRPr="007A21B3" w:rsidRDefault="00000000" w:rsidP="007A21B3">
      <w:pPr>
        <w:spacing w:after="120" w:line="360" w:lineRule="auto"/>
        <w:ind w:left="317" w:hanging="317"/>
        <w:rPr>
          <w:rFonts w:cs="Arial"/>
        </w:rPr>
      </w:pPr>
      <w:r w:rsidRPr="007A21B3">
        <w:rPr>
          <w:rFonts w:cs="Arial"/>
        </w:rPr>
        <w:t>Department for Education and Department of Health (2015) Special educational needs and disability code of practice: 0 to 25 years. London: Department for Education.</w:t>
      </w:r>
    </w:p>
    <w:p w14:paraId="04B83426" w14:textId="77777777" w:rsidR="00CF607F" w:rsidRPr="007A21B3" w:rsidRDefault="00000000" w:rsidP="007A21B3">
      <w:pPr>
        <w:spacing w:after="120" w:line="360" w:lineRule="auto"/>
        <w:ind w:left="317" w:hanging="317"/>
        <w:rPr>
          <w:rFonts w:cs="Arial"/>
        </w:rPr>
      </w:pPr>
      <w:r w:rsidRPr="007A21B3">
        <w:rPr>
          <w:rFonts w:cs="Arial"/>
        </w:rPr>
        <w:t>Dockrell, J.E., Ricketts, J., Palikara, O., Charman, T. and Lindsay, G.A. (2019) ‘What drives educational support for children with developmental language disorder or autism spectrum disorder: needs, or diagnostic category?’, Frontiers in Education, 4, article 29.</w:t>
      </w:r>
    </w:p>
    <w:p w14:paraId="29B54CBB" w14:textId="77777777" w:rsidR="00CF607F" w:rsidRPr="007A21B3" w:rsidRDefault="00000000" w:rsidP="007A21B3">
      <w:pPr>
        <w:spacing w:after="120" w:line="360" w:lineRule="auto"/>
        <w:ind w:left="317" w:hanging="317"/>
        <w:rPr>
          <w:rFonts w:cs="Arial"/>
        </w:rPr>
      </w:pPr>
      <w:r w:rsidRPr="007A21B3">
        <w:rPr>
          <w:rFonts w:cs="Arial"/>
        </w:rPr>
        <w:t>Law, J., McBean, K. and Rush, R. (2011) ‘Communication skills in a population of primary school-aged children raised in an area of pronounced social disadvantage’, International Journal of Language &amp; Communication Disorders, 46(6), pp. 657–664.</w:t>
      </w:r>
    </w:p>
    <w:p w14:paraId="2B4D6661" w14:textId="77777777" w:rsidR="00CF607F" w:rsidRPr="007A21B3" w:rsidRDefault="00000000" w:rsidP="007A21B3">
      <w:pPr>
        <w:spacing w:after="120" w:line="360" w:lineRule="auto"/>
        <w:ind w:left="317" w:hanging="317"/>
        <w:rPr>
          <w:rFonts w:cs="Arial"/>
        </w:rPr>
      </w:pPr>
      <w:r w:rsidRPr="007A21B3">
        <w:rPr>
          <w:rFonts w:cs="Arial"/>
        </w:rPr>
        <w:t>National Institute for Health and Care Excellence (2018) Attention deficit hyperactivity disorder: diagnosis and management. NICE guideline NG87. Updated September 2019.</w:t>
      </w:r>
    </w:p>
    <w:p w14:paraId="535D5384" w14:textId="77777777" w:rsidR="00CF607F" w:rsidRPr="007A21B3" w:rsidRDefault="00000000" w:rsidP="007A21B3">
      <w:pPr>
        <w:spacing w:after="120" w:line="360" w:lineRule="auto"/>
        <w:ind w:left="317" w:hanging="317"/>
        <w:rPr>
          <w:rFonts w:cs="Arial"/>
        </w:rPr>
      </w:pPr>
      <w:r w:rsidRPr="007A21B3">
        <w:rPr>
          <w:rFonts w:cs="Arial"/>
        </w:rPr>
        <w:t>Norbury, C.F., Gooch, D., Wray, C., Baird, G., Charman, T., Simonoff, E., Vamvakas, G. and Pickles, A. (2016) ‘The impact of nonverbal ability on prevalence and clinical presentation of language disorder: evidence from a population study’, Journal of Child Psychology and Psychiatry, 57(11), pp. 1247–1257.</w:t>
      </w:r>
    </w:p>
    <w:p w14:paraId="3E59E0F5" w14:textId="77777777" w:rsidR="00CF607F" w:rsidRPr="007A21B3" w:rsidRDefault="00000000" w:rsidP="007A21B3">
      <w:pPr>
        <w:spacing w:after="120" w:line="360" w:lineRule="auto"/>
        <w:ind w:left="317" w:hanging="317"/>
        <w:rPr>
          <w:rFonts w:cs="Arial"/>
        </w:rPr>
      </w:pPr>
      <w:r w:rsidRPr="007A21B3">
        <w:rPr>
          <w:rFonts w:cs="Arial"/>
        </w:rPr>
        <w:t>Page, M.J. et al. (2021) ‘The PRISMA 2020 statement: an updated guideline for reporting systematic reviews’, BMJ, 372, n71.</w:t>
      </w:r>
    </w:p>
    <w:p w14:paraId="1917EBAD" w14:textId="77777777" w:rsidR="00CF607F" w:rsidRPr="007A21B3" w:rsidRDefault="00000000" w:rsidP="007A21B3">
      <w:pPr>
        <w:spacing w:after="120" w:line="360" w:lineRule="auto"/>
        <w:ind w:left="317" w:hanging="317"/>
        <w:rPr>
          <w:rFonts w:cs="Arial"/>
        </w:rPr>
      </w:pPr>
      <w:r w:rsidRPr="007A21B3">
        <w:rPr>
          <w:rFonts w:cs="Arial"/>
        </w:rPr>
        <w:lastRenderedPageBreak/>
        <w:t>Peters, M.D.J. et al. (2020) ‘Updated methodological guidance for the conduct of scoping reviews’, JBI Evidence Synthesis, 18(10), pp. 2119–2126.</w:t>
      </w:r>
    </w:p>
    <w:p w14:paraId="45B90910" w14:textId="77777777" w:rsidR="00CF607F" w:rsidRPr="007A21B3" w:rsidRDefault="00000000" w:rsidP="007A21B3">
      <w:pPr>
        <w:spacing w:after="120" w:line="360" w:lineRule="auto"/>
        <w:ind w:left="317" w:hanging="317"/>
        <w:rPr>
          <w:rFonts w:cs="Arial"/>
        </w:rPr>
      </w:pPr>
      <w:r w:rsidRPr="007A21B3">
        <w:rPr>
          <w:rFonts w:cs="Arial"/>
        </w:rPr>
        <w:t>Royal College of Speech and Language Therapists (2025) A profession under pressure: speech and language therapy retention and waiting times. London: RCSLT.</w:t>
      </w:r>
    </w:p>
    <w:p w14:paraId="669D9403" w14:textId="77777777" w:rsidR="00CF607F" w:rsidRPr="007A21B3" w:rsidRDefault="00000000" w:rsidP="007A21B3">
      <w:pPr>
        <w:spacing w:after="120" w:line="360" w:lineRule="auto"/>
        <w:ind w:left="317" w:hanging="317"/>
        <w:rPr>
          <w:rFonts w:cs="Arial"/>
        </w:rPr>
      </w:pPr>
      <w:r w:rsidRPr="007A21B3">
        <w:rPr>
          <w:rFonts w:cs="Arial"/>
        </w:rPr>
        <w:t>Snyder, H. (2019) ‘Literature review as a research methodology: an overview and guidelines’, Journal of Business Research, 104, pp. 333–339.</w:t>
      </w:r>
    </w:p>
    <w:p w14:paraId="464411D4" w14:textId="77777777" w:rsidR="00CF607F" w:rsidRPr="007A21B3" w:rsidRDefault="00000000" w:rsidP="007A21B3">
      <w:pPr>
        <w:spacing w:after="120" w:line="360" w:lineRule="auto"/>
        <w:ind w:left="317" w:hanging="317"/>
        <w:rPr>
          <w:rFonts w:cs="Arial"/>
        </w:rPr>
      </w:pPr>
      <w:r w:rsidRPr="007A21B3">
        <w:rPr>
          <w:rFonts w:cs="Arial"/>
        </w:rPr>
        <w:t>West, G., Snowling, M.J., Lervåg, A., Buchanan-Worster, E., Duta, M., Hall, A., McLachlan, H. and Hulme, C. (2021) ‘Early language screening and intervention can be delivered successfully at scale: evidence from a cluster randomized controlled trial’, Journal of Child Psychology and Psychiatry, 62(12), pp. 1425–1434. See also the 2023 corrigendum.</w:t>
      </w:r>
    </w:p>
    <w:sectPr w:rsidR="00CF607F" w:rsidRPr="007A21B3" w:rsidSect="00034616">
      <w:footerReference w:type="default" r:id="rId8"/>
      <w:pgSz w:w="12240" w:h="15840"/>
      <w:pgMar w:top="1123" w:right="1325" w:bottom="1008" w:left="132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F26D7" w14:textId="77777777" w:rsidR="004F7833" w:rsidRDefault="004F7833">
      <w:pPr>
        <w:spacing w:after="0" w:line="240" w:lineRule="auto"/>
      </w:pPr>
      <w:r>
        <w:separator/>
      </w:r>
    </w:p>
  </w:endnote>
  <w:endnote w:type="continuationSeparator" w:id="0">
    <w:p w14:paraId="1C88FDA2" w14:textId="77777777" w:rsidR="004F7833" w:rsidRDefault="004F7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6087077"/>
      <w:docPartObj>
        <w:docPartGallery w:val="Page Numbers (Bottom of Page)"/>
        <w:docPartUnique/>
      </w:docPartObj>
    </w:sdtPr>
    <w:sdtEndPr>
      <w:rPr>
        <w:noProof/>
      </w:rPr>
    </w:sdtEndPr>
    <w:sdtContent>
      <w:p w14:paraId="31426194" w14:textId="5FA712B3" w:rsidR="007A21B3" w:rsidRDefault="007A21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585287" w14:textId="23EDC5FD" w:rsidR="00CF607F" w:rsidRDefault="00CF607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2C41B" w14:textId="77777777" w:rsidR="004F7833" w:rsidRDefault="004F7833">
      <w:pPr>
        <w:spacing w:after="0" w:line="240" w:lineRule="auto"/>
      </w:pPr>
      <w:r>
        <w:separator/>
      </w:r>
    </w:p>
  </w:footnote>
  <w:footnote w:type="continuationSeparator" w:id="0">
    <w:p w14:paraId="66C49352" w14:textId="77777777" w:rsidR="004F7833" w:rsidRDefault="004F78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37802578">
    <w:abstractNumId w:val="8"/>
  </w:num>
  <w:num w:numId="2" w16cid:durableId="1866945643">
    <w:abstractNumId w:val="6"/>
  </w:num>
  <w:num w:numId="3" w16cid:durableId="831608643">
    <w:abstractNumId w:val="5"/>
  </w:num>
  <w:num w:numId="4" w16cid:durableId="60444318">
    <w:abstractNumId w:val="4"/>
  </w:num>
  <w:num w:numId="5" w16cid:durableId="39328725">
    <w:abstractNumId w:val="7"/>
  </w:num>
  <w:num w:numId="6" w16cid:durableId="1933393446">
    <w:abstractNumId w:val="3"/>
  </w:num>
  <w:num w:numId="7" w16cid:durableId="657996722">
    <w:abstractNumId w:val="2"/>
  </w:num>
  <w:num w:numId="8" w16cid:durableId="193422832">
    <w:abstractNumId w:val="1"/>
  </w:num>
  <w:num w:numId="9" w16cid:durableId="577446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F7833"/>
    <w:rsid w:val="0053774A"/>
    <w:rsid w:val="007A21B3"/>
    <w:rsid w:val="00AA1D8D"/>
    <w:rsid w:val="00B47730"/>
    <w:rsid w:val="00BF567F"/>
    <w:rsid w:val="00CB0664"/>
    <w:rsid w:val="00CF607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E755EC"/>
  <w14:defaultImageDpi w14:val="300"/>
  <w15:docId w15:val="{A8695449-55AD-4CA9-8E85-593BB8304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324" w:lineRule="auto"/>
    </w:pPr>
    <w:rPr>
      <w:rFonts w:ascii="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A405B"/>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A405B"/>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A405B"/>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1728</Words>
  <Characters>9852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11557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3 – METHODS AND SEARCH STRATEGY</dc:title>
  <dc:subject/>
  <dc:creator>python-docx</dc:creator>
  <cp:keywords/>
  <dc:description>generated by python-docx</dc:description>
  <cp:lastModifiedBy>Hajira Zaman</cp:lastModifiedBy>
  <cp:revision>2</cp:revision>
  <dcterms:created xsi:type="dcterms:W3CDTF">2026-10-23T11:02:00Z</dcterms:created>
  <dcterms:modified xsi:type="dcterms:W3CDTF">2026-10-23T11:02:00Z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76b9a073627be27ab50098fc6e4502732d8a131c9be60828ed62d192d95d1c78</vt:lpwstr>
  </property>
</Properties>
</file>