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b/>
              <w:sz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AE7436A" w:rsidR="007D1947" w:rsidRDefault="00744E8C" w:rsidP="00744E8C">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744E8C">
                <w:rPr>
                  <w:rFonts w:ascii="Times New Roman" w:hAnsi="Times New Roman"/>
                  <w:b/>
                  <w:sz w:val="32"/>
                </w:rPr>
                <w:t>AI Risk Management in DHL:</w:t>
              </w:r>
              <w:r>
                <w:rPr>
                  <w:rFonts w:ascii="Times New Roman" w:hAnsi="Times New Roman" w:hint="eastAsia"/>
                  <w:b/>
                  <w:sz w:val="32"/>
                  <w:lang w:eastAsia="zh-CN"/>
                </w:rPr>
                <w:t xml:space="preserve">                                                         </w:t>
              </w:r>
              <w:r w:rsidRPr="00744E8C">
                <w:rPr>
                  <w:rFonts w:ascii="Times New Roman" w:hAnsi="Times New Roman"/>
                  <w:b/>
                  <w:sz w:val="32"/>
                </w:rPr>
                <w:t xml:space="preserve"> A UK and EU Report</w:t>
              </w:r>
            </w:p>
          </w:sdtContent>
        </w:sdt>
        <w:sdt>
          <w:sdtPr>
            <w:rPr>
              <w:rFonts w:hint="eastAsia"/>
              <w:color w:val="5B9BD5" w:themeColor="accent1"/>
              <w:sz w:val="28"/>
              <w:szCs w:val="28"/>
              <w:lang w:eastAsia="zh-CN"/>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216AF26" w:rsidR="007D1947" w:rsidRDefault="00744E8C">
              <w:pPr>
                <w:pStyle w:val="a3"/>
                <w:jc w:val="center"/>
                <w:rPr>
                  <w:color w:val="5B9BD5" w:themeColor="accent1"/>
                  <w:sz w:val="28"/>
                  <w:szCs w:val="28"/>
                </w:rPr>
              </w:pPr>
              <w:r>
                <w:rPr>
                  <w:color w:val="5B9BD5" w:themeColor="accent1"/>
                  <w:sz w:val="28"/>
                  <w:szCs w:val="28"/>
                  <w:lang w:eastAsia="zh-CN"/>
                </w:rPr>
                <w:t>Y</w:t>
              </w:r>
              <w:r>
                <w:rPr>
                  <w:rFonts w:hint="eastAsia"/>
                  <w:color w:val="5B9BD5" w:themeColor="accent1"/>
                  <w:sz w:val="28"/>
                  <w:szCs w:val="28"/>
                  <w:lang w:eastAsia="zh-CN"/>
                </w:rPr>
                <w:t xml:space="preserve">itong </w:t>
              </w:r>
              <w:r>
                <w:rPr>
                  <w:color w:val="5B9BD5" w:themeColor="accent1"/>
                  <w:sz w:val="28"/>
                  <w:szCs w:val="28"/>
                  <w:lang w:eastAsia="zh-CN"/>
                </w:rPr>
                <w:t>Liu</w:t>
              </w:r>
              <w:r>
                <w:rPr>
                  <w:rFonts w:hint="eastAsia"/>
                  <w:color w:val="5B9BD5" w:themeColor="accent1"/>
                  <w:sz w:val="28"/>
                  <w:szCs w:val="28"/>
                  <w:lang w:eastAsia="zh-CN"/>
                </w:rPr>
                <w:t xml:space="preserve">                                                                                                                   2500637</w:t>
              </w:r>
            </w:p>
          </w:sdtContent>
        </w:sdt>
        <w:p w14:paraId="1ADC1124"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07T00:00:00Z">
                                    <w:dateFormat w:val="MMMM d, yyyy"/>
                                    <w:lid w:val="en-US"/>
                                    <w:storeMappedDataAs w:val="dateTime"/>
                                    <w:calendar w:val="gregorian"/>
                                  </w:date>
                                </w:sdtPr>
                                <w:sdtContent>
                                  <w:p w14:paraId="52BAF8D9" w14:textId="043AFDDC" w:rsidR="007D1947" w:rsidRDefault="004A6265">
                                    <w:pPr>
                                      <w:pStyle w:val="a3"/>
                                      <w:spacing w:after="40"/>
                                      <w:jc w:val="center"/>
                                      <w:rPr>
                                        <w:caps/>
                                        <w:color w:val="5B9BD5" w:themeColor="accent1"/>
                                        <w:sz w:val="28"/>
                                        <w:szCs w:val="28"/>
                                      </w:rPr>
                                    </w:pPr>
                                    <w:r>
                                      <w:rPr>
                                        <w:caps/>
                                        <w:color w:val="5B9BD5" w:themeColor="accent1"/>
                                        <w:sz w:val="28"/>
                                        <w:szCs w:val="28"/>
                                      </w:rPr>
                                      <w:t>October 7, 2026</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07T00:00:00Z">
                              <w:dateFormat w:val="MMMM d, yyyy"/>
                              <w:lid w:val="en-US"/>
                              <w:storeMappedDataAs w:val="dateTime"/>
                              <w:calendar w:val="gregorian"/>
                            </w:date>
                          </w:sdtPr>
                          <w:sdtContent>
                            <w:p w14:paraId="52BAF8D9" w14:textId="043AFDDC" w:rsidR="007D1947" w:rsidRDefault="004A6265">
                              <w:pPr>
                                <w:pStyle w:val="a3"/>
                                <w:spacing w:after="40"/>
                                <w:jc w:val="center"/>
                                <w:rPr>
                                  <w:caps/>
                                  <w:color w:val="5B9BD5" w:themeColor="accent1"/>
                                  <w:sz w:val="28"/>
                                  <w:szCs w:val="28"/>
                                </w:rPr>
                              </w:pPr>
                              <w:r>
                                <w:rPr>
                                  <w:caps/>
                                  <w:color w:val="5B9BD5" w:themeColor="accent1"/>
                                  <w:sz w:val="28"/>
                                  <w:szCs w:val="28"/>
                                </w:rPr>
                                <w:t>October 7, 2026</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9A5136" w:rsidRDefault="007D1947" w:rsidP="00744E8C">
          <w:pPr>
            <w:pStyle w:val="1"/>
            <w:spacing w:line="480" w:lineRule="auto"/>
            <w:rPr>
              <w:rFonts w:ascii="Times New Roman" w:hAnsi="Times New Roman" w:cs="Times New Roman"/>
            </w:rPr>
          </w:pPr>
          <w:r>
            <w:br w:type="page"/>
          </w:r>
          <w:bookmarkStart w:id="0" w:name="_Toc242349790"/>
          <w:r w:rsidRPr="009A5136">
            <w:rPr>
              <w:rFonts w:ascii="Times New Roman" w:hAnsi="Times New Roman" w:cs="Times New Roman"/>
            </w:rPr>
            <w:lastRenderedPageBreak/>
            <w:t>Executive Summary</w:t>
          </w:r>
          <w:bookmarkEnd w:id="0"/>
        </w:p>
        <w:p w14:paraId="544FADDD" w14:textId="77777777" w:rsidR="004A6265" w:rsidRPr="004A6265" w:rsidRDefault="004A6265" w:rsidP="004A6265">
          <w:pPr>
            <w:spacing w:after="100" w:line="480" w:lineRule="auto"/>
            <w:jc w:val="both"/>
            <w:rPr>
              <w:rFonts w:ascii="Times New Roman" w:hAnsi="Times New Roman" w:cs="Times New Roman"/>
              <w:sz w:val="24"/>
              <w:szCs w:val="24"/>
            </w:rPr>
          </w:pPr>
          <w:r w:rsidRPr="004A6265">
            <w:rPr>
              <w:rFonts w:ascii="Times New Roman" w:hAnsi="Times New Roman" w:cs="Times New Roman"/>
              <w:sz w:val="24"/>
              <w:szCs w:val="24"/>
            </w:rPr>
            <w:t>DHL is expanding AI and robotics to reduce routine communication work and physically demanding unloading, but both uses need controls that protect service reliability. DHL Supply Chain uses AI agents for scheduling and driver follow-up (DHL Group, 2025b); Stretch robots unload containers (DHL Group, 2025a). DHL reports less manual work, but an agent using outdated information may create an appointment that staff must correct, while interrupted unloading may leave goods waiting. These are possible failures, not reported DHL incidents. Because tools can be reused across sites, DHL needs to find and correct local errors before they recur elsewhere.</w:t>
          </w:r>
        </w:p>
        <w:p w14:paraId="0FCDD938" w14:textId="77777777" w:rsidR="004A6265" w:rsidRPr="004A6265" w:rsidRDefault="004A6265" w:rsidP="004A6265">
          <w:pPr>
            <w:spacing w:after="100" w:line="480" w:lineRule="auto"/>
            <w:jc w:val="both"/>
            <w:rPr>
              <w:rFonts w:ascii="Times New Roman" w:hAnsi="Times New Roman" w:cs="Times New Roman"/>
              <w:sz w:val="24"/>
              <w:szCs w:val="24"/>
            </w:rPr>
          </w:pPr>
          <w:r w:rsidRPr="004A6265">
            <w:rPr>
              <w:rFonts w:ascii="Times New Roman" w:hAnsi="Times New Roman" w:cs="Times New Roman"/>
              <w:sz w:val="24"/>
              <w:szCs w:val="24"/>
            </w:rPr>
            <w:t>The operational risk also crosses legal boundaries: DHL can use the same tools in the UK and EU, where a common error may arise under different duties. The EU AI Act sets statutory, risk-based obligations; the UK relies more on existing regulators and sector-led guidance. DHL therefore needs common checks for data quality, supplier changes and human correction, with local legal review for each use. One uniform rulebook could miss legal differences; entirely local controls could leave shared errors unevenly managed.</w:t>
          </w:r>
        </w:p>
        <w:p w14:paraId="6712FC54" w14:textId="77777777" w:rsidR="004A6265" w:rsidRPr="004A6265" w:rsidRDefault="004A6265" w:rsidP="004A6265">
          <w:pPr>
            <w:spacing w:after="100" w:line="480" w:lineRule="auto"/>
            <w:jc w:val="both"/>
            <w:rPr>
              <w:rFonts w:ascii="Times New Roman" w:hAnsi="Times New Roman" w:cs="Times New Roman"/>
              <w:sz w:val="24"/>
              <w:szCs w:val="24"/>
            </w:rPr>
          </w:pPr>
          <w:r w:rsidRPr="004A6265">
            <w:rPr>
              <w:rFonts w:ascii="Times New Roman" w:hAnsi="Times New Roman" w:cs="Times New Roman"/>
              <w:sz w:val="24"/>
              <w:szCs w:val="24"/>
            </w:rPr>
            <w:t>To address both the shared failures and the different legal duties, DHL should adopt a Group AI Risk and Trust Standard with common controls and jurisdiction-specific checks. A cross-divisional executive body would register each use, assign an owner and internal impact category, and set proportionate data, supplier-change, human-oversight and monitoring requirements. Legal reviewers would separately determine UK and EU duties; internal categories would not replace statutory classifications. Board oversight would focus on material incidents and whether efficiency gains harm service or safety. Higher-impact uses would need stronger evidence before expansion.</w:t>
          </w:r>
        </w:p>
        <w:p w14:paraId="5E670B30" w14:textId="77777777" w:rsidR="004A6265" w:rsidRPr="004A6265" w:rsidRDefault="004A6265" w:rsidP="004A6265">
          <w:pPr>
            <w:spacing w:after="100" w:line="480" w:lineRule="auto"/>
            <w:jc w:val="both"/>
            <w:rPr>
              <w:rFonts w:ascii="Times New Roman" w:hAnsi="Times New Roman" w:cs="Times New Roman"/>
              <w:sz w:val="24"/>
              <w:szCs w:val="24"/>
            </w:rPr>
          </w:pPr>
          <w:r w:rsidRPr="004A6265">
            <w:rPr>
              <w:rFonts w:ascii="Times New Roman" w:hAnsi="Times New Roman" w:cs="Times New Roman"/>
              <w:sz w:val="24"/>
              <w:szCs w:val="24"/>
            </w:rPr>
            <w:lastRenderedPageBreak/>
            <w:t xml:space="preserve">DHL should introduce that standard in phases: first identify </w:t>
          </w:r>
          <w:proofErr w:type="gramStart"/>
          <w:r w:rsidRPr="004A6265">
            <w:rPr>
              <w:rFonts w:ascii="Times New Roman" w:hAnsi="Times New Roman" w:cs="Times New Roman"/>
              <w:sz w:val="24"/>
              <w:szCs w:val="24"/>
            </w:rPr>
            <w:t>high-impact</w:t>
          </w:r>
          <w:proofErr w:type="gramEnd"/>
          <w:r w:rsidRPr="004A6265">
            <w:rPr>
              <w:rFonts w:ascii="Times New Roman" w:hAnsi="Times New Roman" w:cs="Times New Roman"/>
              <w:sz w:val="24"/>
              <w:szCs w:val="24"/>
            </w:rPr>
            <w:t xml:space="preserve"> uses and control material updates, then strengthen assessment and independent assurance. In the first 90 days, DHL would reconcile divisional, procurement and technology records, classify discovered uses and apply interim checks to material supplier or model changes. By month 12, it would formalise impact reviews, human escalation, customer disclosure and supplier controls. Quarterly board reviews and later independent assurance would compare errors, complaints and incidents with efficiency gains. Unresolved gaps in the first inventory must remain visible rather than being reported as complete coverage.</w:t>
          </w:r>
        </w:p>
        <w:p w14:paraId="62AB7F7D" w14:textId="77777777" w:rsidR="007D1947" w:rsidRPr="00744E8C"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0EAD00A7" w14:textId="77777777" w:rsidR="007D1947" w:rsidRDefault="007D1947">
          <w:pPr>
            <w:rPr>
              <w:lang w:eastAsia="zh-CN"/>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
              </w:pPr>
              <w:r>
                <w:t>Table of Contents</w:t>
              </w:r>
            </w:p>
            <w:p w14:paraId="797FFA9C" w14:textId="3D0238F3" w:rsidR="004A6265" w:rsidRDefault="007D1947">
              <w:pPr>
                <w:pStyle w:val="TOC1"/>
                <w:tabs>
                  <w:tab w:val="right" w:leader="dot" w:pos="9016"/>
                </w:tabs>
                <w:rPr>
                  <w:noProof/>
                  <w:kern w:val="2"/>
                  <w:szCs w:val="24"/>
                  <w:lang w:val="en-US" w:eastAsia="zh-CN"/>
                  <w14:ligatures w14:val="standardContextual"/>
                </w:rPr>
              </w:pPr>
              <w:r>
                <w:fldChar w:fldCharType="begin"/>
              </w:r>
              <w:r>
                <w:instrText xml:space="preserve"> TOC \o "1-3" \h \z \u </w:instrText>
              </w:r>
              <w:r>
                <w:fldChar w:fldCharType="separate"/>
              </w:r>
              <w:hyperlink w:anchor="_Toc242349790" w:history="1">
                <w:r w:rsidR="004A6265" w:rsidRPr="00696B97">
                  <w:rPr>
                    <w:rStyle w:val="a5"/>
                    <w:rFonts w:ascii="Times New Roman" w:hAnsi="Times New Roman" w:cs="Times New Roman"/>
                    <w:noProof/>
                  </w:rPr>
                  <w:t>Executive Summary</w:t>
                </w:r>
                <w:r w:rsidR="004A6265">
                  <w:rPr>
                    <w:noProof/>
                    <w:webHidden/>
                  </w:rPr>
                  <w:tab/>
                </w:r>
                <w:r w:rsidR="004A6265">
                  <w:rPr>
                    <w:noProof/>
                    <w:webHidden/>
                  </w:rPr>
                  <w:fldChar w:fldCharType="begin"/>
                </w:r>
                <w:r w:rsidR="004A6265">
                  <w:rPr>
                    <w:noProof/>
                    <w:webHidden/>
                  </w:rPr>
                  <w:instrText xml:space="preserve"> PAGEREF _Toc242349790 \h </w:instrText>
                </w:r>
                <w:r w:rsidR="004A6265">
                  <w:rPr>
                    <w:noProof/>
                    <w:webHidden/>
                  </w:rPr>
                </w:r>
                <w:r w:rsidR="004A6265">
                  <w:rPr>
                    <w:noProof/>
                    <w:webHidden/>
                  </w:rPr>
                  <w:fldChar w:fldCharType="separate"/>
                </w:r>
                <w:r w:rsidR="004A6265">
                  <w:rPr>
                    <w:noProof/>
                    <w:webHidden/>
                  </w:rPr>
                  <w:t>1</w:t>
                </w:r>
                <w:r w:rsidR="004A6265">
                  <w:rPr>
                    <w:noProof/>
                    <w:webHidden/>
                  </w:rPr>
                  <w:fldChar w:fldCharType="end"/>
                </w:r>
              </w:hyperlink>
            </w:p>
            <w:p w14:paraId="3DBE1B59" w14:textId="1BB258C4" w:rsidR="004A6265" w:rsidRDefault="004A6265">
              <w:pPr>
                <w:pStyle w:val="TOC1"/>
                <w:tabs>
                  <w:tab w:val="right" w:leader="dot" w:pos="9016"/>
                </w:tabs>
                <w:rPr>
                  <w:noProof/>
                  <w:kern w:val="2"/>
                  <w:szCs w:val="24"/>
                  <w:lang w:val="en-US" w:eastAsia="zh-CN"/>
                  <w14:ligatures w14:val="standardContextual"/>
                </w:rPr>
              </w:pPr>
              <w:hyperlink w:anchor="_Toc242349791" w:history="1">
                <w:r w:rsidRPr="00696B97">
                  <w:rPr>
                    <w:rStyle w:val="a5"/>
                    <w:rFonts w:ascii="Times New Roman" w:hAnsi="Times New Roman" w:cs="Times New Roman"/>
                    <w:noProof/>
                    <w:lang w:eastAsia="zh-CN"/>
                  </w:rPr>
                  <w:t>1.</w:t>
                </w:r>
                <w:r w:rsidRPr="00696B97">
                  <w:rPr>
                    <w:rStyle w:val="a5"/>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_Toc242349791 \h </w:instrText>
                </w:r>
                <w:r>
                  <w:rPr>
                    <w:noProof/>
                    <w:webHidden/>
                  </w:rPr>
                </w:r>
                <w:r>
                  <w:rPr>
                    <w:noProof/>
                    <w:webHidden/>
                  </w:rPr>
                  <w:fldChar w:fldCharType="separate"/>
                </w:r>
                <w:r>
                  <w:rPr>
                    <w:noProof/>
                    <w:webHidden/>
                  </w:rPr>
                  <w:t>4</w:t>
                </w:r>
                <w:r>
                  <w:rPr>
                    <w:noProof/>
                    <w:webHidden/>
                  </w:rPr>
                  <w:fldChar w:fldCharType="end"/>
                </w:r>
              </w:hyperlink>
            </w:p>
            <w:p w14:paraId="412BF5BB" w14:textId="4C706BFC" w:rsidR="004A6265" w:rsidRDefault="004A6265">
              <w:pPr>
                <w:pStyle w:val="TOC1"/>
                <w:tabs>
                  <w:tab w:val="right" w:leader="dot" w:pos="9016"/>
                </w:tabs>
                <w:rPr>
                  <w:noProof/>
                  <w:kern w:val="2"/>
                  <w:szCs w:val="24"/>
                  <w:lang w:val="en-US" w:eastAsia="zh-CN"/>
                  <w14:ligatures w14:val="standardContextual"/>
                </w:rPr>
              </w:pPr>
              <w:hyperlink w:anchor="_Toc242349792" w:history="1">
                <w:r w:rsidRPr="00696B97">
                  <w:rPr>
                    <w:rStyle w:val="a5"/>
                    <w:noProof/>
                    <w:lang w:eastAsia="zh-CN"/>
                  </w:rPr>
                  <w:t>2</w:t>
                </w:r>
                <w:r w:rsidRPr="00696B97">
                  <w:rPr>
                    <w:rStyle w:val="a5"/>
                    <w:rFonts w:ascii="Times New Roman" w:hAnsi="Times New Roman" w:cs="Times New Roman"/>
                    <w:noProof/>
                    <w:lang w:eastAsia="zh-CN"/>
                  </w:rPr>
                  <w:t>.</w:t>
                </w:r>
                <w:r w:rsidRPr="00696B97">
                  <w:rPr>
                    <w:rStyle w:val="a5"/>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_Toc242349792 \h </w:instrText>
                </w:r>
                <w:r>
                  <w:rPr>
                    <w:noProof/>
                    <w:webHidden/>
                  </w:rPr>
                </w:r>
                <w:r>
                  <w:rPr>
                    <w:noProof/>
                    <w:webHidden/>
                  </w:rPr>
                  <w:fldChar w:fldCharType="separate"/>
                </w:r>
                <w:r>
                  <w:rPr>
                    <w:noProof/>
                    <w:webHidden/>
                  </w:rPr>
                  <w:t>6</w:t>
                </w:r>
                <w:r>
                  <w:rPr>
                    <w:noProof/>
                    <w:webHidden/>
                  </w:rPr>
                  <w:fldChar w:fldCharType="end"/>
                </w:r>
              </w:hyperlink>
            </w:p>
            <w:p w14:paraId="4E7EDCF3" w14:textId="56048B2C" w:rsidR="004A6265" w:rsidRDefault="004A6265">
              <w:pPr>
                <w:pStyle w:val="TOC2"/>
                <w:tabs>
                  <w:tab w:val="right" w:leader="dot" w:pos="9016"/>
                </w:tabs>
                <w:rPr>
                  <w:noProof/>
                  <w:kern w:val="2"/>
                  <w:szCs w:val="24"/>
                  <w:lang w:val="en-US" w:eastAsia="zh-CN"/>
                  <w14:ligatures w14:val="standardContextual"/>
                </w:rPr>
              </w:pPr>
              <w:hyperlink w:anchor="_Toc242349793" w:history="1">
                <w:r w:rsidRPr="00696B97">
                  <w:rPr>
                    <w:rStyle w:val="a5"/>
                    <w:rFonts w:ascii="Times New Roman" w:eastAsia="Times New Roman" w:hAnsi="Times New Roman" w:cs="Times New Roman"/>
                    <w:noProof/>
                  </w:rPr>
                  <w:t>2.1 DHL Context and Evidence Base</w:t>
                </w:r>
                <w:r>
                  <w:rPr>
                    <w:noProof/>
                    <w:webHidden/>
                  </w:rPr>
                  <w:tab/>
                </w:r>
                <w:r>
                  <w:rPr>
                    <w:noProof/>
                    <w:webHidden/>
                  </w:rPr>
                  <w:fldChar w:fldCharType="begin"/>
                </w:r>
                <w:r>
                  <w:rPr>
                    <w:noProof/>
                    <w:webHidden/>
                  </w:rPr>
                  <w:instrText xml:space="preserve"> PAGEREF _Toc242349793 \h </w:instrText>
                </w:r>
                <w:r>
                  <w:rPr>
                    <w:noProof/>
                    <w:webHidden/>
                  </w:rPr>
                </w:r>
                <w:r>
                  <w:rPr>
                    <w:noProof/>
                    <w:webHidden/>
                  </w:rPr>
                  <w:fldChar w:fldCharType="separate"/>
                </w:r>
                <w:r>
                  <w:rPr>
                    <w:noProof/>
                    <w:webHidden/>
                  </w:rPr>
                  <w:t>6</w:t>
                </w:r>
                <w:r>
                  <w:rPr>
                    <w:noProof/>
                    <w:webHidden/>
                  </w:rPr>
                  <w:fldChar w:fldCharType="end"/>
                </w:r>
              </w:hyperlink>
            </w:p>
            <w:p w14:paraId="73EF4432" w14:textId="704BFCA1" w:rsidR="004A6265" w:rsidRDefault="004A6265">
              <w:pPr>
                <w:pStyle w:val="TOC2"/>
                <w:tabs>
                  <w:tab w:val="right" w:leader="dot" w:pos="9016"/>
                </w:tabs>
                <w:rPr>
                  <w:noProof/>
                  <w:kern w:val="2"/>
                  <w:szCs w:val="24"/>
                  <w:lang w:val="en-US" w:eastAsia="zh-CN"/>
                  <w14:ligatures w14:val="standardContextual"/>
                </w:rPr>
              </w:pPr>
              <w:hyperlink w:anchor="_Toc242349794" w:history="1">
                <w:r w:rsidRPr="00696B97">
                  <w:rPr>
                    <w:rStyle w:val="a5"/>
                    <w:rFonts w:ascii="Times New Roman" w:eastAsia="Times New Roman" w:hAnsi="Times New Roman" w:cs="Times New Roman"/>
                    <w:noProof/>
                  </w:rPr>
                  <w:t>2.2 UK and EU External Environment: PESTLE Analysis</w:t>
                </w:r>
                <w:r>
                  <w:rPr>
                    <w:noProof/>
                    <w:webHidden/>
                  </w:rPr>
                  <w:tab/>
                </w:r>
                <w:r>
                  <w:rPr>
                    <w:noProof/>
                    <w:webHidden/>
                  </w:rPr>
                  <w:fldChar w:fldCharType="begin"/>
                </w:r>
                <w:r>
                  <w:rPr>
                    <w:noProof/>
                    <w:webHidden/>
                  </w:rPr>
                  <w:instrText xml:space="preserve"> PAGEREF _Toc242349794 \h </w:instrText>
                </w:r>
                <w:r>
                  <w:rPr>
                    <w:noProof/>
                    <w:webHidden/>
                  </w:rPr>
                </w:r>
                <w:r>
                  <w:rPr>
                    <w:noProof/>
                    <w:webHidden/>
                  </w:rPr>
                  <w:fldChar w:fldCharType="separate"/>
                </w:r>
                <w:r>
                  <w:rPr>
                    <w:noProof/>
                    <w:webHidden/>
                  </w:rPr>
                  <w:t>8</w:t>
                </w:r>
                <w:r>
                  <w:rPr>
                    <w:noProof/>
                    <w:webHidden/>
                  </w:rPr>
                  <w:fldChar w:fldCharType="end"/>
                </w:r>
              </w:hyperlink>
            </w:p>
            <w:p w14:paraId="3D181DE9" w14:textId="3F4D3FC3" w:rsidR="004A6265" w:rsidRDefault="004A6265">
              <w:pPr>
                <w:pStyle w:val="TOC3"/>
                <w:tabs>
                  <w:tab w:val="right" w:leader="dot" w:pos="9016"/>
                </w:tabs>
                <w:ind w:left="880"/>
                <w:rPr>
                  <w:noProof/>
                  <w:kern w:val="2"/>
                  <w:szCs w:val="24"/>
                  <w:lang w:val="en-US" w:eastAsia="zh-CN"/>
                  <w14:ligatures w14:val="standardContextual"/>
                </w:rPr>
              </w:pPr>
              <w:hyperlink w:anchor="_Toc242349795" w:history="1">
                <w:r w:rsidRPr="00696B97">
                  <w:rPr>
                    <w:rStyle w:val="a5"/>
                    <w:rFonts w:ascii="Times New Roman" w:eastAsia="Times New Roman" w:hAnsi="Times New Roman" w:cs="Times New Roman"/>
                    <w:noProof/>
                    <w:color w:val="034990" w:themeColor="hyperlink" w:themeShade="BF"/>
                  </w:rPr>
                  <w:t>2.2.1 Political and regulatory change</w:t>
                </w:r>
                <w:r>
                  <w:rPr>
                    <w:noProof/>
                    <w:webHidden/>
                  </w:rPr>
                  <w:tab/>
                </w:r>
                <w:r>
                  <w:rPr>
                    <w:noProof/>
                    <w:webHidden/>
                  </w:rPr>
                  <w:fldChar w:fldCharType="begin"/>
                </w:r>
                <w:r>
                  <w:rPr>
                    <w:noProof/>
                    <w:webHidden/>
                  </w:rPr>
                  <w:instrText xml:space="preserve"> PAGEREF _Toc242349795 \h </w:instrText>
                </w:r>
                <w:r>
                  <w:rPr>
                    <w:noProof/>
                    <w:webHidden/>
                  </w:rPr>
                </w:r>
                <w:r>
                  <w:rPr>
                    <w:noProof/>
                    <w:webHidden/>
                  </w:rPr>
                  <w:fldChar w:fldCharType="separate"/>
                </w:r>
                <w:r>
                  <w:rPr>
                    <w:noProof/>
                    <w:webHidden/>
                  </w:rPr>
                  <w:t>8</w:t>
                </w:r>
                <w:r>
                  <w:rPr>
                    <w:noProof/>
                    <w:webHidden/>
                  </w:rPr>
                  <w:fldChar w:fldCharType="end"/>
                </w:r>
              </w:hyperlink>
            </w:p>
            <w:p w14:paraId="61405520" w14:textId="71456869" w:rsidR="004A6265" w:rsidRDefault="004A6265">
              <w:pPr>
                <w:pStyle w:val="TOC3"/>
                <w:tabs>
                  <w:tab w:val="right" w:leader="dot" w:pos="9016"/>
                </w:tabs>
                <w:ind w:left="880"/>
                <w:rPr>
                  <w:noProof/>
                  <w:kern w:val="2"/>
                  <w:szCs w:val="24"/>
                  <w:lang w:val="en-US" w:eastAsia="zh-CN"/>
                  <w14:ligatures w14:val="standardContextual"/>
                </w:rPr>
              </w:pPr>
              <w:hyperlink w:anchor="_Toc242349796" w:history="1">
                <w:r w:rsidRPr="00696B97">
                  <w:rPr>
                    <w:rStyle w:val="a5"/>
                    <w:rFonts w:ascii="Times New Roman" w:hAnsi="Times New Roman" w:cs="Times New Roman"/>
                    <w:noProof/>
                    <w:color w:val="034990" w:themeColor="hyperlink" w:themeShade="BF"/>
                  </w:rPr>
                  <w:t>2.2.2 Economic volatility and automation incentives</w:t>
                </w:r>
                <w:r>
                  <w:rPr>
                    <w:noProof/>
                    <w:webHidden/>
                  </w:rPr>
                  <w:tab/>
                </w:r>
                <w:r>
                  <w:rPr>
                    <w:noProof/>
                    <w:webHidden/>
                  </w:rPr>
                  <w:fldChar w:fldCharType="begin"/>
                </w:r>
                <w:r>
                  <w:rPr>
                    <w:noProof/>
                    <w:webHidden/>
                  </w:rPr>
                  <w:instrText xml:space="preserve"> PAGEREF _Toc242349796 \h </w:instrText>
                </w:r>
                <w:r>
                  <w:rPr>
                    <w:noProof/>
                    <w:webHidden/>
                  </w:rPr>
                </w:r>
                <w:r>
                  <w:rPr>
                    <w:noProof/>
                    <w:webHidden/>
                  </w:rPr>
                  <w:fldChar w:fldCharType="separate"/>
                </w:r>
                <w:r>
                  <w:rPr>
                    <w:noProof/>
                    <w:webHidden/>
                  </w:rPr>
                  <w:t>9</w:t>
                </w:r>
                <w:r>
                  <w:rPr>
                    <w:noProof/>
                    <w:webHidden/>
                  </w:rPr>
                  <w:fldChar w:fldCharType="end"/>
                </w:r>
              </w:hyperlink>
            </w:p>
            <w:p w14:paraId="7C0E9286" w14:textId="7BD351DB" w:rsidR="004A6265" w:rsidRDefault="004A6265">
              <w:pPr>
                <w:pStyle w:val="TOC3"/>
                <w:tabs>
                  <w:tab w:val="right" w:leader="dot" w:pos="9016"/>
                </w:tabs>
                <w:ind w:left="880"/>
                <w:rPr>
                  <w:noProof/>
                  <w:kern w:val="2"/>
                  <w:szCs w:val="24"/>
                  <w:lang w:val="en-US" w:eastAsia="zh-CN"/>
                  <w14:ligatures w14:val="standardContextual"/>
                </w:rPr>
              </w:pPr>
              <w:hyperlink w:anchor="_Toc242349797" w:history="1">
                <w:r w:rsidRPr="00696B97">
                  <w:rPr>
                    <w:rStyle w:val="a5"/>
                    <w:rFonts w:ascii="Times New Roman" w:eastAsia="Times New Roman" w:hAnsi="Times New Roman" w:cs="Times New Roman"/>
                    <w:noProof/>
                    <w:color w:val="034990" w:themeColor="hyperlink" w:themeShade="BF"/>
                  </w:rPr>
                  <w:t>2.2.3 Social and ethical factors</w:t>
                </w:r>
                <w:r>
                  <w:rPr>
                    <w:noProof/>
                    <w:webHidden/>
                  </w:rPr>
                  <w:tab/>
                </w:r>
                <w:r>
                  <w:rPr>
                    <w:noProof/>
                    <w:webHidden/>
                  </w:rPr>
                  <w:fldChar w:fldCharType="begin"/>
                </w:r>
                <w:r>
                  <w:rPr>
                    <w:noProof/>
                    <w:webHidden/>
                  </w:rPr>
                  <w:instrText xml:space="preserve"> PAGEREF _Toc242349797 \h </w:instrText>
                </w:r>
                <w:r>
                  <w:rPr>
                    <w:noProof/>
                    <w:webHidden/>
                  </w:rPr>
                </w:r>
                <w:r>
                  <w:rPr>
                    <w:noProof/>
                    <w:webHidden/>
                  </w:rPr>
                  <w:fldChar w:fldCharType="separate"/>
                </w:r>
                <w:r>
                  <w:rPr>
                    <w:noProof/>
                    <w:webHidden/>
                  </w:rPr>
                  <w:t>10</w:t>
                </w:r>
                <w:r>
                  <w:rPr>
                    <w:noProof/>
                    <w:webHidden/>
                  </w:rPr>
                  <w:fldChar w:fldCharType="end"/>
                </w:r>
              </w:hyperlink>
            </w:p>
            <w:p w14:paraId="56182014" w14:textId="735E6711" w:rsidR="004A6265" w:rsidRDefault="004A6265">
              <w:pPr>
                <w:pStyle w:val="TOC3"/>
                <w:tabs>
                  <w:tab w:val="right" w:leader="dot" w:pos="9016"/>
                </w:tabs>
                <w:ind w:left="880"/>
                <w:rPr>
                  <w:noProof/>
                  <w:kern w:val="2"/>
                  <w:szCs w:val="24"/>
                  <w:lang w:val="en-US" w:eastAsia="zh-CN"/>
                  <w14:ligatures w14:val="standardContextual"/>
                </w:rPr>
              </w:pPr>
              <w:hyperlink w:anchor="_Toc242349798" w:history="1">
                <w:r w:rsidRPr="00696B97">
                  <w:rPr>
                    <w:rStyle w:val="a5"/>
                    <w:rFonts w:ascii="Times New Roman" w:eastAsia="Times New Roman" w:hAnsi="Times New Roman" w:cs="Times New Roman"/>
                    <w:noProof/>
                    <w:color w:val="034990" w:themeColor="hyperlink" w:themeShade="BF"/>
                  </w:rPr>
                  <w:t>2.2.4 Technological and environmental factors</w:t>
                </w:r>
                <w:r>
                  <w:rPr>
                    <w:noProof/>
                    <w:webHidden/>
                  </w:rPr>
                  <w:tab/>
                </w:r>
                <w:r>
                  <w:rPr>
                    <w:noProof/>
                    <w:webHidden/>
                  </w:rPr>
                  <w:fldChar w:fldCharType="begin"/>
                </w:r>
                <w:r>
                  <w:rPr>
                    <w:noProof/>
                    <w:webHidden/>
                  </w:rPr>
                  <w:instrText xml:space="preserve"> PAGEREF _Toc242349798 \h </w:instrText>
                </w:r>
                <w:r>
                  <w:rPr>
                    <w:noProof/>
                    <w:webHidden/>
                  </w:rPr>
                </w:r>
                <w:r>
                  <w:rPr>
                    <w:noProof/>
                    <w:webHidden/>
                  </w:rPr>
                  <w:fldChar w:fldCharType="separate"/>
                </w:r>
                <w:r>
                  <w:rPr>
                    <w:noProof/>
                    <w:webHidden/>
                  </w:rPr>
                  <w:t>11</w:t>
                </w:r>
                <w:r>
                  <w:rPr>
                    <w:noProof/>
                    <w:webHidden/>
                  </w:rPr>
                  <w:fldChar w:fldCharType="end"/>
                </w:r>
              </w:hyperlink>
            </w:p>
            <w:p w14:paraId="769393C7" w14:textId="5F8D8C28" w:rsidR="004A6265" w:rsidRDefault="004A6265">
              <w:pPr>
                <w:pStyle w:val="TOC2"/>
                <w:tabs>
                  <w:tab w:val="right" w:leader="dot" w:pos="9016"/>
                </w:tabs>
                <w:rPr>
                  <w:noProof/>
                  <w:kern w:val="2"/>
                  <w:szCs w:val="24"/>
                  <w:lang w:val="en-US" w:eastAsia="zh-CN"/>
                  <w14:ligatures w14:val="standardContextual"/>
                </w:rPr>
              </w:pPr>
              <w:hyperlink w:anchor="_Toc242349799" w:history="1">
                <w:r w:rsidRPr="00696B97">
                  <w:rPr>
                    <w:rStyle w:val="a5"/>
                    <w:rFonts w:ascii="Times New Roman" w:eastAsia="Times New Roman" w:hAnsi="Times New Roman" w:cs="Times New Roman"/>
                    <w:noProof/>
                  </w:rPr>
                  <w:t>2.3 AI Risk Analysis for DHL</w:t>
                </w:r>
                <w:r>
                  <w:rPr>
                    <w:noProof/>
                    <w:webHidden/>
                  </w:rPr>
                  <w:tab/>
                </w:r>
                <w:r>
                  <w:rPr>
                    <w:noProof/>
                    <w:webHidden/>
                  </w:rPr>
                  <w:fldChar w:fldCharType="begin"/>
                </w:r>
                <w:r>
                  <w:rPr>
                    <w:noProof/>
                    <w:webHidden/>
                  </w:rPr>
                  <w:instrText xml:space="preserve"> PAGEREF _Toc242349799 \h </w:instrText>
                </w:r>
                <w:r>
                  <w:rPr>
                    <w:noProof/>
                    <w:webHidden/>
                  </w:rPr>
                </w:r>
                <w:r>
                  <w:rPr>
                    <w:noProof/>
                    <w:webHidden/>
                  </w:rPr>
                  <w:fldChar w:fldCharType="separate"/>
                </w:r>
                <w:r>
                  <w:rPr>
                    <w:noProof/>
                    <w:webHidden/>
                  </w:rPr>
                  <w:t>11</w:t>
                </w:r>
                <w:r>
                  <w:rPr>
                    <w:noProof/>
                    <w:webHidden/>
                  </w:rPr>
                  <w:fldChar w:fldCharType="end"/>
                </w:r>
              </w:hyperlink>
            </w:p>
            <w:p w14:paraId="16992471" w14:textId="378B11CC" w:rsidR="004A6265" w:rsidRDefault="004A6265">
              <w:pPr>
                <w:pStyle w:val="TOC3"/>
                <w:tabs>
                  <w:tab w:val="right" w:leader="dot" w:pos="9016"/>
                </w:tabs>
                <w:ind w:left="880"/>
                <w:rPr>
                  <w:noProof/>
                  <w:kern w:val="2"/>
                  <w:szCs w:val="24"/>
                  <w:lang w:val="en-US" w:eastAsia="zh-CN"/>
                  <w14:ligatures w14:val="standardContextual"/>
                </w:rPr>
              </w:pPr>
              <w:hyperlink w:anchor="_Toc242349800" w:history="1">
                <w:r w:rsidRPr="00696B97">
                  <w:rPr>
                    <w:rStyle w:val="a5"/>
                    <w:rFonts w:ascii="Times New Roman" w:eastAsia="Times New Roman" w:hAnsi="Times New Roman" w:cs="Times New Roman"/>
                    <w:noProof/>
                    <w:color w:val="034990" w:themeColor="hyperlink" w:themeShade="BF"/>
                  </w:rPr>
                  <w:t>2.3.1 Data governance risk</w:t>
                </w:r>
                <w:r>
                  <w:rPr>
                    <w:noProof/>
                    <w:webHidden/>
                  </w:rPr>
                  <w:tab/>
                </w:r>
                <w:r>
                  <w:rPr>
                    <w:noProof/>
                    <w:webHidden/>
                  </w:rPr>
                  <w:fldChar w:fldCharType="begin"/>
                </w:r>
                <w:r>
                  <w:rPr>
                    <w:noProof/>
                    <w:webHidden/>
                  </w:rPr>
                  <w:instrText xml:space="preserve"> PAGEREF _Toc242349800 \h </w:instrText>
                </w:r>
                <w:r>
                  <w:rPr>
                    <w:noProof/>
                    <w:webHidden/>
                  </w:rPr>
                </w:r>
                <w:r>
                  <w:rPr>
                    <w:noProof/>
                    <w:webHidden/>
                  </w:rPr>
                  <w:fldChar w:fldCharType="separate"/>
                </w:r>
                <w:r>
                  <w:rPr>
                    <w:noProof/>
                    <w:webHidden/>
                  </w:rPr>
                  <w:t>12</w:t>
                </w:r>
                <w:r>
                  <w:rPr>
                    <w:noProof/>
                    <w:webHidden/>
                  </w:rPr>
                  <w:fldChar w:fldCharType="end"/>
                </w:r>
              </w:hyperlink>
            </w:p>
            <w:p w14:paraId="0C17D327" w14:textId="60AAEA10" w:rsidR="004A6265" w:rsidRDefault="004A6265">
              <w:pPr>
                <w:pStyle w:val="TOC3"/>
                <w:tabs>
                  <w:tab w:val="right" w:leader="dot" w:pos="9016"/>
                </w:tabs>
                <w:ind w:left="880"/>
                <w:rPr>
                  <w:noProof/>
                  <w:kern w:val="2"/>
                  <w:szCs w:val="24"/>
                  <w:lang w:val="en-US" w:eastAsia="zh-CN"/>
                  <w14:ligatures w14:val="standardContextual"/>
                </w:rPr>
              </w:pPr>
              <w:hyperlink w:anchor="_Toc242349801" w:history="1">
                <w:r w:rsidRPr="00696B97">
                  <w:rPr>
                    <w:rStyle w:val="a5"/>
                    <w:rFonts w:ascii="Times New Roman" w:eastAsia="Times New Roman" w:hAnsi="Times New Roman" w:cs="Times New Roman"/>
                    <w:noProof/>
                    <w:color w:val="034990" w:themeColor="hyperlink" w:themeShade="BF"/>
                  </w:rPr>
                  <w:t>2.3.2 Ethical AI and decision legitimacy</w:t>
                </w:r>
                <w:r>
                  <w:rPr>
                    <w:noProof/>
                    <w:webHidden/>
                  </w:rPr>
                  <w:tab/>
                </w:r>
                <w:r>
                  <w:rPr>
                    <w:noProof/>
                    <w:webHidden/>
                  </w:rPr>
                  <w:fldChar w:fldCharType="begin"/>
                </w:r>
                <w:r>
                  <w:rPr>
                    <w:noProof/>
                    <w:webHidden/>
                  </w:rPr>
                  <w:instrText xml:space="preserve"> PAGEREF _Toc242349801 \h </w:instrText>
                </w:r>
                <w:r>
                  <w:rPr>
                    <w:noProof/>
                    <w:webHidden/>
                  </w:rPr>
                </w:r>
                <w:r>
                  <w:rPr>
                    <w:noProof/>
                    <w:webHidden/>
                  </w:rPr>
                  <w:fldChar w:fldCharType="separate"/>
                </w:r>
                <w:r>
                  <w:rPr>
                    <w:noProof/>
                    <w:webHidden/>
                  </w:rPr>
                  <w:t>13</w:t>
                </w:r>
                <w:r>
                  <w:rPr>
                    <w:noProof/>
                    <w:webHidden/>
                  </w:rPr>
                  <w:fldChar w:fldCharType="end"/>
                </w:r>
              </w:hyperlink>
            </w:p>
            <w:p w14:paraId="090C3951" w14:textId="600E5D8B" w:rsidR="004A6265" w:rsidRDefault="004A6265">
              <w:pPr>
                <w:pStyle w:val="TOC3"/>
                <w:tabs>
                  <w:tab w:val="right" w:leader="dot" w:pos="9016"/>
                </w:tabs>
                <w:ind w:left="880"/>
                <w:rPr>
                  <w:noProof/>
                  <w:kern w:val="2"/>
                  <w:szCs w:val="24"/>
                  <w:lang w:val="en-US" w:eastAsia="zh-CN"/>
                  <w14:ligatures w14:val="standardContextual"/>
                </w:rPr>
              </w:pPr>
              <w:hyperlink w:anchor="_Toc242349802" w:history="1">
                <w:r w:rsidRPr="00696B97">
                  <w:rPr>
                    <w:rStyle w:val="a5"/>
                    <w:rFonts w:ascii="Times New Roman" w:eastAsia="Times New Roman" w:hAnsi="Times New Roman" w:cs="Times New Roman"/>
                    <w:noProof/>
                    <w:color w:val="034990" w:themeColor="hyperlink" w:themeShade="BF"/>
                  </w:rPr>
                  <w:t>2.3.3 Regulatory compliance risk</w:t>
                </w:r>
                <w:r>
                  <w:rPr>
                    <w:noProof/>
                    <w:webHidden/>
                  </w:rPr>
                  <w:tab/>
                </w:r>
                <w:r>
                  <w:rPr>
                    <w:noProof/>
                    <w:webHidden/>
                  </w:rPr>
                  <w:fldChar w:fldCharType="begin"/>
                </w:r>
                <w:r>
                  <w:rPr>
                    <w:noProof/>
                    <w:webHidden/>
                  </w:rPr>
                  <w:instrText xml:space="preserve"> PAGEREF _Toc242349802 \h </w:instrText>
                </w:r>
                <w:r>
                  <w:rPr>
                    <w:noProof/>
                    <w:webHidden/>
                  </w:rPr>
                </w:r>
                <w:r>
                  <w:rPr>
                    <w:noProof/>
                    <w:webHidden/>
                  </w:rPr>
                  <w:fldChar w:fldCharType="separate"/>
                </w:r>
                <w:r>
                  <w:rPr>
                    <w:noProof/>
                    <w:webHidden/>
                  </w:rPr>
                  <w:t>14</w:t>
                </w:r>
                <w:r>
                  <w:rPr>
                    <w:noProof/>
                    <w:webHidden/>
                  </w:rPr>
                  <w:fldChar w:fldCharType="end"/>
                </w:r>
              </w:hyperlink>
            </w:p>
            <w:p w14:paraId="34FF8A1B" w14:textId="6061A12B" w:rsidR="004A6265" w:rsidRDefault="004A6265">
              <w:pPr>
                <w:pStyle w:val="TOC3"/>
                <w:tabs>
                  <w:tab w:val="right" w:leader="dot" w:pos="9016"/>
                </w:tabs>
                <w:ind w:left="880"/>
                <w:rPr>
                  <w:noProof/>
                  <w:kern w:val="2"/>
                  <w:szCs w:val="24"/>
                  <w:lang w:val="en-US" w:eastAsia="zh-CN"/>
                  <w14:ligatures w14:val="standardContextual"/>
                </w:rPr>
              </w:pPr>
              <w:hyperlink w:anchor="_Toc242349803" w:history="1">
                <w:r w:rsidRPr="00696B97">
                  <w:rPr>
                    <w:rStyle w:val="a5"/>
                    <w:rFonts w:ascii="Times New Roman" w:eastAsia="Times New Roman" w:hAnsi="Times New Roman" w:cs="Times New Roman"/>
                    <w:noProof/>
                    <w:color w:val="034990" w:themeColor="hyperlink" w:themeShade="BF"/>
                  </w:rPr>
                  <w:t>2.3.4 Customer trust risk</w:t>
                </w:r>
                <w:r>
                  <w:rPr>
                    <w:noProof/>
                    <w:webHidden/>
                  </w:rPr>
                  <w:tab/>
                </w:r>
                <w:r>
                  <w:rPr>
                    <w:noProof/>
                    <w:webHidden/>
                  </w:rPr>
                  <w:fldChar w:fldCharType="begin"/>
                </w:r>
                <w:r>
                  <w:rPr>
                    <w:noProof/>
                    <w:webHidden/>
                  </w:rPr>
                  <w:instrText xml:space="preserve"> PAGEREF _Toc242349803 \h </w:instrText>
                </w:r>
                <w:r>
                  <w:rPr>
                    <w:noProof/>
                    <w:webHidden/>
                  </w:rPr>
                </w:r>
                <w:r>
                  <w:rPr>
                    <w:noProof/>
                    <w:webHidden/>
                  </w:rPr>
                  <w:fldChar w:fldCharType="separate"/>
                </w:r>
                <w:r>
                  <w:rPr>
                    <w:noProof/>
                    <w:webHidden/>
                  </w:rPr>
                  <w:t>14</w:t>
                </w:r>
                <w:r>
                  <w:rPr>
                    <w:noProof/>
                    <w:webHidden/>
                  </w:rPr>
                  <w:fldChar w:fldCharType="end"/>
                </w:r>
              </w:hyperlink>
            </w:p>
            <w:p w14:paraId="4A61F1B1" w14:textId="320B7765" w:rsidR="004A6265" w:rsidRDefault="004A6265">
              <w:pPr>
                <w:pStyle w:val="TOC3"/>
                <w:tabs>
                  <w:tab w:val="right" w:leader="dot" w:pos="9016"/>
                </w:tabs>
                <w:ind w:left="880"/>
                <w:rPr>
                  <w:noProof/>
                  <w:kern w:val="2"/>
                  <w:szCs w:val="24"/>
                  <w:lang w:val="en-US" w:eastAsia="zh-CN"/>
                  <w14:ligatures w14:val="standardContextual"/>
                </w:rPr>
              </w:pPr>
              <w:hyperlink w:anchor="_Toc242349804" w:history="1">
                <w:r w:rsidRPr="00696B97">
                  <w:rPr>
                    <w:rStyle w:val="a5"/>
                    <w:rFonts w:ascii="Times New Roman" w:eastAsia="Times New Roman" w:hAnsi="Times New Roman" w:cs="Times New Roman"/>
                    <w:noProof/>
                    <w:color w:val="034990" w:themeColor="hyperlink" w:themeShade="BF"/>
                  </w:rPr>
                  <w:t>2.3.5 Interdependence of risks</w:t>
                </w:r>
                <w:r>
                  <w:rPr>
                    <w:noProof/>
                    <w:webHidden/>
                  </w:rPr>
                  <w:tab/>
                </w:r>
                <w:r>
                  <w:rPr>
                    <w:noProof/>
                    <w:webHidden/>
                  </w:rPr>
                  <w:fldChar w:fldCharType="begin"/>
                </w:r>
                <w:r>
                  <w:rPr>
                    <w:noProof/>
                    <w:webHidden/>
                  </w:rPr>
                  <w:instrText xml:space="preserve"> PAGEREF _Toc242349804 \h </w:instrText>
                </w:r>
                <w:r>
                  <w:rPr>
                    <w:noProof/>
                    <w:webHidden/>
                  </w:rPr>
                </w:r>
                <w:r>
                  <w:rPr>
                    <w:noProof/>
                    <w:webHidden/>
                  </w:rPr>
                  <w:fldChar w:fldCharType="separate"/>
                </w:r>
                <w:r>
                  <w:rPr>
                    <w:noProof/>
                    <w:webHidden/>
                  </w:rPr>
                  <w:t>15</w:t>
                </w:r>
                <w:r>
                  <w:rPr>
                    <w:noProof/>
                    <w:webHidden/>
                  </w:rPr>
                  <w:fldChar w:fldCharType="end"/>
                </w:r>
              </w:hyperlink>
            </w:p>
            <w:p w14:paraId="2A8202DF" w14:textId="278662F5" w:rsidR="004A6265" w:rsidRDefault="004A6265">
              <w:pPr>
                <w:pStyle w:val="TOC2"/>
                <w:tabs>
                  <w:tab w:val="right" w:leader="dot" w:pos="9016"/>
                </w:tabs>
                <w:rPr>
                  <w:noProof/>
                  <w:kern w:val="2"/>
                  <w:szCs w:val="24"/>
                  <w:lang w:val="en-US" w:eastAsia="zh-CN"/>
                  <w14:ligatures w14:val="standardContextual"/>
                </w:rPr>
              </w:pPr>
              <w:hyperlink w:anchor="_Toc242349805" w:history="1">
                <w:r w:rsidRPr="00696B97">
                  <w:rPr>
                    <w:rStyle w:val="a5"/>
                    <w:rFonts w:ascii="Times New Roman" w:hAnsi="Times New Roman" w:cs="Times New Roman"/>
                    <w:noProof/>
                  </w:rPr>
                  <w:t>2.4 Governance Options</w:t>
                </w:r>
                <w:r>
                  <w:rPr>
                    <w:noProof/>
                    <w:webHidden/>
                  </w:rPr>
                  <w:tab/>
                </w:r>
                <w:r>
                  <w:rPr>
                    <w:noProof/>
                    <w:webHidden/>
                  </w:rPr>
                  <w:fldChar w:fldCharType="begin"/>
                </w:r>
                <w:r>
                  <w:rPr>
                    <w:noProof/>
                    <w:webHidden/>
                  </w:rPr>
                  <w:instrText xml:space="preserve"> PAGEREF _Toc242349805 \h </w:instrText>
                </w:r>
                <w:r>
                  <w:rPr>
                    <w:noProof/>
                    <w:webHidden/>
                  </w:rPr>
                </w:r>
                <w:r>
                  <w:rPr>
                    <w:noProof/>
                    <w:webHidden/>
                  </w:rPr>
                  <w:fldChar w:fldCharType="separate"/>
                </w:r>
                <w:r>
                  <w:rPr>
                    <w:noProof/>
                    <w:webHidden/>
                  </w:rPr>
                  <w:t>15</w:t>
                </w:r>
                <w:r>
                  <w:rPr>
                    <w:noProof/>
                    <w:webHidden/>
                  </w:rPr>
                  <w:fldChar w:fldCharType="end"/>
                </w:r>
              </w:hyperlink>
            </w:p>
            <w:p w14:paraId="58B4EA3F" w14:textId="32FB82B2" w:rsidR="004A6265" w:rsidRDefault="004A6265">
              <w:pPr>
                <w:pStyle w:val="TOC1"/>
                <w:tabs>
                  <w:tab w:val="right" w:leader="dot" w:pos="9016"/>
                </w:tabs>
                <w:rPr>
                  <w:noProof/>
                  <w:kern w:val="2"/>
                  <w:szCs w:val="24"/>
                  <w:lang w:val="en-US" w:eastAsia="zh-CN"/>
                  <w14:ligatures w14:val="standardContextual"/>
                </w:rPr>
              </w:pPr>
              <w:hyperlink w:anchor="_Toc242349806" w:history="1">
                <w:r w:rsidRPr="00696B97">
                  <w:rPr>
                    <w:rStyle w:val="a5"/>
                    <w:noProof/>
                    <w:lang w:eastAsia="zh-CN"/>
                  </w:rPr>
                  <w:t>3.</w:t>
                </w:r>
                <w:r w:rsidRPr="00696B97">
                  <w:rPr>
                    <w:rStyle w:val="a5"/>
                    <w:noProof/>
                  </w:rPr>
                  <w:t>Conclusion</w:t>
                </w:r>
                <w:r>
                  <w:rPr>
                    <w:noProof/>
                    <w:webHidden/>
                  </w:rPr>
                  <w:tab/>
                </w:r>
                <w:r>
                  <w:rPr>
                    <w:noProof/>
                    <w:webHidden/>
                  </w:rPr>
                  <w:fldChar w:fldCharType="begin"/>
                </w:r>
                <w:r>
                  <w:rPr>
                    <w:noProof/>
                    <w:webHidden/>
                  </w:rPr>
                  <w:instrText xml:space="preserve"> PAGEREF _Toc242349806 \h </w:instrText>
                </w:r>
                <w:r>
                  <w:rPr>
                    <w:noProof/>
                    <w:webHidden/>
                  </w:rPr>
                </w:r>
                <w:r>
                  <w:rPr>
                    <w:noProof/>
                    <w:webHidden/>
                  </w:rPr>
                  <w:fldChar w:fldCharType="separate"/>
                </w:r>
                <w:r>
                  <w:rPr>
                    <w:noProof/>
                    <w:webHidden/>
                  </w:rPr>
                  <w:t>17</w:t>
                </w:r>
                <w:r>
                  <w:rPr>
                    <w:noProof/>
                    <w:webHidden/>
                  </w:rPr>
                  <w:fldChar w:fldCharType="end"/>
                </w:r>
              </w:hyperlink>
            </w:p>
            <w:p w14:paraId="2F8B466F" w14:textId="0951B7DE" w:rsidR="004A6265" w:rsidRDefault="004A6265">
              <w:pPr>
                <w:pStyle w:val="TOC1"/>
                <w:tabs>
                  <w:tab w:val="right" w:leader="dot" w:pos="9016"/>
                </w:tabs>
                <w:rPr>
                  <w:noProof/>
                  <w:kern w:val="2"/>
                  <w:szCs w:val="24"/>
                  <w:lang w:val="en-US" w:eastAsia="zh-CN"/>
                  <w14:ligatures w14:val="standardContextual"/>
                </w:rPr>
              </w:pPr>
              <w:hyperlink w:anchor="_Toc242349807" w:history="1">
                <w:r w:rsidRPr="00696B97">
                  <w:rPr>
                    <w:rStyle w:val="a5"/>
                    <w:rFonts w:ascii="Times New Roman" w:hAnsi="Times New Roman"/>
                    <w:noProof/>
                  </w:rPr>
                  <w:t>4. Recommendations and Implementation</w:t>
                </w:r>
                <w:r>
                  <w:rPr>
                    <w:noProof/>
                    <w:webHidden/>
                  </w:rPr>
                  <w:tab/>
                </w:r>
                <w:r>
                  <w:rPr>
                    <w:noProof/>
                    <w:webHidden/>
                  </w:rPr>
                  <w:fldChar w:fldCharType="begin"/>
                </w:r>
                <w:r>
                  <w:rPr>
                    <w:noProof/>
                    <w:webHidden/>
                  </w:rPr>
                  <w:instrText xml:space="preserve"> PAGEREF _Toc242349807 \h </w:instrText>
                </w:r>
                <w:r>
                  <w:rPr>
                    <w:noProof/>
                    <w:webHidden/>
                  </w:rPr>
                </w:r>
                <w:r>
                  <w:rPr>
                    <w:noProof/>
                    <w:webHidden/>
                  </w:rPr>
                  <w:fldChar w:fldCharType="separate"/>
                </w:r>
                <w:r>
                  <w:rPr>
                    <w:noProof/>
                    <w:webHidden/>
                  </w:rPr>
                  <w:t>18</w:t>
                </w:r>
                <w:r>
                  <w:rPr>
                    <w:noProof/>
                    <w:webHidden/>
                  </w:rPr>
                  <w:fldChar w:fldCharType="end"/>
                </w:r>
              </w:hyperlink>
            </w:p>
            <w:p w14:paraId="0D19D81C" w14:textId="7E0BCAF2" w:rsidR="004A6265" w:rsidRDefault="004A6265">
              <w:pPr>
                <w:pStyle w:val="TOC2"/>
                <w:tabs>
                  <w:tab w:val="right" w:leader="dot" w:pos="9016"/>
                </w:tabs>
                <w:rPr>
                  <w:noProof/>
                  <w:kern w:val="2"/>
                  <w:szCs w:val="24"/>
                  <w:lang w:val="en-US" w:eastAsia="zh-CN"/>
                  <w14:ligatures w14:val="standardContextual"/>
                </w:rPr>
              </w:pPr>
              <w:hyperlink w:anchor="_Toc242349808" w:history="1">
                <w:r w:rsidRPr="00696B97">
                  <w:rPr>
                    <w:rStyle w:val="a5"/>
                    <w:rFonts w:ascii="Times New Roman" w:hAnsi="Times New Roman" w:cs="Times New Roman"/>
                    <w:noProof/>
                  </w:rPr>
                  <w:t>4.1 Recommended Governance Model</w:t>
                </w:r>
                <w:r>
                  <w:rPr>
                    <w:noProof/>
                    <w:webHidden/>
                  </w:rPr>
                  <w:tab/>
                </w:r>
                <w:r>
                  <w:rPr>
                    <w:noProof/>
                    <w:webHidden/>
                  </w:rPr>
                  <w:fldChar w:fldCharType="begin"/>
                </w:r>
                <w:r>
                  <w:rPr>
                    <w:noProof/>
                    <w:webHidden/>
                  </w:rPr>
                  <w:instrText xml:space="preserve"> PAGEREF _Toc242349808 \h </w:instrText>
                </w:r>
                <w:r>
                  <w:rPr>
                    <w:noProof/>
                    <w:webHidden/>
                  </w:rPr>
                </w:r>
                <w:r>
                  <w:rPr>
                    <w:noProof/>
                    <w:webHidden/>
                  </w:rPr>
                  <w:fldChar w:fldCharType="separate"/>
                </w:r>
                <w:r>
                  <w:rPr>
                    <w:noProof/>
                    <w:webHidden/>
                  </w:rPr>
                  <w:t>18</w:t>
                </w:r>
                <w:r>
                  <w:rPr>
                    <w:noProof/>
                    <w:webHidden/>
                  </w:rPr>
                  <w:fldChar w:fldCharType="end"/>
                </w:r>
              </w:hyperlink>
            </w:p>
            <w:p w14:paraId="33845E19" w14:textId="2D10E30B" w:rsidR="004A6265" w:rsidRDefault="004A6265">
              <w:pPr>
                <w:pStyle w:val="TOC2"/>
                <w:tabs>
                  <w:tab w:val="right" w:leader="dot" w:pos="9016"/>
                </w:tabs>
                <w:rPr>
                  <w:noProof/>
                  <w:kern w:val="2"/>
                  <w:szCs w:val="24"/>
                  <w:lang w:val="en-US" w:eastAsia="zh-CN"/>
                  <w14:ligatures w14:val="standardContextual"/>
                </w:rPr>
              </w:pPr>
              <w:hyperlink w:anchor="_Toc242349809" w:history="1">
                <w:r w:rsidRPr="00696B97">
                  <w:rPr>
                    <w:rStyle w:val="a5"/>
                    <w:rFonts w:ascii="Times New Roman" w:hAnsi="Times New Roman" w:cs="Times New Roman"/>
                    <w:noProof/>
                  </w:rPr>
                  <w:t>4.2 Phased Implementation Plan</w:t>
                </w:r>
                <w:r>
                  <w:rPr>
                    <w:noProof/>
                    <w:webHidden/>
                  </w:rPr>
                  <w:tab/>
                </w:r>
                <w:r>
                  <w:rPr>
                    <w:noProof/>
                    <w:webHidden/>
                  </w:rPr>
                  <w:fldChar w:fldCharType="begin"/>
                </w:r>
                <w:r>
                  <w:rPr>
                    <w:noProof/>
                    <w:webHidden/>
                  </w:rPr>
                  <w:instrText xml:space="preserve"> PAGEREF _Toc242349809 \h </w:instrText>
                </w:r>
                <w:r>
                  <w:rPr>
                    <w:noProof/>
                    <w:webHidden/>
                  </w:rPr>
                </w:r>
                <w:r>
                  <w:rPr>
                    <w:noProof/>
                    <w:webHidden/>
                  </w:rPr>
                  <w:fldChar w:fldCharType="separate"/>
                </w:r>
                <w:r>
                  <w:rPr>
                    <w:noProof/>
                    <w:webHidden/>
                  </w:rPr>
                  <w:t>20</w:t>
                </w:r>
                <w:r>
                  <w:rPr>
                    <w:noProof/>
                    <w:webHidden/>
                  </w:rPr>
                  <w:fldChar w:fldCharType="end"/>
                </w:r>
              </w:hyperlink>
            </w:p>
            <w:p w14:paraId="781ABA33" w14:textId="4C1EAD2F" w:rsidR="004A6265" w:rsidRDefault="004A6265">
              <w:pPr>
                <w:pStyle w:val="TOC3"/>
                <w:tabs>
                  <w:tab w:val="right" w:leader="dot" w:pos="9016"/>
                </w:tabs>
                <w:ind w:left="880"/>
                <w:rPr>
                  <w:noProof/>
                  <w:kern w:val="2"/>
                  <w:szCs w:val="24"/>
                  <w:lang w:val="en-US" w:eastAsia="zh-CN"/>
                  <w14:ligatures w14:val="standardContextual"/>
                </w:rPr>
              </w:pPr>
              <w:hyperlink w:anchor="_Toc242349810" w:history="1">
                <w:r w:rsidRPr="00696B97">
                  <w:rPr>
                    <w:rStyle w:val="a5"/>
                    <w:rFonts w:ascii="Times New Roman" w:hAnsi="Times New Roman" w:cs="Times New Roman"/>
                    <w:noProof/>
                    <w:color w:val="034990" w:themeColor="hyperlink" w:themeShade="BF"/>
                  </w:rPr>
                  <w:t>4.2.1 Monitoring and Success Measures</w:t>
                </w:r>
                <w:r>
                  <w:rPr>
                    <w:noProof/>
                    <w:webHidden/>
                  </w:rPr>
                  <w:tab/>
                </w:r>
                <w:r>
                  <w:rPr>
                    <w:noProof/>
                    <w:webHidden/>
                  </w:rPr>
                  <w:fldChar w:fldCharType="begin"/>
                </w:r>
                <w:r>
                  <w:rPr>
                    <w:noProof/>
                    <w:webHidden/>
                  </w:rPr>
                  <w:instrText xml:space="preserve"> PAGEREF _Toc242349810 \h </w:instrText>
                </w:r>
                <w:r>
                  <w:rPr>
                    <w:noProof/>
                    <w:webHidden/>
                  </w:rPr>
                </w:r>
                <w:r>
                  <w:rPr>
                    <w:noProof/>
                    <w:webHidden/>
                  </w:rPr>
                  <w:fldChar w:fldCharType="separate"/>
                </w:r>
                <w:r>
                  <w:rPr>
                    <w:noProof/>
                    <w:webHidden/>
                  </w:rPr>
                  <w:t>21</w:t>
                </w:r>
                <w:r>
                  <w:rPr>
                    <w:noProof/>
                    <w:webHidden/>
                  </w:rPr>
                  <w:fldChar w:fldCharType="end"/>
                </w:r>
              </w:hyperlink>
            </w:p>
            <w:p w14:paraId="34661D8E" w14:textId="60B79B32" w:rsidR="004A6265" w:rsidRDefault="004A6265">
              <w:pPr>
                <w:pStyle w:val="TOC3"/>
                <w:tabs>
                  <w:tab w:val="right" w:leader="dot" w:pos="9016"/>
                </w:tabs>
                <w:ind w:left="880"/>
                <w:rPr>
                  <w:noProof/>
                  <w:kern w:val="2"/>
                  <w:szCs w:val="24"/>
                  <w:lang w:val="en-US" w:eastAsia="zh-CN"/>
                  <w14:ligatures w14:val="standardContextual"/>
                </w:rPr>
              </w:pPr>
              <w:hyperlink w:anchor="_Toc242349811" w:history="1">
                <w:r w:rsidRPr="00696B97">
                  <w:rPr>
                    <w:rStyle w:val="a5"/>
                    <w:rFonts w:ascii="Times New Roman" w:hAnsi="Times New Roman" w:cs="Times New Roman"/>
                    <w:noProof/>
                    <w:color w:val="034990" w:themeColor="hyperlink" w:themeShade="BF"/>
                  </w:rPr>
                  <w:t>4.2.2 Limitations and Stop-Go Conditions</w:t>
                </w:r>
                <w:r>
                  <w:rPr>
                    <w:noProof/>
                    <w:webHidden/>
                  </w:rPr>
                  <w:tab/>
                </w:r>
                <w:r>
                  <w:rPr>
                    <w:noProof/>
                    <w:webHidden/>
                  </w:rPr>
                  <w:fldChar w:fldCharType="begin"/>
                </w:r>
                <w:r>
                  <w:rPr>
                    <w:noProof/>
                    <w:webHidden/>
                  </w:rPr>
                  <w:instrText xml:space="preserve"> PAGEREF _Toc242349811 \h </w:instrText>
                </w:r>
                <w:r>
                  <w:rPr>
                    <w:noProof/>
                    <w:webHidden/>
                  </w:rPr>
                </w:r>
                <w:r>
                  <w:rPr>
                    <w:noProof/>
                    <w:webHidden/>
                  </w:rPr>
                  <w:fldChar w:fldCharType="separate"/>
                </w:r>
                <w:r>
                  <w:rPr>
                    <w:noProof/>
                    <w:webHidden/>
                  </w:rPr>
                  <w:t>22</w:t>
                </w:r>
                <w:r>
                  <w:rPr>
                    <w:noProof/>
                    <w:webHidden/>
                  </w:rPr>
                  <w:fldChar w:fldCharType="end"/>
                </w:r>
              </w:hyperlink>
            </w:p>
            <w:p w14:paraId="4C88A122" w14:textId="1E2628D7" w:rsidR="004A6265" w:rsidRDefault="004A6265">
              <w:pPr>
                <w:pStyle w:val="TOC1"/>
                <w:tabs>
                  <w:tab w:val="right" w:leader="dot" w:pos="9016"/>
                </w:tabs>
                <w:rPr>
                  <w:noProof/>
                  <w:kern w:val="2"/>
                  <w:szCs w:val="24"/>
                  <w:lang w:val="en-US" w:eastAsia="zh-CN"/>
                  <w14:ligatures w14:val="standardContextual"/>
                </w:rPr>
              </w:pPr>
              <w:hyperlink w:anchor="_Toc242349812" w:history="1">
                <w:r w:rsidRPr="00696B97">
                  <w:rPr>
                    <w:rStyle w:val="a5"/>
                    <w:noProof/>
                    <w:lang w:eastAsia="zh-CN"/>
                  </w:rPr>
                  <w:t>5.</w:t>
                </w:r>
                <w:r w:rsidRPr="00696B97">
                  <w:rPr>
                    <w:rStyle w:val="a5"/>
                    <w:noProof/>
                  </w:rPr>
                  <w:t>Bibliography</w:t>
                </w:r>
                <w:r>
                  <w:rPr>
                    <w:noProof/>
                    <w:webHidden/>
                  </w:rPr>
                  <w:tab/>
                </w:r>
                <w:r>
                  <w:rPr>
                    <w:noProof/>
                    <w:webHidden/>
                  </w:rPr>
                  <w:fldChar w:fldCharType="begin"/>
                </w:r>
                <w:r>
                  <w:rPr>
                    <w:noProof/>
                    <w:webHidden/>
                  </w:rPr>
                  <w:instrText xml:space="preserve"> PAGEREF _Toc242349812 \h </w:instrText>
                </w:r>
                <w:r>
                  <w:rPr>
                    <w:noProof/>
                    <w:webHidden/>
                  </w:rPr>
                </w:r>
                <w:r>
                  <w:rPr>
                    <w:noProof/>
                    <w:webHidden/>
                  </w:rPr>
                  <w:fldChar w:fldCharType="separate"/>
                </w:r>
                <w:r>
                  <w:rPr>
                    <w:noProof/>
                    <w:webHidden/>
                  </w:rPr>
                  <w:t>23</w:t>
                </w:r>
                <w:r>
                  <w:rPr>
                    <w:noProof/>
                    <w:webHidden/>
                  </w:rPr>
                  <w:fldChar w:fldCharType="end"/>
                </w:r>
              </w:hyperlink>
            </w:p>
            <w:p w14:paraId="309A794F" w14:textId="588E41DD" w:rsidR="004A6265" w:rsidRDefault="004A6265">
              <w:pPr>
                <w:pStyle w:val="TOC1"/>
                <w:tabs>
                  <w:tab w:val="right" w:leader="dot" w:pos="9016"/>
                </w:tabs>
                <w:rPr>
                  <w:noProof/>
                  <w:kern w:val="2"/>
                  <w:szCs w:val="24"/>
                  <w:lang w:val="en-US" w:eastAsia="zh-CN"/>
                  <w14:ligatures w14:val="standardContextual"/>
                </w:rPr>
              </w:pPr>
              <w:hyperlink w:anchor="_Toc242349813" w:history="1">
                <w:r w:rsidRPr="00696B97">
                  <w:rPr>
                    <w:rStyle w:val="a5"/>
                    <w:rFonts w:ascii="Times New Roman" w:hAnsi="Times New Roman"/>
                    <w:noProof/>
                    <w:lang w:eastAsia="zh-CN"/>
                  </w:rPr>
                  <w:t>6.</w:t>
                </w:r>
                <w:r w:rsidRPr="00696B97">
                  <w:rPr>
                    <w:rStyle w:val="a5"/>
                    <w:rFonts w:ascii="Times New Roman" w:hAnsi="Times New Roman"/>
                    <w:noProof/>
                  </w:rPr>
                  <w:t>Appendices</w:t>
                </w:r>
                <w:r>
                  <w:rPr>
                    <w:noProof/>
                    <w:webHidden/>
                  </w:rPr>
                  <w:tab/>
                </w:r>
                <w:r>
                  <w:rPr>
                    <w:noProof/>
                    <w:webHidden/>
                  </w:rPr>
                  <w:fldChar w:fldCharType="begin"/>
                </w:r>
                <w:r>
                  <w:rPr>
                    <w:noProof/>
                    <w:webHidden/>
                  </w:rPr>
                  <w:instrText xml:space="preserve"> PAGEREF _Toc242349813 \h </w:instrText>
                </w:r>
                <w:r>
                  <w:rPr>
                    <w:noProof/>
                    <w:webHidden/>
                  </w:rPr>
                </w:r>
                <w:r>
                  <w:rPr>
                    <w:noProof/>
                    <w:webHidden/>
                  </w:rPr>
                  <w:fldChar w:fldCharType="separate"/>
                </w:r>
                <w:r>
                  <w:rPr>
                    <w:noProof/>
                    <w:webHidden/>
                  </w:rPr>
                  <w:t>31</w:t>
                </w:r>
                <w:r>
                  <w:rPr>
                    <w:noProof/>
                    <w:webHidden/>
                  </w:rPr>
                  <w:fldChar w:fldCharType="end"/>
                </w:r>
              </w:hyperlink>
            </w:p>
            <w:p w14:paraId="312C8B04" w14:textId="5C1FE8D4" w:rsidR="004A6265" w:rsidRDefault="004A6265">
              <w:pPr>
                <w:pStyle w:val="TOC2"/>
                <w:tabs>
                  <w:tab w:val="right" w:leader="dot" w:pos="9016"/>
                </w:tabs>
                <w:rPr>
                  <w:noProof/>
                  <w:kern w:val="2"/>
                  <w:szCs w:val="24"/>
                  <w:lang w:val="en-US" w:eastAsia="zh-CN"/>
                  <w14:ligatures w14:val="standardContextual"/>
                </w:rPr>
              </w:pPr>
              <w:hyperlink w:anchor="_Toc242349814" w:history="1">
                <w:r w:rsidRPr="00696B97">
                  <w:rPr>
                    <w:rStyle w:val="a5"/>
                    <w:rFonts w:ascii="Times New Roman" w:eastAsia="Times New Roman" w:hAnsi="Times New Roman" w:cs="Times New Roman"/>
                    <w:noProof/>
                  </w:rPr>
                  <w:t>Appendix A: Evidence Base Summary</w:t>
                </w:r>
                <w:r>
                  <w:rPr>
                    <w:noProof/>
                    <w:webHidden/>
                  </w:rPr>
                  <w:tab/>
                </w:r>
                <w:r>
                  <w:rPr>
                    <w:noProof/>
                    <w:webHidden/>
                  </w:rPr>
                  <w:fldChar w:fldCharType="begin"/>
                </w:r>
                <w:r>
                  <w:rPr>
                    <w:noProof/>
                    <w:webHidden/>
                  </w:rPr>
                  <w:instrText xml:space="preserve"> PAGEREF _Toc242349814 \h </w:instrText>
                </w:r>
                <w:r>
                  <w:rPr>
                    <w:noProof/>
                    <w:webHidden/>
                  </w:rPr>
                </w:r>
                <w:r>
                  <w:rPr>
                    <w:noProof/>
                    <w:webHidden/>
                  </w:rPr>
                  <w:fldChar w:fldCharType="separate"/>
                </w:r>
                <w:r>
                  <w:rPr>
                    <w:noProof/>
                    <w:webHidden/>
                  </w:rPr>
                  <w:t>31</w:t>
                </w:r>
                <w:r>
                  <w:rPr>
                    <w:noProof/>
                    <w:webHidden/>
                  </w:rPr>
                  <w:fldChar w:fldCharType="end"/>
                </w:r>
              </w:hyperlink>
            </w:p>
            <w:p w14:paraId="14DDDE97" w14:textId="161226E3" w:rsidR="004A6265" w:rsidRDefault="004A6265">
              <w:pPr>
                <w:pStyle w:val="TOC2"/>
                <w:tabs>
                  <w:tab w:val="right" w:leader="dot" w:pos="9016"/>
                </w:tabs>
                <w:rPr>
                  <w:noProof/>
                  <w:kern w:val="2"/>
                  <w:szCs w:val="24"/>
                  <w:lang w:val="en-US" w:eastAsia="zh-CN"/>
                  <w14:ligatures w14:val="standardContextual"/>
                </w:rPr>
              </w:pPr>
              <w:hyperlink w:anchor="_Toc242349815" w:history="1">
                <w:r w:rsidRPr="00696B97">
                  <w:rPr>
                    <w:rStyle w:val="a5"/>
                    <w:rFonts w:ascii="Times New Roman" w:eastAsia="Times New Roman" w:hAnsi="Times New Roman" w:cs="Times New Roman"/>
                    <w:noProof/>
                  </w:rPr>
                  <w:t>Appendix B: UK and EU PESTLE Summary Table</w:t>
                </w:r>
                <w:r>
                  <w:rPr>
                    <w:noProof/>
                    <w:webHidden/>
                  </w:rPr>
                  <w:tab/>
                </w:r>
                <w:r>
                  <w:rPr>
                    <w:noProof/>
                    <w:webHidden/>
                  </w:rPr>
                  <w:fldChar w:fldCharType="begin"/>
                </w:r>
                <w:r>
                  <w:rPr>
                    <w:noProof/>
                    <w:webHidden/>
                  </w:rPr>
                  <w:instrText xml:space="preserve"> PAGEREF _Toc242349815 \h </w:instrText>
                </w:r>
                <w:r>
                  <w:rPr>
                    <w:noProof/>
                    <w:webHidden/>
                  </w:rPr>
                </w:r>
                <w:r>
                  <w:rPr>
                    <w:noProof/>
                    <w:webHidden/>
                  </w:rPr>
                  <w:fldChar w:fldCharType="separate"/>
                </w:r>
                <w:r>
                  <w:rPr>
                    <w:noProof/>
                    <w:webHidden/>
                  </w:rPr>
                  <w:t>32</w:t>
                </w:r>
                <w:r>
                  <w:rPr>
                    <w:noProof/>
                    <w:webHidden/>
                  </w:rPr>
                  <w:fldChar w:fldCharType="end"/>
                </w:r>
              </w:hyperlink>
            </w:p>
            <w:p w14:paraId="1EB0FAEF" w14:textId="00E5E61A" w:rsidR="004A6265" w:rsidRDefault="004A6265">
              <w:pPr>
                <w:pStyle w:val="TOC2"/>
                <w:tabs>
                  <w:tab w:val="right" w:leader="dot" w:pos="9016"/>
                </w:tabs>
                <w:rPr>
                  <w:noProof/>
                  <w:kern w:val="2"/>
                  <w:szCs w:val="24"/>
                  <w:lang w:val="en-US" w:eastAsia="zh-CN"/>
                  <w14:ligatures w14:val="standardContextual"/>
                </w:rPr>
              </w:pPr>
              <w:hyperlink w:anchor="_Toc242349816" w:history="1">
                <w:r w:rsidRPr="00696B97">
                  <w:rPr>
                    <w:rStyle w:val="a5"/>
                    <w:rFonts w:ascii="Times New Roman" w:eastAsia="Times New Roman" w:hAnsi="Times New Roman" w:cs="Times New Roman"/>
                    <w:noProof/>
                  </w:rPr>
                  <w:t>Appendix C: DHL AI Use-Case Risk Map</w:t>
                </w:r>
                <w:r>
                  <w:rPr>
                    <w:noProof/>
                    <w:webHidden/>
                  </w:rPr>
                  <w:tab/>
                </w:r>
                <w:r>
                  <w:rPr>
                    <w:noProof/>
                    <w:webHidden/>
                  </w:rPr>
                  <w:fldChar w:fldCharType="begin"/>
                </w:r>
                <w:r>
                  <w:rPr>
                    <w:noProof/>
                    <w:webHidden/>
                  </w:rPr>
                  <w:instrText xml:space="preserve"> PAGEREF _Toc242349816 \h </w:instrText>
                </w:r>
                <w:r>
                  <w:rPr>
                    <w:noProof/>
                    <w:webHidden/>
                  </w:rPr>
                </w:r>
                <w:r>
                  <w:rPr>
                    <w:noProof/>
                    <w:webHidden/>
                  </w:rPr>
                  <w:fldChar w:fldCharType="separate"/>
                </w:r>
                <w:r>
                  <w:rPr>
                    <w:noProof/>
                    <w:webHidden/>
                  </w:rPr>
                  <w:t>33</w:t>
                </w:r>
                <w:r>
                  <w:rPr>
                    <w:noProof/>
                    <w:webHidden/>
                  </w:rPr>
                  <w:fldChar w:fldCharType="end"/>
                </w:r>
              </w:hyperlink>
            </w:p>
            <w:p w14:paraId="06975F85" w14:textId="71C06A44" w:rsidR="004A6265" w:rsidRDefault="004A6265">
              <w:pPr>
                <w:pStyle w:val="TOC2"/>
                <w:tabs>
                  <w:tab w:val="right" w:leader="dot" w:pos="9016"/>
                </w:tabs>
                <w:rPr>
                  <w:noProof/>
                  <w:kern w:val="2"/>
                  <w:szCs w:val="24"/>
                  <w:lang w:val="en-US" w:eastAsia="zh-CN"/>
                  <w14:ligatures w14:val="standardContextual"/>
                </w:rPr>
              </w:pPr>
              <w:hyperlink w:anchor="_Toc242349817" w:history="1">
                <w:r w:rsidRPr="00696B97">
                  <w:rPr>
                    <w:rStyle w:val="a5"/>
                    <w:rFonts w:ascii="Times New Roman" w:eastAsia="Times New Roman" w:hAnsi="Times New Roman" w:cs="Times New Roman"/>
                    <w:noProof/>
                  </w:rPr>
                  <w:t>Appendix D: Governance Options Comparison</w:t>
                </w:r>
                <w:r>
                  <w:rPr>
                    <w:noProof/>
                    <w:webHidden/>
                  </w:rPr>
                  <w:tab/>
                </w:r>
                <w:r>
                  <w:rPr>
                    <w:noProof/>
                    <w:webHidden/>
                  </w:rPr>
                  <w:fldChar w:fldCharType="begin"/>
                </w:r>
                <w:r>
                  <w:rPr>
                    <w:noProof/>
                    <w:webHidden/>
                  </w:rPr>
                  <w:instrText xml:space="preserve"> PAGEREF _Toc242349817 \h </w:instrText>
                </w:r>
                <w:r>
                  <w:rPr>
                    <w:noProof/>
                    <w:webHidden/>
                  </w:rPr>
                </w:r>
                <w:r>
                  <w:rPr>
                    <w:noProof/>
                    <w:webHidden/>
                  </w:rPr>
                  <w:fldChar w:fldCharType="separate"/>
                </w:r>
                <w:r>
                  <w:rPr>
                    <w:noProof/>
                    <w:webHidden/>
                  </w:rPr>
                  <w:t>35</w:t>
                </w:r>
                <w:r>
                  <w:rPr>
                    <w:noProof/>
                    <w:webHidden/>
                  </w:rPr>
                  <w:fldChar w:fldCharType="end"/>
                </w:r>
              </w:hyperlink>
            </w:p>
            <w:p w14:paraId="783829BC" w14:textId="548EF854" w:rsidR="004A6265" w:rsidRDefault="004A6265">
              <w:pPr>
                <w:pStyle w:val="TOC2"/>
                <w:tabs>
                  <w:tab w:val="right" w:leader="dot" w:pos="9016"/>
                </w:tabs>
                <w:rPr>
                  <w:noProof/>
                  <w:kern w:val="2"/>
                  <w:szCs w:val="24"/>
                  <w:lang w:val="en-US" w:eastAsia="zh-CN"/>
                  <w14:ligatures w14:val="standardContextual"/>
                </w:rPr>
              </w:pPr>
              <w:hyperlink w:anchor="_Toc242349818" w:history="1">
                <w:r w:rsidRPr="00696B97">
                  <w:rPr>
                    <w:rStyle w:val="a5"/>
                    <w:rFonts w:ascii="Times New Roman" w:eastAsia="Times New Roman" w:hAnsi="Times New Roman" w:cs="Times New Roman"/>
                    <w:noProof/>
                  </w:rPr>
                  <w:t>Appendix E: Detailed SMART Implementation Matrix</w:t>
                </w:r>
                <w:r>
                  <w:rPr>
                    <w:noProof/>
                    <w:webHidden/>
                  </w:rPr>
                  <w:tab/>
                </w:r>
                <w:r>
                  <w:rPr>
                    <w:noProof/>
                    <w:webHidden/>
                  </w:rPr>
                  <w:fldChar w:fldCharType="begin"/>
                </w:r>
                <w:r>
                  <w:rPr>
                    <w:noProof/>
                    <w:webHidden/>
                  </w:rPr>
                  <w:instrText xml:space="preserve"> PAGEREF _Toc242349818 \h </w:instrText>
                </w:r>
                <w:r>
                  <w:rPr>
                    <w:noProof/>
                    <w:webHidden/>
                  </w:rPr>
                </w:r>
                <w:r>
                  <w:rPr>
                    <w:noProof/>
                    <w:webHidden/>
                  </w:rPr>
                  <w:fldChar w:fldCharType="separate"/>
                </w:r>
                <w:r>
                  <w:rPr>
                    <w:noProof/>
                    <w:webHidden/>
                  </w:rPr>
                  <w:t>37</w:t>
                </w:r>
                <w:r>
                  <w:rPr>
                    <w:noProof/>
                    <w:webHidden/>
                  </w:rPr>
                  <w:fldChar w:fldCharType="end"/>
                </w:r>
              </w:hyperlink>
            </w:p>
            <w:p w14:paraId="05194699" w14:textId="1DA608E3" w:rsidR="007D1947" w:rsidRDefault="007D1947">
              <w:r>
                <w:rPr>
                  <w:b/>
                  <w:bCs/>
                  <w:noProof/>
                </w:rPr>
                <w:fldChar w:fldCharType="end"/>
              </w:r>
              <w:r w:rsidR="00366E29">
                <w:rPr>
                  <w:b/>
                  <w:bCs/>
                  <w:noProof/>
                </w:rPr>
                <w:t xml:space="preserve"> </w:t>
              </w:r>
            </w:p>
          </w:sdtContent>
        </w:sdt>
        <w:p w14:paraId="35B6052B" w14:textId="77777777" w:rsidR="007D1947" w:rsidRDefault="007D1947"/>
        <w:p w14:paraId="655F29CA" w14:textId="77777777" w:rsidR="007D1947" w:rsidRDefault="007D1947">
          <w:pPr>
            <w:rPr>
              <w:lang w:eastAsia="zh-CN"/>
            </w:rPr>
          </w:pPr>
        </w:p>
        <w:p w14:paraId="0ED321E6" w14:textId="569D4181" w:rsidR="007D1947" w:rsidRPr="009A5136" w:rsidRDefault="009A5136" w:rsidP="00744E8C">
          <w:pPr>
            <w:pStyle w:val="1"/>
            <w:spacing w:line="480" w:lineRule="auto"/>
            <w:rPr>
              <w:rFonts w:ascii="Times New Roman" w:hAnsi="Times New Roman" w:cs="Times New Roman"/>
            </w:rPr>
          </w:pPr>
          <w:bookmarkStart w:id="1" w:name="_Toc242349791"/>
          <w:r>
            <w:rPr>
              <w:rFonts w:ascii="Times New Roman" w:hAnsi="Times New Roman" w:cs="Times New Roman" w:hint="eastAsia"/>
              <w:lang w:eastAsia="zh-CN"/>
            </w:rPr>
            <w:lastRenderedPageBreak/>
            <w:t>1.</w:t>
          </w:r>
          <w:r w:rsidR="007D1947" w:rsidRPr="009A5136">
            <w:rPr>
              <w:rFonts w:ascii="Times New Roman" w:hAnsi="Times New Roman" w:cs="Times New Roman"/>
            </w:rPr>
            <w:t>Introduction</w:t>
          </w:r>
          <w:bookmarkEnd w:id="1"/>
          <w:r w:rsidR="00480872" w:rsidRPr="009A5136">
            <w:rPr>
              <w:rFonts w:ascii="Times New Roman" w:hAnsi="Times New Roman" w:cs="Times New Roman"/>
            </w:rPr>
            <w:t xml:space="preserve"> </w:t>
          </w:r>
        </w:p>
        <w:p w14:paraId="4D6C6421" w14:textId="77777777" w:rsidR="004A6265" w:rsidRPr="004A6265" w:rsidRDefault="004A6265" w:rsidP="004A6265">
          <w:pPr>
            <w:spacing w:line="480" w:lineRule="auto"/>
            <w:jc w:val="both"/>
            <w:rPr>
              <w:rFonts w:ascii="Times New Roman" w:eastAsia="宋体" w:hAnsi="Times New Roman" w:cs="Times New Roman"/>
              <w:sz w:val="24"/>
              <w:szCs w:val="24"/>
              <w:lang w:eastAsia="zh-CN"/>
            </w:rPr>
          </w:pPr>
          <w:r w:rsidRPr="004A6265">
            <w:rPr>
              <w:rFonts w:ascii="Times New Roman" w:hAnsi="Times New Roman" w:cs="Times New Roman"/>
              <w:sz w:val="24"/>
              <w:szCs w:val="24"/>
            </w:rPr>
            <w:t xml:space="preserve">DHL's challenge is to reduce the labour involved in routine communication and container unloading through AI and automation without causing avoidable appointment errors or handling delays. DHL Supply Chain uses AI agents for appointment scheduling and driver follow-up calls (DHL Group, 2025b); DHL reports that this reduces repetitive contact work and gives employees more time for exceptions. Its Stretch robots unload containers, reducing physically demanding manual work according to the company (DHL Group, 2025a). However, the two tools introduce different operational risks alongside those benefits. If an agent schedules from outdated information, staff may have to correct the appointment. If a robot stops and no alternative process is ready, unloading may stall. The first problem adds communication work; the second may delay handling and, if a shipment </w:t>
          </w:r>
          <w:proofErr w:type="gramStart"/>
          <w:r w:rsidRPr="004A6265">
            <w:rPr>
              <w:rFonts w:ascii="Times New Roman" w:hAnsi="Times New Roman" w:cs="Times New Roman"/>
              <w:sz w:val="24"/>
              <w:szCs w:val="24"/>
            </w:rPr>
            <w:t>leaves late,</w:t>
          </w:r>
          <w:proofErr w:type="gramEnd"/>
          <w:r w:rsidRPr="004A6265">
            <w:rPr>
              <w:rFonts w:ascii="Times New Roman" w:hAnsi="Times New Roman" w:cs="Times New Roman"/>
              <w:sz w:val="24"/>
              <w:szCs w:val="24"/>
            </w:rPr>
            <w:t xml:space="preserve"> a customer's receipt. To realise the benefits, DHL needs accurate scheduling data and a workable response to unloading interruptions.</w:t>
          </w:r>
        </w:p>
        <w:p w14:paraId="524A3149" w14:textId="77777777" w:rsidR="004A6265" w:rsidRPr="004A6265" w:rsidRDefault="004A6265" w:rsidP="004A6265">
          <w:pPr>
            <w:spacing w:line="480" w:lineRule="auto"/>
            <w:jc w:val="both"/>
            <w:rPr>
              <w:rFonts w:ascii="Times New Roman" w:hAnsi="Times New Roman" w:cs="Times New Roman"/>
              <w:sz w:val="24"/>
              <w:szCs w:val="24"/>
              <w:lang w:eastAsia="zh-CN"/>
            </w:rPr>
          </w:pPr>
          <w:r w:rsidRPr="004A6265">
            <w:rPr>
              <w:rFonts w:ascii="Times New Roman" w:hAnsi="Times New Roman" w:cs="Times New Roman"/>
              <w:sz w:val="24"/>
              <w:szCs w:val="24"/>
            </w:rPr>
            <w:t>These uses are part of a wider digitalisation strategy, not isolated experiments. DHL's Strategy 2030 treats digitalisation as a driver of growth (DHL Group, n.d.). For that strategy to work, a useful tool must be repeatable across teams and sites. Repetition, however, can also spread a faulty data rule or supplier update. DHL's announcements show adoption and intended benefits, but disclose little about scheduling errors, interruptions or the controls used to correct them. The question is therefore how DHL can govern expansion when the public evidence cannot yet demonstrate reliable outcomes.</w:t>
          </w:r>
        </w:p>
        <w:p w14:paraId="03519B8F"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The governance question becomes more complicated when a tool serves UK and EU operations. It may rely on a common vendor and data flow even though local duties differ. The EU AI Act establishes statutory, risk-based requirements (European Parliament and Council of the European Union, 2024). The UK has favoured a sector-led, principles-based approach </w:t>
          </w:r>
          <w:r w:rsidRPr="004A6265">
            <w:rPr>
              <w:rFonts w:ascii="Times New Roman" w:hAnsi="Times New Roman" w:cs="Times New Roman"/>
              <w:sz w:val="24"/>
              <w:szCs w:val="24"/>
            </w:rPr>
            <w:lastRenderedPageBreak/>
            <w:t>(Department for Science, Innovation and Technology, 2023). How can DHL control a failure in a shared system while identifying the legal duties that apply to each UK or EU use?</w:t>
          </w:r>
        </w:p>
        <w:p w14:paraId="6CC96ED9"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Answering that question requires evidence about DHL's uses, external pressures and linked risks. Those findings will guide the choice of governance model and conditions for expansion. Public sources do not reveal internal incidents or model tests, so any proposal requires validation.</w:t>
          </w:r>
        </w:p>
        <w:p w14:paraId="7C657C89" w14:textId="77777777" w:rsidR="00AA2A91" w:rsidRDefault="00AA2A91" w:rsidP="004D519C">
          <w:pPr>
            <w:rPr>
              <w:lang w:eastAsia="zh-CN"/>
            </w:rPr>
          </w:pPr>
        </w:p>
        <w:p w14:paraId="2CEBF72E" w14:textId="77777777" w:rsidR="009A5136" w:rsidRDefault="009A5136" w:rsidP="004D519C">
          <w:pPr>
            <w:rPr>
              <w:lang w:eastAsia="zh-CN"/>
            </w:rPr>
          </w:pPr>
        </w:p>
        <w:p w14:paraId="0E661538" w14:textId="77777777" w:rsidR="009A5136" w:rsidRDefault="009A5136" w:rsidP="004D519C">
          <w:pPr>
            <w:rPr>
              <w:lang w:eastAsia="zh-CN"/>
            </w:rPr>
          </w:pPr>
        </w:p>
        <w:p w14:paraId="2A640BAF" w14:textId="77777777" w:rsidR="009A5136" w:rsidRDefault="009A5136" w:rsidP="004D519C">
          <w:pPr>
            <w:rPr>
              <w:lang w:eastAsia="zh-CN"/>
            </w:rPr>
          </w:pPr>
        </w:p>
        <w:p w14:paraId="63681B0E" w14:textId="77777777" w:rsidR="009A5136" w:rsidRDefault="009A5136" w:rsidP="004D519C">
          <w:pPr>
            <w:rPr>
              <w:lang w:eastAsia="zh-CN"/>
            </w:rPr>
          </w:pPr>
        </w:p>
        <w:p w14:paraId="7F7E5453" w14:textId="77777777" w:rsidR="009A5136" w:rsidRDefault="009A5136" w:rsidP="004D519C">
          <w:pPr>
            <w:rPr>
              <w:lang w:eastAsia="zh-CN"/>
            </w:rPr>
          </w:pPr>
        </w:p>
        <w:p w14:paraId="25AD3791" w14:textId="77777777" w:rsidR="009A5136" w:rsidRDefault="009A5136" w:rsidP="004D519C">
          <w:pPr>
            <w:rPr>
              <w:lang w:eastAsia="zh-CN"/>
            </w:rPr>
          </w:pPr>
        </w:p>
        <w:p w14:paraId="5C1B1FDE" w14:textId="77777777" w:rsidR="009A5136" w:rsidRDefault="009A5136" w:rsidP="004D519C">
          <w:pPr>
            <w:rPr>
              <w:lang w:eastAsia="zh-CN"/>
            </w:rPr>
          </w:pPr>
        </w:p>
        <w:p w14:paraId="0514E6FD" w14:textId="77777777" w:rsidR="009A5136" w:rsidRDefault="009A5136" w:rsidP="004D519C">
          <w:pPr>
            <w:rPr>
              <w:lang w:eastAsia="zh-CN"/>
            </w:rPr>
          </w:pPr>
        </w:p>
        <w:p w14:paraId="30CC0563" w14:textId="77777777" w:rsidR="009A5136" w:rsidRDefault="009A5136" w:rsidP="004D519C">
          <w:pPr>
            <w:rPr>
              <w:lang w:eastAsia="zh-CN"/>
            </w:rPr>
          </w:pPr>
        </w:p>
        <w:p w14:paraId="58C171BE" w14:textId="77777777" w:rsidR="009A5136" w:rsidRDefault="009A5136" w:rsidP="004D519C">
          <w:pPr>
            <w:rPr>
              <w:lang w:eastAsia="zh-CN"/>
            </w:rPr>
          </w:pPr>
        </w:p>
        <w:p w14:paraId="09463A21" w14:textId="77777777" w:rsidR="009A5136" w:rsidRDefault="009A5136" w:rsidP="004D519C">
          <w:pPr>
            <w:rPr>
              <w:lang w:eastAsia="zh-CN"/>
            </w:rPr>
          </w:pPr>
        </w:p>
        <w:p w14:paraId="58EC7EA7" w14:textId="77777777" w:rsidR="009A5136" w:rsidRDefault="009A5136" w:rsidP="004D519C">
          <w:pPr>
            <w:rPr>
              <w:lang w:eastAsia="zh-CN"/>
            </w:rPr>
          </w:pPr>
        </w:p>
        <w:p w14:paraId="375C35D4" w14:textId="77777777" w:rsidR="009A5136" w:rsidRDefault="009A5136" w:rsidP="004D519C">
          <w:pPr>
            <w:rPr>
              <w:lang w:eastAsia="zh-CN"/>
            </w:rPr>
          </w:pPr>
        </w:p>
        <w:p w14:paraId="159E6B12" w14:textId="77777777" w:rsidR="009A5136" w:rsidRDefault="009A5136" w:rsidP="004D519C">
          <w:pPr>
            <w:rPr>
              <w:lang w:eastAsia="zh-CN"/>
            </w:rPr>
          </w:pPr>
        </w:p>
        <w:p w14:paraId="04231DCC" w14:textId="77777777" w:rsidR="009A5136" w:rsidRDefault="009A5136" w:rsidP="004D519C">
          <w:pPr>
            <w:rPr>
              <w:lang w:eastAsia="zh-CN"/>
            </w:rPr>
          </w:pPr>
        </w:p>
        <w:p w14:paraId="49B98286" w14:textId="77777777" w:rsidR="009A5136" w:rsidRDefault="009A5136" w:rsidP="004D519C">
          <w:pPr>
            <w:rPr>
              <w:lang w:eastAsia="zh-CN"/>
            </w:rPr>
          </w:pPr>
        </w:p>
        <w:p w14:paraId="4DF2E59D" w14:textId="77777777" w:rsidR="009A5136" w:rsidRDefault="009A5136" w:rsidP="004D519C">
          <w:pPr>
            <w:rPr>
              <w:lang w:eastAsia="zh-CN"/>
            </w:rPr>
          </w:pPr>
        </w:p>
        <w:p w14:paraId="30D851E1" w14:textId="77777777" w:rsidR="009A5136" w:rsidRDefault="009A5136" w:rsidP="004D519C">
          <w:pPr>
            <w:rPr>
              <w:lang w:eastAsia="zh-CN"/>
            </w:rPr>
          </w:pPr>
        </w:p>
        <w:p w14:paraId="070D2759" w14:textId="77777777" w:rsidR="009A5136" w:rsidRDefault="009A5136" w:rsidP="004D519C">
          <w:pPr>
            <w:rPr>
              <w:lang w:eastAsia="zh-CN"/>
            </w:rPr>
          </w:pPr>
        </w:p>
        <w:p w14:paraId="2E293EB9" w14:textId="4766955B" w:rsidR="00480872" w:rsidRDefault="009A5136" w:rsidP="009A5136">
          <w:pPr>
            <w:pStyle w:val="1"/>
            <w:spacing w:line="480" w:lineRule="auto"/>
          </w:pPr>
          <w:bookmarkStart w:id="2" w:name="_Toc242349792"/>
          <w:r>
            <w:rPr>
              <w:rFonts w:hint="eastAsia"/>
              <w:lang w:eastAsia="zh-CN"/>
            </w:rPr>
            <w:lastRenderedPageBreak/>
            <w:t>2</w:t>
          </w:r>
          <w:r w:rsidRPr="009A5136">
            <w:rPr>
              <w:rFonts w:ascii="Times New Roman" w:hAnsi="Times New Roman" w:cs="Times New Roman"/>
              <w:lang w:eastAsia="zh-CN"/>
            </w:rPr>
            <w:t>.</w:t>
          </w:r>
          <w:r w:rsidR="00480872" w:rsidRPr="009A5136">
            <w:rPr>
              <w:rFonts w:ascii="Times New Roman" w:hAnsi="Times New Roman" w:cs="Times New Roman"/>
            </w:rPr>
            <w:t>Main Findings</w:t>
          </w:r>
          <w:bookmarkEnd w:id="2"/>
        </w:p>
        <w:p w14:paraId="16EC187B" w14:textId="77777777" w:rsidR="009A5136" w:rsidRPr="009A5136" w:rsidRDefault="009A5136" w:rsidP="009A5136">
          <w:pPr>
            <w:pStyle w:val="2"/>
            <w:spacing w:line="480" w:lineRule="auto"/>
            <w:rPr>
              <w:rFonts w:ascii="Times New Roman" w:hAnsi="Times New Roman" w:cs="Times New Roman"/>
              <w:sz w:val="24"/>
              <w:szCs w:val="24"/>
            </w:rPr>
          </w:pPr>
          <w:bookmarkStart w:id="3" w:name="OLE_LINK16"/>
          <w:bookmarkStart w:id="4" w:name="_Toc242349793"/>
          <w:r w:rsidRPr="009A5136">
            <w:rPr>
              <w:rFonts w:ascii="Times New Roman" w:eastAsia="Times New Roman" w:hAnsi="Times New Roman" w:cs="Times New Roman"/>
              <w:sz w:val="24"/>
              <w:szCs w:val="24"/>
            </w:rPr>
            <w:t>2.1 DHL Context and Evidence Base</w:t>
          </w:r>
          <w:bookmarkEnd w:id="4"/>
        </w:p>
        <w:p w14:paraId="0371FBCE"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DHL's size matters to AI risk when a shared tool is repeated across its logistics network. The group operates across Express, Global Forwarding, Freight, Supply Chain, eCommerce and Post &amp; Parcel Germany, and reported EUR 82.855 billion in revenue for 2025 (DHL Group, 2026). That figure shows the scale of operations, not the level of AI risk. A scheduling error confined to one customer is different from a faulty status rule reused across sites, which could make several customers revise production, inventory or delivery plans. The analysis therefore asks how far a failure could spread, not how large DHL's revenue is.</w:t>
          </w:r>
        </w:p>
        <w:p w14:paraId="46D5CD86"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A large network also makes small savings from routine contacts commercially attractive, which helps explain the pressure to adopt automation despite that exposure. UPS is one comparator: it reports 2025 revenue of US$88.7 billion and describes AI and network automation in its customer and efficiency strategy (United Parcel Service, 2026). The revenue figures are not directly comparable because currencies and business mixes differ, and the two reports do not show which company governs AI better. UPS does show that DHL is not alone in investing in automation. DHL can test its own improvement against a pre-deployment baseline; a claim of competitive advantage would also require comparable evidence about rivals' outcomes.</w:t>
          </w:r>
        </w:p>
        <w:p w14:paraId="133A76A8"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DHL's communications programme shows what it is trying to improve. Its 2025 reporting identifies 'Digital by Default' as part of Strategy 2030 and describes agentic AI in communication and customer experience (DHL Group, 2026). DHL Supply Chain uses </w:t>
          </w:r>
          <w:proofErr w:type="spellStart"/>
          <w:r w:rsidRPr="004A6265">
            <w:rPr>
              <w:rFonts w:ascii="Times New Roman" w:hAnsi="Times New Roman" w:cs="Times New Roman"/>
              <w:sz w:val="24"/>
              <w:szCs w:val="24"/>
            </w:rPr>
            <w:t>HappyRobot</w:t>
          </w:r>
          <w:proofErr w:type="spellEnd"/>
          <w:r w:rsidRPr="004A6265">
            <w:rPr>
              <w:rFonts w:ascii="Times New Roman" w:hAnsi="Times New Roman" w:cs="Times New Roman"/>
              <w:sz w:val="24"/>
              <w:szCs w:val="24"/>
            </w:rPr>
            <w:t xml:space="preserve"> agents for appointment scheduling, driver follow-up and high-priority warehouse coordination; the announced programme targets hundreds of thousands of emails and millions of voice minutes annually (DHL Group, 2025b). DHL reports less manual work and more staff time for exceptions. That saving depends on the agent passing cases it cannot resolve to staff. </w:t>
          </w:r>
          <w:r w:rsidRPr="004A6265">
            <w:rPr>
              <w:rFonts w:ascii="Times New Roman" w:hAnsi="Times New Roman" w:cs="Times New Roman"/>
              <w:sz w:val="24"/>
              <w:szCs w:val="24"/>
            </w:rPr>
            <w:lastRenderedPageBreak/>
            <w:t>If it instead relies on outdated information, staff may have to correct a booking and repeat the contact.</w:t>
          </w:r>
        </w:p>
        <w:p w14:paraId="44E6D0DD"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second use case changes physical work rather than communication; that distinction matters for worker safety (Rosen et al., 2022). In May 2025 DHL announced plans for more than 1,000 additional robotic units, building on Stretch robots used for container unloading (DHL Group, 2025a). The release reports more than EUR 1 billion invested in contract-logistics automation in three years and over 7,500 robots already in use. The new units are planned, not deployed. At this scale, supplier or sensor changes to existing robots need throughput and safety tests.</w:t>
          </w:r>
        </w:p>
        <w:p w14:paraId="65E79336"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releases establish use and expansion plans, not net reliability. The agent announcement reports target communication volumes and less manual effort, without a booking-error baseline (DHL Group, 2025b). The robot announcement reports unloading rates and less strenuous work, but not the safety or service effect of later installations (DHL Group, 2025a). DHL should compare contact accuracy and corrections for agents, and throughput, interruptions and safety for robots, both before and after material changes.</w:t>
          </w:r>
        </w:p>
        <w:p w14:paraId="00077229"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two cases need different tests. Outdated data could make an agent book incorrectly; a supplier or sensor change could interrupt robotic unloading. Both need an owner, tested changes and escalation. Human-AI design guidance supports correction when a system is wrong (</w:t>
          </w:r>
          <w:proofErr w:type="spellStart"/>
          <w:r w:rsidRPr="004A6265">
            <w:rPr>
              <w:rFonts w:ascii="Times New Roman" w:hAnsi="Times New Roman" w:cs="Times New Roman"/>
              <w:sz w:val="24"/>
              <w:szCs w:val="24"/>
            </w:rPr>
            <w:t>Amershi</w:t>
          </w:r>
          <w:proofErr w:type="spellEnd"/>
          <w:r w:rsidRPr="004A6265">
            <w:rPr>
              <w:rFonts w:ascii="Times New Roman" w:hAnsi="Times New Roman" w:cs="Times New Roman"/>
              <w:sz w:val="24"/>
              <w:szCs w:val="24"/>
            </w:rPr>
            <w:t xml:space="preserve"> et al., 2019). DHL should judge the agent by booking accuracy and human correction, and the robot by safe handling and continuity. Treating both as undifferentiated 'AI' would obscure the risk.</w:t>
          </w:r>
        </w:p>
        <w:p w14:paraId="508A423C" w14:textId="10D25BA2" w:rsidR="004A6265" w:rsidRPr="004A6265" w:rsidRDefault="004A6265" w:rsidP="004A6265">
          <w:pPr>
            <w:spacing w:line="480" w:lineRule="auto"/>
            <w:jc w:val="both"/>
            <w:rPr>
              <w:rFonts w:ascii="Times New Roman" w:hAnsi="Times New Roman" w:cs="Times New Roman" w:hint="eastAsia"/>
              <w:sz w:val="24"/>
              <w:szCs w:val="24"/>
              <w:lang w:eastAsia="zh-CN"/>
            </w:rPr>
          </w:pPr>
          <w:r w:rsidRPr="004A6265">
            <w:rPr>
              <w:rFonts w:ascii="Times New Roman" w:hAnsi="Times New Roman" w:cs="Times New Roman"/>
              <w:sz w:val="24"/>
              <w:szCs w:val="24"/>
            </w:rPr>
            <w:t xml:space="preserve">Because the same control gap can have different effects, approval should follow a use case's impact rather than its technology label. An internal summarisation tool may need a lighter route than a system affecting appointments, workers or physical safety. Public disclosures lack comparable error baselines, so scale alone cannot establish reliability. This gap matters when </w:t>
          </w:r>
          <w:r w:rsidRPr="004A6265">
            <w:rPr>
              <w:rFonts w:ascii="Times New Roman" w:hAnsi="Times New Roman" w:cs="Times New Roman"/>
              <w:sz w:val="24"/>
              <w:szCs w:val="24"/>
            </w:rPr>
            <w:lastRenderedPageBreak/>
            <w:t>external pressure encourages automation: potential savings must be weighed against data, decision, compliance and trust risks (see Appendix A).</w:t>
          </w:r>
        </w:p>
        <w:p w14:paraId="631BE112" w14:textId="77777777" w:rsidR="004A6265" w:rsidRPr="004A6265" w:rsidRDefault="004A6265" w:rsidP="004A6265">
          <w:pPr>
            <w:pStyle w:val="2"/>
            <w:spacing w:after="80" w:line="480" w:lineRule="auto"/>
            <w:rPr>
              <w:rFonts w:ascii="Times New Roman" w:hAnsi="Times New Roman" w:cs="Times New Roman"/>
              <w:sz w:val="24"/>
              <w:szCs w:val="24"/>
            </w:rPr>
          </w:pPr>
          <w:bookmarkStart w:id="5" w:name="_Toc242349794"/>
          <w:r w:rsidRPr="004A6265">
            <w:rPr>
              <w:rFonts w:ascii="Times New Roman" w:eastAsia="Times New Roman" w:hAnsi="Times New Roman" w:cs="Times New Roman"/>
              <w:sz w:val="24"/>
              <w:szCs w:val="24"/>
            </w:rPr>
            <w:t>2.2 UK and EU External Environment: PESTLE Analysis</w:t>
          </w:r>
          <w:bookmarkEnd w:id="5"/>
        </w:p>
        <w:p w14:paraId="3F96513F" w14:textId="77777777" w:rsidR="004A6265" w:rsidRPr="004A6265" w:rsidRDefault="004A6265" w:rsidP="004A6265">
          <w:pPr>
            <w:keepLines/>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use cases above show where AI can affect service and safety. PESTLE (political, economic, social, technological, legal and environmental) identifies external pressures that change how DHL should manage those effects in the UK and EU. Regulatory divergence changes legal duties; labour and trade conditions increase the incentive to automate; technology dependence and public expectations shape resilience and trust. Because these pressures interact, the analysis follows the ones most likely to change a deployment decision rather than treating PESTLE as six unrelated labels (see Appendix B).</w:t>
          </w:r>
        </w:p>
        <w:p w14:paraId="04B7B256"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6" w:name="_Toc242349795"/>
          <w:r w:rsidRPr="004A6265">
            <w:rPr>
              <w:rFonts w:ascii="Times New Roman" w:eastAsia="Times New Roman" w:hAnsi="Times New Roman" w:cs="Times New Roman"/>
              <w:b w:val="0"/>
              <w:bCs w:val="0"/>
              <w:color w:val="2E74B5" w:themeColor="accent1" w:themeShade="BF"/>
              <w:sz w:val="24"/>
              <w:szCs w:val="24"/>
            </w:rPr>
            <w:t>2.2.1 Political and regulatory change</w:t>
          </w:r>
          <w:bookmarkEnd w:id="6"/>
        </w:p>
        <w:p w14:paraId="1641358E"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EU's political and legal environment affects how DHL should classify each AI use. The EU AI Act is risk-based, but logistics tools are not automatically high-risk (European Commission, 2026). Certain employment or safety-related uses may need more demanding documentation, oversight and logging after legal classification. An interactive agent may trigger disclosure duties and, depending on its function, other obligations as well. DHL therefore needs a use-case register and legal review, not one blanket label. The General Data Protection Regulation (GDPR) also matters where customer addresses, tracking information or communications are personal data.</w:t>
          </w:r>
        </w:p>
        <w:p w14:paraId="5EB057C9"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The UK approach differs. Its 2023 white paper emphasised context, proportionality, existing regulators and innovation (Department for Science, Innovation and Technology, 2023). A later response reinforced interoperability and regulator coordination (Department for Science, Innovation and Technology, 2024). A 2025 Growth Lab announcement proposed supervised testing in selected areas (Department for Science, Innovation and Technology, 2025). That </w:t>
          </w:r>
          <w:r w:rsidRPr="004A6265">
            <w:rPr>
              <w:rFonts w:ascii="Times New Roman" w:hAnsi="Times New Roman" w:cs="Times New Roman"/>
              <w:sz w:val="24"/>
              <w:szCs w:val="24"/>
            </w:rPr>
            <w:lastRenderedPageBreak/>
            <w:t>proposal does not establish an available DHL logistics route. The company must check the applicable data, employment and operational safety rules, and confirm any testing scheme's scope, rather than treating UK flexibility as an absence of oversight.</w:t>
          </w:r>
        </w:p>
        <w:p w14:paraId="2E2493A3"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Different legal approaches make neither fully local nor blanket EU-style governance an automatic answer. Local checks allow adaptation but can duplicate assurance work and leave a shared operational failure controlled unevenly. Applying every demanding EU process to every use might protect consistency but delay low-impact UK tools with little comparable benefit. DHL needs common controls for the errors that can occur in either market </w:t>
          </w:r>
          <w:proofErr w:type="gramStart"/>
          <w:r w:rsidRPr="004A6265">
            <w:rPr>
              <w:rFonts w:ascii="Times New Roman" w:hAnsi="Times New Roman" w:cs="Times New Roman"/>
              <w:sz w:val="24"/>
              <w:szCs w:val="24"/>
            </w:rPr>
            <w:t>and</w:t>
          </w:r>
          <w:proofErr w:type="gramEnd"/>
          <w:r w:rsidRPr="004A6265">
            <w:rPr>
              <w:rFonts w:ascii="Times New Roman" w:hAnsi="Times New Roman" w:cs="Times New Roman"/>
              <w:sz w:val="24"/>
              <w:szCs w:val="24"/>
            </w:rPr>
            <w:t xml:space="preserve"> local checks for duties that really differ. A shared service agent makes that distinction concrete.</w:t>
          </w:r>
        </w:p>
        <w:p w14:paraId="4C4090FB"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Suppose a service agent uses one shipment database to answer both a UK and an EU user. An incorrect status would create a similar immediate service problem in each market, even if disclosure, data-protection and supervisory duties differ. For that common problem, DHL would need data-freshness checks, error monitoring and a route to human correction. A regional legal check would then identify any additional notice, assessment or record-keeping obligations. The example is hypothetical, but it shows why meeting each local legal requirement would not, on its own, correct a shared bad data feed.</w:t>
          </w:r>
        </w:p>
        <w:p w14:paraId="6406D2EF"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7" w:name="_Toc242349796"/>
          <w:r w:rsidRPr="004A6265">
            <w:rPr>
              <w:rFonts w:ascii="Times New Roman" w:hAnsi="Times New Roman" w:cs="Times New Roman"/>
              <w:b w:val="0"/>
              <w:bCs w:val="0"/>
              <w:color w:val="2E74B5" w:themeColor="accent1" w:themeShade="BF"/>
              <w:sz w:val="24"/>
              <w:szCs w:val="24"/>
            </w:rPr>
            <w:t>2.2.2 Economic volatility and automation incentives</w:t>
          </w:r>
          <w:bookmarkEnd w:id="7"/>
        </w:p>
        <w:p w14:paraId="74D70E49"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Monetary and trade conditions affect investment decisions, not proof of AI performance. The Bank of England held Bank Rate at 3.75% in July 2026 (Bank of England, 2026), while the ECB raised its key rates by 25 basis points in June (European Central Bank, 2026). These decisions may affect investment hurdles but do not measure DHL's borrowing costs or AI returns. The World Economic Forum warns of supply-chain disruption (World Economic Forum, 2026). DHL attributed pressure on its 2025 revenue to currency effects and lower US-</w:t>
          </w:r>
          <w:r w:rsidRPr="004A6265">
            <w:rPr>
              <w:rFonts w:ascii="Times New Roman" w:hAnsi="Times New Roman" w:cs="Times New Roman"/>
              <w:sz w:val="24"/>
              <w:szCs w:val="24"/>
            </w:rPr>
            <w:lastRenderedPageBreak/>
            <w:t>bound volumes while reporting capacity and cost improvements (DHL Group, 2026). These pressures favour flexibility, but DHL must test AI's net cost and service effect.</w:t>
          </w:r>
        </w:p>
        <w:p w14:paraId="794C0332"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Route optimisation offers an illustrative response to volatility; the cited DHL material does not establish this as a measured AI outcome. If a validated model reduced empty miles, it could improve asset use when costs rise. The opposite risk is that cost pressure encourages contact, handling or scheduling automation before data checks, validation, staff training and escalation are ready. The relevant question is whether a measured saving exceeds those control costs without making operations more fragile. Assurance is worthwhile where it demonstrably protects continuity and trust.</w:t>
          </w:r>
        </w:p>
        <w:p w14:paraId="74239EF4"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8" w:name="_Toc242349797"/>
          <w:r w:rsidRPr="004A6265">
            <w:rPr>
              <w:rFonts w:ascii="Times New Roman" w:eastAsia="Times New Roman" w:hAnsi="Times New Roman" w:cs="Times New Roman"/>
              <w:b w:val="0"/>
              <w:bCs w:val="0"/>
              <w:color w:val="2E74B5" w:themeColor="accent1" w:themeShade="BF"/>
              <w:sz w:val="24"/>
              <w:szCs w:val="24"/>
            </w:rPr>
            <w:t>2.2.3 Social and ethical factors</w:t>
          </w:r>
          <w:bookmarkEnd w:id="8"/>
        </w:p>
        <w:p w14:paraId="1595F858"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Customers may expect transparency over personal data, while employees may question how automation affects work. A review of AI ethics guidelines identifies fairness, privacy, accountability and transparency as recurring principles (Jobin, Ienca and </w:t>
          </w:r>
          <w:proofErr w:type="spellStart"/>
          <w:r w:rsidRPr="004A6265">
            <w:rPr>
              <w:rFonts w:ascii="Times New Roman" w:hAnsi="Times New Roman" w:cs="Times New Roman"/>
              <w:sz w:val="24"/>
              <w:szCs w:val="24"/>
            </w:rPr>
            <w:t>Vayena</w:t>
          </w:r>
          <w:proofErr w:type="spellEnd"/>
          <w:r w:rsidRPr="004A6265">
            <w:rPr>
              <w:rFonts w:ascii="Times New Roman" w:hAnsi="Times New Roman" w:cs="Times New Roman"/>
              <w:sz w:val="24"/>
              <w:szCs w:val="24"/>
            </w:rPr>
            <w:t>, 2019). DHL's documented communications tools make privacy and transparency concrete: an agent needs data to arrange an appointment, and a person needs to know how to correct a wrong answer. Fairness and accountability become more salient if AI prioritises customers or influences worker decisions. The latter are scenarios to assess, not findings of a specific DHL deployment.</w:t>
          </w:r>
        </w:p>
        <w:p w14:paraId="35650BA1"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Automation's value to workers depends on changes to tasks and control, not only technical performance. A supply-chain review identifies human and organisational adoption barriers (Shahzadi et al., 2024). DHL says Stretch reduces strenuous unloading work (DHL Group, 2025a). That announcement does not establish AI-based employee scoring, which would need a different assessment. If analytics later affects shifts or evaluation, management should test monitoring limits and consult workers (</w:t>
          </w:r>
          <w:proofErr w:type="spellStart"/>
          <w:r w:rsidRPr="004A6265">
            <w:rPr>
              <w:rFonts w:ascii="Times New Roman" w:hAnsi="Times New Roman" w:cs="Times New Roman"/>
              <w:sz w:val="24"/>
              <w:szCs w:val="24"/>
            </w:rPr>
            <w:t>Urzí</w:t>
          </w:r>
          <w:proofErr w:type="spellEnd"/>
          <w:r w:rsidRPr="004A6265">
            <w:rPr>
              <w:rFonts w:ascii="Times New Roman" w:hAnsi="Times New Roman" w:cs="Times New Roman"/>
              <w:sz w:val="24"/>
              <w:szCs w:val="24"/>
            </w:rPr>
            <w:t xml:space="preserve"> Brancati, 2024). Staff also need a route to challenge consequential decisions, so claimed augmentation does not conceal lost control.</w:t>
          </w:r>
        </w:p>
        <w:p w14:paraId="007BFA28"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9" w:name="_Toc242349798"/>
          <w:r w:rsidRPr="004A6265">
            <w:rPr>
              <w:rFonts w:ascii="Times New Roman" w:eastAsia="Times New Roman" w:hAnsi="Times New Roman" w:cs="Times New Roman"/>
              <w:b w:val="0"/>
              <w:bCs w:val="0"/>
              <w:color w:val="2E74B5" w:themeColor="accent1" w:themeShade="BF"/>
              <w:sz w:val="24"/>
              <w:szCs w:val="24"/>
            </w:rPr>
            <w:lastRenderedPageBreak/>
            <w:t>2.2.4 Technological and environmental factors</w:t>
          </w:r>
          <w:bookmarkEnd w:id="9"/>
        </w:p>
        <w:p w14:paraId="2F387BC4"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Technological change creates capability and dependency together. AI agents, robotics and sensors can improve responsiveness, but data and model behaviour may change after integration. An external supply-chain study found that bias or misread data can cause wrong decisions (</w:t>
          </w:r>
          <w:proofErr w:type="spellStart"/>
          <w:r w:rsidRPr="004A6265">
            <w:rPr>
              <w:rFonts w:ascii="Times New Roman" w:hAnsi="Times New Roman" w:cs="Times New Roman"/>
              <w:sz w:val="24"/>
              <w:szCs w:val="24"/>
            </w:rPr>
            <w:t>Brintrup</w:t>
          </w:r>
          <w:proofErr w:type="spellEnd"/>
          <w:r w:rsidRPr="004A6265">
            <w:rPr>
              <w:rFonts w:ascii="Times New Roman" w:hAnsi="Times New Roman" w:cs="Times New Roman"/>
              <w:sz w:val="24"/>
              <w:szCs w:val="24"/>
            </w:rPr>
            <w:t xml:space="preserve"> et al., 2024). DHL was not studied, so it should test its own outputs. Supplier releases and cyber controls need continuing checks (National Cyber Security Centre, 2023); human override also needs testing where errors could affect service or safety.</w:t>
          </w:r>
        </w:p>
        <w:p w14:paraId="24F0E0A1"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Environmental pressures add another outcome to measure. Route planning might reduce empty miles, while AI computing requires electricity (International Energy Agency, 2025); neither net effect is established for DHL. DHL's strategy identifies climate change and digitalisation as structural forces shaping logistics (DHL Group, n.d.). Direct AI energy use and indirect operational effects both matter (OECD, 2022). A sustainability claim would be weak if it counted labour savings but ignored energy, emissions or service failures. DHL should therefore test net environmental effects alongside efficiency, safety and customer trust before using them to justify scale-up.</w:t>
          </w:r>
        </w:p>
        <w:p w14:paraId="65FE257B" w14:textId="75DDA93F" w:rsidR="004A6265" w:rsidRPr="004A6265" w:rsidRDefault="004A6265" w:rsidP="004A6265">
          <w:pPr>
            <w:spacing w:line="480" w:lineRule="auto"/>
            <w:jc w:val="both"/>
            <w:rPr>
              <w:rFonts w:ascii="Times New Roman" w:hAnsi="Times New Roman" w:cs="Times New Roman" w:hint="eastAsia"/>
              <w:sz w:val="24"/>
              <w:szCs w:val="24"/>
              <w:lang w:eastAsia="zh-CN"/>
            </w:rPr>
          </w:pPr>
          <w:r w:rsidRPr="004A6265">
            <w:rPr>
              <w:rFonts w:ascii="Times New Roman" w:hAnsi="Times New Roman" w:cs="Times New Roman"/>
              <w:sz w:val="24"/>
              <w:szCs w:val="24"/>
            </w:rPr>
            <w:t>The external pressures now point to one decision: where can DHL automate without allowing an error to spread or leaving affected people without correction? Economic and competitive pressures favour expansion; differing legal duties, supplier dependence, employee concerns and environmental claims constrain how it is done. Answering that decision requires a closer look at the mechanism of failure, from input data through decisions, compliance and customer trust.</w:t>
          </w:r>
        </w:p>
        <w:p w14:paraId="61F0D5FE" w14:textId="77777777" w:rsidR="004A6265" w:rsidRPr="004A6265" w:rsidRDefault="004A6265" w:rsidP="004A6265">
          <w:pPr>
            <w:pStyle w:val="2"/>
            <w:spacing w:after="80" w:line="480" w:lineRule="auto"/>
            <w:rPr>
              <w:rFonts w:ascii="Times New Roman" w:hAnsi="Times New Roman" w:cs="Times New Roman"/>
              <w:sz w:val="24"/>
              <w:szCs w:val="24"/>
            </w:rPr>
          </w:pPr>
          <w:bookmarkStart w:id="10" w:name="_Toc242349799"/>
          <w:r w:rsidRPr="004A6265">
            <w:rPr>
              <w:rFonts w:ascii="Times New Roman" w:eastAsia="Times New Roman" w:hAnsi="Times New Roman" w:cs="Times New Roman"/>
              <w:sz w:val="24"/>
              <w:szCs w:val="24"/>
            </w:rPr>
            <w:t>2.3 AI Risk Analysis for DHL</w:t>
          </w:r>
          <w:bookmarkEnd w:id="10"/>
        </w:p>
        <w:p w14:paraId="2E4D538A" w14:textId="53B2D69D" w:rsidR="004A6265" w:rsidRPr="004A6265" w:rsidRDefault="004A6265" w:rsidP="004A6265">
          <w:pPr>
            <w:spacing w:line="480" w:lineRule="auto"/>
            <w:jc w:val="both"/>
            <w:rPr>
              <w:rFonts w:ascii="Times New Roman" w:hAnsi="Times New Roman" w:cs="Times New Roman" w:hint="eastAsia"/>
              <w:sz w:val="24"/>
              <w:szCs w:val="24"/>
              <w:lang w:eastAsia="zh-CN"/>
            </w:rPr>
          </w:pPr>
          <w:r w:rsidRPr="004A6265">
            <w:rPr>
              <w:rFonts w:ascii="Times New Roman" w:hAnsi="Times New Roman" w:cs="Times New Roman"/>
              <w:sz w:val="24"/>
              <w:szCs w:val="24"/>
            </w:rPr>
            <w:t xml:space="preserve">DHL's reported AI savings do not establish whether wider use is reliable, fair or lawful. Risk management identifies, assesses, reduces and monitors failures (Deiva Ganesh and Kalpana, </w:t>
          </w:r>
          <w:r w:rsidRPr="004A6265">
            <w:rPr>
              <w:rFonts w:ascii="Times New Roman" w:hAnsi="Times New Roman" w:cs="Times New Roman"/>
              <w:sz w:val="24"/>
              <w:szCs w:val="24"/>
            </w:rPr>
            <w:lastRenderedPageBreak/>
            <w:t>2022). An unnoticed data error can distort a decision and then raise legal or trust concerns. The following analysis therefore traces how DHL should detect and correct such failures (see Appendix C).</w:t>
          </w:r>
        </w:p>
        <w:p w14:paraId="678A9857"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11" w:name="_Toc242349800"/>
          <w:r w:rsidRPr="004A6265">
            <w:rPr>
              <w:rFonts w:ascii="Times New Roman" w:eastAsia="Times New Roman" w:hAnsi="Times New Roman" w:cs="Times New Roman"/>
              <w:b w:val="0"/>
              <w:bCs w:val="0"/>
              <w:color w:val="2E74B5" w:themeColor="accent1" w:themeShade="BF"/>
              <w:sz w:val="24"/>
              <w:szCs w:val="24"/>
            </w:rPr>
            <w:t>2.3.1 Data governance risk</w:t>
          </w:r>
          <w:bookmarkEnd w:id="11"/>
        </w:p>
        <w:p w14:paraId="4B033F2F"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Data governance is foundational because AI harms can arise from data collection, modelling and use (Suresh and Guttag, 2021). In DHL's case, the relevant data is not limited to customer names and addresses. It includes shipment history, location scans, customs documentation, route performance, warehouse handling data, customer-service interactions, IoT sensor readings and potentially employee productivity data. The more DHL integrates AI across divisions, the more important it becomes to know which data is being used, for what purpose, by which model, under which legal basis and with which retention rule.</w:t>
          </w:r>
        </w:p>
        <w:p w14:paraId="569BD865"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A cross-border inventory is both a technical and a legal control. EU guidance distinguishes personal-data issues in model development from those in deployment (European Data Protection Board, 2024). It should record which inputs are personal data, which entity processes them and where people are affected. GDPR Article 3(2) may apply to specified processing by a non-EU operation that offers services to, or monitors, people in the EU (European Parliament and Council of the European Union, 2016). It does not define every DHL cross-border case. Guidance from the UK Information Commissioner's Office (ICO) addresses accountability, accuracy, fairness, security and individual rights in AI-related personal-data processing (ICO, 2023). Before scaling a model, its owner should identify the applicable basis for personal-data use, the input sources and a route to trace and correct errors.</w:t>
          </w:r>
        </w:p>
        <w:p w14:paraId="33C9913B"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Data problems matter when staff act on an AI output. A delay-warning model is illustrative, not a documented DHL use. In a supply-chain study, more interpretable delay predictions lost some predictive performance (</w:t>
          </w:r>
          <w:proofErr w:type="spellStart"/>
          <w:r w:rsidRPr="004A6265">
            <w:rPr>
              <w:rFonts w:ascii="Times New Roman" w:hAnsi="Times New Roman" w:cs="Times New Roman"/>
              <w:sz w:val="24"/>
              <w:szCs w:val="24"/>
            </w:rPr>
            <w:t>Baryannis</w:t>
          </w:r>
          <w:proofErr w:type="spellEnd"/>
          <w:r w:rsidRPr="004A6265">
            <w:rPr>
              <w:rFonts w:ascii="Times New Roman" w:hAnsi="Times New Roman" w:cs="Times New Roman"/>
              <w:sz w:val="24"/>
              <w:szCs w:val="24"/>
            </w:rPr>
            <w:t xml:space="preserve">, Dani and Antoniou, 2019). DHL would face that </w:t>
          </w:r>
          <w:r w:rsidRPr="004A6265">
            <w:rPr>
              <w:rFonts w:ascii="Times New Roman" w:hAnsi="Times New Roman" w:cs="Times New Roman"/>
              <w:sz w:val="24"/>
              <w:szCs w:val="24"/>
            </w:rPr>
            <w:lastRenderedPageBreak/>
            <w:t>trade-off if staff had to explain a warning before changing a delivery estimate. Missing scans could distort both the warning and a capacity decision; a vendor might reuse personal data beyond DHL's intended purpose. These are possible failures, not reported incidents. NIST's govern-map-measure-manage functions call for an owner, mapped inputs, error checks after changes and correction (Tabassi, 2023). A shared register should document dataset origin and intended use (Gebru et al., 2021), the model using it and the person responsible.</w:t>
          </w:r>
        </w:p>
        <w:p w14:paraId="56D5458C"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12" w:name="_Toc242349801"/>
          <w:r w:rsidRPr="004A6265">
            <w:rPr>
              <w:rFonts w:ascii="Times New Roman" w:eastAsia="Times New Roman" w:hAnsi="Times New Roman" w:cs="Times New Roman"/>
              <w:b w:val="0"/>
              <w:bCs w:val="0"/>
              <w:color w:val="2E74B5" w:themeColor="accent1" w:themeShade="BF"/>
              <w:sz w:val="24"/>
              <w:szCs w:val="24"/>
            </w:rPr>
            <w:t>2.3.2 Ethical AI and decision legitimacy</w:t>
          </w:r>
          <w:bookmarkEnd w:id="12"/>
        </w:p>
        <w:p w14:paraId="4ED9DFC7"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Lawful and accurate data do not alone make an AI-supported decision fair or contestable; bias must be tested in context (Centre for Data Ethics and Innovation, 2020). AI4People's human-agency principle supports a route for affected people to question consequential automated outcomes (</w:t>
          </w:r>
          <w:proofErr w:type="spellStart"/>
          <w:r w:rsidRPr="004A6265">
            <w:rPr>
              <w:rFonts w:ascii="Times New Roman" w:hAnsi="Times New Roman" w:cs="Times New Roman"/>
              <w:sz w:val="24"/>
              <w:szCs w:val="24"/>
            </w:rPr>
            <w:t>Floridi</w:t>
          </w:r>
          <w:proofErr w:type="spellEnd"/>
          <w:r w:rsidRPr="004A6265">
            <w:rPr>
              <w:rFonts w:ascii="Times New Roman" w:hAnsi="Times New Roman" w:cs="Times New Roman"/>
              <w:sz w:val="24"/>
              <w:szCs w:val="24"/>
            </w:rPr>
            <w:t xml:space="preserve"> et al., 2018). Algorithmic-management research shows why that matters for workers: digital systems can redistribute power and reduce transparency (Kellogg, Valentine and Christin, 2020). If DHL later uses AI to influence shift allocation, performance monitoring or route priorities, workers </w:t>
          </w:r>
          <w:proofErr w:type="gramStart"/>
          <w:r w:rsidRPr="004A6265">
            <w:rPr>
              <w:rFonts w:ascii="Times New Roman" w:hAnsi="Times New Roman" w:cs="Times New Roman"/>
              <w:sz w:val="24"/>
              <w:szCs w:val="24"/>
            </w:rPr>
            <w:t>would</w:t>
          </w:r>
          <w:proofErr w:type="gramEnd"/>
          <w:r w:rsidRPr="004A6265">
            <w:rPr>
              <w:rFonts w:ascii="Times New Roman" w:hAnsi="Times New Roman" w:cs="Times New Roman"/>
              <w:sz w:val="24"/>
              <w:szCs w:val="24"/>
            </w:rPr>
            <w:t xml:space="preserve"> need an intelligible reason and a way to challenge the outcome. A customer whose booking is changed by an agent needs a separate correction route; the worker study does not itself establish that customer risk.</w:t>
          </w:r>
        </w:p>
        <w:p w14:paraId="176ABFEB"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Accountability and transparency need tests in each workflow, rather than a policy statement alone (OECD, 2024). For a communications agent, DHL should track booking errors, unresolved exceptions, successful hand-offs, complaint categories and whether customers in different languages can reach a person. Those measures would show whether reducing manual effort shifts more work to customers. For robotics, DHL should compare physical strain and handling interruptions before and after </w:t>
          </w:r>
          <w:proofErr w:type="gramStart"/>
          <w:r w:rsidRPr="004A6265">
            <w:rPr>
              <w:rFonts w:ascii="Times New Roman" w:hAnsi="Times New Roman" w:cs="Times New Roman"/>
              <w:sz w:val="24"/>
              <w:szCs w:val="24"/>
            </w:rPr>
            <w:t>deployment, and</w:t>
          </w:r>
          <w:proofErr w:type="gramEnd"/>
          <w:r w:rsidRPr="004A6265">
            <w:rPr>
              <w:rFonts w:ascii="Times New Roman" w:hAnsi="Times New Roman" w:cs="Times New Roman"/>
              <w:sz w:val="24"/>
              <w:szCs w:val="24"/>
            </w:rPr>
            <w:t xml:space="preserve"> consult workers about any added pace or monitoring. The OECD principles thus become questions DHL can answer with evidence, not just labels.</w:t>
          </w:r>
        </w:p>
        <w:p w14:paraId="7551600D"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13" w:name="_Toc242349802"/>
          <w:r w:rsidRPr="004A6265">
            <w:rPr>
              <w:rFonts w:ascii="Times New Roman" w:eastAsia="Times New Roman" w:hAnsi="Times New Roman" w:cs="Times New Roman"/>
              <w:b w:val="0"/>
              <w:bCs w:val="0"/>
              <w:color w:val="2E74B5" w:themeColor="accent1" w:themeShade="BF"/>
              <w:sz w:val="24"/>
              <w:szCs w:val="24"/>
            </w:rPr>
            <w:lastRenderedPageBreak/>
            <w:t>2.3.3 Regulatory compliance risk</w:t>
          </w:r>
          <w:bookmarkEnd w:id="13"/>
        </w:p>
        <w:p w14:paraId="4DDED014"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Regulatory risk changes as rules </w:t>
          </w:r>
          <w:proofErr w:type="gramStart"/>
          <w:r w:rsidRPr="004A6265">
            <w:rPr>
              <w:rFonts w:ascii="Times New Roman" w:hAnsi="Times New Roman" w:cs="Times New Roman"/>
              <w:sz w:val="24"/>
              <w:szCs w:val="24"/>
            </w:rPr>
            <w:t>take</w:t>
          </w:r>
          <w:proofErr w:type="gramEnd"/>
          <w:r w:rsidRPr="004A6265">
            <w:rPr>
              <w:rFonts w:ascii="Times New Roman" w:hAnsi="Times New Roman" w:cs="Times New Roman"/>
              <w:sz w:val="24"/>
              <w:szCs w:val="24"/>
            </w:rPr>
            <w:t xml:space="preserve"> effect. The EU AI Act entered into force in August 2024, with obligations phased in over subsequent years (European Commission, 2026). UK oversight relies more on sectoral regulators, data protection and existing law. For DHL, possible consequences extend beyond a fine: delayed deployment, forced redesign, procurement disruption and difficulty showing that a particular use complies. The applicable duty depends on what the system does, who uses it and whether it meets a legal category; an internal impact tier alone is not a legal answer.</w:t>
          </w:r>
        </w:p>
        <w:p w14:paraId="77E164C1"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DHL should screen uses by operational impact and then make a separate legal classification. An internal summarisation tool normally calls for a lighter route than a system making customer commitments, allocating work or controlling physical equipment. Under the EU framework, some employment or product-safety uses may be high-risk; an interactive agent may also face disclosure duties, depending on its actual function (European Parliament and Council of the European Union, 2024). A UK testing proposal is not an automatic route for DHL. For higher-impact uses, legal, data protection and operational reviewers should check the actual deployment before approving scale-up.</w:t>
          </w:r>
        </w:p>
        <w:p w14:paraId="1CE349FC"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14" w:name="_Toc242349803"/>
          <w:r w:rsidRPr="004A6265">
            <w:rPr>
              <w:rFonts w:ascii="Times New Roman" w:eastAsia="Times New Roman" w:hAnsi="Times New Roman" w:cs="Times New Roman"/>
              <w:b w:val="0"/>
              <w:bCs w:val="0"/>
              <w:color w:val="2E74B5" w:themeColor="accent1" w:themeShade="BF"/>
              <w:sz w:val="24"/>
              <w:szCs w:val="24"/>
            </w:rPr>
            <w:t>2.3.4 Customer trust risk</w:t>
          </w:r>
          <w:bookmarkEnd w:id="14"/>
        </w:p>
        <w:p w14:paraId="569A046A"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Customers rely on correct delivery information to plan, so an AI service tool can affect trust when its answer is used. Ability, benevolence and integrity offer a lens, not evidence of DHL customers' views (Mayer, Davis and Schoorman, 1995). A correct answer may signal ability; access to a person may show attention to unusual cases. A wrong estimate without a correction route could disrupt planning and weaken trust. UK service-recovery experiments outside logistics also link chatbot trustworthiness to customer responses (Agnihotri and Bhattacharya, 2024). A survey experiment outside logistics found mixed views on the fairness and usefulness </w:t>
          </w:r>
          <w:r w:rsidRPr="004A6265">
            <w:rPr>
              <w:rFonts w:ascii="Times New Roman" w:hAnsi="Times New Roman" w:cs="Times New Roman"/>
              <w:sz w:val="24"/>
              <w:szCs w:val="24"/>
            </w:rPr>
            <w:lastRenderedPageBreak/>
            <w:t>of automated decisions (Araujo et al., 2020). DHL should measure inaccurate estimates, complaints and hand-offs rather than infer trust from response speed.</w:t>
          </w:r>
        </w:p>
        <w:p w14:paraId="6DA8355D"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Direct interaction with AI may trigger EU AI Act disclosure duties (European Commission, 2026). DHL should label AI-assisted channels where required. In outbound sales calls, early chatbot disclosure reduced purchases (Luo et al., 2019); that result cannot predict delivery-service trust or override a legal duty. When AI works behind the scenes, customers may still need correction and access to a person. UK guidance distinguishes process explanations from explanations of individual outcomes (Information Commissioner's Office and The Alan Turing Institute, 2020). DHL should measure errors, correction time and complaints in both settings.</w:t>
          </w:r>
        </w:p>
        <w:p w14:paraId="69142F56"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15" w:name="_Toc242349804"/>
          <w:r w:rsidRPr="004A6265">
            <w:rPr>
              <w:rFonts w:ascii="Times New Roman" w:eastAsia="Times New Roman" w:hAnsi="Times New Roman" w:cs="Times New Roman"/>
              <w:b w:val="0"/>
              <w:bCs w:val="0"/>
              <w:color w:val="2E74B5" w:themeColor="accent1" w:themeShade="BF"/>
              <w:sz w:val="24"/>
              <w:szCs w:val="24"/>
            </w:rPr>
            <w:t>2.3.5 Interdependence of risks</w:t>
          </w:r>
          <w:bookmarkEnd w:id="15"/>
        </w:p>
        <w:p w14:paraId="4668EE81"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These risks reinforce one another. A vendor update can change a model's behaviour and produce inaccurate customer information. Complaints may then expose missing impact assessments, creating regulatory as well as trust risk. A dashboard focused only on savings would miss model drift, employee objections or failed escalation. This interaction favours controls with a named owner, measurable trigger and escalation route, rather than separate privacy, technology and operations responses.</w:t>
          </w:r>
        </w:p>
        <w:p w14:paraId="429292CB" w14:textId="77777777" w:rsidR="004A6265" w:rsidRPr="004A6265" w:rsidRDefault="004A6265" w:rsidP="004A6265">
          <w:pPr>
            <w:pStyle w:val="2"/>
            <w:spacing w:after="80" w:line="480" w:lineRule="auto"/>
            <w:rPr>
              <w:rFonts w:ascii="Times New Roman" w:hAnsi="Times New Roman" w:cs="Times New Roman"/>
              <w:sz w:val="24"/>
              <w:szCs w:val="24"/>
            </w:rPr>
          </w:pPr>
          <w:bookmarkStart w:id="16" w:name="_Toc242349805"/>
          <w:r w:rsidRPr="004A6265">
            <w:rPr>
              <w:rFonts w:ascii="Times New Roman" w:hAnsi="Times New Roman" w:cs="Times New Roman"/>
              <w:sz w:val="24"/>
              <w:szCs w:val="24"/>
            </w:rPr>
            <w:t>2.4 Governance Options</w:t>
          </w:r>
          <w:bookmarkEnd w:id="16"/>
        </w:p>
        <w:p w14:paraId="0C165DFA"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The four risks described above shape three governance options. Local compliance preserves room for UK and EU teams to pilot </w:t>
          </w:r>
          <w:proofErr w:type="gramStart"/>
          <w:r w:rsidRPr="004A6265">
            <w:rPr>
              <w:rFonts w:ascii="Times New Roman" w:hAnsi="Times New Roman" w:cs="Times New Roman"/>
              <w:sz w:val="24"/>
              <w:szCs w:val="24"/>
            </w:rPr>
            <w:t>tools, but</w:t>
          </w:r>
          <w:proofErr w:type="gramEnd"/>
          <w:r w:rsidRPr="004A6265">
            <w:rPr>
              <w:rFonts w:ascii="Times New Roman" w:hAnsi="Times New Roman" w:cs="Times New Roman"/>
              <w:sz w:val="24"/>
              <w:szCs w:val="24"/>
            </w:rPr>
            <w:t xml:space="preserve"> may leave a shared data or supplier failure controlled differently. Applying the strictest EU process everywhere could simplify </w:t>
          </w:r>
          <w:proofErr w:type="gramStart"/>
          <w:r w:rsidRPr="004A6265">
            <w:rPr>
              <w:rFonts w:ascii="Times New Roman" w:hAnsi="Times New Roman" w:cs="Times New Roman"/>
              <w:sz w:val="24"/>
              <w:szCs w:val="24"/>
            </w:rPr>
            <w:t>assurance, yet</w:t>
          </w:r>
          <w:proofErr w:type="gramEnd"/>
          <w:r w:rsidRPr="004A6265">
            <w:rPr>
              <w:rFonts w:ascii="Times New Roman" w:hAnsi="Times New Roman" w:cs="Times New Roman"/>
              <w:sz w:val="24"/>
              <w:szCs w:val="24"/>
            </w:rPr>
            <w:t xml:space="preserve"> burden low-impact tools. A group baseline with regional overlays would standardise inventory, data checks, change control and escalation while adapting legal reviews. The deciding tests are whether each option makes errors visible, lets affected people seek correction and stays workable after a supplier change (see Appendix D).</w:t>
          </w:r>
        </w:p>
        <w:p w14:paraId="511FE655" w14:textId="49450BE1"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lastRenderedPageBreak/>
            <w:t xml:space="preserve">The use cases show how those tests distinguish the options. Local-only rules might approve an appointment agent </w:t>
          </w:r>
          <w:proofErr w:type="gramStart"/>
          <w:r w:rsidRPr="004A6265">
            <w:rPr>
              <w:rFonts w:ascii="Times New Roman" w:hAnsi="Times New Roman" w:cs="Times New Roman"/>
              <w:sz w:val="24"/>
              <w:szCs w:val="24"/>
            </w:rPr>
            <w:t>quickly, but</w:t>
          </w:r>
          <w:proofErr w:type="gramEnd"/>
          <w:r w:rsidRPr="004A6265">
            <w:rPr>
              <w:rFonts w:ascii="Times New Roman" w:hAnsi="Times New Roman" w:cs="Times New Roman"/>
              <w:sz w:val="24"/>
              <w:szCs w:val="24"/>
            </w:rPr>
            <w:t xml:space="preserve"> could miss a vendor update shared with another division. A uniformly demanding route could protect a hypothetical workforce-allocation </w:t>
          </w:r>
          <w:proofErr w:type="gramStart"/>
          <w:r w:rsidRPr="004A6265">
            <w:rPr>
              <w:rFonts w:ascii="Times New Roman" w:hAnsi="Times New Roman" w:cs="Times New Roman"/>
              <w:sz w:val="24"/>
              <w:szCs w:val="24"/>
            </w:rPr>
            <w:t>system, yet</w:t>
          </w:r>
          <w:proofErr w:type="gramEnd"/>
          <w:r w:rsidRPr="004A6265">
            <w:rPr>
              <w:rFonts w:ascii="Times New Roman" w:hAnsi="Times New Roman" w:cs="Times New Roman"/>
              <w:sz w:val="24"/>
              <w:szCs w:val="24"/>
            </w:rPr>
            <w:t xml:space="preserve"> delay a low-impact internal assistant. Under a baseline with overlays, the documented agent would need monitored booking accuracy and human correction; the illustrative workforce tool would receive stronger assessment; and the illustrative internal assistant could follow a lighter route. </w:t>
          </w:r>
          <w:r w:rsidRPr="004A6265">
            <w:rPr>
              <w:rFonts w:ascii="Times New Roman" w:hAnsi="Times New Roman" w:cs="Times New Roman"/>
              <w:sz w:val="24"/>
              <w:szCs w:val="24"/>
            </w:rPr>
            <w:t>This option best balances common failure control and local legal adaptation</w:t>
          </w:r>
          <w:r w:rsidRPr="004A6265">
            <w:rPr>
              <w:rFonts w:ascii="Times New Roman" w:hAnsi="Times New Roman" w:cs="Times New Roman"/>
              <w:sz w:val="24"/>
              <w:szCs w:val="24"/>
            </w:rPr>
            <w:t xml:space="preserve"> provided divisions register systems and follow change approval.</w:t>
          </w:r>
        </w:p>
        <w:p w14:paraId="31CC4D79" w14:textId="77777777" w:rsidR="009A5136" w:rsidRPr="004A6265" w:rsidRDefault="009A5136" w:rsidP="009A5136">
          <w:pPr>
            <w:spacing w:after="80"/>
            <w:rPr>
              <w:lang w:eastAsia="zh-CN"/>
            </w:rPr>
          </w:pPr>
        </w:p>
        <w:p w14:paraId="30C7EEAF" w14:textId="77777777" w:rsidR="009A5136" w:rsidRDefault="009A5136" w:rsidP="009A5136">
          <w:pPr>
            <w:spacing w:after="80"/>
            <w:rPr>
              <w:lang w:eastAsia="zh-CN"/>
            </w:rPr>
          </w:pPr>
        </w:p>
        <w:p w14:paraId="43C6EF7E" w14:textId="77777777" w:rsidR="009A5136" w:rsidRDefault="009A5136" w:rsidP="009A5136">
          <w:pPr>
            <w:spacing w:after="80"/>
            <w:rPr>
              <w:lang w:eastAsia="zh-CN"/>
            </w:rPr>
          </w:pPr>
        </w:p>
        <w:p w14:paraId="0697A3BD" w14:textId="77777777" w:rsidR="009A5136" w:rsidRDefault="009A5136" w:rsidP="009A5136">
          <w:pPr>
            <w:spacing w:after="80"/>
            <w:rPr>
              <w:lang w:eastAsia="zh-CN"/>
            </w:rPr>
          </w:pPr>
        </w:p>
        <w:p w14:paraId="4FDE6622" w14:textId="77777777" w:rsidR="009A5136" w:rsidRDefault="009A5136" w:rsidP="009A5136">
          <w:pPr>
            <w:spacing w:after="80"/>
            <w:rPr>
              <w:lang w:eastAsia="zh-CN"/>
            </w:rPr>
          </w:pPr>
        </w:p>
        <w:p w14:paraId="1799087D" w14:textId="77777777" w:rsidR="009A5136" w:rsidRDefault="009A5136" w:rsidP="009A5136">
          <w:pPr>
            <w:spacing w:after="80"/>
            <w:rPr>
              <w:lang w:eastAsia="zh-CN"/>
            </w:rPr>
          </w:pPr>
        </w:p>
        <w:p w14:paraId="30F7F790" w14:textId="77777777" w:rsidR="009A5136" w:rsidRDefault="009A5136" w:rsidP="009A5136">
          <w:pPr>
            <w:spacing w:after="80"/>
            <w:rPr>
              <w:lang w:eastAsia="zh-CN"/>
            </w:rPr>
          </w:pPr>
        </w:p>
        <w:p w14:paraId="3B925331" w14:textId="77777777" w:rsidR="009A5136" w:rsidRDefault="009A5136" w:rsidP="009A5136">
          <w:pPr>
            <w:spacing w:after="80"/>
            <w:rPr>
              <w:lang w:eastAsia="zh-CN"/>
            </w:rPr>
          </w:pPr>
        </w:p>
        <w:p w14:paraId="6596DEAB" w14:textId="77777777" w:rsidR="009A5136" w:rsidRDefault="009A5136" w:rsidP="009A5136">
          <w:pPr>
            <w:spacing w:after="80"/>
            <w:rPr>
              <w:lang w:eastAsia="zh-CN"/>
            </w:rPr>
          </w:pPr>
        </w:p>
        <w:p w14:paraId="58211FEC" w14:textId="77777777" w:rsidR="009A5136" w:rsidRDefault="009A5136" w:rsidP="009A5136">
          <w:pPr>
            <w:spacing w:after="80"/>
            <w:rPr>
              <w:lang w:eastAsia="zh-CN"/>
            </w:rPr>
          </w:pPr>
        </w:p>
        <w:p w14:paraId="387749A3" w14:textId="77777777" w:rsidR="009A5136" w:rsidRDefault="009A5136" w:rsidP="009A5136">
          <w:pPr>
            <w:spacing w:after="80"/>
            <w:rPr>
              <w:lang w:eastAsia="zh-CN"/>
            </w:rPr>
          </w:pPr>
        </w:p>
        <w:p w14:paraId="4C6BA1F6" w14:textId="77777777" w:rsidR="009A5136" w:rsidRDefault="009A5136" w:rsidP="009A5136">
          <w:pPr>
            <w:spacing w:after="80"/>
            <w:rPr>
              <w:lang w:eastAsia="zh-CN"/>
            </w:rPr>
          </w:pPr>
        </w:p>
        <w:p w14:paraId="677CBE0A" w14:textId="77777777" w:rsidR="009A5136" w:rsidRDefault="009A5136" w:rsidP="009A5136">
          <w:pPr>
            <w:spacing w:after="80"/>
            <w:rPr>
              <w:lang w:eastAsia="zh-CN"/>
            </w:rPr>
          </w:pPr>
        </w:p>
        <w:p w14:paraId="70ED0AA9" w14:textId="77777777" w:rsidR="009A5136" w:rsidRDefault="009A5136" w:rsidP="009A5136">
          <w:pPr>
            <w:spacing w:after="80"/>
            <w:rPr>
              <w:lang w:eastAsia="zh-CN"/>
            </w:rPr>
          </w:pPr>
        </w:p>
        <w:p w14:paraId="1C5BEE71" w14:textId="77777777" w:rsidR="009A5136" w:rsidRDefault="009A5136" w:rsidP="009A5136">
          <w:pPr>
            <w:spacing w:after="80"/>
            <w:rPr>
              <w:lang w:eastAsia="zh-CN"/>
            </w:rPr>
          </w:pPr>
        </w:p>
        <w:p w14:paraId="66A3F9FA" w14:textId="77777777" w:rsidR="009A5136" w:rsidRDefault="009A5136" w:rsidP="009A5136">
          <w:pPr>
            <w:spacing w:after="80"/>
            <w:rPr>
              <w:lang w:eastAsia="zh-CN"/>
            </w:rPr>
          </w:pPr>
        </w:p>
        <w:p w14:paraId="39C38FDC" w14:textId="77777777" w:rsidR="009A5136" w:rsidRDefault="009A5136" w:rsidP="009A5136">
          <w:pPr>
            <w:spacing w:after="80"/>
            <w:rPr>
              <w:lang w:eastAsia="zh-CN"/>
            </w:rPr>
          </w:pPr>
        </w:p>
        <w:p w14:paraId="262724BD" w14:textId="77777777" w:rsidR="009A5136" w:rsidRDefault="009A5136" w:rsidP="009A5136">
          <w:pPr>
            <w:spacing w:after="80"/>
            <w:rPr>
              <w:lang w:eastAsia="zh-CN"/>
            </w:rPr>
          </w:pPr>
        </w:p>
        <w:p w14:paraId="6B880362" w14:textId="77777777" w:rsidR="009A5136" w:rsidRDefault="009A5136" w:rsidP="009A5136">
          <w:pPr>
            <w:spacing w:after="80"/>
            <w:rPr>
              <w:lang w:eastAsia="zh-CN"/>
            </w:rPr>
          </w:pPr>
        </w:p>
        <w:p w14:paraId="0C3B91E6" w14:textId="77777777" w:rsidR="009A5136" w:rsidRDefault="009A5136" w:rsidP="009A5136">
          <w:pPr>
            <w:spacing w:after="80"/>
            <w:rPr>
              <w:lang w:eastAsia="zh-CN"/>
            </w:rPr>
          </w:pPr>
        </w:p>
        <w:p w14:paraId="684CEDCB" w14:textId="77777777" w:rsidR="009A5136" w:rsidRDefault="009A5136" w:rsidP="009A5136">
          <w:pPr>
            <w:spacing w:after="80"/>
            <w:rPr>
              <w:lang w:eastAsia="zh-CN"/>
            </w:rPr>
          </w:pPr>
        </w:p>
        <w:p w14:paraId="2D8D08A1" w14:textId="77777777" w:rsidR="009A5136" w:rsidRPr="009A5136" w:rsidRDefault="009A5136" w:rsidP="009A5136">
          <w:pPr>
            <w:spacing w:after="80"/>
            <w:rPr>
              <w:lang w:eastAsia="zh-CN"/>
            </w:rPr>
          </w:pPr>
        </w:p>
        <w:p w14:paraId="5C67928C" w14:textId="0DEF751E" w:rsidR="00AA2A91" w:rsidRDefault="009A5136" w:rsidP="009A5136">
          <w:pPr>
            <w:pStyle w:val="1"/>
            <w:spacing w:line="480" w:lineRule="auto"/>
          </w:pPr>
          <w:bookmarkStart w:id="17" w:name="_Toc242349806"/>
          <w:bookmarkEnd w:id="3"/>
          <w:r>
            <w:rPr>
              <w:rFonts w:hint="eastAsia"/>
              <w:lang w:eastAsia="zh-CN"/>
            </w:rPr>
            <w:lastRenderedPageBreak/>
            <w:t>3.</w:t>
          </w:r>
          <w:r w:rsidR="00AA2A91">
            <w:t>Conclusion</w:t>
          </w:r>
          <w:bookmarkEnd w:id="17"/>
          <w:r w:rsidR="00D854A5">
            <w:t xml:space="preserve"> </w:t>
          </w:r>
        </w:p>
        <w:p w14:paraId="1131753D"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comparison shows that DHL's strategic issue is not simply whether AI agents and robots can be deployed, but whether their benefits remain reliable as use expands. Its disclosures describe intended productivity and service gains, but do not establish their net effect. The same uses could also create inaccurate appointments, interrupted handling or contested decisions if data, changes and escalation are weak. DHL therefore needs evidence that each scaled use remains useful and controlled as its operating context changes.</w:t>
          </w:r>
        </w:p>
        <w:p w14:paraId="316B71D0"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The UK/EU comparison makes that a cross-border governance choice. Local-only controls could leave a shared operational failure subject to uneven assurance, while applying every demanding EU process to a routine UK tool would use capacity without a matching risk benefit. A common group baseline, supplemented by jurisdiction-specific legal checks and impact-based approval, is the more defensible option.</w:t>
          </w:r>
        </w:p>
        <w:p w14:paraId="01FA0B70"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That judgement is conditional. Public disclosures identify deployments, not the quality of DHL's internal model controls or customer outcomes. The proposed model would deserve wider use only if DHL can measure savings alongside errors, complaints, worker effects and incidents, and pause scaling when those results deteriorate.</w:t>
          </w:r>
        </w:p>
        <w:p w14:paraId="0C6DEB97" w14:textId="77777777" w:rsidR="00AA2A91" w:rsidRPr="004A6265"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196E17DD" w14:textId="77777777" w:rsidR="009A5136" w:rsidRDefault="009A5136" w:rsidP="009A5136">
          <w:pPr>
            <w:pStyle w:val="1"/>
            <w:spacing w:before="160" w:after="80" w:line="480" w:lineRule="auto"/>
          </w:pPr>
          <w:bookmarkStart w:id="18" w:name="_Toc242349807"/>
          <w:r>
            <w:rPr>
              <w:rFonts w:ascii="Times New Roman" w:hAnsi="Times New Roman"/>
            </w:rPr>
            <w:lastRenderedPageBreak/>
            <w:t>4. Recommendations and Implementation</w:t>
          </w:r>
          <w:bookmarkEnd w:id="18"/>
        </w:p>
        <w:p w14:paraId="2F964005" w14:textId="77777777" w:rsidR="009A5136" w:rsidRPr="004A6265" w:rsidRDefault="009A5136" w:rsidP="004A6265">
          <w:pPr>
            <w:pStyle w:val="2"/>
            <w:spacing w:line="480" w:lineRule="auto"/>
            <w:rPr>
              <w:rFonts w:ascii="Times New Roman" w:hAnsi="Times New Roman" w:cs="Times New Roman"/>
              <w:sz w:val="24"/>
              <w:szCs w:val="24"/>
            </w:rPr>
          </w:pPr>
          <w:bookmarkStart w:id="19" w:name="_Toc242349808"/>
          <w:r w:rsidRPr="004A6265">
            <w:rPr>
              <w:rFonts w:ascii="Times New Roman" w:hAnsi="Times New Roman" w:cs="Times New Roman"/>
              <w:sz w:val="24"/>
              <w:szCs w:val="24"/>
            </w:rPr>
            <w:t>4.1 Recommended Governance Model</w:t>
          </w:r>
          <w:bookmarkEnd w:id="19"/>
        </w:p>
        <w:p w14:paraId="52A7F02F"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AI governance spans corporate, IT and data governance (</w:t>
          </w:r>
          <w:proofErr w:type="spellStart"/>
          <w:r w:rsidRPr="004A6265">
            <w:rPr>
              <w:rFonts w:ascii="Times New Roman" w:hAnsi="Times New Roman" w:cs="Times New Roman"/>
              <w:sz w:val="24"/>
              <w:szCs w:val="24"/>
            </w:rPr>
            <w:t>Mäntymäki</w:t>
          </w:r>
          <w:proofErr w:type="spellEnd"/>
          <w:r w:rsidRPr="004A6265">
            <w:rPr>
              <w:rFonts w:ascii="Times New Roman" w:hAnsi="Times New Roman" w:cs="Times New Roman"/>
              <w:sz w:val="24"/>
              <w:szCs w:val="24"/>
            </w:rPr>
            <w:t xml:space="preserve"> et al., 2022). DHL's baseline needs board visibility where tools affect customers, workers, safety and investment across divisions. The board need not approve every model. It should instead review the highest-impact exposures, material incidents and evidence that efficiency gains have not displaced service or trust. An initial dashboard of discovered uses, unresolved gaps and early errors by day 90, followed by quarterly updates, would allow the board or an existing board committee to make those trade-offs together. Material incidents and unresolved high-impact risks should be escalated outside the quarterly cycle.</w:t>
          </w:r>
        </w:p>
        <w:p w14:paraId="0FB62E2B"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At executive level, DHL should assign the group standard to a body with authority across digital, legal, data protection, cybersecurity, operations, human resources and customer experience. An existing risk body could take that role if it can enforce decisions; </w:t>
          </w:r>
          <w:proofErr w:type="gramStart"/>
          <w:r w:rsidRPr="004A6265">
            <w:rPr>
              <w:rFonts w:ascii="Times New Roman" w:hAnsi="Times New Roman" w:cs="Times New Roman"/>
              <w:sz w:val="24"/>
              <w:szCs w:val="24"/>
            </w:rPr>
            <w:t>otherwise</w:t>
          </w:r>
          <w:proofErr w:type="gramEnd"/>
          <w:r w:rsidRPr="004A6265">
            <w:rPr>
              <w:rFonts w:ascii="Times New Roman" w:hAnsi="Times New Roman" w:cs="Times New Roman"/>
              <w:sz w:val="24"/>
              <w:szCs w:val="24"/>
            </w:rPr>
            <w:t xml:space="preserve"> DHL should create a Group AI Risk and Trust Committee. Such boards need leadership support and links to existing processes (Hadley, </w:t>
          </w:r>
          <w:proofErr w:type="spellStart"/>
          <w:r w:rsidRPr="004A6265">
            <w:rPr>
              <w:rFonts w:ascii="Times New Roman" w:hAnsi="Times New Roman" w:cs="Times New Roman"/>
              <w:sz w:val="24"/>
              <w:szCs w:val="24"/>
            </w:rPr>
            <w:t>Blatecky</w:t>
          </w:r>
          <w:proofErr w:type="spellEnd"/>
          <w:r w:rsidRPr="004A6265">
            <w:rPr>
              <w:rFonts w:ascii="Times New Roman" w:hAnsi="Times New Roman" w:cs="Times New Roman"/>
              <w:sz w:val="24"/>
              <w:szCs w:val="24"/>
            </w:rPr>
            <w:t xml:space="preserve"> and Comfort, 2025). An interim AI risk owner should coordinate the initial inventory and classification, with a permanent owner responsible for rules and assurance thereafter. Divisions would still own benefits and day-to-day controls, but higher-impact uses could not scale without documented assessment, human oversight and post-deployment monitoring.</w:t>
          </w:r>
        </w:p>
        <w:p w14:paraId="5B15DB18"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The common baseline must cover every AI use, while the strength of review follows its impact. Each use needs an inventory entry, owner, data purpose and change record: who governs what, when and how (Batool, </w:t>
          </w:r>
          <w:proofErr w:type="spellStart"/>
          <w:r w:rsidRPr="004A6265">
            <w:rPr>
              <w:rFonts w:ascii="Times New Roman" w:hAnsi="Times New Roman" w:cs="Times New Roman"/>
              <w:sz w:val="24"/>
              <w:szCs w:val="24"/>
            </w:rPr>
            <w:t>Zowghi</w:t>
          </w:r>
          <w:proofErr w:type="spellEnd"/>
          <w:r w:rsidRPr="004A6265">
            <w:rPr>
              <w:rFonts w:ascii="Times New Roman" w:hAnsi="Times New Roman" w:cs="Times New Roman"/>
              <w:sz w:val="24"/>
              <w:szCs w:val="24"/>
            </w:rPr>
            <w:t xml:space="preserve"> and Bano, 2025). DHL could then apply four internal management tiers, separate from EU AI Act legal categories. Tier 0 would cover minimal-impact tools with the lightest approval route; Tier 1, low-impact internal productivity uses; Tier </w:t>
          </w:r>
          <w:r w:rsidRPr="004A6265">
            <w:rPr>
              <w:rFonts w:ascii="Times New Roman" w:hAnsi="Times New Roman" w:cs="Times New Roman"/>
              <w:sz w:val="24"/>
              <w:szCs w:val="24"/>
            </w:rPr>
            <w:lastRenderedPageBreak/>
            <w:t>2, customer-facing, employee-affecting or operationally material uses; and Tier 3, safety-relevant or otherwise high-impact uses requiring senior approval and independent assurance. A legal review must still decide whether a particular deployment is statutorily high-risk; the internal tier cannot decide that question.</w:t>
          </w:r>
        </w:p>
        <w:p w14:paraId="70831FC0"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This model has costs: reviews may slow pilots, supplier audit rights may be difficult to obtain, and divisions lose discretion. Research on three energy firms identifies implementation barriers, not their scale at DHL (</w:t>
          </w:r>
          <w:proofErr w:type="spellStart"/>
          <w:r w:rsidRPr="004A6265">
            <w:rPr>
              <w:rFonts w:ascii="Times New Roman" w:hAnsi="Times New Roman" w:cs="Times New Roman"/>
              <w:sz w:val="24"/>
              <w:szCs w:val="24"/>
            </w:rPr>
            <w:t>Papagiannidis</w:t>
          </w:r>
          <w:proofErr w:type="spellEnd"/>
          <w:r w:rsidRPr="004A6265">
            <w:rPr>
              <w:rFonts w:ascii="Times New Roman" w:hAnsi="Times New Roman" w:cs="Times New Roman"/>
              <w:sz w:val="24"/>
              <w:szCs w:val="24"/>
            </w:rPr>
            <w:t xml:space="preserve"> et al., 2023). Shared controls are justified only if they prevent repeated errors or unsafe expansion. They could fail if teams omit systems, suppliers change them without review or the dashboard becomes ceremonial. Reconciliation and exception reporting address those gaps. The UK assurance roadmap calls for assessment methods and expertise beyond internal policy (Centre for Data Ethics and Innovation, 2021), supporting independent review of DHL's </w:t>
          </w:r>
          <w:proofErr w:type="gramStart"/>
          <w:r w:rsidRPr="004A6265">
            <w:rPr>
              <w:rFonts w:ascii="Times New Roman" w:hAnsi="Times New Roman" w:cs="Times New Roman"/>
              <w:sz w:val="24"/>
              <w:szCs w:val="24"/>
            </w:rPr>
            <w:t>highest-impact</w:t>
          </w:r>
          <w:proofErr w:type="gramEnd"/>
          <w:r w:rsidRPr="004A6265">
            <w:rPr>
              <w:rFonts w:ascii="Times New Roman" w:hAnsi="Times New Roman" w:cs="Times New Roman"/>
              <w:sz w:val="24"/>
              <w:szCs w:val="24"/>
            </w:rPr>
            <w:t xml:space="preserve"> uses.</w:t>
          </w:r>
        </w:p>
        <w:p w14:paraId="71660880"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To prevent those weaknesses, a version-controlled standard would make responsibilities auditable, including across teams where duties can fall between owners (Swaminathan and Danks, 2024). It should specify how a system is inventoried, how its impact is assessed, who approves supplier changes, when a person must be able to correct an output and what the board sees. UK and EU overlays would add the applicable legal checks. New law, a material incident, a model update or a change in use should reopen review; </w:t>
          </w:r>
          <w:proofErr w:type="gramStart"/>
          <w:r w:rsidRPr="004A6265">
            <w:rPr>
              <w:rFonts w:ascii="Times New Roman" w:hAnsi="Times New Roman" w:cs="Times New Roman"/>
              <w:sz w:val="24"/>
              <w:szCs w:val="24"/>
            </w:rPr>
            <w:t>otherwise</w:t>
          </w:r>
          <w:proofErr w:type="gramEnd"/>
          <w:r w:rsidRPr="004A6265">
            <w:rPr>
              <w:rFonts w:ascii="Times New Roman" w:hAnsi="Times New Roman" w:cs="Times New Roman"/>
              <w:sz w:val="24"/>
              <w:szCs w:val="24"/>
            </w:rPr>
            <w:t xml:space="preserve"> an approval given at launch could be relied on after its assumptions have changed.</w:t>
          </w:r>
        </w:p>
        <w:p w14:paraId="72610B29"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Within that standard, the lighter route should be limited by consequences, not by a tool's name. Internal summarisation and non-consequential resource scheduling may receive streamlined review when data use is appropriate and impact remains low. Scheduling that affects employees' shifts or workload belongs in a higher-impact tier. A customer-facing status agent enters at least Tier 2; if it makes commitments or manages exceptions, DHL should validate its </w:t>
          </w:r>
          <w:r w:rsidRPr="004A6265">
            <w:rPr>
              <w:rFonts w:ascii="Times New Roman" w:hAnsi="Times New Roman" w:cs="Times New Roman"/>
              <w:sz w:val="24"/>
              <w:szCs w:val="24"/>
            </w:rPr>
            <w:lastRenderedPageBreak/>
            <w:t>information and human hand-off before scale-up. Workforce allocation, customs advice and safety-relevant robotics require closer assurance. Each business case should record the expected value, data source, owner, success measure and condition for pausing or expanding use.</w:t>
          </w:r>
        </w:p>
        <w:p w14:paraId="0FF61D0F"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The emphasis on ownership, redesigned workflows and measurement is consistent with a cross-industry survey of AI use (McKinsey &amp; Company, 2025). That survey does not prove that these practices will improve DHL's outcomes. It explains why the proposed standard includes ownership and outcome measures rather than approval paperwork alone. DHL should test whether those controls </w:t>
          </w:r>
          <w:proofErr w:type="gramStart"/>
          <w:r w:rsidRPr="004A6265">
            <w:rPr>
              <w:rFonts w:ascii="Times New Roman" w:hAnsi="Times New Roman" w:cs="Times New Roman"/>
              <w:sz w:val="24"/>
              <w:szCs w:val="24"/>
            </w:rPr>
            <w:t>actually improve</w:t>
          </w:r>
          <w:proofErr w:type="gramEnd"/>
          <w:r w:rsidRPr="004A6265">
            <w:rPr>
              <w:rFonts w:ascii="Times New Roman" w:hAnsi="Times New Roman" w:cs="Times New Roman"/>
              <w:sz w:val="24"/>
              <w:szCs w:val="24"/>
            </w:rPr>
            <w:t xml:space="preserve"> the agent and robot use cases during the phased rollout.</w:t>
          </w:r>
        </w:p>
        <w:p w14:paraId="6FC570FC" w14:textId="77777777" w:rsidR="004A6265" w:rsidRPr="004A6265" w:rsidRDefault="004A6265" w:rsidP="004A6265">
          <w:pPr>
            <w:pStyle w:val="2"/>
            <w:spacing w:after="80" w:line="480" w:lineRule="auto"/>
            <w:rPr>
              <w:rFonts w:ascii="Times New Roman" w:hAnsi="Times New Roman" w:cs="Times New Roman"/>
              <w:sz w:val="24"/>
              <w:szCs w:val="24"/>
            </w:rPr>
          </w:pPr>
          <w:bookmarkStart w:id="20" w:name="_Toc242349809"/>
          <w:r w:rsidRPr="004A6265">
            <w:rPr>
              <w:rFonts w:ascii="Times New Roman" w:hAnsi="Times New Roman" w:cs="Times New Roman"/>
              <w:sz w:val="24"/>
              <w:szCs w:val="24"/>
            </w:rPr>
            <w:t>4.2 Phased Implementation Plan</w:t>
          </w:r>
          <w:bookmarkEnd w:id="20"/>
        </w:p>
        <w:p w14:paraId="048C57A8"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Putting the standard into practice starts with finding the systems it must govern. DHL should reconcile divisional, procurement and technology records, then classify discovered uses by consequence. Because supplier updates are already part of the diagnosed failure path, an interim change gate for discovered Tier 2 and Tier 3 uses must begin in this first phase, not wait for the full supplier programme. Impact assessments, outcome measures and independent assurance can then become more detailed as the inventory and starting measures improve (see Appendix E).</w:t>
          </w:r>
        </w:p>
        <w:p w14:paraId="2CAB11A0" w14:textId="4CABABD0" w:rsidR="004A6265" w:rsidRPr="004A6265" w:rsidRDefault="004A6265" w:rsidP="004A6265">
          <w:pPr>
            <w:spacing w:line="480" w:lineRule="auto"/>
            <w:jc w:val="both"/>
            <w:rPr>
              <w:rFonts w:ascii="Times New Roman" w:hAnsi="Times New Roman" w:cs="Times New Roman" w:hint="eastAsia"/>
              <w:sz w:val="24"/>
              <w:szCs w:val="24"/>
              <w:lang w:eastAsia="zh-CN"/>
            </w:rPr>
          </w:pPr>
          <w:r w:rsidRPr="004A6265">
            <w:rPr>
              <w:rFonts w:ascii="Times New Roman" w:hAnsi="Times New Roman" w:cs="Times New Roman"/>
              <w:sz w:val="24"/>
              <w:szCs w:val="24"/>
            </w:rPr>
            <w:t xml:space="preserve">In the first 90 days, an interim owner should list UK and EU agent, robotics, analytics and workforce uses from available records; record unresolved gaps; and classify every discovered Tier 2 or Tier 3 use before further scaling. Material supplier or model updates to those uses should receive interim testing, approval and rollback planning. From months three to twelve, the executive body should formalise checks before approval, including a data protection impact assessment (DPIA) where required and a wider AI impact review for consequential uses. It should also formalise customer disclosure and correction, supplier controls and role-specific </w:t>
          </w:r>
          <w:r w:rsidRPr="004A6265">
            <w:rPr>
              <w:rFonts w:ascii="Times New Roman" w:hAnsi="Times New Roman" w:cs="Times New Roman"/>
              <w:sz w:val="24"/>
              <w:szCs w:val="24"/>
            </w:rPr>
            <w:lastRenderedPageBreak/>
            <w:t>training, given AI's work and skills effects (OECD, 2023). This order addresses early unreviewed changes while building a fuller programme once the scope is known.</w:t>
          </w:r>
        </w:p>
        <w:p w14:paraId="7BF59312" w14:textId="70EB15CA" w:rsidR="004A6265" w:rsidRPr="004A6265" w:rsidRDefault="004A6265" w:rsidP="004A6265">
          <w:pPr>
            <w:spacing w:line="480" w:lineRule="auto"/>
            <w:jc w:val="both"/>
            <w:rPr>
              <w:rFonts w:ascii="Times New Roman" w:hAnsi="Times New Roman" w:cs="Times New Roman" w:hint="eastAsia"/>
              <w:sz w:val="24"/>
              <w:szCs w:val="24"/>
              <w:lang w:eastAsia="zh-CN"/>
            </w:rPr>
          </w:pPr>
          <w:r w:rsidRPr="004A6265">
            <w:rPr>
              <w:rFonts w:ascii="Times New Roman" w:hAnsi="Times New Roman" w:cs="Times New Roman"/>
              <w:sz w:val="24"/>
              <w:szCs w:val="24"/>
            </w:rPr>
            <w:t>The board should receive a dashboard by day 90, despite provisional entries, and review it quarterly. It should compare value, errors, complaints, incidents and inventory gaps, not deployment counts alone. Independent reviewers should examine Tier 3 systems across the lifecycle, adapting end-to-end steps developed for internal audits (Raji et al., 2020). Tier 2 systems need annual review; material changes reopen both routes. By year three, the evidence should inform investment, enterprise risk and sustainability decisions. Those choices still depend on the first inventory and baseline measures.</w:t>
          </w:r>
        </w:p>
        <w:p w14:paraId="17181BD8"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21" w:name="_Toc242349810"/>
          <w:r w:rsidRPr="004A6265">
            <w:rPr>
              <w:rFonts w:ascii="Times New Roman" w:hAnsi="Times New Roman" w:cs="Times New Roman"/>
              <w:b w:val="0"/>
              <w:bCs w:val="0"/>
              <w:color w:val="2E74B5" w:themeColor="accent1" w:themeShade="BF"/>
              <w:sz w:val="24"/>
              <w:szCs w:val="24"/>
            </w:rPr>
            <w:t>4.2.1 Monitoring and Success Measures</w:t>
          </w:r>
          <w:bookmarkEnd w:id="21"/>
        </w:p>
        <w:p w14:paraId="12F0DC27" w14:textId="77777777" w:rsidR="004A6265" w:rsidRPr="004A6265" w:rsidRDefault="004A6265" w:rsidP="004A6265">
          <w:pPr>
            <w:keepLines/>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Monitoring should connect metrics to harms experienced by affected people (Metcalf et al., 2021). For the scheduling agent, DHL should track booking accuracy, response time, hand-offs and complaints; for robotics, interruptions, throughput and worker safety. Measures should distinguish readiness, response and recovery (Kassa et al., 2023): tested backups, time to staff intervention and time to correct a booking or resume unloading. The dashboard should also show inventory gaps, assessments, supplier changes, incidents and audit findings. DHL should include emissions when claiming an environmental benefit.</w:t>
          </w:r>
        </w:p>
        <w:p w14:paraId="3D3A7DDD"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At each review, the executive body and board should compare these benefits with error, complaint and control trends. An efficiency gain accompanied by more incorrect appointments would trigger correction, not automatic scale-up. A tool with strong compliance paperwork but no useful service gain may also need redesign or retirement. The dashboard matters because it informs those decisions, not because more metrics alone constitute governance.</w:t>
          </w:r>
        </w:p>
        <w:p w14:paraId="07FB5BE2" w14:textId="77777777" w:rsidR="004A6265" w:rsidRPr="004A6265" w:rsidRDefault="004A6265" w:rsidP="004A6265">
          <w:pPr>
            <w:pStyle w:val="3"/>
            <w:spacing w:before="160" w:after="80" w:line="480" w:lineRule="auto"/>
            <w:rPr>
              <w:rFonts w:ascii="Times New Roman" w:hAnsi="Times New Roman" w:cs="Times New Roman"/>
              <w:b w:val="0"/>
              <w:bCs w:val="0"/>
              <w:color w:val="2E74B5" w:themeColor="accent1" w:themeShade="BF"/>
              <w:sz w:val="24"/>
              <w:szCs w:val="24"/>
            </w:rPr>
          </w:pPr>
          <w:bookmarkStart w:id="22" w:name="_Toc242349811"/>
          <w:r w:rsidRPr="004A6265">
            <w:rPr>
              <w:rFonts w:ascii="Times New Roman" w:hAnsi="Times New Roman" w:cs="Times New Roman"/>
              <w:b w:val="0"/>
              <w:bCs w:val="0"/>
              <w:color w:val="2E74B5" w:themeColor="accent1" w:themeShade="BF"/>
              <w:sz w:val="24"/>
              <w:szCs w:val="24"/>
            </w:rPr>
            <w:lastRenderedPageBreak/>
            <w:t>4.2.2 Limitations and Stop-Go Conditions</w:t>
          </w:r>
          <w:bookmarkEnd w:id="22"/>
        </w:p>
        <w:p w14:paraId="5100A359"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Stop-go thresholds must follow the first reliable baseline; they are management alarms, not legal safe harbours. By day 90, DHL should reconcile divisional, procurement and technology records and report discovered uses and gaps, not an invented coverage percentage. Before scaling each </w:t>
          </w:r>
          <w:proofErr w:type="gramStart"/>
          <w:r w:rsidRPr="004A6265">
            <w:rPr>
              <w:rFonts w:ascii="Times New Roman" w:hAnsi="Times New Roman" w:cs="Times New Roman"/>
              <w:sz w:val="24"/>
              <w:szCs w:val="24"/>
            </w:rPr>
            <w:t>Tier</w:t>
          </w:r>
          <w:proofErr w:type="gramEnd"/>
          <w:r w:rsidRPr="004A6265">
            <w:rPr>
              <w:rFonts w:ascii="Times New Roman" w:hAnsi="Times New Roman" w:cs="Times New Roman"/>
              <w:sz w:val="24"/>
              <w:szCs w:val="24"/>
            </w:rPr>
            <w:t xml:space="preserve"> 2 or 3 use, its owner should set error and complaint triggers. An approval bypass requires immediate escalation. A trigger breach calls for investigation, and the affected use should pause when material AI error is indicated. A supplier refusing change-control rights should also block scale-up.</w:t>
          </w:r>
        </w:p>
        <w:p w14:paraId="20877AA8"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These are proposals based on secondary sources. DHL's internal model records, incident data, complaints and system architecture are not public. Company announcements establish deployment and report selected </w:t>
          </w:r>
          <w:proofErr w:type="gramStart"/>
          <w:r w:rsidRPr="004A6265">
            <w:rPr>
              <w:rFonts w:ascii="Times New Roman" w:hAnsi="Times New Roman" w:cs="Times New Roman"/>
              <w:sz w:val="24"/>
              <w:szCs w:val="24"/>
            </w:rPr>
            <w:t>benefits, but</w:t>
          </w:r>
          <w:proofErr w:type="gramEnd"/>
          <w:r w:rsidRPr="004A6265">
            <w:rPr>
              <w:rFonts w:ascii="Times New Roman" w:hAnsi="Times New Roman" w:cs="Times New Roman"/>
              <w:sz w:val="24"/>
              <w:szCs w:val="24"/>
            </w:rPr>
            <w:t xml:space="preserve"> are not independent outcome evaluations. Before scaling each Tier 2 or Tier 3 use, DHL would need internal interviews, data-flow mapping, system tests and the applicable UK or EU legal review. Without that evidence, this report cannot conclude that DHL's current controls are adequate or inadequate.</w:t>
          </w:r>
        </w:p>
        <w:p w14:paraId="0E5928E3" w14:textId="77777777" w:rsidR="00AA2A91" w:rsidRPr="004A6265"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0ABC39D3" w14:textId="77777777" w:rsidR="00AA2A91" w:rsidRDefault="00AA2A91" w:rsidP="00AA2A91">
          <w:pPr>
            <w:rPr>
              <w:rFonts w:hint="eastAsia"/>
              <w:lang w:eastAsia="zh-CN"/>
            </w:rPr>
          </w:pPr>
        </w:p>
        <w:p w14:paraId="7202FDFC" w14:textId="7BF270E6" w:rsidR="00AA2A91" w:rsidRPr="00AA2A91" w:rsidRDefault="00366E29" w:rsidP="004A6265">
          <w:pPr>
            <w:pStyle w:val="1"/>
            <w:spacing w:line="480" w:lineRule="auto"/>
          </w:pPr>
          <w:bookmarkStart w:id="23" w:name="_Toc242349812"/>
          <w:r>
            <w:rPr>
              <w:rFonts w:hint="eastAsia"/>
              <w:lang w:eastAsia="zh-CN"/>
            </w:rPr>
            <w:lastRenderedPageBreak/>
            <w:t>5.</w:t>
          </w:r>
          <w:r w:rsidR="00AA2A91">
            <w:t>Bibliography</w:t>
          </w:r>
          <w:bookmarkEnd w:id="23"/>
        </w:p>
        <w:p w14:paraId="520EA66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Agnihotri, A. and Bhattacharya, S. (2024) 'Chatbots’ effectiveness in service recovery', </w:t>
          </w:r>
          <w:r w:rsidRPr="004A6265">
            <w:rPr>
              <w:rFonts w:ascii="Times New Roman" w:hAnsi="Times New Roman" w:cs="Times New Roman"/>
              <w:i/>
              <w:sz w:val="24"/>
              <w:szCs w:val="24"/>
            </w:rPr>
            <w:t>International Journal of Information Management</w:t>
          </w:r>
          <w:r w:rsidRPr="004A6265">
            <w:rPr>
              <w:rFonts w:ascii="Times New Roman" w:hAnsi="Times New Roman" w:cs="Times New Roman"/>
              <w:sz w:val="24"/>
              <w:szCs w:val="24"/>
            </w:rPr>
            <w:t>, 76, 102679. Available at: https://doi.org/10.1016/j.ijinfomgt.2023.102679.</w:t>
          </w:r>
        </w:p>
        <w:p w14:paraId="1711EBE7" w14:textId="77777777" w:rsidR="004A6265" w:rsidRPr="004A6265" w:rsidRDefault="004A6265" w:rsidP="004A6265">
          <w:pPr>
            <w:keepLines/>
            <w:spacing w:line="480" w:lineRule="auto"/>
            <w:ind w:left="360" w:hanging="360"/>
            <w:rPr>
              <w:rFonts w:ascii="Times New Roman" w:hAnsi="Times New Roman" w:cs="Times New Roman"/>
              <w:sz w:val="24"/>
              <w:szCs w:val="24"/>
            </w:rPr>
          </w:pPr>
          <w:proofErr w:type="spellStart"/>
          <w:r w:rsidRPr="004A6265">
            <w:rPr>
              <w:rFonts w:ascii="Times New Roman" w:hAnsi="Times New Roman" w:cs="Times New Roman"/>
              <w:sz w:val="24"/>
              <w:szCs w:val="24"/>
            </w:rPr>
            <w:t>Amershi</w:t>
          </w:r>
          <w:proofErr w:type="spellEnd"/>
          <w:r w:rsidRPr="004A6265">
            <w:rPr>
              <w:rFonts w:ascii="Times New Roman" w:hAnsi="Times New Roman" w:cs="Times New Roman"/>
              <w:sz w:val="24"/>
              <w:szCs w:val="24"/>
            </w:rPr>
            <w:t xml:space="preserve">, S., Weld, D., </w:t>
          </w:r>
          <w:proofErr w:type="spellStart"/>
          <w:r w:rsidRPr="004A6265">
            <w:rPr>
              <w:rFonts w:ascii="Times New Roman" w:hAnsi="Times New Roman" w:cs="Times New Roman"/>
              <w:sz w:val="24"/>
              <w:szCs w:val="24"/>
            </w:rPr>
            <w:t>Vorvoreanu</w:t>
          </w:r>
          <w:proofErr w:type="spellEnd"/>
          <w:r w:rsidRPr="004A6265">
            <w:rPr>
              <w:rFonts w:ascii="Times New Roman" w:hAnsi="Times New Roman" w:cs="Times New Roman"/>
              <w:sz w:val="24"/>
              <w:szCs w:val="24"/>
            </w:rPr>
            <w:t xml:space="preserve">, M., Fourney, A., Nushi, B., </w:t>
          </w:r>
          <w:proofErr w:type="spellStart"/>
          <w:r w:rsidRPr="004A6265">
            <w:rPr>
              <w:rFonts w:ascii="Times New Roman" w:hAnsi="Times New Roman" w:cs="Times New Roman"/>
              <w:sz w:val="24"/>
              <w:szCs w:val="24"/>
            </w:rPr>
            <w:t>Collisson</w:t>
          </w:r>
          <w:proofErr w:type="spellEnd"/>
          <w:r w:rsidRPr="004A6265">
            <w:rPr>
              <w:rFonts w:ascii="Times New Roman" w:hAnsi="Times New Roman" w:cs="Times New Roman"/>
              <w:sz w:val="24"/>
              <w:szCs w:val="24"/>
            </w:rPr>
            <w:t xml:space="preserve">, P., Suh, J., Iqbal, S., Bennett, P.N., Inkpen, K., Teevan, J., Kikin-Gil, R. and Horvitz, E. (2019) 'Guidelines for Human-AI Interaction', </w:t>
          </w:r>
          <w:r w:rsidRPr="004A6265">
            <w:rPr>
              <w:rFonts w:ascii="Times New Roman" w:hAnsi="Times New Roman" w:cs="Times New Roman"/>
              <w:i/>
              <w:sz w:val="24"/>
              <w:szCs w:val="24"/>
            </w:rPr>
            <w:t>Proceedings of the 2019 CHI Conference on Human Factors in Computing Systems</w:t>
          </w:r>
          <w:r w:rsidRPr="004A6265">
            <w:rPr>
              <w:rFonts w:ascii="Times New Roman" w:hAnsi="Times New Roman" w:cs="Times New Roman"/>
              <w:sz w:val="24"/>
              <w:szCs w:val="24"/>
            </w:rPr>
            <w:t>, pp. 1-13. Available at: https://doi.org/10.1145/3290605.3300233.</w:t>
          </w:r>
        </w:p>
        <w:p w14:paraId="2593AF6C"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Araujo, T., Helberger, N., </w:t>
          </w:r>
          <w:proofErr w:type="spellStart"/>
          <w:r w:rsidRPr="004A6265">
            <w:rPr>
              <w:rFonts w:ascii="Times New Roman" w:hAnsi="Times New Roman" w:cs="Times New Roman"/>
              <w:sz w:val="24"/>
              <w:szCs w:val="24"/>
            </w:rPr>
            <w:t>Kruikemeier</w:t>
          </w:r>
          <w:proofErr w:type="spellEnd"/>
          <w:r w:rsidRPr="004A6265">
            <w:rPr>
              <w:rFonts w:ascii="Times New Roman" w:hAnsi="Times New Roman" w:cs="Times New Roman"/>
              <w:sz w:val="24"/>
              <w:szCs w:val="24"/>
            </w:rPr>
            <w:t xml:space="preserve">, S. and de Vreese, C.H. (2020) 'In AI we trust? Perceptions about automated decision-making by artificial intelligence', </w:t>
          </w:r>
          <w:r w:rsidRPr="004A6265">
            <w:rPr>
              <w:rFonts w:ascii="Times New Roman" w:hAnsi="Times New Roman" w:cs="Times New Roman"/>
              <w:i/>
              <w:sz w:val="24"/>
              <w:szCs w:val="24"/>
            </w:rPr>
            <w:t>AI &amp; Society</w:t>
          </w:r>
          <w:r w:rsidRPr="004A6265">
            <w:rPr>
              <w:rFonts w:ascii="Times New Roman" w:hAnsi="Times New Roman" w:cs="Times New Roman"/>
              <w:sz w:val="24"/>
              <w:szCs w:val="24"/>
            </w:rPr>
            <w:t>, 35(3), pp. 611-623. Available at: https://doi.org/10.1007/s00146-019-00931-w.</w:t>
          </w:r>
        </w:p>
        <w:p w14:paraId="2DBD860C"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Bank of England (2026) </w:t>
          </w:r>
          <w:r w:rsidRPr="004A6265">
            <w:rPr>
              <w:rFonts w:ascii="Times New Roman" w:hAnsi="Times New Roman" w:cs="Times New Roman"/>
              <w:i/>
              <w:sz w:val="24"/>
              <w:szCs w:val="24"/>
            </w:rPr>
            <w:t>Monetary Policy Summary, July 2026</w:t>
          </w:r>
          <w:r w:rsidRPr="004A6265">
            <w:rPr>
              <w:rFonts w:ascii="Times New Roman" w:hAnsi="Times New Roman" w:cs="Times New Roman"/>
              <w:sz w:val="24"/>
              <w:szCs w:val="24"/>
            </w:rPr>
            <w:t>. Available at: https://www.bankofengland.co.uk/monetary-policy-summary-and-minutes/2026/july-2026 (Accessed: 8 October 2026).</w:t>
          </w:r>
        </w:p>
        <w:p w14:paraId="5ACC3C98" w14:textId="77777777" w:rsidR="004A6265" w:rsidRPr="004A6265" w:rsidRDefault="004A6265" w:rsidP="004A6265">
          <w:pPr>
            <w:keepLines/>
            <w:spacing w:line="480" w:lineRule="auto"/>
            <w:ind w:left="360" w:hanging="360"/>
            <w:rPr>
              <w:rFonts w:ascii="Times New Roman" w:hAnsi="Times New Roman" w:cs="Times New Roman"/>
              <w:sz w:val="24"/>
              <w:szCs w:val="24"/>
            </w:rPr>
          </w:pPr>
          <w:proofErr w:type="spellStart"/>
          <w:r w:rsidRPr="004A6265">
            <w:rPr>
              <w:rFonts w:ascii="Times New Roman" w:hAnsi="Times New Roman" w:cs="Times New Roman"/>
              <w:sz w:val="24"/>
              <w:szCs w:val="24"/>
            </w:rPr>
            <w:t>Baryannis</w:t>
          </w:r>
          <w:proofErr w:type="spellEnd"/>
          <w:r w:rsidRPr="004A6265">
            <w:rPr>
              <w:rFonts w:ascii="Times New Roman" w:hAnsi="Times New Roman" w:cs="Times New Roman"/>
              <w:sz w:val="24"/>
              <w:szCs w:val="24"/>
            </w:rPr>
            <w:t xml:space="preserve">, G., Dani, S. and Antoniou, G. (2019) 'Predicting supply chain risks using machine learning: The trade-off between performance and interpretability', </w:t>
          </w:r>
          <w:r w:rsidRPr="004A6265">
            <w:rPr>
              <w:rFonts w:ascii="Times New Roman" w:hAnsi="Times New Roman" w:cs="Times New Roman"/>
              <w:i/>
              <w:sz w:val="24"/>
              <w:szCs w:val="24"/>
            </w:rPr>
            <w:t>Future Generation Computer Systems</w:t>
          </w:r>
          <w:r w:rsidRPr="004A6265">
            <w:rPr>
              <w:rFonts w:ascii="Times New Roman" w:hAnsi="Times New Roman" w:cs="Times New Roman"/>
              <w:sz w:val="24"/>
              <w:szCs w:val="24"/>
            </w:rPr>
            <w:t>, 101, pp. 993-1004. Available at: https://doi.org/10.1016/j.future.2019.07.059.</w:t>
          </w:r>
        </w:p>
        <w:p w14:paraId="683D82EF"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Batool, A., </w:t>
          </w:r>
          <w:proofErr w:type="spellStart"/>
          <w:r w:rsidRPr="004A6265">
            <w:rPr>
              <w:rFonts w:ascii="Times New Roman" w:hAnsi="Times New Roman" w:cs="Times New Roman"/>
              <w:sz w:val="24"/>
              <w:szCs w:val="24"/>
            </w:rPr>
            <w:t>Zowghi</w:t>
          </w:r>
          <w:proofErr w:type="spellEnd"/>
          <w:r w:rsidRPr="004A6265">
            <w:rPr>
              <w:rFonts w:ascii="Times New Roman" w:hAnsi="Times New Roman" w:cs="Times New Roman"/>
              <w:sz w:val="24"/>
              <w:szCs w:val="24"/>
            </w:rPr>
            <w:t xml:space="preserve">, D. and Bano, M. (2025) 'AI governance: a systematic literature review', </w:t>
          </w:r>
          <w:r w:rsidRPr="004A6265">
            <w:rPr>
              <w:rFonts w:ascii="Times New Roman" w:hAnsi="Times New Roman" w:cs="Times New Roman"/>
              <w:i/>
              <w:sz w:val="24"/>
              <w:szCs w:val="24"/>
            </w:rPr>
            <w:t>AI and Ethics</w:t>
          </w:r>
          <w:r w:rsidRPr="004A6265">
            <w:rPr>
              <w:rFonts w:ascii="Times New Roman" w:hAnsi="Times New Roman" w:cs="Times New Roman"/>
              <w:sz w:val="24"/>
              <w:szCs w:val="24"/>
            </w:rPr>
            <w:t>, 5, pp. 3265-3279. Available at: https://doi.org/10.1007/s43681-024-00653-w.</w:t>
          </w:r>
        </w:p>
        <w:p w14:paraId="1AD5045C"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Brintrup, A., Kosasih, E., Schaffer, P., Zheng, G., Demirel, G. and MacCarthy, B.L. (2024) 'Digital supply chain surveillance using artificial intelligence: definitions, opportunities and risks', </w:t>
          </w:r>
          <w:r w:rsidRPr="004A6265">
            <w:rPr>
              <w:rFonts w:ascii="Times New Roman" w:hAnsi="Times New Roman" w:cs="Times New Roman"/>
              <w:i/>
              <w:sz w:val="24"/>
              <w:szCs w:val="24"/>
            </w:rPr>
            <w:t>International Journal of Production Research</w:t>
          </w:r>
          <w:r w:rsidRPr="004A6265">
            <w:rPr>
              <w:rFonts w:ascii="Times New Roman" w:hAnsi="Times New Roman" w:cs="Times New Roman"/>
              <w:sz w:val="24"/>
              <w:szCs w:val="24"/>
            </w:rPr>
            <w:t>, 62(13), pp. 4674-4695. Available at: https://doi.org/10.1080/00207543.2023.2270719.</w:t>
          </w:r>
        </w:p>
        <w:p w14:paraId="791508B9"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Centre for Data Ethics and Innovation (2020) </w:t>
          </w:r>
          <w:r w:rsidRPr="004A6265">
            <w:rPr>
              <w:rFonts w:ascii="Times New Roman" w:hAnsi="Times New Roman" w:cs="Times New Roman"/>
              <w:i/>
              <w:sz w:val="24"/>
              <w:szCs w:val="24"/>
            </w:rPr>
            <w:t>Review into bias in algorithmic decision-making</w:t>
          </w:r>
          <w:r w:rsidRPr="004A6265">
            <w:rPr>
              <w:rFonts w:ascii="Times New Roman" w:hAnsi="Times New Roman" w:cs="Times New Roman"/>
              <w:sz w:val="24"/>
              <w:szCs w:val="24"/>
            </w:rPr>
            <w:t>. Available at: https://www.gov.uk/government/publications/cdei-publishes-review-into-bias-in-algorithmic-decision-making/main-report-cdei-review-into-bias-in-algorithmic-decision-making (Accessed: 8 October 2026).</w:t>
          </w:r>
        </w:p>
        <w:p w14:paraId="36FC901A"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Centre for Data Ethics and Innovation (2021) </w:t>
          </w:r>
          <w:r w:rsidRPr="004A6265">
            <w:rPr>
              <w:rFonts w:ascii="Times New Roman" w:hAnsi="Times New Roman" w:cs="Times New Roman"/>
              <w:i/>
              <w:sz w:val="24"/>
              <w:szCs w:val="24"/>
            </w:rPr>
            <w:t>The roadmap to an effective AI assurance ecosystem</w:t>
          </w:r>
          <w:r w:rsidRPr="004A6265">
            <w:rPr>
              <w:rFonts w:ascii="Times New Roman" w:hAnsi="Times New Roman" w:cs="Times New Roman"/>
              <w:sz w:val="24"/>
              <w:szCs w:val="24"/>
            </w:rPr>
            <w:t>. Available at: https://www.gov.uk/government/publications/the-roadmap-to-an-effective-ai-assurance-ecosystem (Accessed: 8 October 2026).</w:t>
          </w:r>
        </w:p>
        <w:p w14:paraId="123108B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Deiva Ganesh, A. and Kalpana, P. (2022) 'Future of artificial intelligence and its influence on supply chain risk management – A systematic review', </w:t>
          </w:r>
          <w:r w:rsidRPr="004A6265">
            <w:rPr>
              <w:rFonts w:ascii="Times New Roman" w:hAnsi="Times New Roman" w:cs="Times New Roman"/>
              <w:i/>
              <w:sz w:val="24"/>
              <w:szCs w:val="24"/>
            </w:rPr>
            <w:t>Computers &amp; Industrial Engineering</w:t>
          </w:r>
          <w:r w:rsidRPr="004A6265">
            <w:rPr>
              <w:rFonts w:ascii="Times New Roman" w:hAnsi="Times New Roman" w:cs="Times New Roman"/>
              <w:sz w:val="24"/>
              <w:szCs w:val="24"/>
            </w:rPr>
            <w:t>, 169, 108206. Available at: https://doi.org/10.1016/j.cie.2022.108206.</w:t>
          </w:r>
        </w:p>
        <w:p w14:paraId="7E27409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Department for Science, Innovation and Technology (2023) </w:t>
          </w:r>
          <w:r w:rsidRPr="004A6265">
            <w:rPr>
              <w:rFonts w:ascii="Times New Roman" w:hAnsi="Times New Roman" w:cs="Times New Roman"/>
              <w:i/>
              <w:sz w:val="24"/>
              <w:szCs w:val="24"/>
            </w:rPr>
            <w:t>A pro-innovation approach to AI regulation</w:t>
          </w:r>
          <w:r w:rsidRPr="004A6265">
            <w:rPr>
              <w:rFonts w:ascii="Times New Roman" w:hAnsi="Times New Roman" w:cs="Times New Roman"/>
              <w:sz w:val="24"/>
              <w:szCs w:val="24"/>
            </w:rPr>
            <w:t>. Available at: https://www.gov.uk/government/publications/ai-regulation-a-pro-innovation-approach/white-paper (Accessed: 20 July 2026).</w:t>
          </w:r>
        </w:p>
        <w:p w14:paraId="42E50BD0"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Department for Science, Innovation and Technology (2024) </w:t>
          </w:r>
          <w:r w:rsidRPr="004A6265">
            <w:rPr>
              <w:rFonts w:ascii="Times New Roman" w:hAnsi="Times New Roman" w:cs="Times New Roman"/>
              <w:i/>
              <w:sz w:val="24"/>
              <w:szCs w:val="24"/>
            </w:rPr>
            <w:t>A pro-innovation approach to AI regulation: government response</w:t>
          </w:r>
          <w:r w:rsidRPr="004A6265">
            <w:rPr>
              <w:rFonts w:ascii="Times New Roman" w:hAnsi="Times New Roman" w:cs="Times New Roman"/>
              <w:sz w:val="24"/>
              <w:szCs w:val="24"/>
            </w:rPr>
            <w:t>. Available at: https://www.gov.uk/government/consultations/ai-regulation-a-pro-innovation-approach-policy-proposals/outcome/a-pro-innovation-approach-to-ai-regulation-government-response (Accessed: 20 July 2026).</w:t>
          </w:r>
        </w:p>
        <w:p w14:paraId="6802FE41"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Department for Science, Innovation and Technology (2025) </w:t>
          </w:r>
          <w:r w:rsidRPr="004A6265">
            <w:rPr>
              <w:rFonts w:ascii="Times New Roman" w:hAnsi="Times New Roman" w:cs="Times New Roman"/>
              <w:i/>
              <w:sz w:val="24"/>
              <w:szCs w:val="24"/>
            </w:rPr>
            <w:t>New blueprint for AI regulation could speed up planning approvals, slash NHS waiting times, and drive growth and public trust</w:t>
          </w:r>
          <w:r w:rsidRPr="004A6265">
            <w:rPr>
              <w:rFonts w:ascii="Times New Roman" w:hAnsi="Times New Roman" w:cs="Times New Roman"/>
              <w:sz w:val="24"/>
              <w:szCs w:val="24"/>
            </w:rPr>
            <w:t>. Available at: https://www.gov.uk/government/news/new-blueprint-for-ai-regulation-could-speed-up-planning-approvals-slash-nhs-waiting-times-and-drive-growth-and-public-trust (Accessed: 20 July 2026).</w:t>
          </w:r>
        </w:p>
        <w:p w14:paraId="55E0FFB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DHL Group (2025a) </w:t>
          </w:r>
          <w:r w:rsidRPr="004A6265">
            <w:rPr>
              <w:rFonts w:ascii="Times New Roman" w:hAnsi="Times New Roman" w:cs="Times New Roman"/>
              <w:i/>
              <w:sz w:val="24"/>
              <w:szCs w:val="24"/>
            </w:rPr>
            <w:t>DHL Group signs MOU with Boston Dynamics for additional 1,000-robot deployment and accelerates cross-business automation strategy</w:t>
          </w:r>
          <w:r w:rsidRPr="004A6265">
            <w:rPr>
              <w:rFonts w:ascii="Times New Roman" w:hAnsi="Times New Roman" w:cs="Times New Roman"/>
              <w:sz w:val="24"/>
              <w:szCs w:val="24"/>
            </w:rPr>
            <w:t>. Available at: https://group.dhl.com/en/media-relations/press-releases/2025/dhl-group-signs-mou-with-boston-dynamics-and-accelerates-cross-business-automation-strategy.html (Accessed: 20 July 2026).</w:t>
          </w:r>
        </w:p>
        <w:p w14:paraId="33BE21B6"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DHL Group (2025b) </w:t>
          </w:r>
          <w:r w:rsidRPr="004A6265">
            <w:rPr>
              <w:rFonts w:ascii="Times New Roman" w:hAnsi="Times New Roman" w:cs="Times New Roman"/>
              <w:i/>
              <w:sz w:val="24"/>
              <w:szCs w:val="24"/>
            </w:rPr>
            <w:t xml:space="preserve">DHL boosts operational efficiency and customer communications with </w:t>
          </w:r>
          <w:proofErr w:type="spellStart"/>
          <w:r w:rsidRPr="004A6265">
            <w:rPr>
              <w:rFonts w:ascii="Times New Roman" w:hAnsi="Times New Roman" w:cs="Times New Roman"/>
              <w:i/>
              <w:sz w:val="24"/>
              <w:szCs w:val="24"/>
            </w:rPr>
            <w:t>HappyRobot's</w:t>
          </w:r>
          <w:proofErr w:type="spellEnd"/>
          <w:r w:rsidRPr="004A6265">
            <w:rPr>
              <w:rFonts w:ascii="Times New Roman" w:hAnsi="Times New Roman" w:cs="Times New Roman"/>
              <w:i/>
              <w:sz w:val="24"/>
              <w:szCs w:val="24"/>
            </w:rPr>
            <w:t xml:space="preserve"> AI agents</w:t>
          </w:r>
          <w:r w:rsidRPr="004A6265">
            <w:rPr>
              <w:rFonts w:ascii="Times New Roman" w:hAnsi="Times New Roman" w:cs="Times New Roman"/>
              <w:sz w:val="24"/>
              <w:szCs w:val="24"/>
            </w:rPr>
            <w:t>. Available at: https://group.dhl.com/en/media-relations/press-releases/2025/dhl-boosts-operational-efficiency-and-customer-communications-with-happyrobots-ai-agents.html (Accessed: 20 July 2026).</w:t>
          </w:r>
        </w:p>
        <w:p w14:paraId="202018FD"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DHL Group (2026) </w:t>
          </w:r>
          <w:r w:rsidRPr="004A6265">
            <w:rPr>
              <w:rFonts w:ascii="Times New Roman" w:hAnsi="Times New Roman" w:cs="Times New Roman"/>
              <w:i/>
              <w:sz w:val="24"/>
              <w:szCs w:val="24"/>
            </w:rPr>
            <w:t>2025 annual report</w:t>
          </w:r>
          <w:r w:rsidRPr="004A6265">
            <w:rPr>
              <w:rFonts w:ascii="Times New Roman" w:hAnsi="Times New Roman" w:cs="Times New Roman"/>
              <w:sz w:val="24"/>
              <w:szCs w:val="24"/>
            </w:rPr>
            <w:t>. Available at: https://reporting-hub.group.dhl.com/2025-fy/en/ (Accessed: 20 July 2026).</w:t>
          </w:r>
        </w:p>
        <w:p w14:paraId="0A6B5B89"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DHL Group (n.d.) </w:t>
          </w:r>
          <w:r w:rsidRPr="004A6265">
            <w:rPr>
              <w:rFonts w:ascii="Times New Roman" w:hAnsi="Times New Roman" w:cs="Times New Roman"/>
              <w:i/>
              <w:sz w:val="24"/>
              <w:szCs w:val="24"/>
            </w:rPr>
            <w:t>Strategy 2030</w:t>
          </w:r>
          <w:r w:rsidRPr="004A6265">
            <w:rPr>
              <w:rFonts w:ascii="Times New Roman" w:hAnsi="Times New Roman" w:cs="Times New Roman"/>
              <w:sz w:val="24"/>
              <w:szCs w:val="24"/>
            </w:rPr>
            <w:t>. Available at: https://group.dhl.com/en/about-us/the-group/strategy.html (Accessed: 20 July 2026).</w:t>
          </w:r>
        </w:p>
        <w:p w14:paraId="53A33E08"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European Central Bank (2026) </w:t>
          </w:r>
          <w:r w:rsidRPr="004A6265">
            <w:rPr>
              <w:rFonts w:ascii="Times New Roman" w:hAnsi="Times New Roman" w:cs="Times New Roman"/>
              <w:i/>
              <w:sz w:val="24"/>
              <w:szCs w:val="24"/>
            </w:rPr>
            <w:t>Monetary policy decisions</w:t>
          </w:r>
          <w:r w:rsidRPr="004A6265">
            <w:rPr>
              <w:rFonts w:ascii="Times New Roman" w:hAnsi="Times New Roman" w:cs="Times New Roman"/>
              <w:sz w:val="24"/>
              <w:szCs w:val="24"/>
            </w:rPr>
            <w:t>. 11 June. Available at: https://www.ecb.europa.eu/press/pr/date/2026/html/ecb.mp260611~4d41bd5e83.en.html (Accessed: 8 October 2026).</w:t>
          </w:r>
        </w:p>
        <w:p w14:paraId="388F99A4"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European Commission (2026) </w:t>
          </w:r>
          <w:r w:rsidRPr="004A6265">
            <w:rPr>
              <w:rFonts w:ascii="Times New Roman" w:hAnsi="Times New Roman" w:cs="Times New Roman"/>
              <w:i/>
              <w:sz w:val="24"/>
              <w:szCs w:val="24"/>
            </w:rPr>
            <w:t>AI Act</w:t>
          </w:r>
          <w:r w:rsidRPr="004A6265">
            <w:rPr>
              <w:rFonts w:ascii="Times New Roman" w:hAnsi="Times New Roman" w:cs="Times New Roman"/>
              <w:sz w:val="24"/>
              <w:szCs w:val="24"/>
            </w:rPr>
            <w:t>. Shaping Europe's digital future. Available at: https://digital-strategy.ec.europa.eu/en/policies/regulatory-framework-ai (Accessed: 1 September 2026).</w:t>
          </w:r>
        </w:p>
        <w:p w14:paraId="7805EF28"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European Data Protection Board (2024) </w:t>
          </w:r>
          <w:r w:rsidRPr="004A6265">
            <w:rPr>
              <w:rFonts w:ascii="Times New Roman" w:hAnsi="Times New Roman" w:cs="Times New Roman"/>
              <w:i/>
              <w:sz w:val="24"/>
              <w:szCs w:val="24"/>
            </w:rPr>
            <w:t>Opinion 28/2024 on certain data protection aspects related to the processing of personal data in the context of AI models</w:t>
          </w:r>
          <w:r w:rsidRPr="004A6265">
            <w:rPr>
              <w:rFonts w:ascii="Times New Roman" w:hAnsi="Times New Roman" w:cs="Times New Roman"/>
              <w:sz w:val="24"/>
              <w:szCs w:val="24"/>
            </w:rPr>
            <w:t>. Available at: https://www.edpb.europa.eu/system/files/2024-12/edpb_opinion_202428_ai-models_en.pdf (Accessed: 8 October 2026).</w:t>
          </w:r>
        </w:p>
        <w:p w14:paraId="16B4D5C8"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European Parliament and Council of the European Union (2016) </w:t>
          </w:r>
          <w:r w:rsidRPr="004A6265">
            <w:rPr>
              <w:rFonts w:ascii="Times New Roman" w:hAnsi="Times New Roman" w:cs="Times New Roman"/>
              <w:i/>
              <w:sz w:val="24"/>
              <w:szCs w:val="24"/>
            </w:rPr>
            <w:t>Regulation (EU) 2016/679 of the European Parliament and of the Council of 27 April 2016 on the protection of natural persons with regard to the processing of personal data and on the free movement of such data, and repealing Directive 95/46/EC (General Data Protection Regulation)</w:t>
          </w:r>
          <w:r w:rsidRPr="004A6265">
            <w:rPr>
              <w:rFonts w:ascii="Times New Roman" w:hAnsi="Times New Roman" w:cs="Times New Roman"/>
              <w:sz w:val="24"/>
              <w:szCs w:val="24"/>
            </w:rPr>
            <w:t>. Official Journal of the European Union, L119, pp. 1-88. Available at: https://eur-lex.europa.eu/legal-content/EN/TXT/?uri=CELEX:32016R0679 (Accessed: 20 July 2026).</w:t>
          </w:r>
        </w:p>
        <w:p w14:paraId="327A2410"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European Parliament and Council of the European Union (2024) </w:t>
          </w:r>
          <w:r w:rsidRPr="004A6265">
            <w:rPr>
              <w:rFonts w:ascii="Times New Roman" w:hAnsi="Times New Roman" w:cs="Times New Roman"/>
              <w:i/>
              <w:sz w:val="24"/>
              <w:szCs w:val="24"/>
            </w:rPr>
            <w:t>Regulation (EU) 2024/1689 of the European Parliament and of the Council of 13 June 2024 laying down harmonised rules on artificial intelligence and amending Regulations (EC) No 300/2008, (EU) No 167/2013, (EU) No 168/2013, (EU) 2018/858, (EU) 2018/1139 and (EU) 2019/2144 and Directives 2014/90/EU, (EU) 2016/797 and (EU) 2020/1828 (Artificial Intelligence Act)</w:t>
          </w:r>
          <w:r w:rsidRPr="004A6265">
            <w:rPr>
              <w:rFonts w:ascii="Times New Roman" w:hAnsi="Times New Roman" w:cs="Times New Roman"/>
              <w:sz w:val="24"/>
              <w:szCs w:val="24"/>
            </w:rPr>
            <w:t>. Official Journal of the European Union, L 2024/1689. Available at: https://eur-lex.europa.eu/legal-content/EN/TXT/?uri=CELEX:32024R1689 (Accessed: 20 July 2026).</w:t>
          </w:r>
        </w:p>
        <w:p w14:paraId="12C63B74" w14:textId="77777777" w:rsidR="004A6265" w:rsidRPr="004A6265" w:rsidRDefault="004A6265" w:rsidP="004A6265">
          <w:pPr>
            <w:keepLines/>
            <w:spacing w:line="480" w:lineRule="auto"/>
            <w:ind w:left="360" w:hanging="360"/>
            <w:rPr>
              <w:rFonts w:ascii="Times New Roman" w:hAnsi="Times New Roman" w:cs="Times New Roman"/>
              <w:sz w:val="24"/>
              <w:szCs w:val="24"/>
            </w:rPr>
          </w:pPr>
          <w:proofErr w:type="spellStart"/>
          <w:r w:rsidRPr="004A6265">
            <w:rPr>
              <w:rFonts w:ascii="Times New Roman" w:hAnsi="Times New Roman" w:cs="Times New Roman"/>
              <w:sz w:val="24"/>
              <w:szCs w:val="24"/>
            </w:rPr>
            <w:t>Floridi</w:t>
          </w:r>
          <w:proofErr w:type="spellEnd"/>
          <w:r w:rsidRPr="004A6265">
            <w:rPr>
              <w:rFonts w:ascii="Times New Roman" w:hAnsi="Times New Roman" w:cs="Times New Roman"/>
              <w:sz w:val="24"/>
              <w:szCs w:val="24"/>
            </w:rPr>
            <w:t xml:space="preserve">, L., Cowls, J., </w:t>
          </w:r>
          <w:proofErr w:type="spellStart"/>
          <w:r w:rsidRPr="004A6265">
            <w:rPr>
              <w:rFonts w:ascii="Times New Roman" w:hAnsi="Times New Roman" w:cs="Times New Roman"/>
              <w:sz w:val="24"/>
              <w:szCs w:val="24"/>
            </w:rPr>
            <w:t>Beltrametti</w:t>
          </w:r>
          <w:proofErr w:type="spellEnd"/>
          <w:r w:rsidRPr="004A6265">
            <w:rPr>
              <w:rFonts w:ascii="Times New Roman" w:hAnsi="Times New Roman" w:cs="Times New Roman"/>
              <w:sz w:val="24"/>
              <w:szCs w:val="24"/>
            </w:rPr>
            <w:t xml:space="preserve">, M., Chatila, R., </w:t>
          </w:r>
          <w:proofErr w:type="spellStart"/>
          <w:r w:rsidRPr="004A6265">
            <w:rPr>
              <w:rFonts w:ascii="Times New Roman" w:hAnsi="Times New Roman" w:cs="Times New Roman"/>
              <w:sz w:val="24"/>
              <w:szCs w:val="24"/>
            </w:rPr>
            <w:t>Chazerand</w:t>
          </w:r>
          <w:proofErr w:type="spellEnd"/>
          <w:r w:rsidRPr="004A6265">
            <w:rPr>
              <w:rFonts w:ascii="Times New Roman" w:hAnsi="Times New Roman" w:cs="Times New Roman"/>
              <w:sz w:val="24"/>
              <w:szCs w:val="24"/>
            </w:rPr>
            <w:t xml:space="preserve">, P., Dignum, V., Luetge, C., Madelin, R., </w:t>
          </w:r>
          <w:proofErr w:type="spellStart"/>
          <w:r w:rsidRPr="004A6265">
            <w:rPr>
              <w:rFonts w:ascii="Times New Roman" w:hAnsi="Times New Roman" w:cs="Times New Roman"/>
              <w:sz w:val="24"/>
              <w:szCs w:val="24"/>
            </w:rPr>
            <w:t>Pagallo</w:t>
          </w:r>
          <w:proofErr w:type="spellEnd"/>
          <w:r w:rsidRPr="004A6265">
            <w:rPr>
              <w:rFonts w:ascii="Times New Roman" w:hAnsi="Times New Roman" w:cs="Times New Roman"/>
              <w:sz w:val="24"/>
              <w:szCs w:val="24"/>
            </w:rPr>
            <w:t xml:space="preserve">, U., Rossi, F., Schafer, B., Valcke, P. and </w:t>
          </w:r>
          <w:proofErr w:type="spellStart"/>
          <w:r w:rsidRPr="004A6265">
            <w:rPr>
              <w:rFonts w:ascii="Times New Roman" w:hAnsi="Times New Roman" w:cs="Times New Roman"/>
              <w:sz w:val="24"/>
              <w:szCs w:val="24"/>
            </w:rPr>
            <w:t>Vayena</w:t>
          </w:r>
          <w:proofErr w:type="spellEnd"/>
          <w:r w:rsidRPr="004A6265">
            <w:rPr>
              <w:rFonts w:ascii="Times New Roman" w:hAnsi="Times New Roman" w:cs="Times New Roman"/>
              <w:sz w:val="24"/>
              <w:szCs w:val="24"/>
            </w:rPr>
            <w:t xml:space="preserve">, E. (2018) 'AI4People—an ethical framework for a good AI society: opportunities, risks, principles, and recommendations', </w:t>
          </w:r>
          <w:r w:rsidRPr="004A6265">
            <w:rPr>
              <w:rFonts w:ascii="Times New Roman" w:hAnsi="Times New Roman" w:cs="Times New Roman"/>
              <w:i/>
              <w:sz w:val="24"/>
              <w:szCs w:val="24"/>
            </w:rPr>
            <w:t>Minds and Machines</w:t>
          </w:r>
          <w:r w:rsidRPr="004A6265">
            <w:rPr>
              <w:rFonts w:ascii="Times New Roman" w:hAnsi="Times New Roman" w:cs="Times New Roman"/>
              <w:sz w:val="24"/>
              <w:szCs w:val="24"/>
            </w:rPr>
            <w:t>, 28(4), pp. 689-707. Available at: https://doi.org/10.1007/s11023-018-9482-5.</w:t>
          </w:r>
        </w:p>
        <w:p w14:paraId="59E3891C"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Gebru, T., Morgenstern, J., Vecchione, B., Vaughan, J.W., Wallach, H., </w:t>
          </w:r>
          <w:proofErr w:type="spellStart"/>
          <w:r w:rsidRPr="004A6265">
            <w:rPr>
              <w:rFonts w:ascii="Times New Roman" w:hAnsi="Times New Roman" w:cs="Times New Roman"/>
              <w:sz w:val="24"/>
              <w:szCs w:val="24"/>
            </w:rPr>
            <w:t>Daumé</w:t>
          </w:r>
          <w:proofErr w:type="spellEnd"/>
          <w:r w:rsidRPr="004A6265">
            <w:rPr>
              <w:rFonts w:ascii="Times New Roman" w:hAnsi="Times New Roman" w:cs="Times New Roman"/>
              <w:sz w:val="24"/>
              <w:szCs w:val="24"/>
            </w:rPr>
            <w:t xml:space="preserve"> III, H. and Crawford, K. (2021) 'Datasheets for datasets', </w:t>
          </w:r>
          <w:r w:rsidRPr="004A6265">
            <w:rPr>
              <w:rFonts w:ascii="Times New Roman" w:hAnsi="Times New Roman" w:cs="Times New Roman"/>
              <w:i/>
              <w:sz w:val="24"/>
              <w:szCs w:val="24"/>
            </w:rPr>
            <w:t>Communications of the ACM</w:t>
          </w:r>
          <w:r w:rsidRPr="004A6265">
            <w:rPr>
              <w:rFonts w:ascii="Times New Roman" w:hAnsi="Times New Roman" w:cs="Times New Roman"/>
              <w:sz w:val="24"/>
              <w:szCs w:val="24"/>
            </w:rPr>
            <w:t>, 64(12), pp. 86-92. Available at: https://doi.org/10.1145/3458723.</w:t>
          </w:r>
        </w:p>
        <w:p w14:paraId="090FEB50"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Hadley, E., </w:t>
          </w:r>
          <w:proofErr w:type="spellStart"/>
          <w:r w:rsidRPr="004A6265">
            <w:rPr>
              <w:rFonts w:ascii="Times New Roman" w:hAnsi="Times New Roman" w:cs="Times New Roman"/>
              <w:sz w:val="24"/>
              <w:szCs w:val="24"/>
            </w:rPr>
            <w:t>Blatecky</w:t>
          </w:r>
          <w:proofErr w:type="spellEnd"/>
          <w:r w:rsidRPr="004A6265">
            <w:rPr>
              <w:rFonts w:ascii="Times New Roman" w:hAnsi="Times New Roman" w:cs="Times New Roman"/>
              <w:sz w:val="24"/>
              <w:szCs w:val="24"/>
            </w:rPr>
            <w:t xml:space="preserve">, A. and Comfort, M. (2025) 'Investigating algorithm review boards for organizational responsible artificial intelligence governance', </w:t>
          </w:r>
          <w:r w:rsidRPr="004A6265">
            <w:rPr>
              <w:rFonts w:ascii="Times New Roman" w:hAnsi="Times New Roman" w:cs="Times New Roman"/>
              <w:i/>
              <w:sz w:val="24"/>
              <w:szCs w:val="24"/>
            </w:rPr>
            <w:t>AI and Ethics</w:t>
          </w:r>
          <w:r w:rsidRPr="004A6265">
            <w:rPr>
              <w:rFonts w:ascii="Times New Roman" w:hAnsi="Times New Roman" w:cs="Times New Roman"/>
              <w:sz w:val="24"/>
              <w:szCs w:val="24"/>
            </w:rPr>
            <w:t>, 5, pp. 2485-2495. Available at: https://doi.org/10.1007/s43681-024-00574-8.</w:t>
          </w:r>
        </w:p>
        <w:p w14:paraId="42C3245E"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Information Commissioner's Office [ICO] (2023) </w:t>
          </w:r>
          <w:r w:rsidRPr="004A6265">
            <w:rPr>
              <w:rFonts w:ascii="Times New Roman" w:hAnsi="Times New Roman" w:cs="Times New Roman"/>
              <w:i/>
              <w:sz w:val="24"/>
              <w:szCs w:val="24"/>
            </w:rPr>
            <w:t>Guidance on AI and data protection</w:t>
          </w:r>
          <w:r w:rsidRPr="004A6265">
            <w:rPr>
              <w:rFonts w:ascii="Times New Roman" w:hAnsi="Times New Roman" w:cs="Times New Roman"/>
              <w:sz w:val="24"/>
              <w:szCs w:val="24"/>
            </w:rPr>
            <w:t>. Available at: https://ico.org.uk/for-organisations/uk-gdpr-guidance-and-resources/artificial-intelligence/guidance-on-ai-and-data-protection/ (Accessed: 20 July 2026).</w:t>
          </w:r>
        </w:p>
        <w:p w14:paraId="53570EDA"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Information Commissioner's Office and The Alan Turing Institute (2020) </w:t>
          </w:r>
          <w:r w:rsidRPr="004A6265">
            <w:rPr>
              <w:rFonts w:ascii="Times New Roman" w:hAnsi="Times New Roman" w:cs="Times New Roman"/>
              <w:i/>
              <w:sz w:val="24"/>
              <w:szCs w:val="24"/>
            </w:rPr>
            <w:t>Explaining decisions made with AI</w:t>
          </w:r>
          <w:r w:rsidRPr="004A6265">
            <w:rPr>
              <w:rFonts w:ascii="Times New Roman" w:hAnsi="Times New Roman" w:cs="Times New Roman"/>
              <w:sz w:val="24"/>
              <w:szCs w:val="24"/>
            </w:rPr>
            <w:t>. Available at: https://ico.org.uk/for-organisations/uk-gdpr-guidance-and-resources/artificial-intelligence/explaining-decisions-made-with-artificial-intelligence/ (Accessed: 8 October 2026).</w:t>
          </w:r>
        </w:p>
        <w:p w14:paraId="4DE19FD4"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International Energy Agency (2025) </w:t>
          </w:r>
          <w:r w:rsidRPr="004A6265">
            <w:rPr>
              <w:rFonts w:ascii="Times New Roman" w:hAnsi="Times New Roman" w:cs="Times New Roman"/>
              <w:i/>
              <w:sz w:val="24"/>
              <w:szCs w:val="24"/>
            </w:rPr>
            <w:t>Energy and AI</w:t>
          </w:r>
          <w:r w:rsidRPr="004A6265">
            <w:rPr>
              <w:rFonts w:ascii="Times New Roman" w:hAnsi="Times New Roman" w:cs="Times New Roman"/>
              <w:sz w:val="24"/>
              <w:szCs w:val="24"/>
            </w:rPr>
            <w:t>. Available at: https://www.iea.org/reports/energy-and-ai (Accessed: 8 October 2026).</w:t>
          </w:r>
        </w:p>
        <w:p w14:paraId="63BD71AA"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Jobin, A., Ienca, M. and </w:t>
          </w:r>
          <w:proofErr w:type="spellStart"/>
          <w:r w:rsidRPr="004A6265">
            <w:rPr>
              <w:rFonts w:ascii="Times New Roman" w:hAnsi="Times New Roman" w:cs="Times New Roman"/>
              <w:sz w:val="24"/>
              <w:szCs w:val="24"/>
            </w:rPr>
            <w:t>Vayena</w:t>
          </w:r>
          <w:proofErr w:type="spellEnd"/>
          <w:r w:rsidRPr="004A6265">
            <w:rPr>
              <w:rFonts w:ascii="Times New Roman" w:hAnsi="Times New Roman" w:cs="Times New Roman"/>
              <w:sz w:val="24"/>
              <w:szCs w:val="24"/>
            </w:rPr>
            <w:t xml:space="preserve">, E. (2019) 'The global landscape of AI ethics guidelines', </w:t>
          </w:r>
          <w:r w:rsidRPr="004A6265">
            <w:rPr>
              <w:rFonts w:ascii="Times New Roman" w:hAnsi="Times New Roman" w:cs="Times New Roman"/>
              <w:i/>
              <w:sz w:val="24"/>
              <w:szCs w:val="24"/>
            </w:rPr>
            <w:t>Nature Machine Intelligence</w:t>
          </w:r>
          <w:r w:rsidRPr="004A6265">
            <w:rPr>
              <w:rFonts w:ascii="Times New Roman" w:hAnsi="Times New Roman" w:cs="Times New Roman"/>
              <w:sz w:val="24"/>
              <w:szCs w:val="24"/>
            </w:rPr>
            <w:t>, 1(9), pp. 389-399. Available at: https://doi.org/10.1038/s42256-019-0088-2.</w:t>
          </w:r>
        </w:p>
        <w:p w14:paraId="75BE64F1"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Kassa, A., </w:t>
          </w:r>
          <w:proofErr w:type="spellStart"/>
          <w:r w:rsidRPr="004A6265">
            <w:rPr>
              <w:rFonts w:ascii="Times New Roman" w:hAnsi="Times New Roman" w:cs="Times New Roman"/>
              <w:sz w:val="24"/>
              <w:szCs w:val="24"/>
            </w:rPr>
            <w:t>Kitaw</w:t>
          </w:r>
          <w:proofErr w:type="spellEnd"/>
          <w:r w:rsidRPr="004A6265">
            <w:rPr>
              <w:rFonts w:ascii="Times New Roman" w:hAnsi="Times New Roman" w:cs="Times New Roman"/>
              <w:sz w:val="24"/>
              <w:szCs w:val="24"/>
            </w:rPr>
            <w:t xml:space="preserve">, D., Stache, U., Beshah, B. and </w:t>
          </w:r>
          <w:proofErr w:type="spellStart"/>
          <w:r w:rsidRPr="004A6265">
            <w:rPr>
              <w:rFonts w:ascii="Times New Roman" w:hAnsi="Times New Roman" w:cs="Times New Roman"/>
              <w:sz w:val="24"/>
              <w:szCs w:val="24"/>
            </w:rPr>
            <w:t>Degefu</w:t>
          </w:r>
          <w:proofErr w:type="spellEnd"/>
          <w:r w:rsidRPr="004A6265">
            <w:rPr>
              <w:rFonts w:ascii="Times New Roman" w:hAnsi="Times New Roman" w:cs="Times New Roman"/>
              <w:sz w:val="24"/>
              <w:szCs w:val="24"/>
            </w:rPr>
            <w:t xml:space="preserve">, G. (2023) 'Artificial intelligence techniques for enhancing supply chain resilience: A systematic literature review, holistic framework, and future research', </w:t>
          </w:r>
          <w:r w:rsidRPr="004A6265">
            <w:rPr>
              <w:rFonts w:ascii="Times New Roman" w:hAnsi="Times New Roman" w:cs="Times New Roman"/>
              <w:i/>
              <w:sz w:val="24"/>
              <w:szCs w:val="24"/>
            </w:rPr>
            <w:t>Computers &amp; Industrial Engineering</w:t>
          </w:r>
          <w:r w:rsidRPr="004A6265">
            <w:rPr>
              <w:rFonts w:ascii="Times New Roman" w:hAnsi="Times New Roman" w:cs="Times New Roman"/>
              <w:sz w:val="24"/>
              <w:szCs w:val="24"/>
            </w:rPr>
            <w:t>, 186, 109714. Available at: https://doi.org/10.1016/j.cie.2023.109714.</w:t>
          </w:r>
        </w:p>
        <w:p w14:paraId="243357C1"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Kellogg, K.C., Valentine, M.A. and Christin, A. (2020) 'Algorithms at work: the new contested terrain of control', </w:t>
          </w:r>
          <w:r w:rsidRPr="004A6265">
            <w:rPr>
              <w:rFonts w:ascii="Times New Roman" w:hAnsi="Times New Roman" w:cs="Times New Roman"/>
              <w:i/>
              <w:sz w:val="24"/>
              <w:szCs w:val="24"/>
            </w:rPr>
            <w:t>Academy of Management Annals</w:t>
          </w:r>
          <w:r w:rsidRPr="004A6265">
            <w:rPr>
              <w:rFonts w:ascii="Times New Roman" w:hAnsi="Times New Roman" w:cs="Times New Roman"/>
              <w:sz w:val="24"/>
              <w:szCs w:val="24"/>
            </w:rPr>
            <w:t>, 14(1), pp. 366-410. Available at: https://doi.org/10.5465/annals.2018.0174.</w:t>
          </w:r>
        </w:p>
        <w:p w14:paraId="60BA57A9"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Luo, X., Tong, S., Fang, Z. and Qu, Z. (2019) 'Frontiers: Machines vs. Humans: The Impact of Artificial Intelligence Chatbot Disclosure on Customer Purchases', </w:t>
          </w:r>
          <w:r w:rsidRPr="004A6265">
            <w:rPr>
              <w:rFonts w:ascii="Times New Roman" w:hAnsi="Times New Roman" w:cs="Times New Roman"/>
              <w:i/>
              <w:sz w:val="24"/>
              <w:szCs w:val="24"/>
            </w:rPr>
            <w:t>Marketing Science</w:t>
          </w:r>
          <w:r w:rsidRPr="004A6265">
            <w:rPr>
              <w:rFonts w:ascii="Times New Roman" w:hAnsi="Times New Roman" w:cs="Times New Roman"/>
              <w:sz w:val="24"/>
              <w:szCs w:val="24"/>
            </w:rPr>
            <w:t>, 38(6), pp. 937-947. Available at: https://doi.org/10.1287/mksc.2019.1192.</w:t>
          </w:r>
        </w:p>
        <w:p w14:paraId="67C1D259" w14:textId="77777777" w:rsidR="004A6265" w:rsidRPr="004A6265" w:rsidRDefault="004A6265" w:rsidP="004A6265">
          <w:pPr>
            <w:keepLines/>
            <w:spacing w:line="480" w:lineRule="auto"/>
            <w:ind w:left="360" w:hanging="360"/>
            <w:rPr>
              <w:rFonts w:ascii="Times New Roman" w:hAnsi="Times New Roman" w:cs="Times New Roman"/>
              <w:sz w:val="24"/>
              <w:szCs w:val="24"/>
            </w:rPr>
          </w:pPr>
          <w:proofErr w:type="spellStart"/>
          <w:r w:rsidRPr="004A6265">
            <w:rPr>
              <w:rFonts w:ascii="Times New Roman" w:hAnsi="Times New Roman" w:cs="Times New Roman"/>
              <w:sz w:val="24"/>
              <w:szCs w:val="24"/>
            </w:rPr>
            <w:t>Mäntymäki</w:t>
          </w:r>
          <w:proofErr w:type="spellEnd"/>
          <w:r w:rsidRPr="004A6265">
            <w:rPr>
              <w:rFonts w:ascii="Times New Roman" w:hAnsi="Times New Roman" w:cs="Times New Roman"/>
              <w:sz w:val="24"/>
              <w:szCs w:val="24"/>
            </w:rPr>
            <w:t xml:space="preserve">, M., Minkkinen, M., </w:t>
          </w:r>
          <w:proofErr w:type="spellStart"/>
          <w:r w:rsidRPr="004A6265">
            <w:rPr>
              <w:rFonts w:ascii="Times New Roman" w:hAnsi="Times New Roman" w:cs="Times New Roman"/>
              <w:sz w:val="24"/>
              <w:szCs w:val="24"/>
            </w:rPr>
            <w:t>Birkstedt</w:t>
          </w:r>
          <w:proofErr w:type="spellEnd"/>
          <w:r w:rsidRPr="004A6265">
            <w:rPr>
              <w:rFonts w:ascii="Times New Roman" w:hAnsi="Times New Roman" w:cs="Times New Roman"/>
              <w:sz w:val="24"/>
              <w:szCs w:val="24"/>
            </w:rPr>
            <w:t xml:space="preserve">, T. and Viljanen, M. (2022) 'Defining organizational AI governance', </w:t>
          </w:r>
          <w:r w:rsidRPr="004A6265">
            <w:rPr>
              <w:rFonts w:ascii="Times New Roman" w:hAnsi="Times New Roman" w:cs="Times New Roman"/>
              <w:i/>
              <w:sz w:val="24"/>
              <w:szCs w:val="24"/>
            </w:rPr>
            <w:t>AI and Ethics</w:t>
          </w:r>
          <w:r w:rsidRPr="004A6265">
            <w:rPr>
              <w:rFonts w:ascii="Times New Roman" w:hAnsi="Times New Roman" w:cs="Times New Roman"/>
              <w:sz w:val="24"/>
              <w:szCs w:val="24"/>
            </w:rPr>
            <w:t>, 2, pp. 603-609. Available at: https://doi.org/10.1007/s43681-022-00143-x.</w:t>
          </w:r>
        </w:p>
        <w:p w14:paraId="11AF8603"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Mayer, R.C., Davis, J.H. and </w:t>
          </w:r>
          <w:proofErr w:type="spellStart"/>
          <w:r w:rsidRPr="004A6265">
            <w:rPr>
              <w:rFonts w:ascii="Times New Roman" w:hAnsi="Times New Roman" w:cs="Times New Roman"/>
              <w:sz w:val="24"/>
              <w:szCs w:val="24"/>
            </w:rPr>
            <w:t>Schoorman</w:t>
          </w:r>
          <w:proofErr w:type="spellEnd"/>
          <w:r w:rsidRPr="004A6265">
            <w:rPr>
              <w:rFonts w:ascii="Times New Roman" w:hAnsi="Times New Roman" w:cs="Times New Roman"/>
              <w:sz w:val="24"/>
              <w:szCs w:val="24"/>
            </w:rPr>
            <w:t xml:space="preserve">, F.D. (1995) 'An integrative model of organizational trust', </w:t>
          </w:r>
          <w:r w:rsidRPr="004A6265">
            <w:rPr>
              <w:rFonts w:ascii="Times New Roman" w:hAnsi="Times New Roman" w:cs="Times New Roman"/>
              <w:i/>
              <w:sz w:val="24"/>
              <w:szCs w:val="24"/>
            </w:rPr>
            <w:t>Academy of Management Review</w:t>
          </w:r>
          <w:r w:rsidRPr="004A6265">
            <w:rPr>
              <w:rFonts w:ascii="Times New Roman" w:hAnsi="Times New Roman" w:cs="Times New Roman"/>
              <w:sz w:val="24"/>
              <w:szCs w:val="24"/>
            </w:rPr>
            <w:t>, 20(3), pp. 709-734. Available at: https://doi.org/10.5465/amr.1995.9508080335.</w:t>
          </w:r>
        </w:p>
        <w:p w14:paraId="15B4E73A"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McKinsey &amp; Company (2025) </w:t>
          </w:r>
          <w:r w:rsidRPr="004A6265">
            <w:rPr>
              <w:rFonts w:ascii="Times New Roman" w:hAnsi="Times New Roman" w:cs="Times New Roman"/>
              <w:i/>
              <w:sz w:val="24"/>
              <w:szCs w:val="24"/>
            </w:rPr>
            <w:t>The state of AI in 2025: agents, innovation, and transformation</w:t>
          </w:r>
          <w:r w:rsidRPr="004A6265">
            <w:rPr>
              <w:rFonts w:ascii="Times New Roman" w:hAnsi="Times New Roman" w:cs="Times New Roman"/>
              <w:sz w:val="24"/>
              <w:szCs w:val="24"/>
            </w:rPr>
            <w:t>. Available at: https://www.mckinsey.com/capabilities/quantumblack/our-insights/the-state-of-ai-2025 (Accessed: 20 July 2026).</w:t>
          </w:r>
        </w:p>
        <w:p w14:paraId="58175025"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Metcalf, J., Moss, E., Watkins, E.A., Singh, R. and Elish, M.C. (2021) 'Algorithmic Impact Assessments and Accountability: The Co-construction of Impacts', </w:t>
          </w:r>
          <w:r w:rsidRPr="004A6265">
            <w:rPr>
              <w:rFonts w:ascii="Times New Roman" w:hAnsi="Times New Roman" w:cs="Times New Roman"/>
              <w:i/>
              <w:sz w:val="24"/>
              <w:szCs w:val="24"/>
            </w:rPr>
            <w:t>Proceedings of the 2021 ACM Conference on Fairness, Accountability, and Transparency</w:t>
          </w:r>
          <w:r w:rsidRPr="004A6265">
            <w:rPr>
              <w:rFonts w:ascii="Times New Roman" w:hAnsi="Times New Roman" w:cs="Times New Roman"/>
              <w:sz w:val="24"/>
              <w:szCs w:val="24"/>
            </w:rPr>
            <w:t>, pp. 735-746. Available at: https://doi.org/10.1145/3442188.3445935.</w:t>
          </w:r>
        </w:p>
        <w:p w14:paraId="116A7E80"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National Cyber Security Centre (2023) </w:t>
          </w:r>
          <w:r w:rsidRPr="004A6265">
            <w:rPr>
              <w:rFonts w:ascii="Times New Roman" w:hAnsi="Times New Roman" w:cs="Times New Roman"/>
              <w:i/>
              <w:sz w:val="24"/>
              <w:szCs w:val="24"/>
            </w:rPr>
            <w:t>Guidelines for secure AI system development</w:t>
          </w:r>
          <w:r w:rsidRPr="004A6265">
            <w:rPr>
              <w:rFonts w:ascii="Times New Roman" w:hAnsi="Times New Roman" w:cs="Times New Roman"/>
              <w:sz w:val="24"/>
              <w:szCs w:val="24"/>
            </w:rPr>
            <w:t>. Available at: https://www.ncsc.gov.uk/collection/guidelines-secure-ai-system-development (Accessed: 8 October 2026).</w:t>
          </w:r>
        </w:p>
        <w:p w14:paraId="3D83ACEC"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OECD (2022) </w:t>
          </w:r>
          <w:r w:rsidRPr="004A6265">
            <w:rPr>
              <w:rFonts w:ascii="Times New Roman" w:hAnsi="Times New Roman" w:cs="Times New Roman"/>
              <w:i/>
              <w:sz w:val="24"/>
              <w:szCs w:val="24"/>
            </w:rPr>
            <w:t>Measuring the environmental impacts of artificial intelligence compute and applications: The AI footprint</w:t>
          </w:r>
          <w:r w:rsidRPr="004A6265">
            <w:rPr>
              <w:rFonts w:ascii="Times New Roman" w:hAnsi="Times New Roman" w:cs="Times New Roman"/>
              <w:sz w:val="24"/>
              <w:szCs w:val="24"/>
            </w:rPr>
            <w:t>. OECD Digital Economy Papers, no. 341. Available at: https://doi.org/10.1787/7babf571-en.</w:t>
          </w:r>
        </w:p>
        <w:p w14:paraId="7F8DAAF4"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OECD (2023) </w:t>
          </w:r>
          <w:r w:rsidRPr="004A6265">
            <w:rPr>
              <w:rFonts w:ascii="Times New Roman" w:hAnsi="Times New Roman" w:cs="Times New Roman"/>
              <w:i/>
              <w:sz w:val="24"/>
              <w:szCs w:val="24"/>
            </w:rPr>
            <w:t>OECD Employment Outlook 2023: Artificial Intelligence and the Labour Market</w:t>
          </w:r>
          <w:r w:rsidRPr="004A6265">
            <w:rPr>
              <w:rFonts w:ascii="Times New Roman" w:hAnsi="Times New Roman" w:cs="Times New Roman"/>
              <w:sz w:val="24"/>
              <w:szCs w:val="24"/>
            </w:rPr>
            <w:t>. Available at: https://doi.org/10.1787/08785bba-en.</w:t>
          </w:r>
        </w:p>
        <w:p w14:paraId="78E44EF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OECD (2024) </w:t>
          </w:r>
          <w:r w:rsidRPr="004A6265">
            <w:rPr>
              <w:rFonts w:ascii="Times New Roman" w:hAnsi="Times New Roman" w:cs="Times New Roman"/>
              <w:i/>
              <w:sz w:val="24"/>
              <w:szCs w:val="24"/>
            </w:rPr>
            <w:t>AI principles</w:t>
          </w:r>
          <w:r w:rsidRPr="004A6265">
            <w:rPr>
              <w:rFonts w:ascii="Times New Roman" w:hAnsi="Times New Roman" w:cs="Times New Roman"/>
              <w:sz w:val="24"/>
              <w:szCs w:val="24"/>
            </w:rPr>
            <w:t>. Available at: https://www.oecd.org/en/topics/sub-issues/ai-principles.html (Accessed: 20 July 2026).</w:t>
          </w:r>
        </w:p>
        <w:p w14:paraId="69B580F0" w14:textId="77777777" w:rsidR="004A6265" w:rsidRPr="004A6265" w:rsidRDefault="004A6265" w:rsidP="004A6265">
          <w:pPr>
            <w:keepLines/>
            <w:spacing w:line="480" w:lineRule="auto"/>
            <w:ind w:left="360" w:hanging="360"/>
            <w:rPr>
              <w:rFonts w:ascii="Times New Roman" w:hAnsi="Times New Roman" w:cs="Times New Roman"/>
              <w:sz w:val="24"/>
              <w:szCs w:val="24"/>
            </w:rPr>
          </w:pPr>
          <w:proofErr w:type="spellStart"/>
          <w:r w:rsidRPr="004A6265">
            <w:rPr>
              <w:rFonts w:ascii="Times New Roman" w:hAnsi="Times New Roman" w:cs="Times New Roman"/>
              <w:sz w:val="24"/>
              <w:szCs w:val="24"/>
            </w:rPr>
            <w:t>Papagiannidis</w:t>
          </w:r>
          <w:proofErr w:type="spellEnd"/>
          <w:r w:rsidRPr="004A6265">
            <w:rPr>
              <w:rFonts w:ascii="Times New Roman" w:hAnsi="Times New Roman" w:cs="Times New Roman"/>
              <w:sz w:val="24"/>
              <w:szCs w:val="24"/>
            </w:rPr>
            <w:t xml:space="preserve">, E., Enholm, I.M., Dremel, C., Mikalef, P. and Krogstie, J. (2023) 'Toward AI Governance: Identifying Best Practices and Potential Barriers and Outcomes', </w:t>
          </w:r>
          <w:r w:rsidRPr="004A6265">
            <w:rPr>
              <w:rFonts w:ascii="Times New Roman" w:hAnsi="Times New Roman" w:cs="Times New Roman"/>
              <w:i/>
              <w:sz w:val="24"/>
              <w:szCs w:val="24"/>
            </w:rPr>
            <w:t>Information Systems Frontiers</w:t>
          </w:r>
          <w:r w:rsidRPr="004A6265">
            <w:rPr>
              <w:rFonts w:ascii="Times New Roman" w:hAnsi="Times New Roman" w:cs="Times New Roman"/>
              <w:sz w:val="24"/>
              <w:szCs w:val="24"/>
            </w:rPr>
            <w:t>, 25, pp. 123-141. Available at: https://doi.org/10.1007/s10796-022-10251-y.</w:t>
          </w:r>
        </w:p>
        <w:p w14:paraId="73206E19"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Raji, I.D., Smart, A., White, R.N., Mitchell, M., Gebru, T., Hutchinson, B., Smith-Loud, J., Theron, D. and Barnes, P. (2020) 'Closing the AI Accountability Gap: Defining an End-to-End Framework for Internal Algorithmic Auditing', </w:t>
          </w:r>
          <w:r w:rsidRPr="004A6265">
            <w:rPr>
              <w:rFonts w:ascii="Times New Roman" w:hAnsi="Times New Roman" w:cs="Times New Roman"/>
              <w:i/>
              <w:sz w:val="24"/>
              <w:szCs w:val="24"/>
            </w:rPr>
            <w:t>Proceedings of the 2020 Conference on Fairness, Accountability, and Transparency</w:t>
          </w:r>
          <w:r w:rsidRPr="004A6265">
            <w:rPr>
              <w:rFonts w:ascii="Times New Roman" w:hAnsi="Times New Roman" w:cs="Times New Roman"/>
              <w:sz w:val="24"/>
              <w:szCs w:val="24"/>
            </w:rPr>
            <w:t>, pp. 33-44. Available at: https://doi.org/10.1145/3351095.3372873.</w:t>
          </w:r>
        </w:p>
        <w:p w14:paraId="3E2C9909"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Rosen, P.H., Heinold, E., Fries-</w:t>
          </w:r>
          <w:proofErr w:type="spellStart"/>
          <w:r w:rsidRPr="004A6265">
            <w:rPr>
              <w:rFonts w:ascii="Times New Roman" w:hAnsi="Times New Roman" w:cs="Times New Roman"/>
              <w:sz w:val="24"/>
              <w:szCs w:val="24"/>
            </w:rPr>
            <w:t>Tersch</w:t>
          </w:r>
          <w:proofErr w:type="spellEnd"/>
          <w:r w:rsidRPr="004A6265">
            <w:rPr>
              <w:rFonts w:ascii="Times New Roman" w:hAnsi="Times New Roman" w:cs="Times New Roman"/>
              <w:sz w:val="24"/>
              <w:szCs w:val="24"/>
            </w:rPr>
            <w:t xml:space="preserve">, E., Moore, P. and </w:t>
          </w:r>
          <w:proofErr w:type="spellStart"/>
          <w:r w:rsidRPr="004A6265">
            <w:rPr>
              <w:rFonts w:ascii="Times New Roman" w:hAnsi="Times New Roman" w:cs="Times New Roman"/>
              <w:sz w:val="24"/>
              <w:szCs w:val="24"/>
            </w:rPr>
            <w:t>Wischniewski</w:t>
          </w:r>
          <w:proofErr w:type="spellEnd"/>
          <w:r w:rsidRPr="004A6265">
            <w:rPr>
              <w:rFonts w:ascii="Times New Roman" w:hAnsi="Times New Roman" w:cs="Times New Roman"/>
              <w:sz w:val="24"/>
              <w:szCs w:val="24"/>
            </w:rPr>
            <w:t xml:space="preserve">, S. (2022) </w:t>
          </w:r>
          <w:r w:rsidRPr="004A6265">
            <w:rPr>
              <w:rFonts w:ascii="Times New Roman" w:hAnsi="Times New Roman" w:cs="Times New Roman"/>
              <w:i/>
              <w:sz w:val="24"/>
              <w:szCs w:val="24"/>
            </w:rPr>
            <w:t>Advanced robotics, artificial intelligence and the automation of tasks: definitions, uses, policies and strategies and Occupational Safety and Health</w:t>
          </w:r>
          <w:r w:rsidRPr="004A6265">
            <w:rPr>
              <w:rFonts w:ascii="Times New Roman" w:hAnsi="Times New Roman" w:cs="Times New Roman"/>
              <w:sz w:val="24"/>
              <w:szCs w:val="24"/>
            </w:rPr>
            <w:t>. European Agency for Safety and Health at Work. Available at: https://osha.europa.eu/sites/default/files/2022-04/Advanced%20robotics_AI_based%20systems.pdf (Accessed: 8 October 2026).</w:t>
          </w:r>
        </w:p>
        <w:p w14:paraId="4FF7D3F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Shahzadi, G., Jia, F., Chen, L. and John, A. (2024) 'AI adoption in supply chain management: a systematic literature review', </w:t>
          </w:r>
          <w:r w:rsidRPr="004A6265">
            <w:rPr>
              <w:rFonts w:ascii="Times New Roman" w:hAnsi="Times New Roman" w:cs="Times New Roman"/>
              <w:i/>
              <w:sz w:val="24"/>
              <w:szCs w:val="24"/>
            </w:rPr>
            <w:t>Journal of Manufacturing Technology Management</w:t>
          </w:r>
          <w:r w:rsidRPr="004A6265">
            <w:rPr>
              <w:rFonts w:ascii="Times New Roman" w:hAnsi="Times New Roman" w:cs="Times New Roman"/>
              <w:sz w:val="24"/>
              <w:szCs w:val="24"/>
            </w:rPr>
            <w:t>, 35(6), pp. 1125-1150. Available at: https://doi.org/10.1108/JMTM-09-2023-0431.</w:t>
          </w:r>
        </w:p>
        <w:p w14:paraId="718AD768"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lastRenderedPageBreak/>
            <w:t xml:space="preserve">Suresh, H. and Guttag, J. (2021) 'A Framework for Understanding Sources of Harm throughout the Machine Learning Life Cycle', </w:t>
          </w:r>
          <w:r w:rsidRPr="004A6265">
            <w:rPr>
              <w:rFonts w:ascii="Times New Roman" w:hAnsi="Times New Roman" w:cs="Times New Roman"/>
              <w:i/>
              <w:sz w:val="24"/>
              <w:szCs w:val="24"/>
            </w:rPr>
            <w:t>Equity and Access in Algorithms, Mechanisms, and Optimization</w:t>
          </w:r>
          <w:r w:rsidRPr="004A6265">
            <w:rPr>
              <w:rFonts w:ascii="Times New Roman" w:hAnsi="Times New Roman" w:cs="Times New Roman"/>
              <w:sz w:val="24"/>
              <w:szCs w:val="24"/>
            </w:rPr>
            <w:t>, pp. 1-9. Available at: https://doi.org/10.1145/3465416.3483305.</w:t>
          </w:r>
        </w:p>
        <w:p w14:paraId="7676B194"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Swaminathan, N. and Danks, D. (2024) 'Governing Ethical Gaps in Distributed AI Development', </w:t>
          </w:r>
          <w:r w:rsidRPr="004A6265">
            <w:rPr>
              <w:rFonts w:ascii="Times New Roman" w:hAnsi="Times New Roman" w:cs="Times New Roman"/>
              <w:i/>
              <w:sz w:val="24"/>
              <w:szCs w:val="24"/>
            </w:rPr>
            <w:t>Digital Society</w:t>
          </w:r>
          <w:r w:rsidRPr="004A6265">
            <w:rPr>
              <w:rFonts w:ascii="Times New Roman" w:hAnsi="Times New Roman" w:cs="Times New Roman"/>
              <w:sz w:val="24"/>
              <w:szCs w:val="24"/>
            </w:rPr>
            <w:t>, 3, article 7. Available at: https://doi.org/10.1007/s44206-024-00088-0.</w:t>
          </w:r>
        </w:p>
        <w:p w14:paraId="42878442"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Tabassi, E. (2023) </w:t>
          </w:r>
          <w:r w:rsidRPr="004A6265">
            <w:rPr>
              <w:rFonts w:ascii="Times New Roman" w:hAnsi="Times New Roman" w:cs="Times New Roman"/>
              <w:i/>
              <w:sz w:val="24"/>
              <w:szCs w:val="24"/>
            </w:rPr>
            <w:t>Artificial intelligence risk management framework (AI RMF 1.0)</w:t>
          </w:r>
          <w:r w:rsidRPr="004A6265">
            <w:rPr>
              <w:rFonts w:ascii="Times New Roman" w:hAnsi="Times New Roman" w:cs="Times New Roman"/>
              <w:sz w:val="24"/>
              <w:szCs w:val="24"/>
            </w:rPr>
            <w:t>. NIST AI 100-1. Available at: https://doi.org/10.6028/NIST.AI.100-1.</w:t>
          </w:r>
        </w:p>
        <w:p w14:paraId="63E9BDCD"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United Parcel Service (2026) </w:t>
          </w:r>
          <w:r w:rsidRPr="004A6265">
            <w:rPr>
              <w:rFonts w:ascii="Times New Roman" w:hAnsi="Times New Roman" w:cs="Times New Roman"/>
              <w:i/>
              <w:sz w:val="24"/>
              <w:szCs w:val="24"/>
            </w:rPr>
            <w:t>2025 annual report on Form 10-K</w:t>
          </w:r>
          <w:r w:rsidRPr="004A6265">
            <w:rPr>
              <w:rFonts w:ascii="Times New Roman" w:hAnsi="Times New Roman" w:cs="Times New Roman"/>
              <w:sz w:val="24"/>
              <w:szCs w:val="24"/>
            </w:rPr>
            <w:t>. Available at: https://investors.ups.com/sec-filings/all-sec-filings/content/0001628280-26-008432/ups-20251231.htm (Accessed: 1 September 2026).</w:t>
          </w:r>
        </w:p>
        <w:p w14:paraId="19235BE8" w14:textId="77777777" w:rsidR="004A6265" w:rsidRPr="004A6265" w:rsidRDefault="004A6265" w:rsidP="004A6265">
          <w:pPr>
            <w:keepLines/>
            <w:spacing w:line="480" w:lineRule="auto"/>
            <w:ind w:left="360" w:hanging="360"/>
            <w:rPr>
              <w:rFonts w:ascii="Times New Roman" w:hAnsi="Times New Roman" w:cs="Times New Roman"/>
              <w:sz w:val="24"/>
              <w:szCs w:val="24"/>
            </w:rPr>
          </w:pPr>
          <w:proofErr w:type="spellStart"/>
          <w:r w:rsidRPr="004A6265">
            <w:rPr>
              <w:rFonts w:ascii="Times New Roman" w:hAnsi="Times New Roman" w:cs="Times New Roman"/>
              <w:sz w:val="24"/>
              <w:szCs w:val="24"/>
            </w:rPr>
            <w:t>Urzí</w:t>
          </w:r>
          <w:proofErr w:type="spellEnd"/>
          <w:r w:rsidRPr="004A6265">
            <w:rPr>
              <w:rFonts w:ascii="Times New Roman" w:hAnsi="Times New Roman" w:cs="Times New Roman"/>
              <w:sz w:val="24"/>
              <w:szCs w:val="24"/>
            </w:rPr>
            <w:t xml:space="preserve"> Brancati, M.C. (2024) </w:t>
          </w:r>
          <w:r w:rsidRPr="004A6265">
            <w:rPr>
              <w:rFonts w:ascii="Times New Roman" w:hAnsi="Times New Roman" w:cs="Times New Roman"/>
              <w:i/>
              <w:sz w:val="24"/>
              <w:szCs w:val="24"/>
            </w:rPr>
            <w:t>Digital technologies at work and psychosocial risks: evidence and implications for occupational safety and health</w:t>
          </w:r>
          <w:r w:rsidRPr="004A6265">
            <w:rPr>
              <w:rFonts w:ascii="Times New Roman" w:hAnsi="Times New Roman" w:cs="Times New Roman"/>
              <w:sz w:val="24"/>
              <w:szCs w:val="24"/>
            </w:rPr>
            <w:t>. European Agency for Safety and Health at Work. Available at: https://healthy-workplaces.osha.europa.eu/sites/hwc/files/hwc/publication/Digitalisation-and-PSR_EN.pdf (Accessed: 8 October 2026).</w:t>
          </w:r>
        </w:p>
        <w:p w14:paraId="7C89A579" w14:textId="77777777" w:rsidR="004A6265" w:rsidRPr="004A6265" w:rsidRDefault="004A6265" w:rsidP="004A6265">
          <w:pPr>
            <w:keepLines/>
            <w:spacing w:line="480" w:lineRule="auto"/>
            <w:ind w:left="360" w:hanging="360"/>
            <w:rPr>
              <w:rFonts w:ascii="Times New Roman" w:hAnsi="Times New Roman" w:cs="Times New Roman"/>
              <w:sz w:val="24"/>
              <w:szCs w:val="24"/>
            </w:rPr>
          </w:pPr>
          <w:r w:rsidRPr="004A6265">
            <w:rPr>
              <w:rFonts w:ascii="Times New Roman" w:hAnsi="Times New Roman" w:cs="Times New Roman"/>
              <w:sz w:val="24"/>
              <w:szCs w:val="24"/>
            </w:rPr>
            <w:t xml:space="preserve">World Economic Forum (2026) </w:t>
          </w:r>
          <w:r w:rsidRPr="004A6265">
            <w:rPr>
              <w:rFonts w:ascii="Times New Roman" w:hAnsi="Times New Roman" w:cs="Times New Roman"/>
              <w:i/>
              <w:sz w:val="24"/>
              <w:szCs w:val="24"/>
            </w:rPr>
            <w:t>The global risks report 2026</w:t>
          </w:r>
          <w:r w:rsidRPr="004A6265">
            <w:rPr>
              <w:rFonts w:ascii="Times New Roman" w:hAnsi="Times New Roman" w:cs="Times New Roman"/>
              <w:sz w:val="24"/>
              <w:szCs w:val="24"/>
            </w:rPr>
            <w:t>. Available at: https://www.weforum.org/publications/global-risks-report-2026/ (Accessed: 20 July 2026).</w:t>
          </w:r>
        </w:p>
        <w:p w14:paraId="77D69E6F" w14:textId="77777777" w:rsidR="004A11F6" w:rsidRPr="004A6265" w:rsidRDefault="004A11F6" w:rsidP="007D1947"/>
        <w:p w14:paraId="7F890C1F" w14:textId="77777777" w:rsidR="00CA09F3" w:rsidRDefault="00000000">
          <w:pPr>
            <w:rPr>
              <w:lang w:eastAsia="zh-CN"/>
            </w:rPr>
          </w:pPr>
        </w:p>
      </w:sdtContent>
    </w:sdt>
    <w:p w14:paraId="41DD7CFF" w14:textId="77777777" w:rsidR="009A5136" w:rsidRDefault="009A5136">
      <w:pPr>
        <w:rPr>
          <w:lang w:eastAsia="zh-CN"/>
        </w:rPr>
      </w:pPr>
    </w:p>
    <w:p w14:paraId="0E12E170" w14:textId="77777777" w:rsidR="009A5136" w:rsidRDefault="009A5136">
      <w:pPr>
        <w:rPr>
          <w:lang w:eastAsia="zh-CN"/>
        </w:rPr>
      </w:pPr>
    </w:p>
    <w:p w14:paraId="3B47A5A3" w14:textId="620B5274" w:rsidR="009A5136" w:rsidRDefault="00366E29" w:rsidP="00366E29">
      <w:pPr>
        <w:pStyle w:val="1"/>
        <w:pageBreakBefore/>
        <w:spacing w:line="480" w:lineRule="auto"/>
      </w:pPr>
      <w:bookmarkStart w:id="24" w:name="_Toc242349813"/>
      <w:r>
        <w:rPr>
          <w:rFonts w:ascii="Times New Roman" w:hAnsi="Times New Roman" w:hint="eastAsia"/>
          <w:lang w:eastAsia="zh-CN"/>
        </w:rPr>
        <w:lastRenderedPageBreak/>
        <w:t>6.</w:t>
      </w:r>
      <w:r w:rsidR="009A5136">
        <w:rPr>
          <w:rFonts w:ascii="Times New Roman" w:hAnsi="Times New Roman"/>
        </w:rPr>
        <w:t>Appendices</w:t>
      </w:r>
      <w:bookmarkEnd w:id="24"/>
    </w:p>
    <w:p w14:paraId="4B78992E" w14:textId="77777777" w:rsidR="004A6265" w:rsidRPr="004A6265" w:rsidRDefault="004A6265" w:rsidP="004A6265">
      <w:pPr>
        <w:pStyle w:val="2"/>
        <w:spacing w:line="480" w:lineRule="auto"/>
        <w:rPr>
          <w:rFonts w:ascii="Times New Roman" w:hAnsi="Times New Roman" w:cs="Times New Roman"/>
          <w:sz w:val="24"/>
          <w:szCs w:val="24"/>
        </w:rPr>
      </w:pPr>
      <w:bookmarkStart w:id="25" w:name="_Toc242349814"/>
      <w:r w:rsidRPr="004A6265">
        <w:rPr>
          <w:rFonts w:ascii="Times New Roman" w:eastAsia="Times New Roman" w:hAnsi="Times New Roman" w:cs="Times New Roman"/>
          <w:sz w:val="24"/>
          <w:szCs w:val="24"/>
        </w:rPr>
        <w:t>Appendix A: Evidence Base Summary</w:t>
      </w:r>
      <w:bookmarkEnd w:id="25"/>
    </w:p>
    <w:tbl>
      <w:tblPr>
        <w:tblStyle w:val="a6"/>
        <w:tblW w:w="9028" w:type="dxa"/>
        <w:jc w:val="center"/>
        <w:tblLayout w:type="fixed"/>
        <w:tblLook w:val="04A0" w:firstRow="1" w:lastRow="0" w:firstColumn="1" w:lastColumn="0" w:noHBand="0" w:noVBand="1"/>
      </w:tblPr>
      <w:tblGrid>
        <w:gridCol w:w="2778"/>
        <w:gridCol w:w="6250"/>
      </w:tblGrid>
      <w:tr w:rsidR="004A6265" w:rsidRPr="004A6265" w14:paraId="4C2E88ED" w14:textId="77777777" w:rsidTr="00CA3F13">
        <w:trPr>
          <w:cantSplit/>
          <w:tblHeader/>
          <w:jc w:val="center"/>
        </w:trPr>
        <w:tc>
          <w:tcPr>
            <w:tcW w:w="2778" w:type="dxa"/>
            <w:tcMar>
              <w:top w:w="80" w:type="dxa"/>
              <w:left w:w="100" w:type="dxa"/>
              <w:bottom w:w="80" w:type="dxa"/>
              <w:right w:w="100" w:type="dxa"/>
            </w:tcMar>
            <w:vAlign w:val="center"/>
          </w:tcPr>
          <w:p w14:paraId="6C995F03"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Evidence</w:t>
            </w:r>
          </w:p>
        </w:tc>
        <w:tc>
          <w:tcPr>
            <w:tcW w:w="6250" w:type="dxa"/>
            <w:tcMar>
              <w:top w:w="80" w:type="dxa"/>
              <w:left w:w="100" w:type="dxa"/>
              <w:bottom w:w="80" w:type="dxa"/>
              <w:right w:w="100" w:type="dxa"/>
            </w:tcMar>
            <w:vAlign w:val="center"/>
          </w:tcPr>
          <w:p w14:paraId="52DEE61B"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Relevance to AI risk management</w:t>
            </w:r>
          </w:p>
        </w:tc>
      </w:tr>
      <w:tr w:rsidR="004A6265" w:rsidRPr="004A6265" w14:paraId="5FEA276D" w14:textId="77777777" w:rsidTr="00CA3F13">
        <w:trPr>
          <w:cantSplit/>
          <w:jc w:val="center"/>
        </w:trPr>
        <w:tc>
          <w:tcPr>
            <w:tcW w:w="2778" w:type="dxa"/>
            <w:tcMar>
              <w:top w:w="80" w:type="dxa"/>
              <w:left w:w="100" w:type="dxa"/>
              <w:bottom w:w="80" w:type="dxa"/>
              <w:right w:w="100" w:type="dxa"/>
            </w:tcMar>
            <w:vAlign w:val="center"/>
          </w:tcPr>
          <w:p w14:paraId="3047D440"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EUR 82.855bn revenue in 2025</w:t>
            </w:r>
          </w:p>
        </w:tc>
        <w:tc>
          <w:tcPr>
            <w:tcW w:w="6250" w:type="dxa"/>
            <w:tcMar>
              <w:top w:w="80" w:type="dxa"/>
              <w:left w:w="100" w:type="dxa"/>
              <w:bottom w:w="80" w:type="dxa"/>
              <w:right w:w="100" w:type="dxa"/>
            </w:tcMar>
            <w:vAlign w:val="center"/>
          </w:tcPr>
          <w:p w14:paraId="4EA6612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Revenue indicates investment capacity, not AI risk. Exposure depends on whether a shared tool affects consequential decisions across sites; test reach, error frequency and correction.</w:t>
            </w:r>
          </w:p>
        </w:tc>
      </w:tr>
      <w:tr w:rsidR="004A6265" w:rsidRPr="004A6265" w14:paraId="42965F53" w14:textId="77777777" w:rsidTr="00CA3F13">
        <w:trPr>
          <w:cantSplit/>
          <w:jc w:val="center"/>
        </w:trPr>
        <w:tc>
          <w:tcPr>
            <w:tcW w:w="2778" w:type="dxa"/>
            <w:tcMar>
              <w:top w:w="80" w:type="dxa"/>
              <w:left w:w="100" w:type="dxa"/>
              <w:bottom w:w="80" w:type="dxa"/>
              <w:right w:w="100" w:type="dxa"/>
            </w:tcMar>
            <w:vAlign w:val="center"/>
          </w:tcPr>
          <w:p w14:paraId="34F7700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Strategy 2030: Digital by Default</w:t>
            </w:r>
          </w:p>
        </w:tc>
        <w:tc>
          <w:tcPr>
            <w:tcW w:w="6250" w:type="dxa"/>
            <w:tcMar>
              <w:top w:w="80" w:type="dxa"/>
              <w:left w:w="100" w:type="dxa"/>
              <w:bottom w:w="80" w:type="dxa"/>
              <w:right w:w="100" w:type="dxa"/>
            </w:tcMar>
            <w:vAlign w:val="center"/>
          </w:tcPr>
          <w:p w14:paraId="1391271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AI is strategic, not peripheral; risk management should sit within corporate governance and enterprise risk management.</w:t>
            </w:r>
          </w:p>
        </w:tc>
      </w:tr>
      <w:tr w:rsidR="004A6265" w:rsidRPr="004A6265" w14:paraId="67F033BF" w14:textId="77777777" w:rsidTr="00CA3F13">
        <w:trPr>
          <w:cantSplit/>
          <w:jc w:val="center"/>
        </w:trPr>
        <w:tc>
          <w:tcPr>
            <w:tcW w:w="2778" w:type="dxa"/>
            <w:tcMar>
              <w:top w:w="80" w:type="dxa"/>
              <w:left w:w="100" w:type="dxa"/>
              <w:bottom w:w="80" w:type="dxa"/>
              <w:right w:w="100" w:type="dxa"/>
            </w:tcMar>
            <w:vAlign w:val="center"/>
          </w:tcPr>
          <w:p w14:paraId="1DD3BA30"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Agentic AI for communications and customer experience</w:t>
            </w:r>
          </w:p>
        </w:tc>
        <w:tc>
          <w:tcPr>
            <w:tcW w:w="6250" w:type="dxa"/>
            <w:tcMar>
              <w:top w:w="80" w:type="dxa"/>
              <w:left w:w="100" w:type="dxa"/>
              <w:bottom w:w="80" w:type="dxa"/>
              <w:right w:w="100" w:type="dxa"/>
            </w:tcMar>
            <w:vAlign w:val="center"/>
          </w:tcPr>
          <w:p w14:paraId="5E9A7E6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Scheduling, driver follow-up and warehouse coordination show operational use; DHL reports lower manual effort, but booking accuracy and escalation still need testing.</w:t>
            </w:r>
          </w:p>
        </w:tc>
      </w:tr>
      <w:tr w:rsidR="004A6265" w:rsidRPr="004A6265" w14:paraId="5B5BAAA3" w14:textId="77777777" w:rsidTr="00CA3F13">
        <w:trPr>
          <w:cantSplit/>
          <w:jc w:val="center"/>
        </w:trPr>
        <w:tc>
          <w:tcPr>
            <w:tcW w:w="2778" w:type="dxa"/>
            <w:tcMar>
              <w:top w:w="80" w:type="dxa"/>
              <w:left w:w="100" w:type="dxa"/>
              <w:bottom w:w="80" w:type="dxa"/>
              <w:right w:w="100" w:type="dxa"/>
            </w:tcMar>
            <w:vAlign w:val="center"/>
          </w:tcPr>
          <w:p w14:paraId="04FE09A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Plan for 1,000+ additional units; 7,500+ robots in use; 800,000 networked sensors</w:t>
            </w:r>
          </w:p>
        </w:tc>
        <w:tc>
          <w:tcPr>
            <w:tcW w:w="6250" w:type="dxa"/>
            <w:tcMar>
              <w:top w:w="80" w:type="dxa"/>
              <w:left w:w="100" w:type="dxa"/>
              <w:bottom w:w="80" w:type="dxa"/>
              <w:right w:w="100" w:type="dxa"/>
            </w:tcMar>
            <w:vAlign w:val="center"/>
          </w:tcPr>
          <w:p w14:paraId="20C5B273"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Stretch is used for container unloading, while future units may have other uses. Digital scale makes supplier changes, safe handling and continuity relevant; counts alone do not measure risk.</w:t>
            </w:r>
          </w:p>
        </w:tc>
      </w:tr>
      <w:tr w:rsidR="004A6265" w:rsidRPr="004A6265" w14:paraId="086DB0EA" w14:textId="77777777" w:rsidTr="00CA3F13">
        <w:trPr>
          <w:cantSplit/>
          <w:jc w:val="center"/>
        </w:trPr>
        <w:tc>
          <w:tcPr>
            <w:tcW w:w="2778" w:type="dxa"/>
            <w:tcMar>
              <w:top w:w="80" w:type="dxa"/>
              <w:left w:w="100" w:type="dxa"/>
              <w:bottom w:w="80" w:type="dxa"/>
              <w:right w:w="100" w:type="dxa"/>
            </w:tcMar>
            <w:vAlign w:val="center"/>
          </w:tcPr>
          <w:p w14:paraId="66AE064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UK and EU operations</w:t>
            </w:r>
          </w:p>
        </w:tc>
        <w:tc>
          <w:tcPr>
            <w:tcW w:w="6250" w:type="dxa"/>
            <w:tcMar>
              <w:top w:w="80" w:type="dxa"/>
              <w:left w:w="100" w:type="dxa"/>
              <w:bottom w:w="80" w:type="dxa"/>
              <w:right w:w="100" w:type="dxa"/>
            </w:tcMar>
            <w:vAlign w:val="center"/>
          </w:tcPr>
          <w:p w14:paraId="3D33D48B"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DHL must manage regulatory divergence between UK sector-led AI governance and the EU AI Act/GDPR model.</w:t>
            </w:r>
          </w:p>
        </w:tc>
      </w:tr>
    </w:tbl>
    <w:p w14:paraId="7328C15E" w14:textId="77777777" w:rsidR="004A6265" w:rsidRPr="004A6265" w:rsidRDefault="004A6265" w:rsidP="004A6265">
      <w:pPr>
        <w:pStyle w:val="2"/>
        <w:spacing w:line="480" w:lineRule="auto"/>
        <w:rPr>
          <w:rFonts w:ascii="Times New Roman" w:hAnsi="Times New Roman" w:cs="Times New Roman"/>
          <w:sz w:val="24"/>
          <w:szCs w:val="24"/>
        </w:rPr>
      </w:pPr>
      <w:bookmarkStart w:id="26" w:name="_Toc242349815"/>
      <w:r w:rsidRPr="004A6265">
        <w:rPr>
          <w:rFonts w:ascii="Times New Roman" w:eastAsia="Times New Roman" w:hAnsi="Times New Roman" w:cs="Times New Roman"/>
          <w:sz w:val="24"/>
          <w:szCs w:val="24"/>
        </w:rPr>
        <w:lastRenderedPageBreak/>
        <w:t>Appendix B: UK and EU PESTLE Summary Table</w:t>
      </w:r>
      <w:bookmarkEnd w:id="26"/>
    </w:p>
    <w:tbl>
      <w:tblPr>
        <w:tblStyle w:val="a6"/>
        <w:tblW w:w="9027" w:type="dxa"/>
        <w:jc w:val="center"/>
        <w:tblLayout w:type="fixed"/>
        <w:tblLook w:val="04A0" w:firstRow="1" w:lastRow="0" w:firstColumn="1" w:lastColumn="0" w:noHBand="0" w:noVBand="1"/>
      </w:tblPr>
      <w:tblGrid>
        <w:gridCol w:w="1875"/>
        <w:gridCol w:w="3680"/>
        <w:gridCol w:w="3472"/>
      </w:tblGrid>
      <w:tr w:rsidR="004A6265" w:rsidRPr="004A6265" w14:paraId="66C11F58" w14:textId="77777777" w:rsidTr="00CA3F13">
        <w:trPr>
          <w:cantSplit/>
          <w:tblHeader/>
          <w:jc w:val="center"/>
        </w:trPr>
        <w:tc>
          <w:tcPr>
            <w:tcW w:w="1875" w:type="dxa"/>
            <w:tcMar>
              <w:top w:w="80" w:type="dxa"/>
              <w:left w:w="100" w:type="dxa"/>
              <w:bottom w:w="80" w:type="dxa"/>
              <w:right w:w="100" w:type="dxa"/>
            </w:tcMar>
            <w:vAlign w:val="center"/>
          </w:tcPr>
          <w:p w14:paraId="7D8F3479"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PESTLE factor</w:t>
            </w:r>
          </w:p>
        </w:tc>
        <w:tc>
          <w:tcPr>
            <w:tcW w:w="3680" w:type="dxa"/>
            <w:tcMar>
              <w:top w:w="80" w:type="dxa"/>
              <w:left w:w="100" w:type="dxa"/>
              <w:bottom w:w="80" w:type="dxa"/>
              <w:right w:w="100" w:type="dxa"/>
            </w:tcMar>
            <w:vAlign w:val="center"/>
          </w:tcPr>
          <w:p w14:paraId="79DCF36D"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Pressure on DHL</w:t>
            </w:r>
          </w:p>
        </w:tc>
        <w:tc>
          <w:tcPr>
            <w:tcW w:w="3472" w:type="dxa"/>
            <w:tcMar>
              <w:top w:w="80" w:type="dxa"/>
              <w:left w:w="100" w:type="dxa"/>
              <w:bottom w:w="80" w:type="dxa"/>
              <w:right w:w="100" w:type="dxa"/>
            </w:tcMar>
            <w:vAlign w:val="center"/>
          </w:tcPr>
          <w:p w14:paraId="2C7384F9"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Strategic implication</w:t>
            </w:r>
          </w:p>
        </w:tc>
      </w:tr>
      <w:tr w:rsidR="004A6265" w:rsidRPr="004A6265" w14:paraId="237A65EA" w14:textId="77777777" w:rsidTr="00CA3F13">
        <w:trPr>
          <w:cantSplit/>
          <w:jc w:val="center"/>
        </w:trPr>
        <w:tc>
          <w:tcPr>
            <w:tcW w:w="1875" w:type="dxa"/>
            <w:tcMar>
              <w:top w:w="80" w:type="dxa"/>
              <w:left w:w="100" w:type="dxa"/>
              <w:bottom w:w="80" w:type="dxa"/>
              <w:right w:w="100" w:type="dxa"/>
            </w:tcMar>
            <w:vAlign w:val="center"/>
          </w:tcPr>
          <w:p w14:paraId="19DC5979"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sz w:val="24"/>
                <w:szCs w:val="24"/>
              </w:rPr>
              <w:t>Political</w:t>
            </w:r>
          </w:p>
        </w:tc>
        <w:tc>
          <w:tcPr>
            <w:tcW w:w="3680" w:type="dxa"/>
            <w:tcMar>
              <w:top w:w="80" w:type="dxa"/>
              <w:left w:w="100" w:type="dxa"/>
              <w:bottom w:w="80" w:type="dxa"/>
              <w:right w:w="100" w:type="dxa"/>
            </w:tcMar>
            <w:vAlign w:val="center"/>
          </w:tcPr>
          <w:p w14:paraId="35613D0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sz w:val="24"/>
                <w:szCs w:val="24"/>
              </w:rPr>
              <w:t>UK pro-innovation policy, EU digital sovereignty, regulatory sandboxes and cross-border governance divergence.</w:t>
            </w:r>
          </w:p>
        </w:tc>
        <w:tc>
          <w:tcPr>
            <w:tcW w:w="3472" w:type="dxa"/>
            <w:tcMar>
              <w:top w:w="80" w:type="dxa"/>
              <w:left w:w="100" w:type="dxa"/>
              <w:bottom w:w="80" w:type="dxa"/>
              <w:right w:w="100" w:type="dxa"/>
            </w:tcMar>
            <w:vAlign w:val="center"/>
          </w:tcPr>
          <w:p w14:paraId="6E6E95E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Keep common failure controls across markets, with local legal checks where duties differ.</w:t>
            </w:r>
          </w:p>
        </w:tc>
      </w:tr>
      <w:tr w:rsidR="004A6265" w:rsidRPr="004A6265" w14:paraId="13DBD399" w14:textId="77777777" w:rsidTr="00CA3F13">
        <w:trPr>
          <w:cantSplit/>
          <w:jc w:val="center"/>
        </w:trPr>
        <w:tc>
          <w:tcPr>
            <w:tcW w:w="1875" w:type="dxa"/>
            <w:tcMar>
              <w:top w:w="80" w:type="dxa"/>
              <w:left w:w="100" w:type="dxa"/>
              <w:bottom w:w="80" w:type="dxa"/>
              <w:right w:w="100" w:type="dxa"/>
            </w:tcMar>
            <w:vAlign w:val="center"/>
          </w:tcPr>
          <w:p w14:paraId="29A47A21"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Economic</w:t>
            </w:r>
          </w:p>
        </w:tc>
        <w:tc>
          <w:tcPr>
            <w:tcW w:w="3680" w:type="dxa"/>
            <w:tcMar>
              <w:top w:w="80" w:type="dxa"/>
              <w:left w:w="100" w:type="dxa"/>
              <w:bottom w:w="80" w:type="dxa"/>
              <w:right w:w="100" w:type="dxa"/>
            </w:tcMar>
            <w:vAlign w:val="center"/>
          </w:tcPr>
          <w:p w14:paraId="25EE1FB4" w14:textId="77777777" w:rsidR="004A6265" w:rsidRPr="004A6265" w:rsidRDefault="004A6265" w:rsidP="004A6265">
            <w:pPr>
              <w:spacing w:line="480" w:lineRule="auto"/>
              <w:jc w:val="both"/>
              <w:rPr>
                <w:rFonts w:ascii="Times New Roman" w:hAnsi="Times New Roman" w:cs="Times New Roman"/>
                <w:sz w:val="24"/>
                <w:szCs w:val="24"/>
              </w:rPr>
            </w:pPr>
            <w:r w:rsidRPr="004A6265">
              <w:rPr>
                <w:rFonts w:ascii="Times New Roman" w:hAnsi="Times New Roman" w:cs="Times New Roman"/>
                <w:sz w:val="24"/>
                <w:szCs w:val="24"/>
              </w:rPr>
              <w:t xml:space="preserve">Inflation, </w:t>
            </w:r>
            <w:proofErr w:type="spellStart"/>
            <w:r w:rsidRPr="004A6265">
              <w:rPr>
                <w:rFonts w:ascii="Times New Roman" w:hAnsi="Times New Roman" w:cs="Times New Roman"/>
                <w:sz w:val="24"/>
                <w:szCs w:val="24"/>
              </w:rPr>
              <w:t>labour</w:t>
            </w:r>
            <w:proofErr w:type="spellEnd"/>
            <w:r w:rsidRPr="004A6265">
              <w:rPr>
                <w:rFonts w:ascii="Times New Roman" w:hAnsi="Times New Roman" w:cs="Times New Roman"/>
                <w:sz w:val="24"/>
                <w:szCs w:val="24"/>
              </w:rPr>
              <w:t xml:space="preserve"> costs, trade and route-volume volatility; rate changes may alter the investment hurdle but do not measure DHL outcomes.</w:t>
            </w:r>
          </w:p>
        </w:tc>
        <w:tc>
          <w:tcPr>
            <w:tcW w:w="3472" w:type="dxa"/>
            <w:tcMar>
              <w:top w:w="80" w:type="dxa"/>
              <w:left w:w="100" w:type="dxa"/>
              <w:bottom w:w="80" w:type="dxa"/>
              <w:right w:w="100" w:type="dxa"/>
            </w:tcMar>
            <w:vAlign w:val="center"/>
          </w:tcPr>
          <w:p w14:paraId="3B42FC7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sz w:val="24"/>
                <w:szCs w:val="24"/>
              </w:rPr>
              <w:t>Scale AI where value is measurable, but fund assurance as part of the business case.</w:t>
            </w:r>
          </w:p>
        </w:tc>
      </w:tr>
      <w:tr w:rsidR="004A6265" w:rsidRPr="004A6265" w14:paraId="4C7AF5CF" w14:textId="77777777" w:rsidTr="00CA3F13">
        <w:trPr>
          <w:cantSplit/>
          <w:jc w:val="center"/>
        </w:trPr>
        <w:tc>
          <w:tcPr>
            <w:tcW w:w="1875" w:type="dxa"/>
            <w:tcMar>
              <w:top w:w="80" w:type="dxa"/>
              <w:left w:w="100" w:type="dxa"/>
              <w:bottom w:w="80" w:type="dxa"/>
              <w:right w:w="100" w:type="dxa"/>
            </w:tcMar>
            <w:vAlign w:val="center"/>
          </w:tcPr>
          <w:p w14:paraId="735145C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Social</w:t>
            </w:r>
          </w:p>
        </w:tc>
        <w:tc>
          <w:tcPr>
            <w:tcW w:w="3680" w:type="dxa"/>
            <w:tcMar>
              <w:top w:w="80" w:type="dxa"/>
              <w:left w:w="100" w:type="dxa"/>
              <w:bottom w:w="80" w:type="dxa"/>
              <w:right w:w="100" w:type="dxa"/>
            </w:tcMar>
            <w:vAlign w:val="center"/>
          </w:tcPr>
          <w:p w14:paraId="0FEFFD01"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Trust, privacy, employee fairness, explainability and resistance to surveillance.</w:t>
            </w:r>
          </w:p>
        </w:tc>
        <w:tc>
          <w:tcPr>
            <w:tcW w:w="3472" w:type="dxa"/>
            <w:tcMar>
              <w:top w:w="80" w:type="dxa"/>
              <w:left w:w="100" w:type="dxa"/>
              <w:bottom w:w="80" w:type="dxa"/>
              <w:right w:w="100" w:type="dxa"/>
            </w:tcMar>
            <w:vAlign w:val="center"/>
          </w:tcPr>
          <w:p w14:paraId="04C9CAE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Use transparency, human escalation and workforce engagement as governance controls.</w:t>
            </w:r>
          </w:p>
        </w:tc>
      </w:tr>
      <w:tr w:rsidR="004A6265" w:rsidRPr="004A6265" w14:paraId="078173F2" w14:textId="77777777" w:rsidTr="00CA3F13">
        <w:trPr>
          <w:cantSplit/>
          <w:jc w:val="center"/>
        </w:trPr>
        <w:tc>
          <w:tcPr>
            <w:tcW w:w="1875" w:type="dxa"/>
            <w:tcMar>
              <w:top w:w="80" w:type="dxa"/>
              <w:left w:w="100" w:type="dxa"/>
              <w:bottom w:w="80" w:type="dxa"/>
              <w:right w:w="100" w:type="dxa"/>
            </w:tcMar>
            <w:vAlign w:val="center"/>
          </w:tcPr>
          <w:p w14:paraId="2434EEE0"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Technological</w:t>
            </w:r>
          </w:p>
        </w:tc>
        <w:tc>
          <w:tcPr>
            <w:tcW w:w="3680" w:type="dxa"/>
            <w:tcMar>
              <w:top w:w="80" w:type="dxa"/>
              <w:left w:w="100" w:type="dxa"/>
              <w:bottom w:w="80" w:type="dxa"/>
              <w:right w:w="100" w:type="dxa"/>
            </w:tcMar>
            <w:vAlign w:val="center"/>
          </w:tcPr>
          <w:p w14:paraId="1DBCD7B3"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Agentic AI, robotics, IoT, model updates, cyber and vendor dependence.</w:t>
            </w:r>
          </w:p>
        </w:tc>
        <w:tc>
          <w:tcPr>
            <w:tcW w:w="3472" w:type="dxa"/>
            <w:tcMar>
              <w:top w:w="80" w:type="dxa"/>
              <w:left w:w="100" w:type="dxa"/>
              <w:bottom w:w="80" w:type="dxa"/>
              <w:right w:w="100" w:type="dxa"/>
            </w:tcMar>
            <w:vAlign w:val="center"/>
          </w:tcPr>
          <w:p w14:paraId="70ABBD13"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Inventory AI systems; classify risk; monitor change releases and model performance.</w:t>
            </w:r>
          </w:p>
        </w:tc>
      </w:tr>
      <w:tr w:rsidR="004A6265" w:rsidRPr="004A6265" w14:paraId="50896300" w14:textId="77777777" w:rsidTr="00CA3F13">
        <w:trPr>
          <w:cantSplit/>
          <w:jc w:val="center"/>
        </w:trPr>
        <w:tc>
          <w:tcPr>
            <w:tcW w:w="1875" w:type="dxa"/>
            <w:tcMar>
              <w:top w:w="80" w:type="dxa"/>
              <w:left w:w="100" w:type="dxa"/>
              <w:bottom w:w="80" w:type="dxa"/>
              <w:right w:w="100" w:type="dxa"/>
            </w:tcMar>
            <w:vAlign w:val="center"/>
          </w:tcPr>
          <w:p w14:paraId="0C49CFE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Legal</w:t>
            </w:r>
          </w:p>
        </w:tc>
        <w:tc>
          <w:tcPr>
            <w:tcW w:w="3680" w:type="dxa"/>
            <w:tcMar>
              <w:top w:w="80" w:type="dxa"/>
              <w:left w:w="100" w:type="dxa"/>
              <w:bottom w:w="80" w:type="dxa"/>
              <w:right w:w="100" w:type="dxa"/>
            </w:tcMar>
            <w:vAlign w:val="center"/>
          </w:tcPr>
          <w:p w14:paraId="06BA75B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GDPR/UK GDPR, EU AI Act duties, customer rights and potential litigation.</w:t>
            </w:r>
          </w:p>
        </w:tc>
        <w:tc>
          <w:tcPr>
            <w:tcW w:w="3472" w:type="dxa"/>
            <w:tcMar>
              <w:top w:w="80" w:type="dxa"/>
              <w:left w:w="100" w:type="dxa"/>
              <w:bottom w:w="80" w:type="dxa"/>
              <w:right w:w="100" w:type="dxa"/>
            </w:tcMar>
            <w:vAlign w:val="center"/>
          </w:tcPr>
          <w:p w14:paraId="3A43A7C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Use DPIA and AI impact assessment gates before high-impact deployment.</w:t>
            </w:r>
          </w:p>
        </w:tc>
      </w:tr>
      <w:tr w:rsidR="004A6265" w:rsidRPr="004A6265" w14:paraId="7011B79D" w14:textId="77777777" w:rsidTr="00CA3F13">
        <w:trPr>
          <w:cantSplit/>
          <w:jc w:val="center"/>
        </w:trPr>
        <w:tc>
          <w:tcPr>
            <w:tcW w:w="1875" w:type="dxa"/>
            <w:tcMar>
              <w:top w:w="80" w:type="dxa"/>
              <w:left w:w="100" w:type="dxa"/>
              <w:bottom w:w="80" w:type="dxa"/>
              <w:right w:w="100" w:type="dxa"/>
            </w:tcMar>
            <w:vAlign w:val="center"/>
          </w:tcPr>
          <w:p w14:paraId="41A7D6A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lastRenderedPageBreak/>
              <w:t>Environmental</w:t>
            </w:r>
          </w:p>
        </w:tc>
        <w:tc>
          <w:tcPr>
            <w:tcW w:w="3680" w:type="dxa"/>
            <w:tcMar>
              <w:top w:w="80" w:type="dxa"/>
              <w:left w:w="100" w:type="dxa"/>
              <w:bottom w:w="80" w:type="dxa"/>
              <w:right w:w="100" w:type="dxa"/>
            </w:tcMar>
            <w:vAlign w:val="center"/>
          </w:tcPr>
          <w:p w14:paraId="5EE3CFB0"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Demand for lower-carbon logistics and credible sustainability claims.</w:t>
            </w:r>
          </w:p>
        </w:tc>
        <w:tc>
          <w:tcPr>
            <w:tcW w:w="3472" w:type="dxa"/>
            <w:tcMar>
              <w:top w:w="80" w:type="dxa"/>
              <w:left w:w="100" w:type="dxa"/>
              <w:bottom w:w="80" w:type="dxa"/>
              <w:right w:w="100" w:type="dxa"/>
            </w:tcMar>
            <w:vAlign w:val="center"/>
          </w:tcPr>
          <w:p w14:paraId="64A38427"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Test net emissions effects where claimed, alongside safety, service and energy use.</w:t>
            </w:r>
          </w:p>
        </w:tc>
      </w:tr>
    </w:tbl>
    <w:p w14:paraId="72BDEE01" w14:textId="77777777" w:rsidR="004A6265" w:rsidRPr="004A6265" w:rsidRDefault="004A6265" w:rsidP="004A6265">
      <w:pPr>
        <w:pStyle w:val="2"/>
        <w:spacing w:line="480" w:lineRule="auto"/>
        <w:rPr>
          <w:rFonts w:ascii="Times New Roman" w:hAnsi="Times New Roman" w:cs="Times New Roman"/>
          <w:sz w:val="24"/>
          <w:szCs w:val="24"/>
        </w:rPr>
      </w:pPr>
      <w:bookmarkStart w:id="27" w:name="_Toc242349816"/>
      <w:r w:rsidRPr="004A6265">
        <w:rPr>
          <w:rFonts w:ascii="Times New Roman" w:eastAsia="Times New Roman" w:hAnsi="Times New Roman" w:cs="Times New Roman"/>
          <w:sz w:val="24"/>
          <w:szCs w:val="24"/>
        </w:rPr>
        <w:t>Appendix C: DHL AI Use-Case Risk Map</w:t>
      </w:r>
      <w:bookmarkEnd w:id="27"/>
    </w:p>
    <w:tbl>
      <w:tblPr>
        <w:tblStyle w:val="a6"/>
        <w:tblW w:w="9028" w:type="dxa"/>
        <w:jc w:val="center"/>
        <w:tblLayout w:type="fixed"/>
        <w:tblLook w:val="04A0" w:firstRow="1" w:lastRow="0" w:firstColumn="1" w:lastColumn="0" w:noHBand="0" w:noVBand="1"/>
      </w:tblPr>
      <w:tblGrid>
        <w:gridCol w:w="1875"/>
        <w:gridCol w:w="2778"/>
        <w:gridCol w:w="2153"/>
        <w:gridCol w:w="2222"/>
      </w:tblGrid>
      <w:tr w:rsidR="004A6265" w:rsidRPr="004A6265" w14:paraId="3FB7D433" w14:textId="77777777" w:rsidTr="00CA3F13">
        <w:trPr>
          <w:cantSplit/>
          <w:tblHeader/>
          <w:jc w:val="center"/>
        </w:trPr>
        <w:tc>
          <w:tcPr>
            <w:tcW w:w="1875" w:type="dxa"/>
            <w:tcMar>
              <w:top w:w="80" w:type="dxa"/>
              <w:left w:w="100" w:type="dxa"/>
              <w:bottom w:w="80" w:type="dxa"/>
              <w:right w:w="100" w:type="dxa"/>
            </w:tcMar>
            <w:vAlign w:val="center"/>
          </w:tcPr>
          <w:p w14:paraId="7B6092D2"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hAnsi="Times New Roman" w:cs="Times New Roman"/>
                <w:sz w:val="24"/>
                <w:szCs w:val="24"/>
              </w:rPr>
              <w:t>DHL use case or illustrative assessment scenario</w:t>
            </w:r>
          </w:p>
        </w:tc>
        <w:tc>
          <w:tcPr>
            <w:tcW w:w="2778" w:type="dxa"/>
            <w:tcMar>
              <w:top w:w="80" w:type="dxa"/>
              <w:left w:w="100" w:type="dxa"/>
              <w:bottom w:w="80" w:type="dxa"/>
              <w:right w:w="100" w:type="dxa"/>
            </w:tcMar>
            <w:vAlign w:val="center"/>
          </w:tcPr>
          <w:p w14:paraId="42ED893C"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Risk trigger</w:t>
            </w:r>
          </w:p>
        </w:tc>
        <w:tc>
          <w:tcPr>
            <w:tcW w:w="2153" w:type="dxa"/>
            <w:tcMar>
              <w:top w:w="80" w:type="dxa"/>
              <w:left w:w="100" w:type="dxa"/>
              <w:bottom w:w="80" w:type="dxa"/>
              <w:right w:w="100" w:type="dxa"/>
            </w:tcMar>
            <w:vAlign w:val="center"/>
          </w:tcPr>
          <w:p w14:paraId="2DB6A1E2"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UK/EU relevance</w:t>
            </w:r>
          </w:p>
        </w:tc>
        <w:tc>
          <w:tcPr>
            <w:tcW w:w="2222" w:type="dxa"/>
            <w:tcMar>
              <w:top w:w="80" w:type="dxa"/>
              <w:left w:w="100" w:type="dxa"/>
              <w:bottom w:w="80" w:type="dxa"/>
              <w:right w:w="100" w:type="dxa"/>
            </w:tcMar>
            <w:vAlign w:val="center"/>
          </w:tcPr>
          <w:p w14:paraId="526D21D5"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Control and residual owner</w:t>
            </w:r>
          </w:p>
        </w:tc>
      </w:tr>
      <w:tr w:rsidR="004A6265" w:rsidRPr="004A6265" w14:paraId="670A9C78" w14:textId="77777777" w:rsidTr="00CA3F13">
        <w:trPr>
          <w:cantSplit/>
          <w:jc w:val="center"/>
        </w:trPr>
        <w:tc>
          <w:tcPr>
            <w:tcW w:w="1875" w:type="dxa"/>
            <w:tcMar>
              <w:top w:w="80" w:type="dxa"/>
              <w:left w:w="100" w:type="dxa"/>
              <w:bottom w:w="80" w:type="dxa"/>
              <w:right w:w="100" w:type="dxa"/>
            </w:tcMar>
            <w:vAlign w:val="center"/>
          </w:tcPr>
          <w:p w14:paraId="0A5490FB"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Customer-service AI agents</w:t>
            </w:r>
          </w:p>
        </w:tc>
        <w:tc>
          <w:tcPr>
            <w:tcW w:w="2778" w:type="dxa"/>
            <w:tcMar>
              <w:top w:w="80" w:type="dxa"/>
              <w:left w:w="100" w:type="dxa"/>
              <w:bottom w:w="80" w:type="dxa"/>
              <w:right w:w="100" w:type="dxa"/>
            </w:tcMar>
            <w:vAlign w:val="center"/>
          </w:tcPr>
          <w:p w14:paraId="694AA899"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Stale tracking or customs data could generate inaccurate delivery promises and poor escalation decisions.</w:t>
            </w:r>
          </w:p>
        </w:tc>
        <w:tc>
          <w:tcPr>
            <w:tcW w:w="2153" w:type="dxa"/>
            <w:tcMar>
              <w:top w:w="80" w:type="dxa"/>
              <w:left w:w="100" w:type="dxa"/>
              <w:bottom w:w="80" w:type="dxa"/>
              <w:right w:w="100" w:type="dxa"/>
            </w:tcMar>
            <w:vAlign w:val="center"/>
          </w:tcPr>
          <w:p w14:paraId="7032F75B"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GDPR/UK GDPR accuracy, transparency and individual rights; EU AI Act transparency for AI interaction.</w:t>
            </w:r>
          </w:p>
        </w:tc>
        <w:tc>
          <w:tcPr>
            <w:tcW w:w="2222" w:type="dxa"/>
            <w:tcMar>
              <w:top w:w="80" w:type="dxa"/>
              <w:left w:w="100" w:type="dxa"/>
              <w:bottom w:w="80" w:type="dxa"/>
              <w:right w:w="100" w:type="dxa"/>
            </w:tcMar>
            <w:vAlign w:val="center"/>
          </w:tcPr>
          <w:p w14:paraId="6E484EF9"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Data lineage, output monitoring, human hand-off and complaint analytics; Customer Experience and Operations.</w:t>
            </w:r>
          </w:p>
        </w:tc>
      </w:tr>
      <w:tr w:rsidR="004A6265" w:rsidRPr="004A6265" w14:paraId="54C7A78E" w14:textId="77777777" w:rsidTr="00CA3F13">
        <w:trPr>
          <w:cantSplit/>
          <w:jc w:val="center"/>
        </w:trPr>
        <w:tc>
          <w:tcPr>
            <w:tcW w:w="1875" w:type="dxa"/>
            <w:tcMar>
              <w:top w:w="80" w:type="dxa"/>
              <w:left w:w="100" w:type="dxa"/>
              <w:bottom w:w="80" w:type="dxa"/>
              <w:right w:w="100" w:type="dxa"/>
            </w:tcMar>
            <w:vAlign w:val="center"/>
          </w:tcPr>
          <w:p w14:paraId="1D2184BB"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 xml:space="preserve">Illustrative route </w:t>
            </w:r>
            <w:proofErr w:type="spellStart"/>
            <w:r w:rsidRPr="004A6265">
              <w:rPr>
                <w:rFonts w:ascii="Times New Roman" w:hAnsi="Times New Roman" w:cs="Times New Roman"/>
                <w:sz w:val="24"/>
                <w:szCs w:val="24"/>
              </w:rPr>
              <w:t>optimisation</w:t>
            </w:r>
            <w:proofErr w:type="spellEnd"/>
            <w:r w:rsidRPr="004A6265">
              <w:rPr>
                <w:rFonts w:ascii="Times New Roman" w:hAnsi="Times New Roman" w:cs="Times New Roman"/>
                <w:sz w:val="24"/>
                <w:szCs w:val="24"/>
              </w:rPr>
              <w:t xml:space="preserve"> and capacity forecasting</w:t>
            </w:r>
          </w:p>
        </w:tc>
        <w:tc>
          <w:tcPr>
            <w:tcW w:w="2778" w:type="dxa"/>
            <w:tcMar>
              <w:top w:w="80" w:type="dxa"/>
              <w:left w:w="100" w:type="dxa"/>
              <w:bottom w:w="80" w:type="dxa"/>
              <w:right w:w="100" w:type="dxa"/>
            </w:tcMar>
            <w:vAlign w:val="center"/>
          </w:tcPr>
          <w:p w14:paraId="29EDCB4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Incomplete regional data may distort capacity allocation, emissions claims or service priority.</w:t>
            </w:r>
          </w:p>
        </w:tc>
        <w:tc>
          <w:tcPr>
            <w:tcW w:w="2153" w:type="dxa"/>
            <w:tcMar>
              <w:top w:w="80" w:type="dxa"/>
              <w:left w:w="100" w:type="dxa"/>
              <w:bottom w:w="80" w:type="dxa"/>
              <w:right w:w="100" w:type="dxa"/>
            </w:tcMar>
            <w:vAlign w:val="center"/>
          </w:tcPr>
          <w:p w14:paraId="229D533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Cross-border data governance, customer fairness and operational resilience expectations.</w:t>
            </w:r>
          </w:p>
        </w:tc>
        <w:tc>
          <w:tcPr>
            <w:tcW w:w="2222" w:type="dxa"/>
            <w:tcMar>
              <w:top w:w="80" w:type="dxa"/>
              <w:left w:w="100" w:type="dxa"/>
              <w:bottom w:w="80" w:type="dxa"/>
              <w:right w:w="100" w:type="dxa"/>
            </w:tcMar>
            <w:vAlign w:val="center"/>
          </w:tcPr>
          <w:p w14:paraId="088E43B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Model validation, drift monitoring, exception rules and audit logs; Network Operations and Risk.</w:t>
            </w:r>
          </w:p>
        </w:tc>
      </w:tr>
      <w:tr w:rsidR="004A6265" w:rsidRPr="004A6265" w14:paraId="502094DE" w14:textId="77777777" w:rsidTr="00CA3F13">
        <w:trPr>
          <w:cantSplit/>
          <w:jc w:val="center"/>
        </w:trPr>
        <w:tc>
          <w:tcPr>
            <w:tcW w:w="1875" w:type="dxa"/>
            <w:tcMar>
              <w:top w:w="80" w:type="dxa"/>
              <w:left w:w="100" w:type="dxa"/>
              <w:bottom w:w="80" w:type="dxa"/>
              <w:right w:w="100" w:type="dxa"/>
            </w:tcMar>
            <w:vAlign w:val="center"/>
          </w:tcPr>
          <w:p w14:paraId="0A73CCA7"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lastRenderedPageBreak/>
              <w:t>Warehouse robotics and computer vision</w:t>
            </w:r>
          </w:p>
        </w:tc>
        <w:tc>
          <w:tcPr>
            <w:tcW w:w="2778" w:type="dxa"/>
            <w:tcMar>
              <w:top w:w="80" w:type="dxa"/>
              <w:left w:w="100" w:type="dxa"/>
              <w:bottom w:w="80" w:type="dxa"/>
              <w:right w:w="100" w:type="dxa"/>
            </w:tcMar>
            <w:vAlign w:val="center"/>
          </w:tcPr>
          <w:p w14:paraId="177EE2E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Vendor model updates, sensor errors or cyber incidents could affect safety, throughput or downtime.</w:t>
            </w:r>
          </w:p>
        </w:tc>
        <w:tc>
          <w:tcPr>
            <w:tcW w:w="2153" w:type="dxa"/>
            <w:tcMar>
              <w:top w:w="80" w:type="dxa"/>
              <w:left w:w="100" w:type="dxa"/>
              <w:bottom w:w="80" w:type="dxa"/>
              <w:right w:w="100" w:type="dxa"/>
            </w:tcMar>
            <w:vAlign w:val="center"/>
          </w:tcPr>
          <w:p w14:paraId="79D2C520"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Health and safety, cybersecurity, supplier assurance and possible high-impact AI documentation.</w:t>
            </w:r>
          </w:p>
        </w:tc>
        <w:tc>
          <w:tcPr>
            <w:tcW w:w="2222" w:type="dxa"/>
            <w:tcMar>
              <w:top w:w="80" w:type="dxa"/>
              <w:left w:w="100" w:type="dxa"/>
              <w:bottom w:w="80" w:type="dxa"/>
              <w:right w:w="100" w:type="dxa"/>
            </w:tcMar>
            <w:vAlign w:val="center"/>
          </w:tcPr>
          <w:p w14:paraId="25E15257"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Change control, rollback testing, incident playbooks and supplier audit rights; Operations, Cybersecurity and Procurement.</w:t>
            </w:r>
          </w:p>
        </w:tc>
      </w:tr>
      <w:tr w:rsidR="004A6265" w:rsidRPr="004A6265" w14:paraId="1D72863C" w14:textId="77777777" w:rsidTr="00CA3F13">
        <w:trPr>
          <w:cantSplit/>
          <w:jc w:val="center"/>
        </w:trPr>
        <w:tc>
          <w:tcPr>
            <w:tcW w:w="1875" w:type="dxa"/>
            <w:tcMar>
              <w:top w:w="80" w:type="dxa"/>
              <w:left w:w="100" w:type="dxa"/>
              <w:bottom w:w="80" w:type="dxa"/>
              <w:right w:w="100" w:type="dxa"/>
            </w:tcMar>
            <w:vAlign w:val="center"/>
          </w:tcPr>
          <w:p w14:paraId="0CFBEA8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Illustrative workforce scheduling and performance analytics</w:t>
            </w:r>
          </w:p>
        </w:tc>
        <w:tc>
          <w:tcPr>
            <w:tcW w:w="2778" w:type="dxa"/>
            <w:tcMar>
              <w:top w:w="80" w:type="dxa"/>
              <w:left w:w="100" w:type="dxa"/>
              <w:bottom w:w="80" w:type="dxa"/>
              <w:right w:w="100" w:type="dxa"/>
            </w:tcMar>
            <w:vAlign w:val="center"/>
          </w:tcPr>
          <w:p w14:paraId="3760393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Productivity data may influence shifts, monitoring or redeployment in ways staff perceive as unfair.</w:t>
            </w:r>
          </w:p>
        </w:tc>
        <w:tc>
          <w:tcPr>
            <w:tcW w:w="2153" w:type="dxa"/>
            <w:tcMar>
              <w:top w:w="80" w:type="dxa"/>
              <w:left w:w="100" w:type="dxa"/>
              <w:bottom w:w="80" w:type="dxa"/>
              <w:right w:w="100" w:type="dxa"/>
            </w:tcMar>
            <w:vAlign w:val="center"/>
          </w:tcPr>
          <w:p w14:paraId="0180EC53"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UK/EU data protection, employment expectations and worker contestability.</w:t>
            </w:r>
          </w:p>
        </w:tc>
        <w:tc>
          <w:tcPr>
            <w:tcW w:w="2222" w:type="dxa"/>
            <w:tcMar>
              <w:top w:w="80" w:type="dxa"/>
              <w:left w:w="100" w:type="dxa"/>
              <w:bottom w:w="80" w:type="dxa"/>
              <w:right w:w="100" w:type="dxa"/>
            </w:tcMar>
            <w:vAlign w:val="center"/>
          </w:tcPr>
          <w:p w14:paraId="49F6D5B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DPIA, worker transparency, consultation, appeal route and training; human resources, data protection and divisional managers.</w:t>
            </w:r>
          </w:p>
        </w:tc>
      </w:tr>
      <w:tr w:rsidR="004A6265" w:rsidRPr="004A6265" w14:paraId="74B45209" w14:textId="77777777" w:rsidTr="00CA3F13">
        <w:trPr>
          <w:cantSplit/>
          <w:jc w:val="center"/>
        </w:trPr>
        <w:tc>
          <w:tcPr>
            <w:tcW w:w="1875" w:type="dxa"/>
            <w:tcMar>
              <w:top w:w="80" w:type="dxa"/>
              <w:left w:w="100" w:type="dxa"/>
              <w:bottom w:w="80" w:type="dxa"/>
              <w:right w:w="100" w:type="dxa"/>
            </w:tcMar>
            <w:vAlign w:val="center"/>
          </w:tcPr>
          <w:p w14:paraId="4D94712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lastRenderedPageBreak/>
              <w:t>Illustrative customs documentation and exception handling</w:t>
            </w:r>
          </w:p>
        </w:tc>
        <w:tc>
          <w:tcPr>
            <w:tcW w:w="2778" w:type="dxa"/>
            <w:tcMar>
              <w:top w:w="80" w:type="dxa"/>
              <w:left w:w="100" w:type="dxa"/>
              <w:bottom w:w="80" w:type="dxa"/>
              <w:right w:w="100" w:type="dxa"/>
            </w:tcMar>
            <w:vAlign w:val="center"/>
          </w:tcPr>
          <w:p w14:paraId="52C6D331"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AI-generated summaries may miss regulatory detail or misclassify shipment risk during disruption.</w:t>
            </w:r>
          </w:p>
        </w:tc>
        <w:tc>
          <w:tcPr>
            <w:tcW w:w="2153" w:type="dxa"/>
            <w:tcMar>
              <w:top w:w="80" w:type="dxa"/>
              <w:left w:w="100" w:type="dxa"/>
              <w:bottom w:w="80" w:type="dxa"/>
              <w:right w:w="100" w:type="dxa"/>
            </w:tcMar>
            <w:vAlign w:val="center"/>
          </w:tcPr>
          <w:p w14:paraId="30A0E4B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Trade compliance, data accuracy and customer reliance on AI-supported advice.</w:t>
            </w:r>
          </w:p>
        </w:tc>
        <w:tc>
          <w:tcPr>
            <w:tcW w:w="2222" w:type="dxa"/>
            <w:tcMar>
              <w:top w:w="80" w:type="dxa"/>
              <w:left w:w="100" w:type="dxa"/>
              <w:bottom w:w="80" w:type="dxa"/>
              <w:right w:w="100" w:type="dxa"/>
            </w:tcMar>
            <w:vAlign w:val="center"/>
          </w:tcPr>
          <w:p w14:paraId="2772A86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Human validation for high-impact exceptions, audit trails and accountable business sponsor; Compliance and Operations.</w:t>
            </w:r>
          </w:p>
        </w:tc>
      </w:tr>
    </w:tbl>
    <w:p w14:paraId="44BC0773" w14:textId="77777777" w:rsidR="004A6265" w:rsidRPr="004A6265" w:rsidRDefault="004A6265" w:rsidP="004A6265">
      <w:pPr>
        <w:pStyle w:val="2"/>
        <w:spacing w:line="480" w:lineRule="auto"/>
        <w:rPr>
          <w:rFonts w:ascii="Times New Roman" w:hAnsi="Times New Roman" w:cs="Times New Roman"/>
          <w:sz w:val="24"/>
          <w:szCs w:val="24"/>
        </w:rPr>
      </w:pPr>
      <w:bookmarkStart w:id="28" w:name="_Toc242349817"/>
      <w:r w:rsidRPr="004A6265">
        <w:rPr>
          <w:rFonts w:ascii="Times New Roman" w:eastAsia="Times New Roman" w:hAnsi="Times New Roman" w:cs="Times New Roman"/>
          <w:sz w:val="24"/>
          <w:szCs w:val="24"/>
        </w:rPr>
        <w:t>Appendix D: Governance Options Comparison</w:t>
      </w:r>
      <w:bookmarkEnd w:id="28"/>
    </w:p>
    <w:tbl>
      <w:tblPr>
        <w:tblStyle w:val="a6"/>
        <w:tblW w:w="9027" w:type="dxa"/>
        <w:jc w:val="center"/>
        <w:tblLayout w:type="fixed"/>
        <w:tblLook w:val="04A0" w:firstRow="1" w:lastRow="0" w:firstColumn="1" w:lastColumn="0" w:noHBand="0" w:noVBand="1"/>
      </w:tblPr>
      <w:tblGrid>
        <w:gridCol w:w="2153"/>
        <w:gridCol w:w="2430"/>
        <w:gridCol w:w="2291"/>
        <w:gridCol w:w="2153"/>
      </w:tblGrid>
      <w:tr w:rsidR="004A6265" w:rsidRPr="004A6265" w14:paraId="4011A041" w14:textId="77777777" w:rsidTr="00CA3F13">
        <w:trPr>
          <w:cantSplit/>
          <w:tblHeader/>
          <w:jc w:val="center"/>
        </w:trPr>
        <w:tc>
          <w:tcPr>
            <w:tcW w:w="2153" w:type="dxa"/>
            <w:tcMar>
              <w:top w:w="80" w:type="dxa"/>
              <w:left w:w="100" w:type="dxa"/>
              <w:bottom w:w="80" w:type="dxa"/>
              <w:right w:w="100" w:type="dxa"/>
            </w:tcMar>
            <w:vAlign w:val="center"/>
          </w:tcPr>
          <w:p w14:paraId="7C769B11"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Option</w:t>
            </w:r>
          </w:p>
        </w:tc>
        <w:tc>
          <w:tcPr>
            <w:tcW w:w="2430" w:type="dxa"/>
            <w:tcMar>
              <w:top w:w="80" w:type="dxa"/>
              <w:left w:w="100" w:type="dxa"/>
              <w:bottom w:w="80" w:type="dxa"/>
              <w:right w:w="100" w:type="dxa"/>
            </w:tcMar>
            <w:vAlign w:val="center"/>
          </w:tcPr>
          <w:p w14:paraId="6D27E8A3"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Advantages</w:t>
            </w:r>
          </w:p>
        </w:tc>
        <w:tc>
          <w:tcPr>
            <w:tcW w:w="2291" w:type="dxa"/>
            <w:tcMar>
              <w:top w:w="80" w:type="dxa"/>
              <w:left w:w="100" w:type="dxa"/>
              <w:bottom w:w="80" w:type="dxa"/>
              <w:right w:w="100" w:type="dxa"/>
            </w:tcMar>
            <w:vAlign w:val="center"/>
          </w:tcPr>
          <w:p w14:paraId="2F14B305"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Weaknesses</w:t>
            </w:r>
          </w:p>
        </w:tc>
        <w:tc>
          <w:tcPr>
            <w:tcW w:w="2153" w:type="dxa"/>
            <w:tcMar>
              <w:top w:w="80" w:type="dxa"/>
              <w:left w:w="100" w:type="dxa"/>
              <w:bottom w:w="80" w:type="dxa"/>
              <w:right w:w="100" w:type="dxa"/>
            </w:tcMar>
            <w:vAlign w:val="center"/>
          </w:tcPr>
          <w:p w14:paraId="48249FC2"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Judgement</w:t>
            </w:r>
          </w:p>
        </w:tc>
      </w:tr>
      <w:tr w:rsidR="004A6265" w:rsidRPr="004A6265" w14:paraId="0C4116AC" w14:textId="77777777" w:rsidTr="00CA3F13">
        <w:trPr>
          <w:cantSplit/>
          <w:jc w:val="center"/>
        </w:trPr>
        <w:tc>
          <w:tcPr>
            <w:tcW w:w="2153" w:type="dxa"/>
            <w:tcMar>
              <w:top w:w="80" w:type="dxa"/>
              <w:left w:w="100" w:type="dxa"/>
              <w:bottom w:w="80" w:type="dxa"/>
              <w:right w:w="100" w:type="dxa"/>
            </w:tcMar>
            <w:vAlign w:val="center"/>
          </w:tcPr>
          <w:p w14:paraId="7F3DC217"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Local compliance by jurisdiction</w:t>
            </w:r>
          </w:p>
        </w:tc>
        <w:tc>
          <w:tcPr>
            <w:tcW w:w="2430" w:type="dxa"/>
            <w:tcMar>
              <w:top w:w="80" w:type="dxa"/>
              <w:left w:w="100" w:type="dxa"/>
              <w:bottom w:w="80" w:type="dxa"/>
              <w:right w:w="100" w:type="dxa"/>
            </w:tcMar>
            <w:vAlign w:val="center"/>
          </w:tcPr>
          <w:p w14:paraId="7F4BDC7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Fast local experimentation; responsive to UK flexibility and EU specificity.</w:t>
            </w:r>
          </w:p>
        </w:tc>
        <w:tc>
          <w:tcPr>
            <w:tcW w:w="2291" w:type="dxa"/>
            <w:tcMar>
              <w:top w:w="80" w:type="dxa"/>
              <w:left w:w="100" w:type="dxa"/>
              <w:bottom w:w="80" w:type="dxa"/>
              <w:right w:w="100" w:type="dxa"/>
            </w:tcMar>
            <w:vAlign w:val="center"/>
          </w:tcPr>
          <w:p w14:paraId="1C54F76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Duplicates controls, fragments risk data, creates uneven customer safeguards.</w:t>
            </w:r>
          </w:p>
        </w:tc>
        <w:tc>
          <w:tcPr>
            <w:tcW w:w="2153" w:type="dxa"/>
            <w:tcMar>
              <w:top w:w="80" w:type="dxa"/>
              <w:left w:w="100" w:type="dxa"/>
              <w:bottom w:w="80" w:type="dxa"/>
              <w:right w:w="100" w:type="dxa"/>
            </w:tcMar>
            <w:vAlign w:val="center"/>
          </w:tcPr>
          <w:p w14:paraId="02A4EDB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Not sufficient for a global logistics brand.</w:t>
            </w:r>
          </w:p>
        </w:tc>
      </w:tr>
      <w:tr w:rsidR="004A6265" w:rsidRPr="004A6265" w14:paraId="1AEA307F" w14:textId="77777777" w:rsidTr="00CA3F13">
        <w:trPr>
          <w:cantSplit/>
          <w:jc w:val="center"/>
        </w:trPr>
        <w:tc>
          <w:tcPr>
            <w:tcW w:w="2153" w:type="dxa"/>
            <w:tcMar>
              <w:top w:w="80" w:type="dxa"/>
              <w:left w:w="100" w:type="dxa"/>
              <w:bottom w:w="80" w:type="dxa"/>
              <w:right w:w="100" w:type="dxa"/>
            </w:tcMar>
            <w:vAlign w:val="center"/>
          </w:tcPr>
          <w:p w14:paraId="380F8201"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lastRenderedPageBreak/>
              <w:t>EU-standard governance everywhere</w:t>
            </w:r>
          </w:p>
        </w:tc>
        <w:tc>
          <w:tcPr>
            <w:tcW w:w="2430" w:type="dxa"/>
            <w:tcMar>
              <w:top w:w="80" w:type="dxa"/>
              <w:left w:w="100" w:type="dxa"/>
              <w:bottom w:w="80" w:type="dxa"/>
              <w:right w:w="100" w:type="dxa"/>
            </w:tcMar>
            <w:vAlign w:val="center"/>
          </w:tcPr>
          <w:p w14:paraId="45FB2FB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Strong consistency, easier board assurance, lower risk of under-compliance in EU.</w:t>
            </w:r>
          </w:p>
        </w:tc>
        <w:tc>
          <w:tcPr>
            <w:tcW w:w="2291" w:type="dxa"/>
            <w:tcMar>
              <w:top w:w="80" w:type="dxa"/>
              <w:left w:w="100" w:type="dxa"/>
              <w:bottom w:w="80" w:type="dxa"/>
              <w:right w:w="100" w:type="dxa"/>
            </w:tcMar>
            <w:vAlign w:val="center"/>
          </w:tcPr>
          <w:p w14:paraId="5061E4A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May over-control low-risk tools and reduce UK innovation benefits.</w:t>
            </w:r>
          </w:p>
        </w:tc>
        <w:tc>
          <w:tcPr>
            <w:tcW w:w="2153" w:type="dxa"/>
            <w:tcMar>
              <w:top w:w="80" w:type="dxa"/>
              <w:left w:w="100" w:type="dxa"/>
              <w:bottom w:w="80" w:type="dxa"/>
              <w:right w:w="100" w:type="dxa"/>
            </w:tcMar>
            <w:vAlign w:val="center"/>
          </w:tcPr>
          <w:p w14:paraId="568DD9D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Useful baseline for high-impact systems, but too rigid as the only model.</w:t>
            </w:r>
          </w:p>
        </w:tc>
      </w:tr>
      <w:tr w:rsidR="004A6265" w:rsidRPr="004A6265" w14:paraId="103B15DD" w14:textId="77777777" w:rsidTr="00CA3F13">
        <w:trPr>
          <w:cantSplit/>
          <w:jc w:val="center"/>
        </w:trPr>
        <w:tc>
          <w:tcPr>
            <w:tcW w:w="2153" w:type="dxa"/>
            <w:tcMar>
              <w:top w:w="80" w:type="dxa"/>
              <w:left w:w="100" w:type="dxa"/>
              <w:bottom w:w="80" w:type="dxa"/>
              <w:right w:w="100" w:type="dxa"/>
            </w:tcMar>
            <w:vAlign w:val="center"/>
          </w:tcPr>
          <w:p w14:paraId="25533E7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Global baseline plus regional overlays</w:t>
            </w:r>
          </w:p>
        </w:tc>
        <w:tc>
          <w:tcPr>
            <w:tcW w:w="2430" w:type="dxa"/>
            <w:tcMar>
              <w:top w:w="80" w:type="dxa"/>
              <w:left w:w="100" w:type="dxa"/>
              <w:bottom w:w="80" w:type="dxa"/>
              <w:right w:w="100" w:type="dxa"/>
            </w:tcMar>
            <w:vAlign w:val="center"/>
          </w:tcPr>
          <w:p w14:paraId="0591571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Common inventory, risk tiers, data controls and board reporting; local rules added where needed.</w:t>
            </w:r>
          </w:p>
        </w:tc>
        <w:tc>
          <w:tcPr>
            <w:tcW w:w="2291" w:type="dxa"/>
            <w:tcMar>
              <w:top w:w="80" w:type="dxa"/>
              <w:left w:w="100" w:type="dxa"/>
              <w:bottom w:w="80" w:type="dxa"/>
              <w:right w:w="100" w:type="dxa"/>
            </w:tcMar>
            <w:vAlign w:val="center"/>
          </w:tcPr>
          <w:p w14:paraId="33C7F097"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Requires strong central ownership and disciplined implementation.</w:t>
            </w:r>
          </w:p>
        </w:tc>
        <w:tc>
          <w:tcPr>
            <w:tcW w:w="2153" w:type="dxa"/>
            <w:tcMar>
              <w:top w:w="80" w:type="dxa"/>
              <w:left w:w="100" w:type="dxa"/>
              <w:bottom w:w="80" w:type="dxa"/>
              <w:right w:w="100" w:type="dxa"/>
            </w:tcMar>
            <w:vAlign w:val="center"/>
          </w:tcPr>
          <w:p w14:paraId="1865B0C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 xml:space="preserve">Recommended if the inventory and change controls are </w:t>
            </w:r>
            <w:proofErr w:type="gramStart"/>
            <w:r w:rsidRPr="004A6265">
              <w:rPr>
                <w:rFonts w:ascii="Times New Roman" w:hAnsi="Times New Roman" w:cs="Times New Roman"/>
                <w:sz w:val="24"/>
                <w:szCs w:val="24"/>
              </w:rPr>
              <w:t>actually enforced</w:t>
            </w:r>
            <w:proofErr w:type="gramEnd"/>
            <w:r w:rsidRPr="004A6265">
              <w:rPr>
                <w:rFonts w:ascii="Times New Roman" w:hAnsi="Times New Roman" w:cs="Times New Roman"/>
                <w:sz w:val="24"/>
                <w:szCs w:val="24"/>
              </w:rPr>
              <w:t>; regional duties still need legal assessment.</w:t>
            </w:r>
          </w:p>
        </w:tc>
      </w:tr>
    </w:tbl>
    <w:p w14:paraId="45C27DC6" w14:textId="77777777" w:rsidR="004A6265" w:rsidRPr="004A6265" w:rsidRDefault="004A6265" w:rsidP="004A6265">
      <w:pPr>
        <w:pStyle w:val="2"/>
        <w:spacing w:line="480" w:lineRule="auto"/>
        <w:rPr>
          <w:rFonts w:ascii="Times New Roman" w:hAnsi="Times New Roman" w:cs="Times New Roman"/>
          <w:sz w:val="24"/>
          <w:szCs w:val="24"/>
        </w:rPr>
      </w:pPr>
      <w:bookmarkStart w:id="29" w:name="_Toc242349818"/>
      <w:r w:rsidRPr="004A6265">
        <w:rPr>
          <w:rFonts w:ascii="Times New Roman" w:eastAsia="Times New Roman" w:hAnsi="Times New Roman" w:cs="Times New Roman"/>
          <w:sz w:val="24"/>
          <w:szCs w:val="24"/>
        </w:rPr>
        <w:lastRenderedPageBreak/>
        <w:t>Appendix E: Detailed SMART Implementation Matrix</w:t>
      </w:r>
      <w:bookmarkEnd w:id="29"/>
    </w:p>
    <w:tbl>
      <w:tblPr>
        <w:tblStyle w:val="a6"/>
        <w:tblW w:w="9027" w:type="dxa"/>
        <w:jc w:val="center"/>
        <w:tblLayout w:type="fixed"/>
        <w:tblLook w:val="04A0" w:firstRow="1" w:lastRow="0" w:firstColumn="1" w:lastColumn="0" w:noHBand="0" w:noVBand="1"/>
      </w:tblPr>
      <w:tblGrid>
        <w:gridCol w:w="1111"/>
        <w:gridCol w:w="2500"/>
        <w:gridCol w:w="1875"/>
        <w:gridCol w:w="2014"/>
        <w:gridCol w:w="1527"/>
      </w:tblGrid>
      <w:tr w:rsidR="004A6265" w:rsidRPr="004A6265" w14:paraId="178E6DE3" w14:textId="77777777" w:rsidTr="00CA3F13">
        <w:trPr>
          <w:cantSplit/>
          <w:tblHeader/>
          <w:jc w:val="center"/>
        </w:trPr>
        <w:tc>
          <w:tcPr>
            <w:tcW w:w="1111" w:type="dxa"/>
            <w:tcMar>
              <w:top w:w="80" w:type="dxa"/>
              <w:left w:w="100" w:type="dxa"/>
              <w:bottom w:w="80" w:type="dxa"/>
              <w:right w:w="100" w:type="dxa"/>
            </w:tcMar>
            <w:vAlign w:val="center"/>
          </w:tcPr>
          <w:p w14:paraId="51600180"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Timeframe</w:t>
            </w:r>
          </w:p>
        </w:tc>
        <w:tc>
          <w:tcPr>
            <w:tcW w:w="2500" w:type="dxa"/>
            <w:tcMar>
              <w:top w:w="80" w:type="dxa"/>
              <w:left w:w="100" w:type="dxa"/>
              <w:bottom w:w="80" w:type="dxa"/>
              <w:right w:w="100" w:type="dxa"/>
            </w:tcMar>
            <w:vAlign w:val="center"/>
          </w:tcPr>
          <w:p w14:paraId="6B266CE8"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Action</w:t>
            </w:r>
          </w:p>
        </w:tc>
        <w:tc>
          <w:tcPr>
            <w:tcW w:w="1875" w:type="dxa"/>
            <w:tcMar>
              <w:top w:w="80" w:type="dxa"/>
              <w:left w:w="100" w:type="dxa"/>
              <w:bottom w:w="80" w:type="dxa"/>
              <w:right w:w="100" w:type="dxa"/>
            </w:tcMar>
            <w:vAlign w:val="center"/>
          </w:tcPr>
          <w:p w14:paraId="3C2CDF37"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Owner</w:t>
            </w:r>
          </w:p>
        </w:tc>
        <w:tc>
          <w:tcPr>
            <w:tcW w:w="2014" w:type="dxa"/>
            <w:tcMar>
              <w:top w:w="80" w:type="dxa"/>
              <w:left w:w="100" w:type="dxa"/>
              <w:bottom w:w="80" w:type="dxa"/>
              <w:right w:w="100" w:type="dxa"/>
            </w:tcMar>
            <w:vAlign w:val="center"/>
          </w:tcPr>
          <w:p w14:paraId="207C2037"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hAnsi="Times New Roman" w:cs="Times New Roman"/>
                <w:b/>
                <w:sz w:val="24"/>
                <w:szCs w:val="24"/>
              </w:rPr>
              <w:t>Measure / evidence</w:t>
            </w:r>
          </w:p>
        </w:tc>
        <w:tc>
          <w:tcPr>
            <w:tcW w:w="1527" w:type="dxa"/>
            <w:tcMar>
              <w:top w:w="80" w:type="dxa"/>
              <w:left w:w="100" w:type="dxa"/>
              <w:bottom w:w="80" w:type="dxa"/>
              <w:right w:w="100" w:type="dxa"/>
            </w:tcMar>
            <w:vAlign w:val="center"/>
          </w:tcPr>
          <w:p w14:paraId="54ECB2A6" w14:textId="77777777" w:rsidR="004A6265" w:rsidRPr="004A6265" w:rsidRDefault="004A6265" w:rsidP="004A6265">
            <w:pPr>
              <w:spacing w:line="480" w:lineRule="auto"/>
              <w:jc w:val="center"/>
              <w:rPr>
                <w:rFonts w:ascii="Times New Roman" w:hAnsi="Times New Roman" w:cs="Times New Roman"/>
                <w:sz w:val="24"/>
                <w:szCs w:val="24"/>
              </w:rPr>
            </w:pPr>
            <w:r w:rsidRPr="004A6265">
              <w:rPr>
                <w:rFonts w:ascii="Times New Roman" w:eastAsia="Times New Roman" w:hAnsi="Times New Roman" w:cs="Times New Roman"/>
                <w:b/>
                <w:color w:val="000000"/>
                <w:sz w:val="24"/>
                <w:szCs w:val="24"/>
              </w:rPr>
              <w:t>Strategic purpose</w:t>
            </w:r>
          </w:p>
        </w:tc>
      </w:tr>
      <w:tr w:rsidR="004A6265" w:rsidRPr="004A6265" w14:paraId="2DDE53CF" w14:textId="77777777" w:rsidTr="00CA3F13">
        <w:trPr>
          <w:cantSplit/>
          <w:jc w:val="center"/>
        </w:trPr>
        <w:tc>
          <w:tcPr>
            <w:tcW w:w="1111" w:type="dxa"/>
            <w:tcMar>
              <w:top w:w="80" w:type="dxa"/>
              <w:left w:w="100" w:type="dxa"/>
              <w:bottom w:w="80" w:type="dxa"/>
              <w:right w:w="100" w:type="dxa"/>
            </w:tcMar>
            <w:vAlign w:val="center"/>
          </w:tcPr>
          <w:p w14:paraId="4E1A604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0-90 days</w:t>
            </w:r>
          </w:p>
        </w:tc>
        <w:tc>
          <w:tcPr>
            <w:tcW w:w="2500" w:type="dxa"/>
            <w:tcMar>
              <w:top w:w="80" w:type="dxa"/>
              <w:left w:w="100" w:type="dxa"/>
              <w:bottom w:w="80" w:type="dxa"/>
              <w:right w:w="100" w:type="dxa"/>
            </w:tcMar>
            <w:vAlign w:val="center"/>
          </w:tcPr>
          <w:p w14:paraId="64ED44B5"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Reconcile candidate uses from divisional, procurement and technology records; name an interim owner; report unresolved gaps.</w:t>
            </w:r>
          </w:p>
        </w:tc>
        <w:tc>
          <w:tcPr>
            <w:tcW w:w="1875" w:type="dxa"/>
            <w:tcMar>
              <w:top w:w="80" w:type="dxa"/>
              <w:left w:w="100" w:type="dxa"/>
              <w:bottom w:w="80" w:type="dxa"/>
              <w:right w:w="100" w:type="dxa"/>
            </w:tcMar>
            <w:vAlign w:val="center"/>
          </w:tcPr>
          <w:p w14:paraId="7D71D2A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Chief Digital Officer with data protection, Legal and divisional technology leads.</w:t>
            </w:r>
          </w:p>
        </w:tc>
        <w:tc>
          <w:tcPr>
            <w:tcW w:w="2014" w:type="dxa"/>
            <w:tcMar>
              <w:top w:w="80" w:type="dxa"/>
              <w:left w:w="100" w:type="dxa"/>
              <w:bottom w:w="80" w:type="dxa"/>
              <w:right w:w="100" w:type="dxa"/>
            </w:tcMar>
            <w:vAlign w:val="center"/>
          </w:tcPr>
          <w:p w14:paraId="12AC51E1"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Candidate-use list and gaps reported by day 90; every discovered Tier 2/3 use classified before further scaling; no precise total-coverage claim until the denominator is reliable.</w:t>
            </w:r>
          </w:p>
        </w:tc>
        <w:tc>
          <w:tcPr>
            <w:tcW w:w="1527" w:type="dxa"/>
            <w:tcMar>
              <w:top w:w="80" w:type="dxa"/>
              <w:left w:w="100" w:type="dxa"/>
              <w:bottom w:w="80" w:type="dxa"/>
              <w:right w:w="100" w:type="dxa"/>
            </w:tcMar>
            <w:vAlign w:val="center"/>
          </w:tcPr>
          <w:p w14:paraId="77CDD12B"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Make AI risk visible before scaling.</w:t>
            </w:r>
          </w:p>
        </w:tc>
      </w:tr>
      <w:tr w:rsidR="004A6265" w:rsidRPr="004A6265" w14:paraId="0E4A6426" w14:textId="77777777" w:rsidTr="00CA3F13">
        <w:trPr>
          <w:cantSplit/>
          <w:jc w:val="center"/>
        </w:trPr>
        <w:tc>
          <w:tcPr>
            <w:tcW w:w="1111" w:type="dxa"/>
            <w:tcMar>
              <w:top w:w="80" w:type="dxa"/>
              <w:left w:w="100" w:type="dxa"/>
              <w:bottom w:w="80" w:type="dxa"/>
              <w:right w:w="100" w:type="dxa"/>
            </w:tcMar>
            <w:vAlign w:val="center"/>
          </w:tcPr>
          <w:p w14:paraId="45420956"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0-90 days</w:t>
            </w:r>
          </w:p>
        </w:tc>
        <w:tc>
          <w:tcPr>
            <w:tcW w:w="2500" w:type="dxa"/>
            <w:tcMar>
              <w:top w:w="80" w:type="dxa"/>
              <w:left w:w="100" w:type="dxa"/>
              <w:bottom w:w="80" w:type="dxa"/>
              <w:right w:w="100" w:type="dxa"/>
            </w:tcMar>
            <w:vAlign w:val="center"/>
          </w:tcPr>
          <w:p w14:paraId="116CF99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Approve internal tiers, appoint the accountable executive body and apply interim testing, approval and rollback to material Tier 2/3 supplier or model updates.</w:t>
            </w:r>
          </w:p>
        </w:tc>
        <w:tc>
          <w:tcPr>
            <w:tcW w:w="1875" w:type="dxa"/>
            <w:tcMar>
              <w:top w:w="80" w:type="dxa"/>
              <w:left w:w="100" w:type="dxa"/>
              <w:bottom w:w="80" w:type="dxa"/>
              <w:right w:w="100" w:type="dxa"/>
            </w:tcMar>
            <w:vAlign w:val="center"/>
          </w:tcPr>
          <w:p w14:paraId="1CB0DFEB"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Interim AI risk owner and existing executive risk body; establish a dedicated committee only if needed.</w:t>
            </w:r>
          </w:p>
        </w:tc>
        <w:tc>
          <w:tcPr>
            <w:tcW w:w="2014" w:type="dxa"/>
            <w:tcMar>
              <w:top w:w="80" w:type="dxa"/>
              <w:left w:w="100" w:type="dxa"/>
              <w:bottom w:w="80" w:type="dxa"/>
              <w:right w:w="100" w:type="dxa"/>
            </w:tcMar>
            <w:vAlign w:val="center"/>
          </w:tcPr>
          <w:p w14:paraId="488AF2B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Every discovered Tier 2/3 use classified before scaling; material updates logged and reviewed; exceptions escalated.</w:t>
            </w:r>
          </w:p>
        </w:tc>
        <w:tc>
          <w:tcPr>
            <w:tcW w:w="1527" w:type="dxa"/>
            <w:tcMar>
              <w:top w:w="80" w:type="dxa"/>
              <w:left w:w="100" w:type="dxa"/>
              <w:bottom w:w="80" w:type="dxa"/>
              <w:right w:w="100" w:type="dxa"/>
            </w:tcMar>
            <w:vAlign w:val="center"/>
          </w:tcPr>
          <w:p w14:paraId="158E471A"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Stop hidden AI adoption and create common governance language.</w:t>
            </w:r>
          </w:p>
        </w:tc>
      </w:tr>
      <w:tr w:rsidR="004A6265" w:rsidRPr="004A6265" w14:paraId="5B6734A5" w14:textId="77777777" w:rsidTr="00CA3F13">
        <w:trPr>
          <w:cantSplit/>
          <w:jc w:val="center"/>
        </w:trPr>
        <w:tc>
          <w:tcPr>
            <w:tcW w:w="1111" w:type="dxa"/>
            <w:tcMar>
              <w:top w:w="80" w:type="dxa"/>
              <w:left w:w="100" w:type="dxa"/>
              <w:bottom w:w="80" w:type="dxa"/>
              <w:right w:w="100" w:type="dxa"/>
            </w:tcMar>
            <w:vAlign w:val="center"/>
          </w:tcPr>
          <w:p w14:paraId="56F0C60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lastRenderedPageBreak/>
              <w:t>3-6 months</w:t>
            </w:r>
          </w:p>
        </w:tc>
        <w:tc>
          <w:tcPr>
            <w:tcW w:w="2500" w:type="dxa"/>
            <w:tcMar>
              <w:top w:w="80" w:type="dxa"/>
              <w:left w:w="100" w:type="dxa"/>
              <w:bottom w:w="80" w:type="dxa"/>
              <w:right w:w="100" w:type="dxa"/>
            </w:tcMar>
            <w:vAlign w:val="center"/>
          </w:tcPr>
          <w:p w14:paraId="6DE97AD7"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Screen Tier 2/3 uses for privacy risk; complete a DPIA where required and an AI impact assessment before go-live.</w:t>
            </w:r>
          </w:p>
        </w:tc>
        <w:tc>
          <w:tcPr>
            <w:tcW w:w="1875" w:type="dxa"/>
            <w:tcMar>
              <w:top w:w="80" w:type="dxa"/>
              <w:left w:w="100" w:type="dxa"/>
              <w:bottom w:w="80" w:type="dxa"/>
              <w:right w:w="100" w:type="dxa"/>
            </w:tcMar>
            <w:vAlign w:val="center"/>
          </w:tcPr>
          <w:p w14:paraId="311A7FD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Data protection, Legal, AI risk owner and business sponsor.</w:t>
            </w:r>
          </w:p>
        </w:tc>
        <w:tc>
          <w:tcPr>
            <w:tcW w:w="2014" w:type="dxa"/>
            <w:tcMar>
              <w:top w:w="80" w:type="dxa"/>
              <w:left w:w="100" w:type="dxa"/>
              <w:bottom w:w="80" w:type="dxa"/>
              <w:right w:w="100" w:type="dxa"/>
            </w:tcMar>
            <w:vAlign w:val="center"/>
          </w:tcPr>
          <w:p w14:paraId="60A65C8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Screening documented for all Tier 2/3 uses; required DPIAs and AI impact assessments completed before go-live; residual risk accepted by an owner.</w:t>
            </w:r>
          </w:p>
        </w:tc>
        <w:tc>
          <w:tcPr>
            <w:tcW w:w="1527" w:type="dxa"/>
            <w:tcMar>
              <w:top w:w="80" w:type="dxa"/>
              <w:left w:w="100" w:type="dxa"/>
              <w:bottom w:w="80" w:type="dxa"/>
              <w:right w:w="100" w:type="dxa"/>
            </w:tcMar>
            <w:vAlign w:val="center"/>
          </w:tcPr>
          <w:p w14:paraId="69396F1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Align data protection, ethics and regulatory readiness.</w:t>
            </w:r>
          </w:p>
        </w:tc>
      </w:tr>
      <w:tr w:rsidR="004A6265" w:rsidRPr="004A6265" w14:paraId="2A00D87E" w14:textId="77777777" w:rsidTr="00CA3F13">
        <w:trPr>
          <w:cantSplit/>
          <w:jc w:val="center"/>
        </w:trPr>
        <w:tc>
          <w:tcPr>
            <w:tcW w:w="1111" w:type="dxa"/>
            <w:tcMar>
              <w:top w:w="80" w:type="dxa"/>
              <w:left w:w="100" w:type="dxa"/>
              <w:bottom w:w="80" w:type="dxa"/>
              <w:right w:w="100" w:type="dxa"/>
            </w:tcMar>
            <w:vAlign w:val="center"/>
          </w:tcPr>
          <w:p w14:paraId="215B8AB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3-6 months</w:t>
            </w:r>
          </w:p>
        </w:tc>
        <w:tc>
          <w:tcPr>
            <w:tcW w:w="2500" w:type="dxa"/>
            <w:tcMar>
              <w:top w:w="80" w:type="dxa"/>
              <w:left w:w="100" w:type="dxa"/>
              <w:bottom w:w="80" w:type="dxa"/>
              <w:right w:w="100" w:type="dxa"/>
            </w:tcMar>
            <w:vAlign w:val="center"/>
          </w:tcPr>
          <w:p w14:paraId="4FE6449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Define customer-facing AI transparency and escalation standards.</w:t>
            </w:r>
          </w:p>
        </w:tc>
        <w:tc>
          <w:tcPr>
            <w:tcW w:w="1875" w:type="dxa"/>
            <w:tcMar>
              <w:top w:w="80" w:type="dxa"/>
              <w:left w:w="100" w:type="dxa"/>
              <w:bottom w:w="80" w:type="dxa"/>
              <w:right w:w="100" w:type="dxa"/>
            </w:tcMar>
            <w:vAlign w:val="center"/>
          </w:tcPr>
          <w:p w14:paraId="4FE2E73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Customer Experience, Legal and Operations.</w:t>
            </w:r>
          </w:p>
        </w:tc>
        <w:tc>
          <w:tcPr>
            <w:tcW w:w="2014" w:type="dxa"/>
            <w:tcMar>
              <w:top w:w="80" w:type="dxa"/>
              <w:left w:w="100" w:type="dxa"/>
              <w:bottom w:w="80" w:type="dxa"/>
              <w:right w:w="100" w:type="dxa"/>
            </w:tcMar>
            <w:vAlign w:val="center"/>
          </w:tcPr>
          <w:p w14:paraId="4ECE15C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Disclosure included in AI-assisted channels; human escalation time tracked; complaint categories monitored.</w:t>
            </w:r>
          </w:p>
        </w:tc>
        <w:tc>
          <w:tcPr>
            <w:tcW w:w="1527" w:type="dxa"/>
            <w:tcMar>
              <w:top w:w="80" w:type="dxa"/>
              <w:left w:w="100" w:type="dxa"/>
              <w:bottom w:w="80" w:type="dxa"/>
              <w:right w:w="100" w:type="dxa"/>
            </w:tcMar>
            <w:vAlign w:val="center"/>
          </w:tcPr>
          <w:p w14:paraId="53276956"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Protect trust while preserving automation benefits.</w:t>
            </w:r>
          </w:p>
        </w:tc>
      </w:tr>
      <w:tr w:rsidR="004A6265" w:rsidRPr="004A6265" w14:paraId="15B5D29F" w14:textId="77777777" w:rsidTr="00CA3F13">
        <w:trPr>
          <w:cantSplit/>
          <w:jc w:val="center"/>
        </w:trPr>
        <w:tc>
          <w:tcPr>
            <w:tcW w:w="1111" w:type="dxa"/>
            <w:tcMar>
              <w:top w:w="80" w:type="dxa"/>
              <w:left w:w="100" w:type="dxa"/>
              <w:bottom w:w="80" w:type="dxa"/>
              <w:right w:w="100" w:type="dxa"/>
            </w:tcMar>
            <w:vAlign w:val="center"/>
          </w:tcPr>
          <w:p w14:paraId="7D7E21DA"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lastRenderedPageBreak/>
              <w:t>6-12 months</w:t>
            </w:r>
          </w:p>
        </w:tc>
        <w:tc>
          <w:tcPr>
            <w:tcW w:w="2500" w:type="dxa"/>
            <w:tcMar>
              <w:top w:w="80" w:type="dxa"/>
              <w:left w:w="100" w:type="dxa"/>
              <w:bottom w:w="80" w:type="dxa"/>
              <w:right w:w="100" w:type="dxa"/>
            </w:tcMar>
            <w:vAlign w:val="center"/>
          </w:tcPr>
          <w:p w14:paraId="6AE59E5B" w14:textId="77777777" w:rsidR="004A6265" w:rsidRPr="004A6265" w:rsidRDefault="004A6265" w:rsidP="004A6265">
            <w:pPr>
              <w:spacing w:line="480" w:lineRule="auto"/>
              <w:rPr>
                <w:rFonts w:ascii="Times New Roman" w:hAnsi="Times New Roman" w:cs="Times New Roman"/>
                <w:sz w:val="24"/>
                <w:szCs w:val="24"/>
              </w:rPr>
            </w:pPr>
            <w:proofErr w:type="spellStart"/>
            <w:r w:rsidRPr="004A6265">
              <w:rPr>
                <w:rFonts w:ascii="Times New Roman" w:hAnsi="Times New Roman" w:cs="Times New Roman"/>
                <w:sz w:val="24"/>
                <w:szCs w:val="24"/>
              </w:rPr>
              <w:t>Formalise</w:t>
            </w:r>
            <w:proofErr w:type="spellEnd"/>
            <w:r w:rsidRPr="004A6265">
              <w:rPr>
                <w:rFonts w:ascii="Times New Roman" w:hAnsi="Times New Roman" w:cs="Times New Roman"/>
                <w:sz w:val="24"/>
                <w:szCs w:val="24"/>
              </w:rPr>
              <w:t xml:space="preserve"> the full vendor and model change-control regime, building on interim Tier 2/3 controls.</w:t>
            </w:r>
          </w:p>
        </w:tc>
        <w:tc>
          <w:tcPr>
            <w:tcW w:w="1875" w:type="dxa"/>
            <w:tcMar>
              <w:top w:w="80" w:type="dxa"/>
              <w:left w:w="100" w:type="dxa"/>
              <w:bottom w:w="80" w:type="dxa"/>
              <w:right w:w="100" w:type="dxa"/>
            </w:tcMar>
            <w:vAlign w:val="center"/>
          </w:tcPr>
          <w:p w14:paraId="05F8F423"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Procurement, Cybersecurity and divisional technology owners.</w:t>
            </w:r>
          </w:p>
        </w:tc>
        <w:tc>
          <w:tcPr>
            <w:tcW w:w="2014" w:type="dxa"/>
            <w:tcMar>
              <w:top w:w="80" w:type="dxa"/>
              <w:left w:w="100" w:type="dxa"/>
              <w:bottom w:w="80" w:type="dxa"/>
              <w:right w:w="100" w:type="dxa"/>
            </w:tcMar>
            <w:vAlign w:val="center"/>
          </w:tcPr>
          <w:p w14:paraId="3ABA858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All Tier 2/3 suppliers reviewed; model updates logged; rollback plan tested.</w:t>
            </w:r>
          </w:p>
        </w:tc>
        <w:tc>
          <w:tcPr>
            <w:tcW w:w="1527" w:type="dxa"/>
            <w:tcMar>
              <w:top w:w="80" w:type="dxa"/>
              <w:left w:w="100" w:type="dxa"/>
              <w:bottom w:w="80" w:type="dxa"/>
              <w:right w:w="100" w:type="dxa"/>
            </w:tcMar>
            <w:vAlign w:val="center"/>
          </w:tcPr>
          <w:p w14:paraId="20A2842F"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Manage third-party and cyber-dependent AI risk.</w:t>
            </w:r>
          </w:p>
        </w:tc>
      </w:tr>
      <w:tr w:rsidR="004A6265" w:rsidRPr="004A6265" w14:paraId="54E2A830" w14:textId="77777777" w:rsidTr="00CA3F13">
        <w:trPr>
          <w:cantSplit/>
          <w:jc w:val="center"/>
        </w:trPr>
        <w:tc>
          <w:tcPr>
            <w:tcW w:w="1111" w:type="dxa"/>
            <w:tcMar>
              <w:top w:w="80" w:type="dxa"/>
              <w:left w:w="100" w:type="dxa"/>
              <w:bottom w:w="80" w:type="dxa"/>
              <w:right w:w="100" w:type="dxa"/>
            </w:tcMar>
            <w:vAlign w:val="center"/>
          </w:tcPr>
          <w:p w14:paraId="7B5DE58A"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6-12 months</w:t>
            </w:r>
          </w:p>
        </w:tc>
        <w:tc>
          <w:tcPr>
            <w:tcW w:w="2500" w:type="dxa"/>
            <w:tcMar>
              <w:top w:w="80" w:type="dxa"/>
              <w:left w:w="100" w:type="dxa"/>
              <w:bottom w:w="80" w:type="dxa"/>
              <w:right w:w="100" w:type="dxa"/>
            </w:tcMar>
            <w:vAlign w:val="center"/>
          </w:tcPr>
          <w:p w14:paraId="5C3BDFC9"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Launch AI literacy and role-specific training for managers, customer teams, warehouse leaders and product owners.</w:t>
            </w:r>
          </w:p>
        </w:tc>
        <w:tc>
          <w:tcPr>
            <w:tcW w:w="1875" w:type="dxa"/>
            <w:tcMar>
              <w:top w:w="80" w:type="dxa"/>
              <w:left w:w="100" w:type="dxa"/>
              <w:bottom w:w="80" w:type="dxa"/>
              <w:right w:w="100" w:type="dxa"/>
            </w:tcMar>
            <w:vAlign w:val="center"/>
          </w:tcPr>
          <w:p w14:paraId="0004F73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Human resources, Digital Academy and Risk.</w:t>
            </w:r>
          </w:p>
        </w:tc>
        <w:tc>
          <w:tcPr>
            <w:tcW w:w="2014" w:type="dxa"/>
            <w:tcMar>
              <w:top w:w="80" w:type="dxa"/>
              <w:left w:w="100" w:type="dxa"/>
              <w:bottom w:w="80" w:type="dxa"/>
              <w:right w:w="100" w:type="dxa"/>
            </w:tcMar>
            <w:vAlign w:val="center"/>
          </w:tcPr>
          <w:p w14:paraId="598CC09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90% completion for in-scope roles; training refreshed annually.</w:t>
            </w:r>
          </w:p>
        </w:tc>
        <w:tc>
          <w:tcPr>
            <w:tcW w:w="1527" w:type="dxa"/>
            <w:tcMar>
              <w:top w:w="80" w:type="dxa"/>
              <w:left w:w="100" w:type="dxa"/>
              <w:bottom w:w="80" w:type="dxa"/>
              <w:right w:w="100" w:type="dxa"/>
            </w:tcMar>
            <w:vAlign w:val="center"/>
          </w:tcPr>
          <w:p w14:paraId="07C61364"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Build governance culture and reduce misuse.</w:t>
            </w:r>
          </w:p>
        </w:tc>
      </w:tr>
      <w:tr w:rsidR="004A6265" w:rsidRPr="004A6265" w14:paraId="1C522612" w14:textId="77777777" w:rsidTr="00CA3F13">
        <w:trPr>
          <w:cantSplit/>
          <w:jc w:val="center"/>
        </w:trPr>
        <w:tc>
          <w:tcPr>
            <w:tcW w:w="1111" w:type="dxa"/>
            <w:tcMar>
              <w:top w:w="80" w:type="dxa"/>
              <w:left w:w="100" w:type="dxa"/>
              <w:bottom w:w="80" w:type="dxa"/>
              <w:right w:w="100" w:type="dxa"/>
            </w:tcMar>
            <w:vAlign w:val="center"/>
          </w:tcPr>
          <w:p w14:paraId="165B1082"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Day 90 onward</w:t>
            </w:r>
          </w:p>
        </w:tc>
        <w:tc>
          <w:tcPr>
            <w:tcW w:w="2500" w:type="dxa"/>
            <w:tcMar>
              <w:top w:w="80" w:type="dxa"/>
              <w:left w:w="100" w:type="dxa"/>
              <w:bottom w:w="80" w:type="dxa"/>
              <w:right w:w="100" w:type="dxa"/>
            </w:tcMar>
            <w:vAlign w:val="center"/>
          </w:tcPr>
          <w:p w14:paraId="3E950140"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Deliver an initial board dashboard by day 90 and review it quarterly, adding assured value and trust measures as baselines improve.</w:t>
            </w:r>
          </w:p>
        </w:tc>
        <w:tc>
          <w:tcPr>
            <w:tcW w:w="1875" w:type="dxa"/>
            <w:tcMar>
              <w:top w:w="80" w:type="dxa"/>
              <w:left w:w="100" w:type="dxa"/>
              <w:bottom w:w="80" w:type="dxa"/>
              <w:right w:w="100" w:type="dxa"/>
            </w:tcMar>
            <w:vAlign w:val="center"/>
          </w:tcPr>
          <w:p w14:paraId="755DCCAA"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AI Risk Owner and Group Risk Management.</w:t>
            </w:r>
          </w:p>
        </w:tc>
        <w:tc>
          <w:tcPr>
            <w:tcW w:w="2014" w:type="dxa"/>
            <w:tcMar>
              <w:top w:w="80" w:type="dxa"/>
              <w:left w:w="100" w:type="dxa"/>
              <w:bottom w:w="80" w:type="dxa"/>
              <w:right w:w="100" w:type="dxa"/>
            </w:tcMar>
            <w:vAlign w:val="center"/>
          </w:tcPr>
          <w:p w14:paraId="2A817C7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First dashboard records discovered uses, gaps and material incidents; later reviews compare errors, complaints, control failures and measured value.</w:t>
            </w:r>
          </w:p>
        </w:tc>
        <w:tc>
          <w:tcPr>
            <w:tcW w:w="1527" w:type="dxa"/>
            <w:tcMar>
              <w:top w:w="80" w:type="dxa"/>
              <w:left w:w="100" w:type="dxa"/>
              <w:bottom w:w="80" w:type="dxa"/>
              <w:right w:w="100" w:type="dxa"/>
            </w:tcMar>
            <w:vAlign w:val="center"/>
          </w:tcPr>
          <w:p w14:paraId="44917C16"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Keep board oversight strategic and evidence-based.</w:t>
            </w:r>
          </w:p>
        </w:tc>
      </w:tr>
      <w:tr w:rsidR="004A6265" w:rsidRPr="004A6265" w14:paraId="4A8C87B0" w14:textId="77777777" w:rsidTr="00CA3F13">
        <w:trPr>
          <w:cantSplit/>
          <w:jc w:val="center"/>
        </w:trPr>
        <w:tc>
          <w:tcPr>
            <w:tcW w:w="1111" w:type="dxa"/>
            <w:tcMar>
              <w:top w:w="80" w:type="dxa"/>
              <w:left w:w="100" w:type="dxa"/>
              <w:bottom w:w="80" w:type="dxa"/>
              <w:right w:w="100" w:type="dxa"/>
            </w:tcMar>
            <w:vAlign w:val="center"/>
          </w:tcPr>
          <w:p w14:paraId="168B3E5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lastRenderedPageBreak/>
              <w:t>Year 1-3</w:t>
            </w:r>
          </w:p>
        </w:tc>
        <w:tc>
          <w:tcPr>
            <w:tcW w:w="2500" w:type="dxa"/>
            <w:tcMar>
              <w:top w:w="80" w:type="dxa"/>
              <w:left w:w="100" w:type="dxa"/>
              <w:bottom w:w="80" w:type="dxa"/>
              <w:right w:w="100" w:type="dxa"/>
            </w:tcMar>
            <w:vAlign w:val="center"/>
          </w:tcPr>
          <w:p w14:paraId="76E3FD46"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Implement independent assurance for Tier 3 systems and annual review for Tier 2 systems.</w:t>
            </w:r>
          </w:p>
        </w:tc>
        <w:tc>
          <w:tcPr>
            <w:tcW w:w="1875" w:type="dxa"/>
            <w:tcMar>
              <w:top w:w="80" w:type="dxa"/>
              <w:left w:w="100" w:type="dxa"/>
              <w:bottom w:w="80" w:type="dxa"/>
              <w:right w:w="100" w:type="dxa"/>
            </w:tcMar>
            <w:vAlign w:val="center"/>
          </w:tcPr>
          <w:p w14:paraId="23786CEE"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Internal Audit with external specialists where needed.</w:t>
            </w:r>
          </w:p>
        </w:tc>
        <w:tc>
          <w:tcPr>
            <w:tcW w:w="2014" w:type="dxa"/>
            <w:tcMar>
              <w:top w:w="80" w:type="dxa"/>
              <w:left w:w="100" w:type="dxa"/>
              <w:bottom w:w="80" w:type="dxa"/>
              <w:right w:w="100" w:type="dxa"/>
            </w:tcMar>
            <w:vAlign w:val="center"/>
          </w:tcPr>
          <w:p w14:paraId="5DF79BB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Audit plan approved annually; findings closed within agreed deadlines.</w:t>
            </w:r>
          </w:p>
        </w:tc>
        <w:tc>
          <w:tcPr>
            <w:tcW w:w="1527" w:type="dxa"/>
            <w:tcMar>
              <w:top w:w="80" w:type="dxa"/>
              <w:left w:w="100" w:type="dxa"/>
              <w:bottom w:w="80" w:type="dxa"/>
              <w:right w:w="100" w:type="dxa"/>
            </w:tcMar>
            <w:vAlign w:val="center"/>
          </w:tcPr>
          <w:p w14:paraId="7F1E5AC1"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Create credible assurance for regulators, customers and the board.</w:t>
            </w:r>
          </w:p>
        </w:tc>
      </w:tr>
      <w:tr w:rsidR="004A6265" w:rsidRPr="004A6265" w14:paraId="1630E26B" w14:textId="77777777" w:rsidTr="00CA3F13">
        <w:trPr>
          <w:cantSplit/>
          <w:jc w:val="center"/>
        </w:trPr>
        <w:tc>
          <w:tcPr>
            <w:tcW w:w="1111" w:type="dxa"/>
            <w:tcMar>
              <w:top w:w="80" w:type="dxa"/>
              <w:left w:w="100" w:type="dxa"/>
              <w:bottom w:w="80" w:type="dxa"/>
              <w:right w:w="100" w:type="dxa"/>
            </w:tcMar>
            <w:vAlign w:val="center"/>
          </w:tcPr>
          <w:p w14:paraId="0C3E423C"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Year 3+</w:t>
            </w:r>
          </w:p>
        </w:tc>
        <w:tc>
          <w:tcPr>
            <w:tcW w:w="2500" w:type="dxa"/>
            <w:tcMar>
              <w:top w:w="80" w:type="dxa"/>
              <w:left w:w="100" w:type="dxa"/>
              <w:bottom w:w="80" w:type="dxa"/>
              <w:right w:w="100" w:type="dxa"/>
            </w:tcMar>
            <w:vAlign w:val="center"/>
          </w:tcPr>
          <w:p w14:paraId="4B7F9C5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Integrate AI governance into enterprise risk management, sustainability and investment decisions.</w:t>
            </w:r>
          </w:p>
        </w:tc>
        <w:tc>
          <w:tcPr>
            <w:tcW w:w="1875" w:type="dxa"/>
            <w:tcMar>
              <w:top w:w="80" w:type="dxa"/>
              <w:left w:w="100" w:type="dxa"/>
              <w:bottom w:w="80" w:type="dxa"/>
              <w:right w:w="100" w:type="dxa"/>
            </w:tcMar>
            <w:vAlign w:val="center"/>
          </w:tcPr>
          <w:p w14:paraId="799E67D6"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hAnsi="Times New Roman" w:cs="Times New Roman"/>
                <w:sz w:val="24"/>
                <w:szCs w:val="24"/>
              </w:rPr>
              <w:t>Board, finance lead, Risk and Strategy.</w:t>
            </w:r>
          </w:p>
        </w:tc>
        <w:tc>
          <w:tcPr>
            <w:tcW w:w="2014" w:type="dxa"/>
            <w:tcMar>
              <w:top w:w="80" w:type="dxa"/>
              <w:left w:w="100" w:type="dxa"/>
              <w:bottom w:w="80" w:type="dxa"/>
              <w:right w:w="100" w:type="dxa"/>
            </w:tcMar>
            <w:vAlign w:val="center"/>
          </w:tcPr>
          <w:p w14:paraId="4D026498"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AI business cases include value, risk, emissions, workforce and trust measures.</w:t>
            </w:r>
          </w:p>
        </w:tc>
        <w:tc>
          <w:tcPr>
            <w:tcW w:w="1527" w:type="dxa"/>
            <w:tcMar>
              <w:top w:w="80" w:type="dxa"/>
              <w:left w:w="100" w:type="dxa"/>
              <w:bottom w:w="80" w:type="dxa"/>
              <w:right w:w="100" w:type="dxa"/>
            </w:tcMar>
            <w:vAlign w:val="center"/>
          </w:tcPr>
          <w:p w14:paraId="6FD9EB9D" w14:textId="77777777" w:rsidR="004A6265" w:rsidRPr="004A6265" w:rsidRDefault="004A6265" w:rsidP="004A6265">
            <w:pPr>
              <w:spacing w:line="480" w:lineRule="auto"/>
              <w:rPr>
                <w:rFonts w:ascii="Times New Roman" w:hAnsi="Times New Roman" w:cs="Times New Roman"/>
                <w:sz w:val="24"/>
                <w:szCs w:val="24"/>
              </w:rPr>
            </w:pPr>
            <w:r w:rsidRPr="004A6265">
              <w:rPr>
                <w:rFonts w:ascii="Times New Roman" w:eastAsia="Times New Roman" w:hAnsi="Times New Roman" w:cs="Times New Roman"/>
                <w:color w:val="000000"/>
                <w:sz w:val="24"/>
                <w:szCs w:val="24"/>
              </w:rPr>
              <w:t>Make responsible AI a long-term competitive capability.</w:t>
            </w:r>
          </w:p>
        </w:tc>
      </w:tr>
    </w:tbl>
    <w:p w14:paraId="6C6AEA6D" w14:textId="77777777" w:rsidR="004A6265" w:rsidRPr="004A6265" w:rsidRDefault="004A6265" w:rsidP="004A6265">
      <w:pPr>
        <w:spacing w:line="480" w:lineRule="auto"/>
        <w:rPr>
          <w:rFonts w:ascii="Times New Roman" w:hAnsi="Times New Roman" w:cs="Times New Roman"/>
          <w:sz w:val="24"/>
          <w:szCs w:val="24"/>
        </w:rPr>
      </w:pPr>
    </w:p>
    <w:p w14:paraId="2F9CC364" w14:textId="77777777" w:rsidR="009A5136" w:rsidRPr="004A6265" w:rsidRDefault="009A5136" w:rsidP="004A6265">
      <w:pPr>
        <w:pStyle w:val="2"/>
        <w:spacing w:line="480" w:lineRule="auto"/>
        <w:rPr>
          <w:rFonts w:ascii="Times New Roman" w:hAnsi="Times New Roman" w:cs="Times New Roman"/>
          <w:sz w:val="24"/>
          <w:szCs w:val="24"/>
          <w:lang w:eastAsia="zh-CN"/>
        </w:rPr>
      </w:pPr>
    </w:p>
    <w:sectPr w:rsidR="009A5136" w:rsidRPr="004A6265"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7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8"/>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07936"/>
    <w:rsid w:val="00115B96"/>
    <w:rsid w:val="00324CCD"/>
    <w:rsid w:val="00366E29"/>
    <w:rsid w:val="004363C9"/>
    <w:rsid w:val="00437F9F"/>
    <w:rsid w:val="00480872"/>
    <w:rsid w:val="004A11F6"/>
    <w:rsid w:val="004A6265"/>
    <w:rsid w:val="004D519C"/>
    <w:rsid w:val="00744E8C"/>
    <w:rsid w:val="007D1947"/>
    <w:rsid w:val="00931CAA"/>
    <w:rsid w:val="009A5136"/>
    <w:rsid w:val="00A12B58"/>
    <w:rsid w:val="00AA2A91"/>
    <w:rsid w:val="00CA09F3"/>
    <w:rsid w:val="00CD1C88"/>
    <w:rsid w:val="00D854A5"/>
    <w:rsid w:val="00E15338"/>
    <w:rsid w:val="00EA18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semiHidden/>
    <w:unhideWhenUsed/>
    <w:qFormat/>
    <w:rsid w:val="009A5136"/>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character" w:customStyle="1" w:styleId="30">
    <w:name w:val="标题 3 字符"/>
    <w:basedOn w:val="a0"/>
    <w:link w:val="3"/>
    <w:uiPriority w:val="9"/>
    <w:semiHidden/>
    <w:rsid w:val="009A5136"/>
    <w:rPr>
      <w:b/>
      <w:bCs/>
      <w:sz w:val="32"/>
      <w:szCs w:val="32"/>
    </w:rPr>
  </w:style>
  <w:style w:type="table" w:styleId="a6">
    <w:name w:val="Table Grid"/>
    <w:basedOn w:val="a1"/>
    <w:uiPriority w:val="59"/>
    <w:rsid w:val="009A513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a"/>
    <w:next w:val="a"/>
    <w:autoRedefine/>
    <w:uiPriority w:val="39"/>
    <w:unhideWhenUsed/>
    <w:rsid w:val="00366E2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38E8"/>
    <w:rsid w:val="00145AD8"/>
    <w:rsid w:val="001556D1"/>
    <w:rsid w:val="00242260"/>
    <w:rsid w:val="002450A7"/>
    <w:rsid w:val="003203C2"/>
    <w:rsid w:val="00437F9F"/>
    <w:rsid w:val="004D25D2"/>
    <w:rsid w:val="00886E75"/>
    <w:rsid w:val="00A14024"/>
    <w:rsid w:val="00A34C42"/>
    <w:rsid w:val="00BA72F8"/>
    <w:rsid w:val="00BC1251"/>
    <w:rsid w:val="00C32074"/>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2026-10-07T00:00:00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41</Pages>
  <Words>9018</Words>
  <Characters>51408</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60306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Risk Management in DHL:                                                          A UK and EU Report</dc:title>
  <dc:subject>Yitong Liu                                                                                                                   2500637</dc:subject>
  <dc:creator>Marie Pitson</dc:creator>
  <cp:keywords/>
  <dc:description/>
  <cp:lastModifiedBy>183285948@qq.com</cp:lastModifiedBy>
  <cp:revision>6</cp:revision>
  <dcterms:created xsi:type="dcterms:W3CDTF">2026-10-07T21:02:00Z</dcterms:created>
  <dcterms:modified xsi:type="dcterms:W3CDTF">2026-10-08T10:03:00Z</dcterms:modified>
</cp:coreProperties>
</file>