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C7592" w14:textId="1066FDA0" w:rsidR="009C4519" w:rsidRPr="00DB514B" w:rsidRDefault="009C4519" w:rsidP="00DB514B">
      <w:pPr>
        <w:spacing w:line="480" w:lineRule="auto"/>
        <w:jc w:val="center"/>
        <w:rPr>
          <w:rFonts w:ascii="Arial" w:hAnsi="Arial" w:cs="Arial"/>
          <w:sz w:val="22"/>
          <w:szCs w:val="22"/>
          <w:u w:val="single"/>
        </w:rPr>
      </w:pPr>
      <w:r w:rsidRPr="00DB514B">
        <w:rPr>
          <w:rFonts w:ascii="Arial" w:hAnsi="Arial" w:cs="Arial"/>
          <w:sz w:val="22"/>
          <w:szCs w:val="22"/>
          <w:u w:val="single"/>
        </w:rPr>
        <w:t>How can we improve pupil engagement through self-selection of tasks, within a KS2 classroom?</w:t>
      </w:r>
    </w:p>
    <w:p w14:paraId="34E0866D" w14:textId="77777777" w:rsidR="00D74A59" w:rsidRPr="00DB514B" w:rsidRDefault="00D74A59" w:rsidP="00DB514B">
      <w:pPr>
        <w:spacing w:line="480" w:lineRule="auto"/>
        <w:rPr>
          <w:rFonts w:ascii="Arial" w:hAnsi="Arial" w:cs="Arial"/>
          <w:sz w:val="22"/>
          <w:szCs w:val="22"/>
        </w:rPr>
      </w:pPr>
    </w:p>
    <w:p w14:paraId="732B839A" w14:textId="5A6FBA58" w:rsidR="009C4519" w:rsidRPr="00DB514B" w:rsidRDefault="009C4519" w:rsidP="00DB514B">
      <w:pPr>
        <w:spacing w:line="480" w:lineRule="auto"/>
        <w:rPr>
          <w:rFonts w:ascii="Arial" w:hAnsi="Arial" w:cs="Arial"/>
          <w:sz w:val="22"/>
          <w:szCs w:val="22"/>
        </w:rPr>
      </w:pPr>
      <w:r w:rsidRPr="00DB514B">
        <w:rPr>
          <w:rFonts w:ascii="Arial" w:hAnsi="Arial" w:cs="Arial"/>
          <w:sz w:val="22"/>
          <w:szCs w:val="22"/>
        </w:rPr>
        <w:t xml:space="preserve">The aim of this research project is to find out if pupil engagement can be improved through the self-selection of tasks. Within my school </w:t>
      </w:r>
      <w:r w:rsidR="00ED12BE" w:rsidRPr="00DB514B">
        <w:rPr>
          <w:rFonts w:ascii="Arial" w:hAnsi="Arial" w:cs="Arial"/>
          <w:sz w:val="22"/>
          <w:szCs w:val="22"/>
        </w:rPr>
        <w:t>pupils</w:t>
      </w:r>
      <w:r w:rsidRPr="00DB514B">
        <w:rPr>
          <w:rFonts w:ascii="Arial" w:hAnsi="Arial" w:cs="Arial"/>
          <w:sz w:val="22"/>
          <w:szCs w:val="22"/>
        </w:rPr>
        <w:t xml:space="preserve"> are very rarely given the opportunity to choose the tasks or the type of tasks in which they carry out. This is also the case for the </w:t>
      </w:r>
      <w:r w:rsidR="00ED12BE" w:rsidRPr="00DB514B">
        <w:rPr>
          <w:rFonts w:ascii="Arial" w:hAnsi="Arial" w:cs="Arial"/>
          <w:sz w:val="22"/>
          <w:szCs w:val="22"/>
        </w:rPr>
        <w:t xml:space="preserve">pupils </w:t>
      </w:r>
      <w:r w:rsidRPr="00DB514B">
        <w:rPr>
          <w:rFonts w:ascii="Arial" w:hAnsi="Arial" w:cs="Arial"/>
          <w:sz w:val="22"/>
          <w:szCs w:val="22"/>
        </w:rPr>
        <w:t xml:space="preserve">within my class. </w:t>
      </w:r>
    </w:p>
    <w:p w14:paraId="25F12722" w14:textId="2F770357" w:rsidR="009C4519" w:rsidRPr="00DB514B" w:rsidRDefault="009C4519" w:rsidP="00DB514B">
      <w:pPr>
        <w:spacing w:line="480" w:lineRule="auto"/>
        <w:rPr>
          <w:rFonts w:ascii="Arial" w:hAnsi="Arial" w:cs="Arial"/>
          <w:sz w:val="22"/>
          <w:szCs w:val="22"/>
        </w:rPr>
      </w:pPr>
    </w:p>
    <w:p w14:paraId="03C7FF18" w14:textId="4F4D53D2" w:rsidR="009C4519" w:rsidRPr="00DB514B" w:rsidRDefault="009C4519" w:rsidP="00DB514B">
      <w:pPr>
        <w:spacing w:line="480" w:lineRule="auto"/>
        <w:rPr>
          <w:rFonts w:ascii="Arial" w:hAnsi="Arial" w:cs="Arial"/>
          <w:color w:val="000000" w:themeColor="text1"/>
          <w:sz w:val="22"/>
          <w:szCs w:val="22"/>
        </w:rPr>
      </w:pPr>
      <w:r w:rsidRPr="00DB514B">
        <w:rPr>
          <w:rFonts w:ascii="Arial" w:hAnsi="Arial" w:cs="Arial"/>
          <w:sz w:val="22"/>
          <w:szCs w:val="22"/>
        </w:rPr>
        <w:t xml:space="preserve">The research for this project was carried out within two schools that are in partnership with the University of Wales Trinity Saint David. School 1 (my school) is a large school in the county borough of Bridgend. The school has approximately 480 pupils, with approximately 50% of pupils being eligible for free school meals (Estyn, 2016). The school is situated </w:t>
      </w:r>
      <w:r w:rsidR="002D565E" w:rsidRPr="00DB514B">
        <w:rPr>
          <w:rFonts w:ascii="Arial" w:hAnsi="Arial" w:cs="Arial"/>
          <w:sz w:val="22"/>
          <w:szCs w:val="22"/>
        </w:rPr>
        <w:t>in an economically deprived rural area. School 2 (research partner) is a large urban primary school in the centre of Swansea. The school accommodate for pupils aged 3-11. There are approximately 400 pupils in attendance, with around 35% of children eligible for free school meals (Estyn, 2014). The research for this project will be carried out in my mixed year 5/6 class and my partners year 6 class.</w:t>
      </w:r>
      <w:r w:rsidR="002D565E" w:rsidRPr="00DB514B">
        <w:rPr>
          <w:rFonts w:ascii="Arial" w:hAnsi="Arial" w:cs="Arial"/>
          <w:color w:val="FF0000"/>
          <w:sz w:val="22"/>
          <w:szCs w:val="22"/>
        </w:rPr>
        <w:t xml:space="preserve"> </w:t>
      </w:r>
      <w:r w:rsidR="002D565E" w:rsidRPr="00DB514B">
        <w:rPr>
          <w:rFonts w:ascii="Arial" w:hAnsi="Arial" w:cs="Arial"/>
          <w:color w:val="000000" w:themeColor="text1"/>
          <w:sz w:val="22"/>
          <w:szCs w:val="22"/>
        </w:rPr>
        <w:t xml:space="preserve">Our research question aims to find out how pupil engagement can be improved through self- selection of tasks. This is something that does not regularly occur within my class. After discussing with my partner, it was evident that neither classes regularly give their pupils the option of choosing the tasks which they will carry out. This research aims to discover if children within two Key Stage 2 classes are engaged in tasks that they themselves have selected. </w:t>
      </w:r>
    </w:p>
    <w:p w14:paraId="085980D9" w14:textId="7F25B85C" w:rsidR="00D74A59" w:rsidRPr="00DB514B" w:rsidRDefault="00D74A59" w:rsidP="00DB514B">
      <w:pPr>
        <w:spacing w:line="480" w:lineRule="auto"/>
        <w:rPr>
          <w:rFonts w:ascii="Arial" w:hAnsi="Arial" w:cs="Arial"/>
          <w:color w:val="000000" w:themeColor="text1"/>
          <w:sz w:val="22"/>
          <w:szCs w:val="22"/>
        </w:rPr>
      </w:pPr>
    </w:p>
    <w:p w14:paraId="651EA345" w14:textId="40D91507" w:rsidR="00305B7C" w:rsidRPr="00DB514B" w:rsidRDefault="00ED12BE" w:rsidP="00DB514B">
      <w:pPr>
        <w:spacing w:line="480" w:lineRule="auto"/>
        <w:rPr>
          <w:rFonts w:ascii="Arial" w:hAnsi="Arial" w:cs="Arial"/>
          <w:color w:val="000000" w:themeColor="text1"/>
          <w:sz w:val="22"/>
          <w:szCs w:val="22"/>
          <w:u w:val="single"/>
        </w:rPr>
      </w:pPr>
      <w:r w:rsidRPr="00DB514B">
        <w:rPr>
          <w:rFonts w:ascii="Arial" w:hAnsi="Arial" w:cs="Arial"/>
          <w:color w:val="000000" w:themeColor="text1"/>
          <w:sz w:val="22"/>
          <w:szCs w:val="22"/>
          <w:u w:val="single"/>
        </w:rPr>
        <w:t>Review of the literature</w:t>
      </w:r>
    </w:p>
    <w:p w14:paraId="4D4A8488" w14:textId="77777777" w:rsidR="00305B7C" w:rsidRPr="00DB514B" w:rsidRDefault="00305B7C" w:rsidP="00DB514B">
      <w:pPr>
        <w:spacing w:line="480" w:lineRule="auto"/>
        <w:rPr>
          <w:rFonts w:ascii="Arial" w:hAnsi="Arial" w:cs="Arial"/>
          <w:color w:val="000000" w:themeColor="text1"/>
          <w:sz w:val="22"/>
          <w:szCs w:val="22"/>
        </w:rPr>
      </w:pPr>
    </w:p>
    <w:p w14:paraId="555EA08E" w14:textId="64959107" w:rsidR="00D74A59" w:rsidRPr="00DB514B" w:rsidRDefault="00D74A59"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In order to gain an understanding of the possible links between pupil engagement and pupil self-selection I carried out a review of the literature surrounding these topics. </w:t>
      </w:r>
      <w:r w:rsidR="005A3328" w:rsidRPr="00DB514B">
        <w:rPr>
          <w:rFonts w:ascii="Arial" w:hAnsi="Arial" w:cs="Arial"/>
          <w:color w:val="000000" w:themeColor="text1"/>
          <w:sz w:val="22"/>
          <w:szCs w:val="22"/>
        </w:rPr>
        <w:t xml:space="preserve">Student engagement has long been recognised as the core to effective schooling (Marzano &amp; </w:t>
      </w:r>
      <w:r w:rsidR="005A3328" w:rsidRPr="00DB514B">
        <w:rPr>
          <w:rFonts w:ascii="Arial" w:hAnsi="Arial" w:cs="Arial"/>
          <w:color w:val="000000" w:themeColor="text1"/>
          <w:sz w:val="22"/>
          <w:szCs w:val="22"/>
        </w:rPr>
        <w:lastRenderedPageBreak/>
        <w:t>Pickering, 2010). The underlying notion of pupil engagement is centred on the extent to which pupil</w:t>
      </w:r>
      <w:r w:rsidR="00ED12BE" w:rsidRPr="00DB514B">
        <w:rPr>
          <w:rFonts w:ascii="Arial" w:hAnsi="Arial" w:cs="Arial"/>
          <w:color w:val="000000" w:themeColor="text1"/>
          <w:sz w:val="22"/>
          <w:szCs w:val="22"/>
        </w:rPr>
        <w:t>s</w:t>
      </w:r>
      <w:r w:rsidR="005A3328" w:rsidRPr="00DB514B">
        <w:rPr>
          <w:rFonts w:ascii="Arial" w:hAnsi="Arial" w:cs="Arial"/>
          <w:color w:val="000000" w:themeColor="text1"/>
          <w:sz w:val="22"/>
          <w:szCs w:val="22"/>
        </w:rPr>
        <w:t xml:space="preserve"> are engaging with academic activities (Xerri, Radford &amp; Shacklock, 2018). It has been said that student engagement represents the time and energy pupils invest in educational activities and the effort institutions devote to using effective educational practices (Xerri, Radford &amp; Shacklock, 2018).  This is echoed by </w:t>
      </w:r>
      <w:r w:rsidRPr="00DB514B">
        <w:rPr>
          <w:rFonts w:ascii="Arial" w:hAnsi="Arial" w:cs="Arial"/>
          <w:color w:val="000000" w:themeColor="text1"/>
          <w:sz w:val="22"/>
          <w:szCs w:val="22"/>
        </w:rPr>
        <w:t xml:space="preserve">Barkley (2009) </w:t>
      </w:r>
      <w:r w:rsidR="005A3328" w:rsidRPr="00DB514B">
        <w:rPr>
          <w:rFonts w:ascii="Arial" w:hAnsi="Arial" w:cs="Arial"/>
          <w:color w:val="000000" w:themeColor="text1"/>
          <w:sz w:val="22"/>
          <w:szCs w:val="22"/>
        </w:rPr>
        <w:t xml:space="preserve">who </w:t>
      </w:r>
      <w:r w:rsidRPr="00DB514B">
        <w:rPr>
          <w:rFonts w:ascii="Arial" w:hAnsi="Arial" w:cs="Arial"/>
          <w:color w:val="000000" w:themeColor="text1"/>
          <w:sz w:val="22"/>
          <w:szCs w:val="22"/>
        </w:rPr>
        <w:t>states that student engagement has two key components. The first is the amount of time and effort that pupils put into the activities that leads to the experiences and outcomes that constitute to pupil success. The second component is the way the institute (school) allocates resources and organises learning opportunities to induce pupils to participate in and benefit from such activities. Engaging children in academic activities i</w:t>
      </w:r>
      <w:r w:rsidR="00E30D73" w:rsidRPr="00DB514B">
        <w:rPr>
          <w:rFonts w:ascii="Arial" w:hAnsi="Arial" w:cs="Arial"/>
          <w:color w:val="000000" w:themeColor="text1"/>
          <w:sz w:val="22"/>
          <w:szCs w:val="22"/>
        </w:rPr>
        <w:t>s</w:t>
      </w:r>
      <w:r w:rsidRPr="00DB514B">
        <w:rPr>
          <w:rFonts w:ascii="Arial" w:hAnsi="Arial" w:cs="Arial"/>
          <w:color w:val="000000" w:themeColor="text1"/>
          <w:sz w:val="22"/>
          <w:szCs w:val="22"/>
        </w:rPr>
        <w:t xml:space="preserve"> critical for the overall success of their student experience (Xerri, Radford and Shacklock, 2018). </w:t>
      </w:r>
      <w:r w:rsidR="00E30D73" w:rsidRPr="00DB514B">
        <w:rPr>
          <w:rFonts w:ascii="Arial" w:hAnsi="Arial" w:cs="Arial"/>
          <w:color w:val="000000" w:themeColor="text1"/>
          <w:sz w:val="22"/>
          <w:szCs w:val="22"/>
        </w:rPr>
        <w:t xml:space="preserve">It has been said that when children are intrinsically motivated to perform an activity, they spend more time engaged with the activity, they learn better and they enjoy it (Middleton, 1995). This is supported by Barkley (2009) who stated that the greater a pupils’ engagement in academic work, the greater the level of knowledge and general cognitive development that is gained. </w:t>
      </w:r>
    </w:p>
    <w:p w14:paraId="4324963D" w14:textId="77777777" w:rsidR="00202182" w:rsidRPr="00DB514B" w:rsidRDefault="005A3328"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Despite its obvious importance to teaching and learning, engagement is said to be not an easily defined concept (Marzano &amp; Pickering, 2010). Engagement is viewed as multidimensional, and involves aspects of pupils’ emotions, behaviours and </w:t>
      </w:r>
      <w:r w:rsidR="00902E94" w:rsidRPr="00DB514B">
        <w:rPr>
          <w:rFonts w:ascii="Arial" w:hAnsi="Arial" w:cs="Arial"/>
          <w:color w:val="000000" w:themeColor="text1"/>
          <w:sz w:val="22"/>
          <w:szCs w:val="22"/>
        </w:rPr>
        <w:t>cognition</w:t>
      </w:r>
      <w:r w:rsidRPr="00DB514B">
        <w:rPr>
          <w:rFonts w:ascii="Arial" w:hAnsi="Arial" w:cs="Arial"/>
          <w:color w:val="000000" w:themeColor="text1"/>
          <w:sz w:val="22"/>
          <w:szCs w:val="22"/>
        </w:rPr>
        <w:t xml:space="preserve"> (Chri</w:t>
      </w:r>
      <w:r w:rsidR="00202182" w:rsidRPr="00DB514B">
        <w:rPr>
          <w:rFonts w:ascii="Arial" w:hAnsi="Arial" w:cs="Arial"/>
          <w:color w:val="000000" w:themeColor="text1"/>
          <w:sz w:val="22"/>
          <w:szCs w:val="22"/>
        </w:rPr>
        <w:t>s</w:t>
      </w:r>
      <w:r w:rsidRPr="00DB514B">
        <w:rPr>
          <w:rFonts w:ascii="Arial" w:hAnsi="Arial" w:cs="Arial"/>
          <w:color w:val="000000" w:themeColor="text1"/>
          <w:sz w:val="22"/>
          <w:szCs w:val="22"/>
        </w:rPr>
        <w:t xml:space="preserve">tenson, Reschly &amp; Wylie, 2012). </w:t>
      </w:r>
      <w:r w:rsidR="00902E94" w:rsidRPr="00DB514B">
        <w:rPr>
          <w:rFonts w:ascii="Arial" w:hAnsi="Arial" w:cs="Arial"/>
          <w:color w:val="000000" w:themeColor="text1"/>
          <w:sz w:val="22"/>
          <w:szCs w:val="22"/>
        </w:rPr>
        <w:t>Xerri, Radford and Shacklock (2018) state that it is important to understand the factors that influence student engagement. This is something myself and my research partner wish to do. Does engagement have an impact on learning? Barkley (2009) states that pupils who are engaged, really care about what they are learning; they want to learn. She continues by stating that when pupils are engaged within an activity they exceed expectations and go beyond what is expected and required of them. This is echoed by Valerio (2012) who states that engagement and motivation play a significant role in pupils learning and development.</w:t>
      </w:r>
      <w:r w:rsidR="00202182" w:rsidRPr="00DB514B">
        <w:rPr>
          <w:rFonts w:ascii="Arial" w:hAnsi="Arial" w:cs="Arial"/>
          <w:color w:val="000000" w:themeColor="text1"/>
          <w:sz w:val="22"/>
          <w:szCs w:val="22"/>
        </w:rPr>
        <w:t xml:space="preserve"> </w:t>
      </w:r>
    </w:p>
    <w:p w14:paraId="3323B0F8" w14:textId="5C4E16D2" w:rsidR="005D311E" w:rsidRPr="00DB514B" w:rsidRDefault="00202182"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The amount of choice and control a teacher allows in </w:t>
      </w:r>
      <w:r w:rsidR="00ED12BE" w:rsidRPr="00DB514B">
        <w:rPr>
          <w:rFonts w:ascii="Arial" w:hAnsi="Arial" w:cs="Arial"/>
          <w:color w:val="000000" w:themeColor="text1"/>
          <w:sz w:val="22"/>
          <w:szCs w:val="22"/>
        </w:rPr>
        <w:t xml:space="preserve">a </w:t>
      </w:r>
      <w:r w:rsidRPr="00DB514B">
        <w:rPr>
          <w:rFonts w:ascii="Arial" w:hAnsi="Arial" w:cs="Arial"/>
          <w:color w:val="000000" w:themeColor="text1"/>
          <w:sz w:val="22"/>
          <w:szCs w:val="22"/>
        </w:rPr>
        <w:t xml:space="preserve">learning experience can significantly impact learners’ intrinsic motivation. This is because choice within the classroom makes </w:t>
      </w:r>
      <w:r w:rsidRPr="00DB514B">
        <w:rPr>
          <w:rFonts w:ascii="Arial" w:hAnsi="Arial" w:cs="Arial"/>
          <w:color w:val="000000" w:themeColor="text1"/>
          <w:sz w:val="22"/>
          <w:szCs w:val="22"/>
        </w:rPr>
        <w:lastRenderedPageBreak/>
        <w:t xml:space="preserve">learning personalised and significant to the learners (Valerio, 2012). </w:t>
      </w:r>
      <w:r w:rsidR="00902E94" w:rsidRPr="00DB514B">
        <w:rPr>
          <w:rFonts w:ascii="Arial" w:hAnsi="Arial" w:cs="Arial"/>
          <w:color w:val="000000" w:themeColor="text1"/>
          <w:sz w:val="22"/>
          <w:szCs w:val="22"/>
        </w:rPr>
        <w:t xml:space="preserve"> </w:t>
      </w:r>
      <w:r w:rsidR="0046395D" w:rsidRPr="00DB514B">
        <w:rPr>
          <w:rFonts w:ascii="Arial" w:hAnsi="Arial" w:cs="Arial"/>
          <w:color w:val="000000" w:themeColor="text1"/>
          <w:sz w:val="22"/>
          <w:szCs w:val="22"/>
        </w:rPr>
        <w:t xml:space="preserve">The belief that choice promotes motivation and learning is widely accepted among teachers (Katz &amp; Assor, 2007). It has been argued that allowing pupils to choose provides them with a sense of ownership over their work (Valerio, 2012).  However, Marzano and Pickering (2010) state that even if pupils are emotionally engaged, they still may fail to engage in a new activity because they do not perceive is as interesting. It has been suggested that when pupil engagement is high, learning is made more significant, as pupils gain an incentive to satisfy their own curiosities (Valerio, 2012). It could be argued that </w:t>
      </w:r>
      <w:r w:rsidR="005B3F7A" w:rsidRPr="00DB514B">
        <w:rPr>
          <w:rFonts w:ascii="Arial" w:hAnsi="Arial" w:cs="Arial"/>
          <w:color w:val="000000" w:themeColor="text1"/>
          <w:sz w:val="22"/>
          <w:szCs w:val="22"/>
        </w:rPr>
        <w:t xml:space="preserve">if children are engaged in activities that interest them, they are more likely to be more motivated to complete them. </w:t>
      </w:r>
      <w:r w:rsidR="005D311E" w:rsidRPr="00DB514B">
        <w:rPr>
          <w:rFonts w:ascii="Arial" w:hAnsi="Arial" w:cs="Arial"/>
          <w:color w:val="000000" w:themeColor="text1"/>
          <w:sz w:val="22"/>
          <w:szCs w:val="22"/>
        </w:rPr>
        <w:t xml:space="preserve">Valerio (2012) states that intrinsic motivation refers to engaging in an activity for its own sake, for the enjoyment, challenge, interest or natural fulfilment of curiosity. It could be argued that if children are intrinsically motivated to complete a task, then their engagement in that task may be significantly highly than if they were not intrinsically motivated. </w:t>
      </w:r>
      <w:r w:rsidR="005067F7" w:rsidRPr="00DB514B">
        <w:rPr>
          <w:rFonts w:ascii="Arial" w:hAnsi="Arial" w:cs="Arial"/>
          <w:color w:val="000000" w:themeColor="text1"/>
          <w:sz w:val="22"/>
          <w:szCs w:val="22"/>
        </w:rPr>
        <w:t xml:space="preserve">Patall (2012) suggests that all kinds of people, particularly children, feel more competent, more in control and more motivated when they are able to express their preferences and make their own choices. </w:t>
      </w:r>
      <w:r w:rsidR="002812E7" w:rsidRPr="00DB514B">
        <w:rPr>
          <w:rFonts w:ascii="Arial" w:hAnsi="Arial" w:cs="Arial"/>
          <w:color w:val="000000" w:themeColor="text1"/>
          <w:sz w:val="22"/>
          <w:szCs w:val="22"/>
        </w:rPr>
        <w:t xml:space="preserve">Patall (2012) goes on to state that providing opportunities for choosing and decision making is a popular method which teachers utilise in order to enhance the motivation and learning of their students. </w:t>
      </w:r>
      <w:r w:rsidR="00586CF3" w:rsidRPr="00DB514B">
        <w:rPr>
          <w:rFonts w:ascii="Arial" w:hAnsi="Arial" w:cs="Arial"/>
          <w:color w:val="000000" w:themeColor="text1"/>
          <w:sz w:val="22"/>
          <w:szCs w:val="22"/>
        </w:rPr>
        <w:t xml:space="preserve">Cash (2017) states that pupils will not engage in learning unless the content of the learning situation has some relevance to them; whether that be personal or emotional. This is echoed by Martinek, Hofmann and Kipman (2016) who state that pupils are intrinsically motivated when the activity they are completing is interesting to them. It could be argued that practitioners need to ensure that the activities they prepare for their pupils have links to their interests, in order for them to be considered interesting by the pupils. </w:t>
      </w:r>
    </w:p>
    <w:p w14:paraId="395F70CF" w14:textId="1D7782AD" w:rsidR="00305B7C" w:rsidRPr="00DB514B" w:rsidRDefault="00305B7C" w:rsidP="00DB514B">
      <w:pPr>
        <w:spacing w:line="480" w:lineRule="auto"/>
        <w:rPr>
          <w:rFonts w:ascii="Arial" w:hAnsi="Arial" w:cs="Arial"/>
          <w:color w:val="000000" w:themeColor="text1"/>
          <w:sz w:val="22"/>
          <w:szCs w:val="22"/>
        </w:rPr>
      </w:pPr>
    </w:p>
    <w:p w14:paraId="23094BDD" w14:textId="2A26EB26" w:rsidR="00305B7C" w:rsidRPr="00DB514B" w:rsidRDefault="003A6348" w:rsidP="00DB514B">
      <w:pPr>
        <w:spacing w:line="480" w:lineRule="auto"/>
        <w:rPr>
          <w:rFonts w:ascii="Arial" w:hAnsi="Arial" w:cs="Arial"/>
          <w:color w:val="000000" w:themeColor="text1"/>
          <w:sz w:val="22"/>
          <w:szCs w:val="22"/>
          <w:u w:val="single"/>
        </w:rPr>
      </w:pPr>
      <w:r w:rsidRPr="00DB514B">
        <w:rPr>
          <w:rFonts w:ascii="Arial" w:hAnsi="Arial" w:cs="Arial"/>
          <w:color w:val="000000" w:themeColor="text1"/>
          <w:sz w:val="22"/>
          <w:szCs w:val="22"/>
          <w:u w:val="single"/>
        </w:rPr>
        <w:t xml:space="preserve">Lesson </w:t>
      </w:r>
      <w:r w:rsidR="00305B7C" w:rsidRPr="00DB514B">
        <w:rPr>
          <w:rFonts w:ascii="Arial" w:hAnsi="Arial" w:cs="Arial"/>
          <w:color w:val="000000" w:themeColor="text1"/>
          <w:sz w:val="22"/>
          <w:szCs w:val="22"/>
          <w:u w:val="single"/>
        </w:rPr>
        <w:t>study design</w:t>
      </w:r>
    </w:p>
    <w:p w14:paraId="21072653" w14:textId="0285B63A" w:rsidR="00305B7C" w:rsidRPr="00DB514B" w:rsidRDefault="00305B7C" w:rsidP="00DB514B">
      <w:pPr>
        <w:spacing w:line="480" w:lineRule="auto"/>
        <w:rPr>
          <w:rFonts w:ascii="Arial" w:hAnsi="Arial" w:cs="Arial"/>
          <w:color w:val="000000" w:themeColor="text1"/>
          <w:sz w:val="22"/>
          <w:szCs w:val="22"/>
        </w:rPr>
      </w:pPr>
    </w:p>
    <w:p w14:paraId="5EAC816C" w14:textId="1FAEE052" w:rsidR="00305B7C" w:rsidRPr="00DB514B" w:rsidRDefault="00305B7C" w:rsidP="00DB514B">
      <w:pPr>
        <w:spacing w:line="480" w:lineRule="auto"/>
        <w:rPr>
          <w:rFonts w:ascii="Arial" w:hAnsi="Arial" w:cs="Arial"/>
          <w:sz w:val="22"/>
          <w:szCs w:val="22"/>
        </w:rPr>
      </w:pPr>
      <w:r w:rsidRPr="00DB514B">
        <w:rPr>
          <w:rFonts w:ascii="Arial" w:hAnsi="Arial" w:cs="Arial"/>
          <w:color w:val="000000" w:themeColor="text1"/>
          <w:sz w:val="22"/>
          <w:szCs w:val="22"/>
        </w:rPr>
        <w:t xml:space="preserve">The methodology used is lesson study research. Lesson study is a form of collaborative classroom enquiry. It involves teachers working together to improve the learning of their </w:t>
      </w:r>
      <w:r w:rsidRPr="00DB514B">
        <w:rPr>
          <w:rFonts w:ascii="Arial" w:hAnsi="Arial" w:cs="Arial"/>
          <w:color w:val="000000" w:themeColor="text1"/>
          <w:sz w:val="22"/>
          <w:szCs w:val="22"/>
        </w:rPr>
        <w:lastRenderedPageBreak/>
        <w:t xml:space="preserve">pupils, through improving the way they teach (Norwich &amp; Jones, 2012). </w:t>
      </w:r>
      <w:r w:rsidR="00E852A5" w:rsidRPr="00DB514B">
        <w:rPr>
          <w:rFonts w:ascii="Arial" w:hAnsi="Arial" w:cs="Arial"/>
          <w:color w:val="000000" w:themeColor="text1"/>
          <w:sz w:val="22"/>
          <w:szCs w:val="22"/>
        </w:rPr>
        <w:t xml:space="preserve">Lesson study can be broken down into five components; identifying themes and groups for improvement, the lesson study focus, joint research lesson planning, observation and elicitation of feedback from pupils, post-research lesson discussion and analysis and finally passing on knowledge gained from the lesson study to others (Norwich &amp; Jones, 2012). </w:t>
      </w:r>
      <w:r w:rsidR="003C2BD9" w:rsidRPr="00DB514B">
        <w:rPr>
          <w:rFonts w:ascii="Arial" w:hAnsi="Arial" w:cs="Arial"/>
          <w:color w:val="000000" w:themeColor="text1"/>
          <w:sz w:val="22"/>
          <w:szCs w:val="22"/>
        </w:rPr>
        <w:t>Through lesson study teachers are able to take time to examine a</w:t>
      </w:r>
      <w:r w:rsidR="00C8682D" w:rsidRPr="00DB514B">
        <w:rPr>
          <w:rFonts w:ascii="Arial" w:hAnsi="Arial" w:cs="Arial"/>
          <w:color w:val="000000" w:themeColor="text1"/>
          <w:sz w:val="22"/>
          <w:szCs w:val="22"/>
        </w:rPr>
        <w:t>nd</w:t>
      </w:r>
      <w:r w:rsidR="003C2BD9" w:rsidRPr="00DB514B">
        <w:rPr>
          <w:rFonts w:ascii="Arial" w:hAnsi="Arial" w:cs="Arial"/>
          <w:color w:val="000000" w:themeColor="text1"/>
          <w:sz w:val="22"/>
          <w:szCs w:val="22"/>
        </w:rPr>
        <w:t xml:space="preserve"> reflect on curricula and teaching materials and work together in order to translate their own content knowledge and experiences for their pupils (Stepanek et al, 2006). </w:t>
      </w:r>
      <w:r w:rsidR="005451BF" w:rsidRPr="00DB514B">
        <w:rPr>
          <w:rFonts w:ascii="Arial" w:hAnsi="Arial" w:cs="Arial"/>
          <w:color w:val="000000" w:themeColor="text1"/>
          <w:sz w:val="22"/>
          <w:szCs w:val="22"/>
        </w:rPr>
        <w:t xml:space="preserve"> </w:t>
      </w:r>
      <w:r w:rsidR="005451BF" w:rsidRPr="00DB514B">
        <w:rPr>
          <w:rFonts w:ascii="Arial" w:hAnsi="Arial" w:cs="Arial"/>
          <w:sz w:val="22"/>
          <w:szCs w:val="22"/>
        </w:rPr>
        <w:t>Dudley (2014) suggests that professional learning takes place over time; it happens in real classrooms with real pupils; it involves an element of collaboration enquiry between teachers who are trying to solve a problem to improve an approach. It has been suggested that there are many advantages to using lesson study. Dudley (2014) states that lesson study works for several reasons; teachers can see pupil</w:t>
      </w:r>
      <w:r w:rsidR="00C8682D" w:rsidRPr="00DB514B">
        <w:rPr>
          <w:rFonts w:ascii="Arial" w:hAnsi="Arial" w:cs="Arial"/>
          <w:sz w:val="22"/>
          <w:szCs w:val="22"/>
        </w:rPr>
        <w:t>s</w:t>
      </w:r>
      <w:r w:rsidR="005451BF" w:rsidRPr="00DB514B">
        <w:rPr>
          <w:rFonts w:ascii="Arial" w:hAnsi="Arial" w:cs="Arial"/>
          <w:sz w:val="22"/>
          <w:szCs w:val="22"/>
        </w:rPr>
        <w:t xml:space="preserve"> learning occurring in much sharper detail than is usually possible. Teachers can also see the gaps between what they had assumed was happening </w:t>
      </w:r>
      <w:r w:rsidR="00C8682D" w:rsidRPr="00DB514B">
        <w:rPr>
          <w:rFonts w:ascii="Arial" w:hAnsi="Arial" w:cs="Arial"/>
          <w:sz w:val="22"/>
          <w:szCs w:val="22"/>
        </w:rPr>
        <w:t xml:space="preserve">and </w:t>
      </w:r>
      <w:r w:rsidR="005451BF" w:rsidRPr="00DB514B">
        <w:rPr>
          <w:rFonts w:ascii="Arial" w:hAnsi="Arial" w:cs="Arial"/>
          <w:sz w:val="22"/>
          <w:szCs w:val="22"/>
        </w:rPr>
        <w:t xml:space="preserve">what is actually happening when pupils are learning. Teachers are also able to find out how to plan learning that is better matched to the pupils’ needs as a result of lesson study. Dudley also states that teachers are able to change their teaching to better support learning as a result of lesson study. This I echoed by Stepanek et al (2006) who state that lesson study allows teachers to identify gaps in their own understanding and provides them with the motivation to improve their learning. </w:t>
      </w:r>
      <w:r w:rsidR="00C8682D" w:rsidRPr="00DB514B">
        <w:rPr>
          <w:rFonts w:ascii="Arial" w:hAnsi="Arial" w:cs="Arial"/>
          <w:sz w:val="22"/>
          <w:szCs w:val="22"/>
        </w:rPr>
        <w:t xml:space="preserve">Lesson study also gives practitioners the opportunities to help other practitioners try out new ideas (Stepanek et al, 2006). </w:t>
      </w:r>
    </w:p>
    <w:p w14:paraId="263811CC" w14:textId="147D80A5" w:rsidR="00924ED1" w:rsidRPr="00DB514B" w:rsidRDefault="005451BF" w:rsidP="00DB514B">
      <w:pPr>
        <w:spacing w:line="480" w:lineRule="auto"/>
        <w:rPr>
          <w:rFonts w:ascii="Arial" w:hAnsi="Arial" w:cs="Arial"/>
          <w:sz w:val="22"/>
          <w:szCs w:val="22"/>
        </w:rPr>
      </w:pPr>
      <w:r w:rsidRPr="00DB514B">
        <w:rPr>
          <w:rFonts w:ascii="Arial" w:hAnsi="Arial" w:cs="Arial"/>
          <w:sz w:val="22"/>
          <w:szCs w:val="22"/>
        </w:rPr>
        <w:t xml:space="preserve">The methods used for data collection within this study are non-participant observation, reflection and focus group. Observation is </w:t>
      </w:r>
      <w:r w:rsidR="000022C7" w:rsidRPr="00DB514B">
        <w:rPr>
          <w:rFonts w:ascii="Arial" w:hAnsi="Arial" w:cs="Arial"/>
          <w:sz w:val="22"/>
          <w:szCs w:val="22"/>
        </w:rPr>
        <w:t xml:space="preserve">an approach that can allow researchers to study peoples natural behaviour, in order to gain an understanding of how often and when they do things (Walker, 2010). Chesterfield (1997) states that classroom observations can capture the naturally occurring events of an educational intervention. For the observation aspect of the lesson study, my research partner and I used time sampling and written observation when carrying out the observation section of the lesson study. </w:t>
      </w:r>
      <w:r w:rsidR="00723DA6" w:rsidRPr="00DB514B">
        <w:rPr>
          <w:rFonts w:ascii="Arial" w:hAnsi="Arial" w:cs="Arial"/>
          <w:sz w:val="22"/>
          <w:szCs w:val="22"/>
        </w:rPr>
        <w:t xml:space="preserve">Time sampling has been </w:t>
      </w:r>
      <w:r w:rsidR="00723DA6" w:rsidRPr="00DB514B">
        <w:rPr>
          <w:rFonts w:ascii="Arial" w:hAnsi="Arial" w:cs="Arial"/>
          <w:sz w:val="22"/>
          <w:szCs w:val="22"/>
        </w:rPr>
        <w:lastRenderedPageBreak/>
        <w:t xml:space="preserve">popular in the past as it </w:t>
      </w:r>
      <w:r w:rsidR="007966F7" w:rsidRPr="00DB514B">
        <w:rPr>
          <w:rFonts w:ascii="Arial" w:hAnsi="Arial" w:cs="Arial"/>
          <w:sz w:val="22"/>
          <w:szCs w:val="22"/>
        </w:rPr>
        <w:t xml:space="preserve">is a </w:t>
      </w:r>
      <w:r w:rsidR="00723DA6" w:rsidRPr="00DB514B">
        <w:rPr>
          <w:rFonts w:ascii="Arial" w:hAnsi="Arial" w:cs="Arial"/>
          <w:sz w:val="22"/>
          <w:szCs w:val="22"/>
        </w:rPr>
        <w:t xml:space="preserve">straightforward and inexpensive way of observing children (Oldfield, 2001). Palaiologou (2010) states that there are several advantages to using observation. Observation allows practitioners </w:t>
      </w:r>
      <w:r w:rsidR="007966F7" w:rsidRPr="00DB514B">
        <w:rPr>
          <w:rFonts w:ascii="Arial" w:hAnsi="Arial" w:cs="Arial"/>
          <w:sz w:val="22"/>
          <w:szCs w:val="22"/>
        </w:rPr>
        <w:t xml:space="preserve">to </w:t>
      </w:r>
      <w:r w:rsidR="00723DA6" w:rsidRPr="00DB514B">
        <w:rPr>
          <w:rFonts w:ascii="Arial" w:hAnsi="Arial" w:cs="Arial"/>
          <w:sz w:val="22"/>
          <w:szCs w:val="22"/>
        </w:rPr>
        <w:t xml:space="preserve">collect and gather evidence. It also allows practitioners to understand the reasons behind children’s behaviour in certain situations (Palaiologou, 2010). </w:t>
      </w:r>
      <w:r w:rsidR="008D5F68" w:rsidRPr="00DB514B">
        <w:rPr>
          <w:rFonts w:ascii="Arial" w:hAnsi="Arial" w:cs="Arial"/>
          <w:sz w:val="22"/>
          <w:szCs w:val="22"/>
        </w:rPr>
        <w:t xml:space="preserve">Barlett and Burton (2005) state that it is difficult for researchers to observe and record simultaneously. In order to overcome this my research partner and I chose to combine time sampling and written observation, to allow regular intervals when the target children would be observed. The written observation would allow for additional notes to be made. During the lesson study we measured the </w:t>
      </w:r>
      <w:r w:rsidR="00924ED1" w:rsidRPr="00DB514B">
        <w:rPr>
          <w:rFonts w:ascii="Arial" w:hAnsi="Arial" w:cs="Arial"/>
          <w:sz w:val="22"/>
          <w:szCs w:val="22"/>
        </w:rPr>
        <w:t>learner’s</w:t>
      </w:r>
      <w:r w:rsidR="008D5F68" w:rsidRPr="00DB514B">
        <w:rPr>
          <w:rFonts w:ascii="Arial" w:hAnsi="Arial" w:cs="Arial"/>
          <w:sz w:val="22"/>
          <w:szCs w:val="22"/>
        </w:rPr>
        <w:t xml:space="preserve"> levels of engagement against the Leuven Scale of Involvement</w:t>
      </w:r>
      <w:r w:rsidR="00924ED1" w:rsidRPr="00DB514B">
        <w:rPr>
          <w:rFonts w:ascii="Arial" w:hAnsi="Arial" w:cs="Arial"/>
          <w:sz w:val="22"/>
          <w:szCs w:val="22"/>
        </w:rPr>
        <w:t xml:space="preserve"> (Lavers, 1994). The observation method for data collection provided my research partner and I with qualitative data. A strength of qualitative research is it</w:t>
      </w:r>
      <w:r w:rsidR="007966F7" w:rsidRPr="00DB514B">
        <w:rPr>
          <w:rFonts w:ascii="Arial" w:hAnsi="Arial" w:cs="Arial"/>
          <w:sz w:val="22"/>
          <w:szCs w:val="22"/>
        </w:rPr>
        <w:t>s</w:t>
      </w:r>
      <w:r w:rsidR="00924ED1" w:rsidRPr="00DB514B">
        <w:rPr>
          <w:rFonts w:ascii="Arial" w:hAnsi="Arial" w:cs="Arial"/>
          <w:sz w:val="22"/>
          <w:szCs w:val="22"/>
        </w:rPr>
        <w:t xml:space="preserve"> ability to provide textual descriptions of how people experience a given research issue (Mack et al, 2005). The qualitative data that was collected allowed us to gain an insight into how the learners experienced self-selection of tasks</w:t>
      </w:r>
      <w:r w:rsidR="007966F7" w:rsidRPr="00DB514B">
        <w:rPr>
          <w:rFonts w:ascii="Arial" w:hAnsi="Arial" w:cs="Arial"/>
          <w:sz w:val="22"/>
          <w:szCs w:val="22"/>
        </w:rPr>
        <w:t xml:space="preserve"> and how high their levels of engagement were relating to the Leuven Scale of engagement. </w:t>
      </w:r>
    </w:p>
    <w:p w14:paraId="3C2E4BF7" w14:textId="738FD762" w:rsidR="00924ED1" w:rsidRPr="00DB514B" w:rsidRDefault="00924ED1" w:rsidP="00DB514B">
      <w:pPr>
        <w:spacing w:line="480" w:lineRule="auto"/>
        <w:rPr>
          <w:rFonts w:ascii="Arial" w:hAnsi="Arial" w:cs="Arial"/>
          <w:sz w:val="22"/>
          <w:szCs w:val="22"/>
        </w:rPr>
      </w:pPr>
      <w:r w:rsidRPr="00DB514B">
        <w:rPr>
          <w:rFonts w:ascii="Arial" w:hAnsi="Arial" w:cs="Arial"/>
          <w:sz w:val="22"/>
          <w:szCs w:val="22"/>
        </w:rPr>
        <w:t xml:space="preserve">The reflections were captured using a </w:t>
      </w:r>
      <w:r w:rsidR="007966F7" w:rsidRPr="00DB514B">
        <w:rPr>
          <w:rFonts w:ascii="Arial" w:hAnsi="Arial" w:cs="Arial"/>
          <w:sz w:val="22"/>
          <w:szCs w:val="22"/>
        </w:rPr>
        <w:t>proforma</w:t>
      </w:r>
      <w:r w:rsidRPr="00DB514B">
        <w:rPr>
          <w:rFonts w:ascii="Arial" w:hAnsi="Arial" w:cs="Arial"/>
          <w:sz w:val="22"/>
          <w:szCs w:val="22"/>
        </w:rPr>
        <w:t xml:space="preserve"> that combined the models of Kolb and Brookfield. </w:t>
      </w:r>
      <w:r w:rsidR="00324046" w:rsidRPr="00DB514B">
        <w:rPr>
          <w:rFonts w:ascii="Arial" w:hAnsi="Arial" w:cs="Arial"/>
          <w:sz w:val="22"/>
          <w:szCs w:val="22"/>
        </w:rPr>
        <w:t xml:space="preserve">Grigg and Lewis (2016) state that reflective practice is about more than just thinking about lessons; it focuses on an increasing self-awareness and improvements in the quality of learning and teaching. </w:t>
      </w:r>
      <w:r w:rsidR="00753FB8" w:rsidRPr="00DB514B">
        <w:rPr>
          <w:rFonts w:ascii="Arial" w:hAnsi="Arial" w:cs="Arial"/>
          <w:sz w:val="22"/>
          <w:szCs w:val="22"/>
        </w:rPr>
        <w:t xml:space="preserve">Brookfield suggested that the path to discovering the worth of teaching is through the process of critical reflection; this he suggests is done through an increased awareness of teaching from as many different vantage points as possible (Miller, 2010). Brookfield proposed four lenses through which this could be done. The first lens of self-reflection allows the practitioner to focus on their experiences as a learner as well as their experiences as a teacher (Miller, 2010). The second lens according to Brookfield </w:t>
      </w:r>
      <w:r w:rsidR="00A46374" w:rsidRPr="00DB514B">
        <w:rPr>
          <w:rFonts w:ascii="Arial" w:hAnsi="Arial" w:cs="Arial"/>
          <w:sz w:val="22"/>
          <w:szCs w:val="22"/>
        </w:rPr>
        <w:t xml:space="preserve">looks at student experience. Both self-reflection and engaging with student feedback reveals teaching habits that may need adjusting or can be utilised better for a greater impact (Miller, 2010). Brookfield states that excellent teachers will look to their peers for advice and feedback; this is the third lens (Miller, 2010). As the lesson study involves teacher </w:t>
      </w:r>
      <w:r w:rsidR="00A46374" w:rsidRPr="00DB514B">
        <w:rPr>
          <w:rFonts w:ascii="Arial" w:hAnsi="Arial" w:cs="Arial"/>
          <w:sz w:val="22"/>
          <w:szCs w:val="22"/>
        </w:rPr>
        <w:lastRenderedPageBreak/>
        <w:t>collaboration, Brookfield’s reflection model links well as it too involves peer collaboration. The fourth lens looks at teachers who research, present or publish scholarly literature</w:t>
      </w:r>
      <w:r w:rsidR="00C624C4" w:rsidRPr="00DB514B">
        <w:rPr>
          <w:rFonts w:ascii="Arial" w:hAnsi="Arial" w:cs="Arial"/>
          <w:sz w:val="22"/>
          <w:szCs w:val="22"/>
        </w:rPr>
        <w:t xml:space="preserve"> (Miller, 2010). </w:t>
      </w:r>
      <w:r w:rsidR="00252FDB" w:rsidRPr="00DB514B">
        <w:rPr>
          <w:rFonts w:ascii="Arial" w:hAnsi="Arial" w:cs="Arial"/>
          <w:sz w:val="22"/>
          <w:szCs w:val="22"/>
        </w:rPr>
        <w:t xml:space="preserve">Kolb stated that individuals may have different styles of learning, these include learning through feeling, learning through thinking, learning through doing and learning through watching (Mollicone &amp; Muscat, 2012). Kolb’s system allows individuals to analyse their most efficient learning styles then identify where they can make improvements in their learning (Mollicone &amp; Muscat, 2012). By combining the </w:t>
      </w:r>
      <w:r w:rsidR="00114920" w:rsidRPr="00DB514B">
        <w:rPr>
          <w:rFonts w:ascii="Arial" w:hAnsi="Arial" w:cs="Arial"/>
          <w:sz w:val="22"/>
          <w:szCs w:val="22"/>
        </w:rPr>
        <w:t xml:space="preserve">reflection models of Brookfield and Kolb my research partner and I, were able to utilise the best of both models to get the most out of our reflections of our lesson study. </w:t>
      </w:r>
    </w:p>
    <w:p w14:paraId="62D9AC01" w14:textId="41EAF00C" w:rsidR="00114920" w:rsidRPr="00DB514B" w:rsidRDefault="00114920" w:rsidP="00DB514B">
      <w:pPr>
        <w:spacing w:line="480" w:lineRule="auto"/>
        <w:rPr>
          <w:rFonts w:ascii="Arial" w:hAnsi="Arial" w:cs="Arial"/>
          <w:color w:val="000000" w:themeColor="text1"/>
          <w:sz w:val="22"/>
          <w:szCs w:val="22"/>
        </w:rPr>
      </w:pPr>
      <w:r w:rsidRPr="00DB514B">
        <w:rPr>
          <w:rFonts w:ascii="Arial" w:hAnsi="Arial" w:cs="Arial"/>
          <w:sz w:val="22"/>
          <w:szCs w:val="22"/>
        </w:rPr>
        <w:t xml:space="preserve">A focus group is a way of collecting qualitative data and involves engaging a small number of people in an informal group discussion, focused on a particular subject (Smith, 2009). The purpose of a focus group is to encourage interaction between the participants so that a range of views may be elicited, and a discussion generated (Lyons &amp; Coyle, 2012). </w:t>
      </w:r>
      <w:r w:rsidR="00643048" w:rsidRPr="00DB514B">
        <w:rPr>
          <w:rFonts w:ascii="Arial" w:hAnsi="Arial" w:cs="Arial"/>
          <w:sz w:val="22"/>
          <w:szCs w:val="22"/>
        </w:rPr>
        <w:t>The focus group were chosen based on their ability. We were advised to pick a child at random from the high, middle and lower ability groups within the cohort.</w:t>
      </w:r>
      <w:r w:rsidR="00C45101" w:rsidRPr="00DB514B">
        <w:rPr>
          <w:rFonts w:ascii="Arial" w:hAnsi="Arial" w:cs="Arial"/>
          <w:sz w:val="22"/>
          <w:szCs w:val="22"/>
        </w:rPr>
        <w:t xml:space="preserve"> From school 1, two females and one male were chosen, all year 5. From school 2, two males and one females were chosen, all year 6. </w:t>
      </w:r>
      <w:r w:rsidR="00643048" w:rsidRPr="00DB514B">
        <w:rPr>
          <w:rFonts w:ascii="Arial" w:hAnsi="Arial" w:cs="Arial"/>
          <w:color w:val="000000" w:themeColor="text1"/>
          <w:sz w:val="22"/>
          <w:szCs w:val="22"/>
        </w:rPr>
        <w:t xml:space="preserve">The three pupils from each focus group were the focus of the observation during the lesson study; they also took part in the semi-structured interview that took place concluding the lesson. </w:t>
      </w:r>
      <w:r w:rsidR="00D61A2B" w:rsidRPr="00DB514B">
        <w:rPr>
          <w:rFonts w:ascii="Arial" w:hAnsi="Arial" w:cs="Arial"/>
          <w:color w:val="000000" w:themeColor="text1"/>
          <w:sz w:val="22"/>
          <w:szCs w:val="22"/>
        </w:rPr>
        <w:t xml:space="preserve">Within a semi-structured interview, the interviewer sets up a general structure, deciding in advance what ground will be covered during the interview (Drever, 2003). During a semi-structured interview, the learners have a fair degree of freedom in what they talk about, how much they say and how they express themselves (Drever, 2003). This allows </w:t>
      </w:r>
      <w:r w:rsidR="006B58AA" w:rsidRPr="00DB514B">
        <w:rPr>
          <w:rFonts w:ascii="Arial" w:hAnsi="Arial" w:cs="Arial"/>
          <w:color w:val="000000" w:themeColor="text1"/>
          <w:sz w:val="22"/>
          <w:szCs w:val="22"/>
        </w:rPr>
        <w:t xml:space="preserve">for detailed qualitative data that is expressed in the learner’s own words to be collected (Burton &amp; Barlett, 2005). By carrying out the semi-structured interview in a setting that the learners were comfortable in, put the learners at ease and allowed for a more free-flowing discussion (Smith, 2009). </w:t>
      </w:r>
      <w:r w:rsidR="004136F6" w:rsidRPr="00DB514B">
        <w:rPr>
          <w:rFonts w:ascii="Arial" w:hAnsi="Arial" w:cs="Arial"/>
          <w:color w:val="000000" w:themeColor="text1"/>
          <w:sz w:val="22"/>
          <w:szCs w:val="22"/>
        </w:rPr>
        <w:t xml:space="preserve">My research partner and I discussed the questions and ground we would cover prior to the lesson study, to ensure we both knew what we wanted to get out of the focus group interview. </w:t>
      </w:r>
    </w:p>
    <w:p w14:paraId="1391460F" w14:textId="47397C80" w:rsidR="00F86575" w:rsidRPr="00DB514B" w:rsidRDefault="00F86575" w:rsidP="00DB514B">
      <w:pPr>
        <w:spacing w:line="480" w:lineRule="auto"/>
        <w:rPr>
          <w:rFonts w:ascii="Arial" w:hAnsi="Arial" w:cs="Arial"/>
          <w:color w:val="000000" w:themeColor="text1"/>
          <w:sz w:val="22"/>
          <w:szCs w:val="22"/>
        </w:rPr>
      </w:pPr>
    </w:p>
    <w:p w14:paraId="036A062E" w14:textId="7EB0F9B5" w:rsidR="00F86575" w:rsidRPr="00DB514B" w:rsidRDefault="00F86575" w:rsidP="00DB514B">
      <w:pPr>
        <w:spacing w:line="480" w:lineRule="auto"/>
        <w:rPr>
          <w:rFonts w:ascii="Arial" w:hAnsi="Arial" w:cs="Arial"/>
          <w:color w:val="000000" w:themeColor="text1"/>
          <w:sz w:val="22"/>
          <w:szCs w:val="22"/>
          <w:u w:val="single"/>
        </w:rPr>
      </w:pPr>
      <w:r w:rsidRPr="00DB514B">
        <w:rPr>
          <w:rFonts w:ascii="Arial" w:hAnsi="Arial" w:cs="Arial"/>
          <w:color w:val="000000" w:themeColor="text1"/>
          <w:sz w:val="22"/>
          <w:szCs w:val="22"/>
          <w:u w:val="single"/>
        </w:rPr>
        <w:t>Ethical considerations</w:t>
      </w:r>
    </w:p>
    <w:p w14:paraId="66689B66" w14:textId="77777777" w:rsidR="004136F6" w:rsidRPr="00DB514B" w:rsidRDefault="004136F6" w:rsidP="00DB514B">
      <w:pPr>
        <w:spacing w:line="480" w:lineRule="auto"/>
        <w:rPr>
          <w:rFonts w:ascii="Arial" w:hAnsi="Arial" w:cs="Arial"/>
          <w:color w:val="000000" w:themeColor="text1"/>
          <w:sz w:val="22"/>
          <w:szCs w:val="22"/>
          <w:u w:val="single"/>
        </w:rPr>
      </w:pPr>
    </w:p>
    <w:p w14:paraId="7C3277E5" w14:textId="3FA989F5" w:rsidR="00643048" w:rsidRPr="00DB514B" w:rsidRDefault="006B58AA" w:rsidP="00DB514B">
      <w:pPr>
        <w:spacing w:line="480" w:lineRule="auto"/>
        <w:rPr>
          <w:rFonts w:ascii="Arial" w:hAnsi="Arial" w:cs="Arial"/>
          <w:color w:val="FF0000"/>
          <w:sz w:val="22"/>
          <w:szCs w:val="22"/>
        </w:rPr>
      </w:pPr>
      <w:r w:rsidRPr="00DB514B">
        <w:rPr>
          <w:rFonts w:ascii="Arial" w:hAnsi="Arial" w:cs="Arial"/>
          <w:sz w:val="22"/>
          <w:szCs w:val="22"/>
        </w:rPr>
        <w:t xml:space="preserve">There are several ethical considerations with doing research in a classroom that need to be taken into consideration. Research took place in schools in partnership with the University of Wales Trinity Saint David. In order to uphold the good name of the university, myself and my research partner acted professionally and adhered to the BERA and EWC guidelines. </w:t>
      </w:r>
      <w:r w:rsidR="00FE4953" w:rsidRPr="00DB514B">
        <w:rPr>
          <w:rFonts w:ascii="Arial" w:hAnsi="Arial" w:cs="Arial"/>
          <w:sz w:val="22"/>
          <w:szCs w:val="22"/>
        </w:rPr>
        <w:t>My research partner and I</w:t>
      </w:r>
      <w:r w:rsidRPr="00DB514B">
        <w:rPr>
          <w:rFonts w:ascii="Arial" w:hAnsi="Arial" w:cs="Arial"/>
          <w:sz w:val="22"/>
          <w:szCs w:val="22"/>
        </w:rPr>
        <w:t xml:space="preserve"> gained parental consent for the pupils in both lesson studies from parents</w:t>
      </w:r>
      <w:r w:rsidR="00FE4953" w:rsidRPr="00DB514B">
        <w:rPr>
          <w:rFonts w:ascii="Arial" w:hAnsi="Arial" w:cs="Arial"/>
          <w:sz w:val="22"/>
          <w:szCs w:val="22"/>
        </w:rPr>
        <w:t xml:space="preserve">/guardians. To gain assent from the learners we discussed the lesson study and informed them that they could withdraw from the focus group at any time without any consequences. We were unable to give anonymity as myself and my research partner know the names of the learners taking part. To ensure confidentiality the target learners names along with the school names have not been used in any data; this adheres to the BERA guidelines and GDPR. Data was shared between myself and my research partner in order to discuss and analyse the results. However, this data ensures the participants are not identifiable. Data has been stored securely by the research partner of the school they are carrying out their PTE and are be stored in password protected files, on a password protected devices. It will be kept. until the completion of the P-PGCE programme. Each research partner has responsibility for the data collected in their school. </w:t>
      </w:r>
      <w:r w:rsidR="00A44876" w:rsidRPr="00DB514B">
        <w:rPr>
          <w:rFonts w:ascii="Arial" w:hAnsi="Arial" w:cs="Arial"/>
          <w:sz w:val="22"/>
          <w:szCs w:val="22"/>
        </w:rPr>
        <w:t>The class teacher and headteacher in both schools were informed of the date and time of the semi-structured interview and the lesson study took place in line with normal school practice. Interviews took place in a safe place for both the researchers and the learners</w:t>
      </w:r>
      <w:r w:rsidR="00002242" w:rsidRPr="00DB514B">
        <w:rPr>
          <w:rFonts w:ascii="Arial" w:hAnsi="Arial" w:cs="Arial"/>
          <w:sz w:val="22"/>
          <w:szCs w:val="22"/>
        </w:rPr>
        <w:t>; within the classroom.</w:t>
      </w:r>
      <w:r w:rsidR="00A44876" w:rsidRPr="00DB514B">
        <w:rPr>
          <w:rFonts w:ascii="Arial" w:hAnsi="Arial" w:cs="Arial"/>
          <w:color w:val="FF0000"/>
          <w:sz w:val="22"/>
          <w:szCs w:val="22"/>
        </w:rPr>
        <w:t xml:space="preserve"> </w:t>
      </w:r>
    </w:p>
    <w:p w14:paraId="661E44D5" w14:textId="32438E80" w:rsidR="00002242" w:rsidRPr="00DB514B" w:rsidRDefault="00002242" w:rsidP="00DB514B">
      <w:pPr>
        <w:spacing w:line="480" w:lineRule="auto"/>
        <w:rPr>
          <w:rFonts w:ascii="Arial" w:hAnsi="Arial" w:cs="Arial"/>
          <w:color w:val="000000" w:themeColor="text1"/>
          <w:sz w:val="22"/>
          <w:szCs w:val="22"/>
        </w:rPr>
      </w:pPr>
    </w:p>
    <w:p w14:paraId="64BE8649" w14:textId="6B5FD4B4" w:rsidR="00002242" w:rsidRPr="00DB514B" w:rsidRDefault="00002242" w:rsidP="00DB514B">
      <w:pPr>
        <w:spacing w:line="480" w:lineRule="auto"/>
        <w:rPr>
          <w:rFonts w:ascii="Arial" w:hAnsi="Arial" w:cs="Arial"/>
          <w:color w:val="000000" w:themeColor="text1"/>
          <w:sz w:val="22"/>
          <w:szCs w:val="22"/>
          <w:u w:val="single"/>
        </w:rPr>
      </w:pPr>
      <w:r w:rsidRPr="00DB514B">
        <w:rPr>
          <w:rFonts w:ascii="Arial" w:hAnsi="Arial" w:cs="Arial"/>
          <w:color w:val="000000" w:themeColor="text1"/>
          <w:sz w:val="22"/>
          <w:szCs w:val="22"/>
          <w:u w:val="single"/>
        </w:rPr>
        <w:t xml:space="preserve">Lesson study 1- results and analysis </w:t>
      </w:r>
    </w:p>
    <w:p w14:paraId="35A72622" w14:textId="5A9023D5" w:rsidR="00002242" w:rsidRPr="00DB514B" w:rsidRDefault="00002242" w:rsidP="00DB514B">
      <w:pPr>
        <w:spacing w:line="480" w:lineRule="auto"/>
        <w:rPr>
          <w:rFonts w:ascii="Arial" w:hAnsi="Arial" w:cs="Arial"/>
          <w:color w:val="000000" w:themeColor="text1"/>
          <w:sz w:val="22"/>
          <w:szCs w:val="22"/>
        </w:rPr>
      </w:pPr>
    </w:p>
    <w:p w14:paraId="66BB7938" w14:textId="73A1283F" w:rsidR="00002242" w:rsidRPr="00DB514B" w:rsidRDefault="00002242"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Lesson study 1 took place in school 1. The lesson study took place during an English lesson, where pupil</w:t>
      </w:r>
      <w:r w:rsidR="00C45101" w:rsidRPr="00DB514B">
        <w:rPr>
          <w:rFonts w:ascii="Arial" w:hAnsi="Arial" w:cs="Arial"/>
          <w:color w:val="000000" w:themeColor="text1"/>
          <w:sz w:val="22"/>
          <w:szCs w:val="22"/>
        </w:rPr>
        <w:t>s</w:t>
      </w:r>
      <w:r w:rsidRPr="00DB514B">
        <w:rPr>
          <w:rFonts w:ascii="Arial" w:hAnsi="Arial" w:cs="Arial"/>
          <w:color w:val="000000" w:themeColor="text1"/>
          <w:sz w:val="22"/>
          <w:szCs w:val="22"/>
        </w:rPr>
        <w:t xml:space="preserve"> had the option of choosing the type of work they would be completing within that lesson. </w:t>
      </w:r>
      <w:r w:rsidR="00C45101" w:rsidRPr="00DB514B">
        <w:rPr>
          <w:rFonts w:ascii="Arial" w:hAnsi="Arial" w:cs="Arial"/>
          <w:color w:val="000000" w:themeColor="text1"/>
          <w:sz w:val="22"/>
          <w:szCs w:val="22"/>
        </w:rPr>
        <w:t xml:space="preserve">The options were given to the pupils during the introduction to the lesson, </w:t>
      </w:r>
      <w:r w:rsidR="00C45101" w:rsidRPr="00DB514B">
        <w:rPr>
          <w:rFonts w:ascii="Arial" w:hAnsi="Arial" w:cs="Arial"/>
          <w:color w:val="000000" w:themeColor="text1"/>
          <w:sz w:val="22"/>
          <w:szCs w:val="22"/>
        </w:rPr>
        <w:lastRenderedPageBreak/>
        <w:t xml:space="preserve">where pupils were also told that they would get a choice. The three target pupils were observed during the lesson by my research partner, to monitor their levels of engagement throughout the lesson. All three target children completed the task during the lesson study and met the learning objectives and success criteria discussed during the introduction of the lesson. Valerio (2012) states that motivation is a fundamental element of pupil’s learning. This can be assisted and developed for optimal achievement within a classroom. As discussed above observations within our lesson study included a time sample. This was used in order to monitor the engagement levels of the target learners at certain points during the lesson. After analysing the observation proforma (Appendix 1) </w:t>
      </w:r>
      <w:r w:rsidR="00CD53BF" w:rsidRPr="00DB514B">
        <w:rPr>
          <w:rFonts w:ascii="Arial" w:hAnsi="Arial" w:cs="Arial"/>
          <w:color w:val="000000" w:themeColor="text1"/>
          <w:sz w:val="22"/>
          <w:szCs w:val="22"/>
        </w:rPr>
        <w:t xml:space="preserve">it is evident that all three target pupils levels of motivation fluctuated during the lesson study. The use of both the time sample and the written observation allowed us to gain an insight into the levels of engagement of the target pupils throughout the lesson study; not just at our designated time slots. </w:t>
      </w:r>
      <w:r w:rsidR="004B0616" w:rsidRPr="00DB514B">
        <w:rPr>
          <w:rFonts w:ascii="Arial" w:hAnsi="Arial" w:cs="Arial"/>
          <w:color w:val="000000" w:themeColor="text1"/>
          <w:sz w:val="22"/>
          <w:szCs w:val="22"/>
        </w:rPr>
        <w:t xml:space="preserve">Chesterfield (1997) states that written observations are able to capture the naturally occurring events of an educational intervention. </w:t>
      </w:r>
      <w:r w:rsidR="00C3121B" w:rsidRPr="00DB514B">
        <w:rPr>
          <w:rFonts w:ascii="Arial" w:hAnsi="Arial" w:cs="Arial"/>
          <w:color w:val="000000" w:themeColor="text1"/>
          <w:sz w:val="22"/>
          <w:szCs w:val="22"/>
        </w:rPr>
        <w:t>However, with time sampling</w:t>
      </w:r>
      <w:r w:rsidR="004136F6" w:rsidRPr="00DB514B">
        <w:rPr>
          <w:rFonts w:ascii="Arial" w:hAnsi="Arial" w:cs="Arial"/>
          <w:color w:val="000000" w:themeColor="text1"/>
          <w:sz w:val="22"/>
          <w:szCs w:val="22"/>
        </w:rPr>
        <w:t xml:space="preserve">, </w:t>
      </w:r>
      <w:r w:rsidR="00C3121B" w:rsidRPr="00DB514B">
        <w:rPr>
          <w:rFonts w:ascii="Arial" w:hAnsi="Arial" w:cs="Arial"/>
          <w:color w:val="000000" w:themeColor="text1"/>
          <w:sz w:val="22"/>
          <w:szCs w:val="22"/>
        </w:rPr>
        <w:t xml:space="preserve">limited information on how often the behaviour occurs is obtained (Maag, 2016). </w:t>
      </w:r>
      <w:r w:rsidR="004B0616" w:rsidRPr="00DB514B">
        <w:rPr>
          <w:rFonts w:ascii="Arial" w:hAnsi="Arial" w:cs="Arial"/>
          <w:color w:val="000000" w:themeColor="text1"/>
          <w:sz w:val="22"/>
          <w:szCs w:val="22"/>
        </w:rPr>
        <w:t xml:space="preserve">The use of both the time sample and written observation methods allowed the observer to note significant changes in engagement levels throughout the lesson. </w:t>
      </w:r>
      <w:r w:rsidR="00C3121B" w:rsidRPr="00DB514B">
        <w:rPr>
          <w:rFonts w:ascii="Arial" w:hAnsi="Arial" w:cs="Arial"/>
          <w:color w:val="000000" w:themeColor="text1"/>
          <w:sz w:val="22"/>
          <w:szCs w:val="22"/>
        </w:rPr>
        <w:t xml:space="preserve">This allowed us to overcome to limitation of using a time sample. </w:t>
      </w:r>
    </w:p>
    <w:p w14:paraId="5AC7C89B" w14:textId="2F75CC8F" w:rsidR="00C3121B" w:rsidRPr="00DB514B" w:rsidRDefault="00C3121B"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Throughout the lesson significant changes in engagement levels were noted by the observer. Based on the Leuven Scale of engagement, Child A fluctuated from low to high levels. Child B from extremely low to high and Child C extremely low to extremely high. Through. Our reflection proforma (Appendix 2) for this lesson highlighted some key points. </w:t>
      </w:r>
      <w:r w:rsidR="004F08C8" w:rsidRPr="00DB514B">
        <w:rPr>
          <w:rFonts w:ascii="Arial" w:hAnsi="Arial" w:cs="Arial"/>
          <w:color w:val="000000" w:themeColor="text1"/>
          <w:sz w:val="22"/>
          <w:szCs w:val="22"/>
        </w:rPr>
        <w:t>It could be argued from the observations during this lesson study that due to the vast differences in the levels of engagement from each of the three target learners</w:t>
      </w:r>
      <w:r w:rsidR="004136F6" w:rsidRPr="00DB514B">
        <w:rPr>
          <w:rFonts w:ascii="Arial" w:hAnsi="Arial" w:cs="Arial"/>
          <w:color w:val="000000" w:themeColor="text1"/>
          <w:sz w:val="22"/>
          <w:szCs w:val="22"/>
        </w:rPr>
        <w:t>,</w:t>
      </w:r>
      <w:r w:rsidR="004F08C8" w:rsidRPr="00DB514B">
        <w:rPr>
          <w:rFonts w:ascii="Arial" w:hAnsi="Arial" w:cs="Arial"/>
          <w:color w:val="000000" w:themeColor="text1"/>
          <w:sz w:val="22"/>
          <w:szCs w:val="22"/>
        </w:rPr>
        <w:t xml:space="preserve"> that giving them a choice of task may not </w:t>
      </w:r>
      <w:r w:rsidR="004136F6" w:rsidRPr="00DB514B">
        <w:rPr>
          <w:rFonts w:ascii="Arial" w:hAnsi="Arial" w:cs="Arial"/>
          <w:color w:val="000000" w:themeColor="text1"/>
          <w:sz w:val="22"/>
          <w:szCs w:val="22"/>
        </w:rPr>
        <w:t xml:space="preserve">have had an </w:t>
      </w:r>
      <w:r w:rsidR="004F08C8" w:rsidRPr="00DB514B">
        <w:rPr>
          <w:rFonts w:ascii="Arial" w:hAnsi="Arial" w:cs="Arial"/>
          <w:color w:val="000000" w:themeColor="text1"/>
          <w:sz w:val="22"/>
          <w:szCs w:val="22"/>
        </w:rPr>
        <w:t xml:space="preserve">impact their engagement levels. The written observations show that all three pupils were off task at some points during the lesson, but also fully engaged at other points. This makes it difficult to conclude whether or not the choice of task impacted the </w:t>
      </w:r>
      <w:r w:rsidR="004136F6" w:rsidRPr="00DB514B">
        <w:rPr>
          <w:rFonts w:ascii="Arial" w:hAnsi="Arial" w:cs="Arial"/>
          <w:color w:val="000000" w:themeColor="text1"/>
          <w:sz w:val="22"/>
          <w:szCs w:val="22"/>
        </w:rPr>
        <w:t>pupil’s</w:t>
      </w:r>
      <w:r w:rsidR="004F08C8" w:rsidRPr="00DB514B">
        <w:rPr>
          <w:rFonts w:ascii="Arial" w:hAnsi="Arial" w:cs="Arial"/>
          <w:color w:val="000000" w:themeColor="text1"/>
          <w:sz w:val="22"/>
          <w:szCs w:val="22"/>
        </w:rPr>
        <w:t xml:space="preserve"> levels of engagement during the lesson. </w:t>
      </w:r>
      <w:r w:rsidR="004136F6" w:rsidRPr="00DB514B">
        <w:rPr>
          <w:rFonts w:ascii="Arial" w:hAnsi="Arial" w:cs="Arial"/>
          <w:color w:val="000000" w:themeColor="text1"/>
          <w:sz w:val="22"/>
          <w:szCs w:val="22"/>
        </w:rPr>
        <w:t xml:space="preserve">It could be </w:t>
      </w:r>
      <w:r w:rsidR="004136F6" w:rsidRPr="00DB514B">
        <w:rPr>
          <w:rFonts w:ascii="Arial" w:hAnsi="Arial" w:cs="Arial"/>
          <w:color w:val="000000" w:themeColor="text1"/>
          <w:sz w:val="22"/>
          <w:szCs w:val="22"/>
        </w:rPr>
        <w:lastRenderedPageBreak/>
        <w:t>argued that t</w:t>
      </w:r>
      <w:r w:rsidR="004F08C8" w:rsidRPr="00DB514B">
        <w:rPr>
          <w:rFonts w:ascii="Arial" w:hAnsi="Arial" w:cs="Arial"/>
          <w:color w:val="000000" w:themeColor="text1"/>
          <w:sz w:val="22"/>
          <w:szCs w:val="22"/>
        </w:rPr>
        <w:t>ime sampl</w:t>
      </w:r>
      <w:r w:rsidR="004136F6" w:rsidRPr="00DB514B">
        <w:rPr>
          <w:rFonts w:ascii="Arial" w:hAnsi="Arial" w:cs="Arial"/>
          <w:color w:val="000000" w:themeColor="text1"/>
          <w:sz w:val="22"/>
          <w:szCs w:val="22"/>
        </w:rPr>
        <w:t>ing</w:t>
      </w:r>
      <w:r w:rsidR="004F08C8" w:rsidRPr="00DB514B">
        <w:rPr>
          <w:rFonts w:ascii="Arial" w:hAnsi="Arial" w:cs="Arial"/>
          <w:color w:val="000000" w:themeColor="text1"/>
          <w:sz w:val="22"/>
          <w:szCs w:val="22"/>
        </w:rPr>
        <w:t xml:space="preserve"> alone does not give a clear picture of the levels of engagement during the lesson. We need to analyse the written observations alongside the time sample in order to gain an understanding of why the pupils were at certain levels on the Leuven Scale. </w:t>
      </w:r>
    </w:p>
    <w:p w14:paraId="6FD8DB7C" w14:textId="6E07834E" w:rsidR="005D141E" w:rsidRPr="00DB514B" w:rsidRDefault="005D141E"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Ten minutes into the lesson Child C displayed extremely low levels of engagement </w:t>
      </w:r>
      <w:r w:rsidR="004136F6" w:rsidRPr="00DB514B">
        <w:rPr>
          <w:rFonts w:ascii="Arial" w:hAnsi="Arial" w:cs="Arial"/>
          <w:color w:val="000000" w:themeColor="text1"/>
          <w:sz w:val="22"/>
          <w:szCs w:val="22"/>
        </w:rPr>
        <w:t xml:space="preserve">in </w:t>
      </w:r>
      <w:r w:rsidRPr="00DB514B">
        <w:rPr>
          <w:rFonts w:ascii="Arial" w:hAnsi="Arial" w:cs="Arial"/>
          <w:color w:val="000000" w:themeColor="text1"/>
          <w:sz w:val="22"/>
          <w:szCs w:val="22"/>
        </w:rPr>
        <w:t xml:space="preserve">the task; if not for the written observation we would not know why. At this point in the lesson Child C was chatting to other pupils and playing with a ruler. These observations show that at ten minutes Child C was </w:t>
      </w:r>
      <w:r w:rsidR="00337525" w:rsidRPr="00DB514B">
        <w:rPr>
          <w:rFonts w:ascii="Arial" w:hAnsi="Arial" w:cs="Arial"/>
          <w:color w:val="000000" w:themeColor="text1"/>
          <w:sz w:val="22"/>
          <w:szCs w:val="22"/>
        </w:rPr>
        <w:t xml:space="preserve">completely </w:t>
      </w:r>
      <w:r w:rsidRPr="00DB514B">
        <w:rPr>
          <w:rFonts w:ascii="Arial" w:hAnsi="Arial" w:cs="Arial"/>
          <w:color w:val="000000" w:themeColor="text1"/>
          <w:sz w:val="22"/>
          <w:szCs w:val="22"/>
        </w:rPr>
        <w:t>uninterested in the task at hand, and their levels of engagement with the task, relating to the Leuven Scale were extremely low.  Barkley (2009) states that pupil engagement is the product of motivation. Without analysing the other observation notes from this lesson, it could be argued that Child C lacked motivation to complete the task, resulting in low levels of engagement. However, this was not the case. At 20, 30</w:t>
      </w:r>
      <w:r w:rsidR="00337525" w:rsidRPr="00DB514B">
        <w:rPr>
          <w:rFonts w:ascii="Arial" w:hAnsi="Arial" w:cs="Arial"/>
          <w:color w:val="000000" w:themeColor="text1"/>
          <w:sz w:val="22"/>
          <w:szCs w:val="22"/>
        </w:rPr>
        <w:t xml:space="preserve">, </w:t>
      </w:r>
      <w:r w:rsidRPr="00DB514B">
        <w:rPr>
          <w:rFonts w:ascii="Arial" w:hAnsi="Arial" w:cs="Arial"/>
          <w:color w:val="000000" w:themeColor="text1"/>
          <w:sz w:val="22"/>
          <w:szCs w:val="22"/>
        </w:rPr>
        <w:t xml:space="preserve">40, 50 and 60 minutes, Child C displayed high and extremely high levels of engagement with the activity. From analysing the observational notes (Appendix 1) my research partner observed Child C to be “focused”, “concentrating” and “continuing to engage well with the lesson”. </w:t>
      </w:r>
      <w:r w:rsidR="001069E2" w:rsidRPr="00DB514B">
        <w:rPr>
          <w:rFonts w:ascii="Arial" w:hAnsi="Arial" w:cs="Arial"/>
          <w:color w:val="000000" w:themeColor="text1"/>
          <w:sz w:val="22"/>
          <w:szCs w:val="22"/>
        </w:rPr>
        <w:t xml:space="preserve">It could be argued that at 10 minutes, Child C had not started the task and therefore was disengaged. Once Child C, had started the task they were fully engaged for most of the lesson. </w:t>
      </w:r>
      <w:r w:rsidR="004136F6" w:rsidRPr="00DB514B">
        <w:rPr>
          <w:rFonts w:ascii="Arial" w:hAnsi="Arial" w:cs="Arial"/>
          <w:color w:val="000000" w:themeColor="text1"/>
          <w:sz w:val="22"/>
          <w:szCs w:val="22"/>
        </w:rPr>
        <w:t xml:space="preserve">Without the written observations we would not have gained a clear picture of the engagement levels for the target pupils during the lesson. </w:t>
      </w:r>
    </w:p>
    <w:p w14:paraId="76A95E88" w14:textId="6650E7E7" w:rsidR="00337525" w:rsidRPr="00DB514B" w:rsidRDefault="00337525"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After </w:t>
      </w:r>
      <w:r w:rsidR="004136F6" w:rsidRPr="00DB514B">
        <w:rPr>
          <w:rFonts w:ascii="Arial" w:hAnsi="Arial" w:cs="Arial"/>
          <w:color w:val="000000" w:themeColor="text1"/>
          <w:sz w:val="22"/>
          <w:szCs w:val="22"/>
        </w:rPr>
        <w:t>analysing</w:t>
      </w:r>
      <w:r w:rsidRPr="00DB514B">
        <w:rPr>
          <w:rFonts w:ascii="Arial" w:hAnsi="Arial" w:cs="Arial"/>
          <w:color w:val="000000" w:themeColor="text1"/>
          <w:sz w:val="22"/>
          <w:szCs w:val="22"/>
        </w:rPr>
        <w:t xml:space="preserve"> the observation proforma for lesson study 1, it is evident that the levels of engagement fluctuated based on the Leuven Scale throughout the lesson study. From this it could be argued that giving the pupils the choice of task did not impact engagement particularly for Child A and Child B. Both Child A and B showed low to moderate engagement levels at several time intervals within the lesson. </w:t>
      </w:r>
      <w:r w:rsidR="00F86575" w:rsidRPr="00DB514B">
        <w:rPr>
          <w:rFonts w:ascii="Arial" w:hAnsi="Arial" w:cs="Arial"/>
          <w:color w:val="000000" w:themeColor="text1"/>
          <w:sz w:val="22"/>
          <w:szCs w:val="22"/>
        </w:rPr>
        <w:t xml:space="preserve">This raised the question of whether the choice of task had an impact on this particular class’ levels of engagement. Prior to the lesson study it was observed </w:t>
      </w:r>
      <w:r w:rsidR="004136F6" w:rsidRPr="00DB514B">
        <w:rPr>
          <w:rFonts w:ascii="Arial" w:hAnsi="Arial" w:cs="Arial"/>
          <w:color w:val="000000" w:themeColor="text1"/>
          <w:sz w:val="22"/>
          <w:szCs w:val="22"/>
        </w:rPr>
        <w:t xml:space="preserve">during PTE1 </w:t>
      </w:r>
      <w:r w:rsidR="00F86575" w:rsidRPr="00DB514B">
        <w:rPr>
          <w:rFonts w:ascii="Arial" w:hAnsi="Arial" w:cs="Arial"/>
          <w:color w:val="000000" w:themeColor="text1"/>
          <w:sz w:val="22"/>
          <w:szCs w:val="22"/>
        </w:rPr>
        <w:t xml:space="preserve">that this class had fluctuating levels of engagement, which were dependent on numerous factors (feelings, weather, day, time). It could therefore be argued that giving the pupils the choice of task would not be the only factor that would impact their levels of engagement during the lesson study. </w:t>
      </w:r>
    </w:p>
    <w:p w14:paraId="1072BD8A" w14:textId="487E53C1" w:rsidR="003548C9" w:rsidRPr="00DB514B" w:rsidRDefault="003548C9"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lastRenderedPageBreak/>
        <w:t>After completion of the lesson study and focus group interview</w:t>
      </w:r>
      <w:r w:rsidR="00D62EBE" w:rsidRPr="00DB514B">
        <w:rPr>
          <w:rFonts w:ascii="Arial" w:hAnsi="Arial" w:cs="Arial"/>
          <w:color w:val="000000" w:themeColor="text1"/>
          <w:sz w:val="22"/>
          <w:szCs w:val="22"/>
        </w:rPr>
        <w:t xml:space="preserve"> (Appendix 3)</w:t>
      </w:r>
      <w:r w:rsidRPr="00DB514B">
        <w:rPr>
          <w:rFonts w:ascii="Arial" w:hAnsi="Arial" w:cs="Arial"/>
          <w:color w:val="000000" w:themeColor="text1"/>
          <w:sz w:val="22"/>
          <w:szCs w:val="22"/>
        </w:rPr>
        <w:t>, myself and my research partner took some time to reflect upon the lesson (Appendix 2). Following this reflection time, we concluded that in order to improve the lesson and revise it for the next lesson study we would not only let the pupils choose their task, but the tasks would also be differentiated for ability</w:t>
      </w:r>
      <w:r w:rsidR="0081437D" w:rsidRPr="00DB514B">
        <w:rPr>
          <w:rFonts w:ascii="Arial" w:hAnsi="Arial" w:cs="Arial"/>
          <w:color w:val="000000" w:themeColor="text1"/>
          <w:sz w:val="22"/>
          <w:szCs w:val="22"/>
        </w:rPr>
        <w:t>; giving pupils choice of the difficulty they completed</w:t>
      </w:r>
      <w:r w:rsidRPr="00DB514B">
        <w:rPr>
          <w:rFonts w:ascii="Arial" w:hAnsi="Arial" w:cs="Arial"/>
          <w:color w:val="000000" w:themeColor="text1"/>
          <w:sz w:val="22"/>
          <w:szCs w:val="22"/>
        </w:rPr>
        <w:t xml:space="preserve">. The aim was that this would incentivise the pupils a little more and hopefully significantly impact their levels of engagement within the lesson. </w:t>
      </w:r>
      <w:r w:rsidR="00273CDF" w:rsidRPr="00DB514B">
        <w:rPr>
          <w:rFonts w:ascii="Arial" w:hAnsi="Arial" w:cs="Arial"/>
          <w:color w:val="000000" w:themeColor="text1"/>
          <w:sz w:val="22"/>
          <w:szCs w:val="22"/>
        </w:rPr>
        <w:t xml:space="preserve">Tomlinson and Moon (2013) state that pupils become more engrossed in what they are doing when it is at the right level to stimulate or challenge them. </w:t>
      </w:r>
      <w:r w:rsidR="00841B8F" w:rsidRPr="00DB514B">
        <w:rPr>
          <w:rFonts w:ascii="Arial" w:hAnsi="Arial" w:cs="Arial"/>
          <w:color w:val="000000" w:themeColor="text1"/>
          <w:sz w:val="22"/>
          <w:szCs w:val="22"/>
        </w:rPr>
        <w:t xml:space="preserve">By altering our lesson, we were aiming to see a significant difference in the levels of engagement between both lessons, through this improvement. My research partner also mentioned that the </w:t>
      </w:r>
      <w:r w:rsidR="0081437D" w:rsidRPr="00DB514B">
        <w:rPr>
          <w:rFonts w:ascii="Arial" w:hAnsi="Arial" w:cs="Arial"/>
          <w:color w:val="000000" w:themeColor="text1"/>
          <w:sz w:val="22"/>
          <w:szCs w:val="22"/>
        </w:rPr>
        <w:t>cohort involved in the second lesson</w:t>
      </w:r>
      <w:r w:rsidR="00841B8F" w:rsidRPr="00DB514B">
        <w:rPr>
          <w:rFonts w:ascii="Arial" w:hAnsi="Arial" w:cs="Arial"/>
          <w:color w:val="000000" w:themeColor="text1"/>
          <w:sz w:val="22"/>
          <w:szCs w:val="22"/>
        </w:rPr>
        <w:t xml:space="preserve"> were less affected by other engagement factors than the pupils in </w:t>
      </w:r>
      <w:r w:rsidR="0081437D" w:rsidRPr="00DB514B">
        <w:rPr>
          <w:rFonts w:ascii="Arial" w:hAnsi="Arial" w:cs="Arial"/>
          <w:color w:val="000000" w:themeColor="text1"/>
          <w:sz w:val="22"/>
          <w:szCs w:val="22"/>
        </w:rPr>
        <w:t>lesson study one</w:t>
      </w:r>
      <w:r w:rsidR="00841B8F" w:rsidRPr="00DB514B">
        <w:rPr>
          <w:rFonts w:ascii="Arial" w:hAnsi="Arial" w:cs="Arial"/>
          <w:color w:val="000000" w:themeColor="text1"/>
          <w:sz w:val="22"/>
          <w:szCs w:val="22"/>
        </w:rPr>
        <w:t>. We predicted that this slight change to the lesson would work well for the second set of pupils and hopefully positively impact their levels of engagement.</w:t>
      </w:r>
    </w:p>
    <w:p w14:paraId="2F873B4D" w14:textId="71CB7D8D" w:rsidR="00841B8F" w:rsidRPr="00DB514B" w:rsidRDefault="00841B8F"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Following our discussion, we also concluded that all pupils were moderately engaged during the introduction and that as pupils had no choice during the introduction, that we would not use the Leuven Scale until the main body of the second lesson. We concluded that </w:t>
      </w:r>
      <w:r w:rsidR="0081437D" w:rsidRPr="00DB514B">
        <w:rPr>
          <w:rFonts w:ascii="Arial" w:hAnsi="Arial" w:cs="Arial"/>
          <w:color w:val="000000" w:themeColor="text1"/>
          <w:sz w:val="22"/>
          <w:szCs w:val="22"/>
        </w:rPr>
        <w:t>pupils’</w:t>
      </w:r>
      <w:r w:rsidRPr="00DB514B">
        <w:rPr>
          <w:rFonts w:ascii="Arial" w:hAnsi="Arial" w:cs="Arial"/>
          <w:color w:val="000000" w:themeColor="text1"/>
          <w:sz w:val="22"/>
          <w:szCs w:val="22"/>
        </w:rPr>
        <w:t xml:space="preserve"> levels of engagement were likely to be moderate during the introduction and as we were not giving them choice during this part of the lesson, there was no need to use the Leuven scale; we would just comment on their overall engagement through written observation. </w:t>
      </w:r>
    </w:p>
    <w:p w14:paraId="6CDA7542" w14:textId="10A68891" w:rsidR="00273CDF" w:rsidRPr="00DB514B" w:rsidRDefault="00273CDF" w:rsidP="00DB514B">
      <w:pPr>
        <w:spacing w:line="480" w:lineRule="auto"/>
        <w:rPr>
          <w:rFonts w:ascii="Arial" w:hAnsi="Arial" w:cs="Arial"/>
          <w:color w:val="000000" w:themeColor="text1"/>
          <w:sz w:val="22"/>
          <w:szCs w:val="22"/>
        </w:rPr>
      </w:pPr>
    </w:p>
    <w:p w14:paraId="5FD1CC1C" w14:textId="5F09E2D2" w:rsidR="00841B8F" w:rsidRPr="00DB514B" w:rsidRDefault="00841B8F" w:rsidP="00DB514B">
      <w:pPr>
        <w:spacing w:line="480" w:lineRule="auto"/>
        <w:rPr>
          <w:rFonts w:ascii="Arial" w:hAnsi="Arial" w:cs="Arial"/>
          <w:color w:val="000000" w:themeColor="text1"/>
          <w:sz w:val="22"/>
          <w:szCs w:val="22"/>
          <w:u w:val="single"/>
        </w:rPr>
      </w:pPr>
      <w:r w:rsidRPr="00DB514B">
        <w:rPr>
          <w:rFonts w:ascii="Arial" w:hAnsi="Arial" w:cs="Arial"/>
          <w:color w:val="000000" w:themeColor="text1"/>
          <w:sz w:val="22"/>
          <w:szCs w:val="22"/>
          <w:u w:val="single"/>
        </w:rPr>
        <w:t xml:space="preserve">Lesson study 2 results and analysis </w:t>
      </w:r>
    </w:p>
    <w:p w14:paraId="011B28F7" w14:textId="26C80BFB" w:rsidR="00841B8F" w:rsidRPr="00DB514B" w:rsidRDefault="00841B8F" w:rsidP="00DB514B">
      <w:pPr>
        <w:spacing w:line="480" w:lineRule="auto"/>
        <w:rPr>
          <w:rFonts w:ascii="Arial" w:hAnsi="Arial" w:cs="Arial"/>
          <w:color w:val="000000" w:themeColor="text1"/>
          <w:sz w:val="22"/>
          <w:szCs w:val="22"/>
        </w:rPr>
      </w:pPr>
    </w:p>
    <w:p w14:paraId="638070E3" w14:textId="2C0FD3C2" w:rsidR="00841B8F" w:rsidRPr="00DB514B" w:rsidRDefault="00C86C9C"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Lesson study 2, took place in School 2 during a mathematics lesson. During the lesson, pupils had the choice of three math related puzzles to complete on the topic of volume. Each task was differentiated according to ability. Pupils were told that they had a choice of task and were also informed that the different tasks were differentiated by difficulty level. Pupils also had the option of working individually or in pairs. </w:t>
      </w:r>
      <w:r w:rsidR="002B2EA0" w:rsidRPr="00DB514B">
        <w:rPr>
          <w:rFonts w:ascii="Arial" w:hAnsi="Arial" w:cs="Arial"/>
          <w:color w:val="000000" w:themeColor="text1"/>
          <w:sz w:val="22"/>
          <w:szCs w:val="22"/>
        </w:rPr>
        <w:t xml:space="preserve">The three target pupils all completed </w:t>
      </w:r>
      <w:r w:rsidR="002B2EA0" w:rsidRPr="00DB514B">
        <w:rPr>
          <w:rFonts w:ascii="Arial" w:hAnsi="Arial" w:cs="Arial"/>
          <w:color w:val="000000" w:themeColor="text1"/>
          <w:sz w:val="22"/>
          <w:szCs w:val="22"/>
        </w:rPr>
        <w:lastRenderedPageBreak/>
        <w:t xml:space="preserve">the task within the lesson study and met the learning objectives and success criteria shared with the pupils at the start of the lesson. During the lesson study I observed the three target children and used our revised observation proforma (Appendix </w:t>
      </w:r>
      <w:r w:rsidR="00D62EBE" w:rsidRPr="00DB514B">
        <w:rPr>
          <w:rFonts w:ascii="Arial" w:hAnsi="Arial" w:cs="Arial"/>
          <w:color w:val="000000" w:themeColor="text1"/>
          <w:sz w:val="22"/>
          <w:szCs w:val="22"/>
        </w:rPr>
        <w:t>4</w:t>
      </w:r>
      <w:r w:rsidR="002B2EA0" w:rsidRPr="00DB514B">
        <w:rPr>
          <w:rFonts w:ascii="Arial" w:hAnsi="Arial" w:cs="Arial"/>
          <w:color w:val="000000" w:themeColor="text1"/>
          <w:sz w:val="22"/>
          <w:szCs w:val="22"/>
        </w:rPr>
        <w:t xml:space="preserve">) to note their levels of engagement. </w:t>
      </w:r>
    </w:p>
    <w:p w14:paraId="4FE26CD6" w14:textId="52E260E3" w:rsidR="002B2EA0" w:rsidRPr="00DB514B" w:rsidRDefault="002B2EA0"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Upon analysis of the observations made during lesson study 2 it </w:t>
      </w:r>
      <w:r w:rsidR="0081437D" w:rsidRPr="00DB514B">
        <w:rPr>
          <w:rFonts w:ascii="Arial" w:hAnsi="Arial" w:cs="Arial"/>
          <w:color w:val="000000" w:themeColor="text1"/>
          <w:sz w:val="22"/>
          <w:szCs w:val="22"/>
        </w:rPr>
        <w:t>could be argued</w:t>
      </w:r>
      <w:r w:rsidRPr="00DB514B">
        <w:rPr>
          <w:rFonts w:ascii="Arial" w:hAnsi="Arial" w:cs="Arial"/>
          <w:color w:val="000000" w:themeColor="text1"/>
          <w:sz w:val="22"/>
          <w:szCs w:val="22"/>
        </w:rPr>
        <w:t xml:space="preserve"> that </w:t>
      </w:r>
      <w:r w:rsidR="007B34AF" w:rsidRPr="00DB514B">
        <w:rPr>
          <w:rFonts w:ascii="Arial" w:hAnsi="Arial" w:cs="Arial"/>
          <w:color w:val="000000" w:themeColor="text1"/>
          <w:sz w:val="22"/>
          <w:szCs w:val="22"/>
        </w:rPr>
        <w:t xml:space="preserve">the levels of engagement of the three target pupils were fairly consistent throughout the lesson. The time sampling method of observation during this lesson shows that Child A had mostly high levels of engagement, Child B fluctuated between extremely low and high levels of engagement, and Child C had high and extremely high levels of engagement based on the Leuven Scale. As with the first lesson study, we cannot rely solely on the time sampling to give us an accurate picture of the levels of engagement during the lesson. The written observations allow us to gain a better understanding of the reasons behind the levels of engagement at the time intervals used. At 40 minutes Child B had extremely low levels of engagement based on the Leuven Scale. Without analysing the written observations, we would not know that this was due to them finishing the task and waiting for their partner to return to their desk with the next puzzle. Just basing analysis on the time sample could indicate that Child B lost interest in the task, however the written observation allowed more information to be obtained. </w:t>
      </w:r>
    </w:p>
    <w:p w14:paraId="6709E2CE" w14:textId="171741EC" w:rsidR="00136BB6" w:rsidRPr="00DB514B" w:rsidRDefault="007B34AF"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All three target pupils showed high levels of engagement within the activity. Throughout the lesson they were focused, content and at times fully engrossed in what they were doing. </w:t>
      </w:r>
      <w:r w:rsidR="00D62EBE" w:rsidRPr="00DB514B">
        <w:rPr>
          <w:rFonts w:ascii="Arial" w:hAnsi="Arial" w:cs="Arial"/>
          <w:color w:val="000000" w:themeColor="text1"/>
          <w:sz w:val="22"/>
          <w:szCs w:val="22"/>
        </w:rPr>
        <w:t xml:space="preserve">The pupils seemed to enjoy the challenge aspect of the task, with Child A and Child B both opting for the hardest of the three tasks to complete. The focus group interview (Appendix 6) highlighted that the target pupils </w:t>
      </w:r>
      <w:r w:rsidR="007621B6" w:rsidRPr="00DB514B">
        <w:rPr>
          <w:rFonts w:ascii="Arial" w:hAnsi="Arial" w:cs="Arial"/>
          <w:color w:val="000000" w:themeColor="text1"/>
          <w:sz w:val="22"/>
          <w:szCs w:val="22"/>
        </w:rPr>
        <w:t xml:space="preserve">liked the fact that they could chose the level of difficulty of their work, it meant that if they found the work too challenging they could change it for something easier, or if they found the task easy to complete they could challenge themselves with something more difficult. The pupils also felt that an activity like the one in this lesson study allowed them to work at their own pace, resulting in them enjoying the task more. </w:t>
      </w:r>
      <w:r w:rsidR="00136BB6" w:rsidRPr="00DB514B">
        <w:rPr>
          <w:rFonts w:ascii="Arial" w:hAnsi="Arial" w:cs="Arial"/>
          <w:color w:val="000000" w:themeColor="text1"/>
          <w:sz w:val="22"/>
          <w:szCs w:val="22"/>
        </w:rPr>
        <w:t xml:space="preserve">Pupils also felt that the task allowed them to grasp the concept of volume in a </w:t>
      </w:r>
      <w:r w:rsidR="00136BB6" w:rsidRPr="00DB514B">
        <w:rPr>
          <w:rFonts w:ascii="Arial" w:hAnsi="Arial" w:cs="Arial"/>
          <w:color w:val="000000" w:themeColor="text1"/>
          <w:sz w:val="22"/>
          <w:szCs w:val="22"/>
        </w:rPr>
        <w:lastRenderedPageBreak/>
        <w:t>practical way before having the “pressure of writing in the book”. Tomlinson and Moon (2013) state that when pupils are attracted to an idea or task this results in high engagement in the classroom; this engagement is then held when pupils feel a task is worthwhile. It could be argued that the target pupils in this lesson study felt that the task they were completing had a purpose and was something they would find beneficial to future learning, so showed high levels of engagement</w:t>
      </w:r>
      <w:r w:rsidR="0081437D" w:rsidRPr="00DB514B">
        <w:rPr>
          <w:rFonts w:ascii="Arial" w:hAnsi="Arial" w:cs="Arial"/>
          <w:color w:val="000000" w:themeColor="text1"/>
          <w:sz w:val="22"/>
          <w:szCs w:val="22"/>
        </w:rPr>
        <w:t xml:space="preserve"> throughout the lesson. </w:t>
      </w:r>
    </w:p>
    <w:p w14:paraId="27809CB9" w14:textId="17CA54D6" w:rsidR="00136BB6" w:rsidRPr="00DB514B" w:rsidRDefault="00136BB6"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Proceeding the lesson study and focus group interview, I sat down with my research partner to reflect upon the lesson (Appendix 5). </w:t>
      </w:r>
      <w:r w:rsidR="00C3779C" w:rsidRPr="00DB514B">
        <w:rPr>
          <w:rFonts w:ascii="Arial" w:hAnsi="Arial" w:cs="Arial"/>
          <w:color w:val="000000" w:themeColor="text1"/>
          <w:sz w:val="22"/>
          <w:szCs w:val="22"/>
        </w:rPr>
        <w:t xml:space="preserve">From this we concluded that in future lessons with this class differentiated tasks may benefit levels of engagement. We also felt that pupils were more confident in their ability to complete the task, as they had a say in how challenging the task would be. Pupils had the freedom to choose and also the freedom to change activity during the lesson, this seemed to have a positive impact on the levels of engagement. </w:t>
      </w:r>
    </w:p>
    <w:p w14:paraId="48C9BEF3" w14:textId="42A73EC9" w:rsidR="00136BB6" w:rsidRPr="00DB514B" w:rsidRDefault="00C3779C"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Both lesson studies highlighted that the time sampling method may produce a biased view of the learner’s levels of engagement during a lesson. </w:t>
      </w:r>
      <w:r w:rsidR="0081437D" w:rsidRPr="00DB514B">
        <w:rPr>
          <w:rFonts w:ascii="Arial" w:hAnsi="Arial" w:cs="Arial"/>
          <w:color w:val="000000" w:themeColor="text1"/>
          <w:sz w:val="22"/>
          <w:szCs w:val="22"/>
        </w:rPr>
        <w:t>If</w:t>
      </w:r>
      <w:r w:rsidRPr="00DB514B">
        <w:rPr>
          <w:rFonts w:ascii="Arial" w:hAnsi="Arial" w:cs="Arial"/>
          <w:color w:val="000000" w:themeColor="text1"/>
          <w:sz w:val="22"/>
          <w:szCs w:val="22"/>
        </w:rPr>
        <w:t xml:space="preserve"> we were to just base our results on the time sampling we would not have an accurate picture of the engagement levels of the target pupils. In order to collect better evidence, our observation tool could be improved. A written observation alongside the Leuven Scale could provide a wide picture of the levels of engagement during the lesson study, although the time sample allowed us to focus in at certain intervals of the lesson, it also does not allow for extra information to be gained. We concluded that if we were to complete the lesson study a third time, we would not use the time sampling method of observation; we would use written observation, alongside the Leuven Scale to measure the levels of engagement of the pupils. </w:t>
      </w:r>
    </w:p>
    <w:p w14:paraId="26E526FB" w14:textId="2C7028A8" w:rsidR="007B34AF" w:rsidRPr="00DB514B" w:rsidRDefault="007B34AF" w:rsidP="00DB514B">
      <w:pPr>
        <w:spacing w:line="480" w:lineRule="auto"/>
        <w:rPr>
          <w:rFonts w:ascii="Arial" w:hAnsi="Arial" w:cs="Arial"/>
          <w:color w:val="000000" w:themeColor="text1"/>
          <w:sz w:val="22"/>
          <w:szCs w:val="22"/>
        </w:rPr>
      </w:pPr>
    </w:p>
    <w:p w14:paraId="65D46E33" w14:textId="6A61F315" w:rsidR="004E07DC" w:rsidRPr="00DB514B" w:rsidRDefault="004E07DC" w:rsidP="00DB514B">
      <w:pPr>
        <w:spacing w:line="480" w:lineRule="auto"/>
        <w:rPr>
          <w:rFonts w:ascii="Arial" w:hAnsi="Arial" w:cs="Arial"/>
          <w:color w:val="000000" w:themeColor="text1"/>
          <w:sz w:val="22"/>
          <w:szCs w:val="22"/>
          <w:u w:val="single"/>
        </w:rPr>
      </w:pPr>
      <w:r w:rsidRPr="00DB514B">
        <w:rPr>
          <w:rFonts w:ascii="Arial" w:hAnsi="Arial" w:cs="Arial"/>
          <w:color w:val="000000" w:themeColor="text1"/>
          <w:sz w:val="22"/>
          <w:szCs w:val="22"/>
          <w:u w:val="single"/>
        </w:rPr>
        <w:t>Research findings</w:t>
      </w:r>
    </w:p>
    <w:p w14:paraId="21AF146C" w14:textId="77777777" w:rsidR="004E07DC" w:rsidRPr="00DB514B" w:rsidRDefault="004E07DC" w:rsidP="00DB514B">
      <w:pPr>
        <w:spacing w:line="480" w:lineRule="auto"/>
        <w:rPr>
          <w:rFonts w:ascii="Arial" w:hAnsi="Arial" w:cs="Arial"/>
          <w:color w:val="000000" w:themeColor="text1"/>
          <w:sz w:val="22"/>
          <w:szCs w:val="22"/>
        </w:rPr>
      </w:pPr>
    </w:p>
    <w:p w14:paraId="614E1B7C" w14:textId="65BEEB32" w:rsidR="00116DE2" w:rsidRPr="00DB514B" w:rsidRDefault="00944683"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The completion of both lesson studies, along with reflection and analysis of our findings, has highlighted several things. </w:t>
      </w:r>
      <w:r w:rsidR="00BE7345" w:rsidRPr="00DB514B">
        <w:rPr>
          <w:rFonts w:ascii="Arial" w:hAnsi="Arial" w:cs="Arial"/>
          <w:color w:val="000000" w:themeColor="text1"/>
          <w:sz w:val="22"/>
          <w:szCs w:val="22"/>
        </w:rPr>
        <w:t>Firstly,</w:t>
      </w:r>
      <w:r w:rsidR="00300101" w:rsidRPr="00DB514B">
        <w:rPr>
          <w:rFonts w:ascii="Arial" w:hAnsi="Arial" w:cs="Arial"/>
          <w:color w:val="000000" w:themeColor="text1"/>
          <w:sz w:val="22"/>
          <w:szCs w:val="22"/>
        </w:rPr>
        <w:t xml:space="preserve"> that </w:t>
      </w:r>
      <w:r w:rsidR="00BE7345" w:rsidRPr="00DB514B">
        <w:rPr>
          <w:rFonts w:ascii="Arial" w:hAnsi="Arial" w:cs="Arial"/>
          <w:color w:val="000000" w:themeColor="text1"/>
          <w:sz w:val="22"/>
          <w:szCs w:val="22"/>
        </w:rPr>
        <w:t xml:space="preserve">giving pupils choice can positively affect their </w:t>
      </w:r>
      <w:r w:rsidR="00BE7345" w:rsidRPr="00DB514B">
        <w:rPr>
          <w:rFonts w:ascii="Arial" w:hAnsi="Arial" w:cs="Arial"/>
          <w:color w:val="000000" w:themeColor="text1"/>
          <w:sz w:val="22"/>
          <w:szCs w:val="22"/>
        </w:rPr>
        <w:lastRenderedPageBreak/>
        <w:t xml:space="preserve">engagement, however this depends on the pupils. </w:t>
      </w:r>
      <w:r w:rsidR="00F76A95" w:rsidRPr="00DB514B">
        <w:rPr>
          <w:rFonts w:ascii="Arial" w:hAnsi="Arial" w:cs="Arial"/>
          <w:color w:val="000000" w:themeColor="text1"/>
          <w:sz w:val="22"/>
          <w:szCs w:val="22"/>
        </w:rPr>
        <w:t xml:space="preserve">It was evident from observations carried out in both lesson studies that levels of engagement within lesson will differ, this is due to the nature of the pupils within the class, and how much their engagement is affected by other factors. Marzano and Pickeri (2010) state that feelings affect human behaviour. </w:t>
      </w:r>
      <w:r w:rsidR="00850606" w:rsidRPr="00DB514B">
        <w:rPr>
          <w:rFonts w:ascii="Arial" w:hAnsi="Arial" w:cs="Arial"/>
          <w:color w:val="000000" w:themeColor="text1"/>
          <w:sz w:val="22"/>
          <w:szCs w:val="22"/>
        </w:rPr>
        <w:t xml:space="preserve">It was evident from my time with my class that their engagement levels were dependent on more than just the task they were completing. This however was not the case in School 2. After discussing the engagement levels in both lesson studies, my research partner and I discussed the differences in pupils within both classes and that how the pupils in School 2 were less likely to have their engagement levels effected by other factors. This provides us with a problem; as the engagement levels in both classes differed we will not be able to conclude if this was solely due to the pupils being given choice during the lesson studies. </w:t>
      </w:r>
    </w:p>
    <w:p w14:paraId="6851DA11" w14:textId="2727B683" w:rsidR="00850606" w:rsidRPr="00DB514B" w:rsidRDefault="00850606" w:rsidP="00DB514B">
      <w:pPr>
        <w:spacing w:line="480" w:lineRule="auto"/>
        <w:rPr>
          <w:rFonts w:ascii="Arial" w:hAnsi="Arial" w:cs="Arial"/>
          <w:color w:val="000000" w:themeColor="text1"/>
          <w:sz w:val="22"/>
          <w:szCs w:val="22"/>
        </w:rPr>
      </w:pPr>
    </w:p>
    <w:p w14:paraId="39918E7D" w14:textId="3009138C" w:rsidR="00850606" w:rsidRPr="00DB514B" w:rsidRDefault="004E07DC"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As discussed above, upon completion of the first lesson study, my research partner and I adjusted our lesson in order to improve it. Following our reflections of the lesson we decided to not only give the pupils choice of the task but also choice of difficulty. The target pupils in School 2 seemed to respond well to this improvement. Shernoff (2013) states that when challenges are high enough to gain pupils interests, their engagement is maximised. However, the challenges need to match the skills of the pupils in order for the pupils to feel a reasonable chance of success. This seemed to be the case in lesson 2. The target pupils in School 2, showed high levels of engagement for the differentiated tasks, and expressed during the focus group interview their enjoyment of being able to choose their level of work. </w:t>
      </w:r>
      <w:r w:rsidR="004D0866" w:rsidRPr="00DB514B">
        <w:rPr>
          <w:rFonts w:ascii="Arial" w:hAnsi="Arial" w:cs="Arial"/>
          <w:color w:val="000000" w:themeColor="text1"/>
          <w:sz w:val="22"/>
          <w:szCs w:val="22"/>
        </w:rPr>
        <w:t xml:space="preserve">It could be argued that had we differentiated the tasks for lesson study 1 that the levels of engagement from the target pupils would have been greater. </w:t>
      </w:r>
    </w:p>
    <w:p w14:paraId="673FBA0C" w14:textId="12D1568C" w:rsidR="004F0EC0" w:rsidRPr="00DB514B" w:rsidRDefault="004F0EC0" w:rsidP="00DB514B">
      <w:pPr>
        <w:spacing w:line="480" w:lineRule="auto"/>
        <w:rPr>
          <w:rFonts w:ascii="Arial" w:hAnsi="Arial" w:cs="Arial"/>
          <w:color w:val="000000" w:themeColor="text1"/>
          <w:sz w:val="22"/>
          <w:szCs w:val="22"/>
        </w:rPr>
      </w:pPr>
    </w:p>
    <w:p w14:paraId="03F1F9D4" w14:textId="38F32071" w:rsidR="004F0EC0" w:rsidRPr="00DB514B" w:rsidRDefault="004F0EC0"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The reflection proforma that was created allowed my research partner and I to reflect upon how the lesson studies would impact future practice for our individual classes. The main element we discussed for my class was the type of task. We concluded from the lesson study that giving the pupils in School 1 choice did not greatly impact their engagement in a </w:t>
      </w:r>
      <w:r w:rsidRPr="00DB514B">
        <w:rPr>
          <w:rFonts w:ascii="Arial" w:hAnsi="Arial" w:cs="Arial"/>
          <w:color w:val="000000" w:themeColor="text1"/>
          <w:sz w:val="22"/>
          <w:szCs w:val="22"/>
        </w:rPr>
        <w:lastRenderedPageBreak/>
        <w:t xml:space="preserve">positive way; we concluded that activities such as this may be improved if they were to be differentiated. </w:t>
      </w:r>
      <w:r w:rsidR="00130EC0" w:rsidRPr="00DB514B">
        <w:rPr>
          <w:rFonts w:ascii="Arial" w:hAnsi="Arial" w:cs="Arial"/>
          <w:color w:val="000000" w:themeColor="text1"/>
          <w:sz w:val="22"/>
          <w:szCs w:val="22"/>
        </w:rPr>
        <w:t xml:space="preserve">Martinek, Hofmann and Kipman (2016) state that teachers must act as mediators between the external demands of the school/curriculum and the individual interests and learning needs of their pupils. It could be argued that if teachers can balance the needs and interests of their pupils and the needs of the curriculum, they will be able to provide pupils with tasks and activities that positively affect their engagement. It could be argued that the lesson study did not capture the interests of the pupils within my class, resulting in low levels of engagement. If the lesson was more tailored to the interests of the pupils, it could be said that their engagement levels would have been higher on the Leuven Scale. </w:t>
      </w:r>
    </w:p>
    <w:p w14:paraId="6230582E" w14:textId="73B3C156" w:rsidR="00580352" w:rsidRPr="00DB514B" w:rsidRDefault="00580352" w:rsidP="00DB514B">
      <w:pPr>
        <w:spacing w:line="480" w:lineRule="auto"/>
        <w:rPr>
          <w:rFonts w:ascii="Arial" w:hAnsi="Arial" w:cs="Arial"/>
          <w:color w:val="000000" w:themeColor="text1"/>
          <w:sz w:val="22"/>
          <w:szCs w:val="22"/>
        </w:rPr>
      </w:pPr>
    </w:p>
    <w:p w14:paraId="520CFE45" w14:textId="7933206B" w:rsidR="00580352" w:rsidRPr="00DB514B" w:rsidRDefault="00580352" w:rsidP="00DB514B">
      <w:pPr>
        <w:spacing w:line="480" w:lineRule="auto"/>
        <w:rPr>
          <w:rFonts w:ascii="Arial" w:hAnsi="Arial" w:cs="Arial"/>
          <w:color w:val="000000" w:themeColor="text1"/>
          <w:sz w:val="22"/>
          <w:szCs w:val="22"/>
          <w:u w:val="single"/>
        </w:rPr>
      </w:pPr>
      <w:r w:rsidRPr="00DB514B">
        <w:rPr>
          <w:rFonts w:ascii="Arial" w:hAnsi="Arial" w:cs="Arial"/>
          <w:color w:val="000000" w:themeColor="text1"/>
          <w:sz w:val="22"/>
          <w:szCs w:val="22"/>
          <w:u w:val="single"/>
        </w:rPr>
        <w:t xml:space="preserve">Conclusion </w:t>
      </w:r>
    </w:p>
    <w:p w14:paraId="523AE0EC" w14:textId="3F43083E" w:rsidR="00580352" w:rsidRPr="00DB514B" w:rsidRDefault="00580352" w:rsidP="00DB514B">
      <w:pPr>
        <w:spacing w:line="480" w:lineRule="auto"/>
        <w:rPr>
          <w:rFonts w:ascii="Arial" w:hAnsi="Arial" w:cs="Arial"/>
          <w:color w:val="000000" w:themeColor="text1"/>
          <w:sz w:val="22"/>
          <w:szCs w:val="22"/>
        </w:rPr>
      </w:pPr>
    </w:p>
    <w:p w14:paraId="09A0100A" w14:textId="51DE2DCC" w:rsidR="00580352" w:rsidRPr="00DB514B" w:rsidRDefault="00A9509C"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There were several strengths and limitations to the methods used within this research project. The method used for collecting our qualitative data was a combination of written observation and time sampling. These were both used in conjunction with the Leuven Scale. Burton and Barlett (2005) state that written observation allows an observ</w:t>
      </w:r>
      <w:r w:rsidR="0081437D" w:rsidRPr="00DB514B">
        <w:rPr>
          <w:rFonts w:ascii="Arial" w:hAnsi="Arial" w:cs="Arial"/>
          <w:color w:val="000000" w:themeColor="text1"/>
          <w:sz w:val="22"/>
          <w:szCs w:val="22"/>
        </w:rPr>
        <w:t>er</w:t>
      </w:r>
      <w:r w:rsidRPr="00DB514B">
        <w:rPr>
          <w:rFonts w:ascii="Arial" w:hAnsi="Arial" w:cs="Arial"/>
          <w:color w:val="000000" w:themeColor="text1"/>
          <w:sz w:val="22"/>
          <w:szCs w:val="22"/>
        </w:rPr>
        <w:t xml:space="preserve"> to gather large amounts of data within a short time and also observe how pupils behave in natural situations. Using the written method of observation during the lesson studies, allowed my research partner and I to gather a large amount of information on the three target pupils within a short time period. This method of observation worked well as the observer was just present to observe and therefore able to write copious amounts of notes on the target pupils.  </w:t>
      </w:r>
      <w:r w:rsidR="00605976" w:rsidRPr="00DB514B">
        <w:rPr>
          <w:rFonts w:ascii="Arial" w:hAnsi="Arial" w:cs="Arial"/>
          <w:color w:val="000000" w:themeColor="text1"/>
          <w:sz w:val="22"/>
          <w:szCs w:val="22"/>
        </w:rPr>
        <w:t xml:space="preserve">Riegel and Meacham (2009) state that one of the limitations of time sampling as a way observing is that long sequences of interactions cannot be specified. However, it is useful for its objectivity. During both lesson studies the use of time sampling alone would not have given use a clear picture of the levels of engagement of the target children within the lesson. Although the time intervals allowed the observer to focus in at certain times during the </w:t>
      </w:r>
      <w:r w:rsidR="00605976" w:rsidRPr="00DB514B">
        <w:rPr>
          <w:rFonts w:ascii="Arial" w:hAnsi="Arial" w:cs="Arial"/>
          <w:color w:val="000000" w:themeColor="text1"/>
          <w:sz w:val="22"/>
          <w:szCs w:val="22"/>
        </w:rPr>
        <w:lastRenderedPageBreak/>
        <w:t xml:space="preserve">lesson, had we not had the written observations, we would not have been able to fully understand why the levels of engagement presented by the target children were happening. </w:t>
      </w:r>
    </w:p>
    <w:p w14:paraId="4E8A2F89" w14:textId="4F7BF098" w:rsidR="00605976" w:rsidRPr="00DB514B" w:rsidRDefault="00605976"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As the lesson study only focused on three target children from each school, it would be fair to say that this is not an accurate representation of the engagement levels of the class as a whole. The lesson study was also carried out in two different schools, </w:t>
      </w:r>
      <w:r w:rsidR="00A2309D" w:rsidRPr="00DB514B">
        <w:rPr>
          <w:rFonts w:ascii="Arial" w:hAnsi="Arial" w:cs="Arial"/>
          <w:color w:val="000000" w:themeColor="text1"/>
          <w:sz w:val="22"/>
          <w:szCs w:val="22"/>
        </w:rPr>
        <w:t xml:space="preserve">in different areas, with pupils who have different socio-economic backgrounds. Having discussed with my research partner, we concluded that the two classes differed in their behaviour and attitudes towards learning and so we anticipated different results in levels of engagement. This make it difficult to conclude whether or not giving pupils choice affects their engagement levels. </w:t>
      </w:r>
    </w:p>
    <w:p w14:paraId="60C9DA46" w14:textId="23024195" w:rsidR="00D60598" w:rsidRPr="00DB514B" w:rsidRDefault="00D60598"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Using semi-structured interviews with a focus group allowed us to gain rich data from the participants (Palaiologou, 2010). They also allowed us </w:t>
      </w:r>
      <w:r w:rsidR="00596E90" w:rsidRPr="00DB514B">
        <w:rPr>
          <w:rFonts w:ascii="Arial" w:hAnsi="Arial" w:cs="Arial"/>
          <w:color w:val="000000" w:themeColor="text1"/>
          <w:sz w:val="22"/>
          <w:szCs w:val="22"/>
        </w:rPr>
        <w:t>to collect the pupil’s opinions, ideas and preferences about the lesson (Drever, 2003). The semi-structured interviews allowed us to gain further insight into the reasons behind the levels of engagement that were presented during the lesson. Although the process took time out of the pupil’s school day, we found it very beneficial. It also allowed us to gain ideas from the pupils of how the lesson could be improved to positively impact their engagement levels</w:t>
      </w:r>
      <w:r w:rsidR="0081437D" w:rsidRPr="00DB514B">
        <w:rPr>
          <w:rFonts w:ascii="Arial" w:hAnsi="Arial" w:cs="Arial"/>
          <w:color w:val="000000" w:themeColor="text1"/>
          <w:sz w:val="22"/>
          <w:szCs w:val="22"/>
        </w:rPr>
        <w:t xml:space="preserve"> in future lessons. </w:t>
      </w:r>
    </w:p>
    <w:p w14:paraId="4BEC749B" w14:textId="07B4408A" w:rsidR="00596E90" w:rsidRPr="00DB514B" w:rsidRDefault="00596E90"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Due to time constraints during PTE1 part 2, we were unable to pilot any of </w:t>
      </w:r>
      <w:r w:rsidR="0081437D" w:rsidRPr="00DB514B">
        <w:rPr>
          <w:rFonts w:ascii="Arial" w:hAnsi="Arial" w:cs="Arial"/>
          <w:color w:val="000000" w:themeColor="text1"/>
          <w:sz w:val="22"/>
          <w:szCs w:val="22"/>
        </w:rPr>
        <w:t xml:space="preserve">the </w:t>
      </w:r>
      <w:r w:rsidRPr="00DB514B">
        <w:rPr>
          <w:rFonts w:ascii="Arial" w:hAnsi="Arial" w:cs="Arial"/>
          <w:color w:val="000000" w:themeColor="text1"/>
          <w:sz w:val="22"/>
          <w:szCs w:val="22"/>
        </w:rPr>
        <w:t>methods we would be using within the lesson study. It could be argued that it would have been beneficial to pilot our method of observation, this way we would have known that there were limitations to using the method of time sampling. We could have the attempted to overcome these limitations in readiness for the lesson study, this may have improved our findings. It could also be said that if we had piloted our lessons, prior to the lesson study, they could have been altered and improved to better suit the pupils</w:t>
      </w:r>
      <w:r w:rsidR="00CE5308" w:rsidRPr="00DB514B">
        <w:rPr>
          <w:rFonts w:ascii="Arial" w:hAnsi="Arial" w:cs="Arial"/>
          <w:color w:val="000000" w:themeColor="text1"/>
          <w:sz w:val="22"/>
          <w:szCs w:val="22"/>
        </w:rPr>
        <w:t xml:space="preserve"> within our respective classes.</w:t>
      </w:r>
    </w:p>
    <w:p w14:paraId="0A65B264" w14:textId="6497219E" w:rsidR="00945335" w:rsidRPr="00DB514B" w:rsidRDefault="00945335"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Completing this lesson study has made it evident that there are several factors that can influence pupil engagement in a lesson. </w:t>
      </w:r>
      <w:r w:rsidR="00CE5308" w:rsidRPr="00DB514B">
        <w:rPr>
          <w:rFonts w:ascii="Arial" w:hAnsi="Arial" w:cs="Arial"/>
          <w:color w:val="000000" w:themeColor="text1"/>
          <w:sz w:val="22"/>
          <w:szCs w:val="22"/>
        </w:rPr>
        <w:t>I</w:t>
      </w:r>
      <w:r w:rsidRPr="00DB514B">
        <w:rPr>
          <w:rFonts w:ascii="Arial" w:hAnsi="Arial" w:cs="Arial"/>
          <w:color w:val="000000" w:themeColor="text1"/>
          <w:sz w:val="22"/>
          <w:szCs w:val="22"/>
        </w:rPr>
        <w:t xml:space="preserve">n my next school experience, I will take these factors into consideration when planning, preparing and teaching my lessons. It is also evident from the lesson studies carried out that choice of task alone, does not greatly impact pupil engagement; differentiation is needed. When planning for my next school experience I </w:t>
      </w:r>
      <w:r w:rsidRPr="00DB514B">
        <w:rPr>
          <w:rFonts w:ascii="Arial" w:hAnsi="Arial" w:cs="Arial"/>
          <w:color w:val="000000" w:themeColor="text1"/>
          <w:sz w:val="22"/>
          <w:szCs w:val="22"/>
        </w:rPr>
        <w:lastRenderedPageBreak/>
        <w:t>will put a greater emphasis on differentiation and take it into consideration when looking at pupil engagement with</w:t>
      </w:r>
      <w:r w:rsidR="00CE5308" w:rsidRPr="00DB514B">
        <w:rPr>
          <w:rFonts w:ascii="Arial" w:hAnsi="Arial" w:cs="Arial"/>
          <w:color w:val="000000" w:themeColor="text1"/>
          <w:sz w:val="22"/>
          <w:szCs w:val="22"/>
        </w:rPr>
        <w:t>in</w:t>
      </w:r>
      <w:r w:rsidRPr="00DB514B">
        <w:rPr>
          <w:rFonts w:ascii="Arial" w:hAnsi="Arial" w:cs="Arial"/>
          <w:color w:val="000000" w:themeColor="text1"/>
          <w:sz w:val="22"/>
          <w:szCs w:val="22"/>
        </w:rPr>
        <w:t xml:space="preserve"> lessons. It could also be said that engagement levels will differ depending on individual pupils and classes, this is something I will take into consideration on my next school experience. In future teaching I will attempt to take pupil engagement into consideration when planning and preparing lessons. It could be beneficial when starting in a new class/school to have a semi-structured interview to find out the interests and motivations of the pupils within my new class. This could then influence my planning and teaching, and hopefully positively impact the engagement levels within the class. </w:t>
      </w:r>
    </w:p>
    <w:p w14:paraId="6556B439" w14:textId="767CA068" w:rsidR="00945335" w:rsidRPr="00DB514B" w:rsidRDefault="00945335"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If I were to complete lesson study research in the future I feel it would be beneficial to include more </w:t>
      </w:r>
      <w:r w:rsidR="0062173D" w:rsidRPr="00DB514B">
        <w:rPr>
          <w:rFonts w:ascii="Arial" w:hAnsi="Arial" w:cs="Arial"/>
          <w:color w:val="000000" w:themeColor="text1"/>
          <w:sz w:val="22"/>
          <w:szCs w:val="22"/>
        </w:rPr>
        <w:t xml:space="preserve">practitioners, or student teachers. Stepnak et al (2006) states that professional development has a stronger impact when groups of teachers are involved in lesson study research. It could be argued that the more practitioners involved in a lesson, the more positive impact that lesson study will have on the professional development of the practitioners involved. It could also be argued that this professional development of practitioners would also have a positive impact on the pupils within their classrooms. Dudley (2014) suggests that practitioners are able to discover how to plan for learning that is better matched to the pupils they are teaching and also change their teaching to better support pupils learning as a result of lesson study. </w:t>
      </w:r>
      <w:r w:rsidR="00CE5308" w:rsidRPr="00DB514B">
        <w:rPr>
          <w:rFonts w:ascii="Arial" w:hAnsi="Arial" w:cs="Arial"/>
          <w:color w:val="000000" w:themeColor="text1"/>
          <w:sz w:val="22"/>
          <w:szCs w:val="22"/>
        </w:rPr>
        <w:t xml:space="preserve">This is something that could be achieved if more practitioners are involved in lesson study research. </w:t>
      </w:r>
    </w:p>
    <w:p w14:paraId="10F326C0" w14:textId="33978B30" w:rsidR="00CF6C29" w:rsidRPr="00DB514B" w:rsidRDefault="00775DF2"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t xml:space="preserve">To ensure that the lessons were as tailored to the pupils interests as possible, in future lesson studies I would attempt to link the lessons to something that the pupils within the class related to and also ensure that the tasks were differentiated by ability. Martinek, Hofmann and Kipman (2016) state that pupils are intrinsically motivated when the activity they are carrying out is interesting and satisfying. It would be beneficial in future lesson studies to gain an insight into the likes and interests of the pupils within the class, before planning the lesson used within the study. </w:t>
      </w:r>
      <w:r w:rsidR="00CE5308" w:rsidRPr="00DB514B">
        <w:rPr>
          <w:rFonts w:ascii="Arial" w:hAnsi="Arial" w:cs="Arial"/>
          <w:color w:val="000000" w:themeColor="text1"/>
          <w:sz w:val="22"/>
          <w:szCs w:val="22"/>
        </w:rPr>
        <w:t xml:space="preserve">Had we known what motivated and interested our learners before the lesson study, we could have attempted to tailor the lessons to encompass some of the interests, with the aim of improving engagement. </w:t>
      </w:r>
    </w:p>
    <w:p w14:paraId="489F532D" w14:textId="4903C239" w:rsidR="00945335" w:rsidRPr="00DB514B" w:rsidRDefault="00A25B52" w:rsidP="00DB514B">
      <w:pPr>
        <w:spacing w:line="480" w:lineRule="auto"/>
        <w:rPr>
          <w:rFonts w:ascii="Arial" w:hAnsi="Arial" w:cs="Arial"/>
          <w:color w:val="000000" w:themeColor="text1"/>
          <w:sz w:val="22"/>
          <w:szCs w:val="22"/>
        </w:rPr>
      </w:pPr>
      <w:r w:rsidRPr="00DB514B">
        <w:rPr>
          <w:rFonts w:ascii="Arial" w:hAnsi="Arial" w:cs="Arial"/>
          <w:color w:val="000000" w:themeColor="text1"/>
          <w:sz w:val="22"/>
          <w:szCs w:val="22"/>
        </w:rPr>
        <w:lastRenderedPageBreak/>
        <w:t>Upon completion of this lesson study, I would recommend that when carrying out lesson studies on pupil engagement that other factors are taken into consideration. These could include the class</w:t>
      </w:r>
      <w:r w:rsidR="00FE60B1" w:rsidRPr="00DB514B">
        <w:rPr>
          <w:rFonts w:ascii="Arial" w:hAnsi="Arial" w:cs="Arial"/>
          <w:color w:val="000000" w:themeColor="text1"/>
          <w:sz w:val="22"/>
          <w:szCs w:val="22"/>
        </w:rPr>
        <w:t>room</w:t>
      </w:r>
      <w:r w:rsidRPr="00DB514B">
        <w:rPr>
          <w:rFonts w:ascii="Arial" w:hAnsi="Arial" w:cs="Arial"/>
          <w:color w:val="000000" w:themeColor="text1"/>
          <w:sz w:val="22"/>
          <w:szCs w:val="22"/>
        </w:rPr>
        <w:t xml:space="preserve"> climate, the </w:t>
      </w:r>
      <w:r w:rsidR="00FE60B1" w:rsidRPr="00DB514B">
        <w:rPr>
          <w:rFonts w:ascii="Arial" w:hAnsi="Arial" w:cs="Arial"/>
          <w:color w:val="000000" w:themeColor="text1"/>
          <w:sz w:val="22"/>
          <w:szCs w:val="22"/>
        </w:rPr>
        <w:t>pupil’s</w:t>
      </w:r>
      <w:r w:rsidRPr="00DB514B">
        <w:rPr>
          <w:rFonts w:ascii="Arial" w:hAnsi="Arial" w:cs="Arial"/>
          <w:color w:val="000000" w:themeColor="text1"/>
          <w:sz w:val="22"/>
          <w:szCs w:val="22"/>
        </w:rPr>
        <w:t xml:space="preserve"> behaviour, the </w:t>
      </w:r>
      <w:r w:rsidR="00FE60B1" w:rsidRPr="00DB514B">
        <w:rPr>
          <w:rFonts w:ascii="Arial" w:hAnsi="Arial" w:cs="Arial"/>
          <w:color w:val="000000" w:themeColor="text1"/>
          <w:sz w:val="22"/>
          <w:szCs w:val="22"/>
        </w:rPr>
        <w:t xml:space="preserve">time of day. I would also suggest that time sampling not be used on its own as a form of observation as it does not give a wide picture of the pupil’s behaviours. It would also be beneficial to all involved to share the findings from the lesson study with other practitioners. </w:t>
      </w:r>
      <w:r w:rsidR="00CE5308" w:rsidRPr="00DB514B">
        <w:rPr>
          <w:rFonts w:ascii="Arial" w:hAnsi="Arial" w:cs="Arial"/>
          <w:color w:val="000000" w:themeColor="text1"/>
          <w:sz w:val="22"/>
          <w:szCs w:val="22"/>
        </w:rPr>
        <w:t xml:space="preserve">This would benefit not only practitioners but also the learners the practitioners teach. </w:t>
      </w:r>
    </w:p>
    <w:p w14:paraId="303ECF90" w14:textId="74AD8C65" w:rsidR="00DB514B" w:rsidRPr="00DB514B" w:rsidRDefault="00DB514B" w:rsidP="00DB514B">
      <w:pPr>
        <w:spacing w:line="480" w:lineRule="auto"/>
        <w:rPr>
          <w:rFonts w:ascii="Arial" w:hAnsi="Arial" w:cs="Arial"/>
          <w:color w:val="000000" w:themeColor="text1"/>
          <w:sz w:val="22"/>
          <w:szCs w:val="22"/>
        </w:rPr>
      </w:pPr>
    </w:p>
    <w:p w14:paraId="40EFEAAA" w14:textId="4F0A4BDB" w:rsidR="00DB514B" w:rsidRPr="00DB514B" w:rsidRDefault="00DB514B" w:rsidP="00DB514B">
      <w:pPr>
        <w:spacing w:line="480" w:lineRule="auto"/>
        <w:rPr>
          <w:rFonts w:ascii="Arial" w:hAnsi="Arial" w:cs="Arial"/>
          <w:color w:val="000000" w:themeColor="text1"/>
          <w:sz w:val="22"/>
          <w:szCs w:val="22"/>
        </w:rPr>
      </w:pPr>
    </w:p>
    <w:p w14:paraId="590CF111" w14:textId="6088F137" w:rsidR="00DB514B" w:rsidRPr="00DB514B" w:rsidRDefault="00DB514B" w:rsidP="00DB514B">
      <w:pPr>
        <w:spacing w:line="480" w:lineRule="auto"/>
        <w:rPr>
          <w:rFonts w:ascii="Arial" w:hAnsi="Arial" w:cs="Arial"/>
          <w:color w:val="000000" w:themeColor="text1"/>
          <w:sz w:val="22"/>
          <w:szCs w:val="22"/>
        </w:rPr>
      </w:pPr>
    </w:p>
    <w:p w14:paraId="009AB53C" w14:textId="4A2761A3" w:rsidR="00DB514B" w:rsidRPr="00DB514B" w:rsidRDefault="00DB514B" w:rsidP="00DB514B">
      <w:pPr>
        <w:spacing w:line="480" w:lineRule="auto"/>
        <w:rPr>
          <w:rFonts w:ascii="Arial" w:hAnsi="Arial" w:cs="Arial"/>
          <w:color w:val="000000" w:themeColor="text1"/>
          <w:sz w:val="22"/>
          <w:szCs w:val="22"/>
        </w:rPr>
      </w:pPr>
    </w:p>
    <w:p w14:paraId="63D995D0" w14:textId="2D552B93" w:rsidR="00DB514B" w:rsidRPr="00DB514B" w:rsidRDefault="00DB514B" w:rsidP="00DB514B">
      <w:pPr>
        <w:spacing w:line="480" w:lineRule="auto"/>
        <w:rPr>
          <w:rFonts w:ascii="Arial" w:hAnsi="Arial" w:cs="Arial"/>
          <w:color w:val="000000" w:themeColor="text1"/>
          <w:sz w:val="22"/>
          <w:szCs w:val="22"/>
        </w:rPr>
      </w:pPr>
    </w:p>
    <w:p w14:paraId="3775662B" w14:textId="2DDD4934" w:rsidR="00DB514B" w:rsidRPr="00DB514B" w:rsidRDefault="00DB514B" w:rsidP="00DB514B">
      <w:pPr>
        <w:spacing w:line="480" w:lineRule="auto"/>
        <w:rPr>
          <w:rFonts w:ascii="Arial" w:hAnsi="Arial" w:cs="Arial"/>
          <w:color w:val="000000" w:themeColor="text1"/>
          <w:sz w:val="22"/>
          <w:szCs w:val="22"/>
        </w:rPr>
      </w:pPr>
    </w:p>
    <w:p w14:paraId="1D4E119B" w14:textId="5706263F" w:rsidR="00DB514B" w:rsidRPr="00DB514B" w:rsidRDefault="00DB514B" w:rsidP="00DB514B">
      <w:pPr>
        <w:spacing w:line="480" w:lineRule="auto"/>
        <w:rPr>
          <w:rFonts w:ascii="Arial" w:hAnsi="Arial" w:cs="Arial"/>
          <w:color w:val="000000" w:themeColor="text1"/>
          <w:sz w:val="22"/>
          <w:szCs w:val="22"/>
        </w:rPr>
      </w:pPr>
    </w:p>
    <w:p w14:paraId="21F62EE8" w14:textId="421F3D11" w:rsidR="00DB514B" w:rsidRDefault="00DB514B" w:rsidP="00DB514B">
      <w:pPr>
        <w:spacing w:line="480" w:lineRule="auto"/>
        <w:rPr>
          <w:rFonts w:ascii="Arial" w:hAnsi="Arial" w:cs="Arial"/>
          <w:color w:val="000000" w:themeColor="text1"/>
          <w:sz w:val="22"/>
          <w:szCs w:val="22"/>
        </w:rPr>
      </w:pPr>
    </w:p>
    <w:p w14:paraId="437688B9" w14:textId="3567E8FD" w:rsidR="00DB514B" w:rsidRDefault="00DB514B" w:rsidP="00DB514B">
      <w:pPr>
        <w:spacing w:line="480" w:lineRule="auto"/>
        <w:rPr>
          <w:rFonts w:ascii="Arial" w:hAnsi="Arial" w:cs="Arial"/>
          <w:color w:val="000000" w:themeColor="text1"/>
          <w:sz w:val="22"/>
          <w:szCs w:val="22"/>
        </w:rPr>
      </w:pPr>
    </w:p>
    <w:p w14:paraId="6E620C32" w14:textId="427AD5A5" w:rsidR="00DB514B" w:rsidRDefault="00DB514B" w:rsidP="00DB514B">
      <w:pPr>
        <w:spacing w:line="480" w:lineRule="auto"/>
        <w:rPr>
          <w:rFonts w:ascii="Arial" w:hAnsi="Arial" w:cs="Arial"/>
          <w:color w:val="000000" w:themeColor="text1"/>
          <w:sz w:val="22"/>
          <w:szCs w:val="22"/>
        </w:rPr>
      </w:pPr>
    </w:p>
    <w:p w14:paraId="7D6301F7" w14:textId="5A4F5791" w:rsidR="00DB514B" w:rsidRDefault="00DB514B" w:rsidP="00DB514B">
      <w:pPr>
        <w:spacing w:line="480" w:lineRule="auto"/>
        <w:rPr>
          <w:rFonts w:ascii="Arial" w:hAnsi="Arial" w:cs="Arial"/>
          <w:color w:val="000000" w:themeColor="text1"/>
          <w:sz w:val="22"/>
          <w:szCs w:val="22"/>
        </w:rPr>
      </w:pPr>
    </w:p>
    <w:p w14:paraId="30DF32D0" w14:textId="7DAD26EE" w:rsidR="00DB514B" w:rsidRDefault="00DB514B" w:rsidP="00DB514B">
      <w:pPr>
        <w:spacing w:line="480" w:lineRule="auto"/>
        <w:rPr>
          <w:rFonts w:ascii="Arial" w:hAnsi="Arial" w:cs="Arial"/>
          <w:color w:val="000000" w:themeColor="text1"/>
          <w:sz w:val="22"/>
          <w:szCs w:val="22"/>
        </w:rPr>
      </w:pPr>
    </w:p>
    <w:p w14:paraId="76BB82B3" w14:textId="1292122E" w:rsidR="00DB514B" w:rsidRDefault="00DB514B" w:rsidP="00DB514B">
      <w:pPr>
        <w:spacing w:line="480" w:lineRule="auto"/>
        <w:rPr>
          <w:rFonts w:ascii="Arial" w:hAnsi="Arial" w:cs="Arial"/>
          <w:color w:val="000000" w:themeColor="text1"/>
          <w:sz w:val="22"/>
          <w:szCs w:val="22"/>
        </w:rPr>
      </w:pPr>
    </w:p>
    <w:p w14:paraId="08D019A6" w14:textId="3274ABDB" w:rsidR="00DB514B" w:rsidRDefault="00DB514B" w:rsidP="00DB514B">
      <w:pPr>
        <w:spacing w:line="480" w:lineRule="auto"/>
        <w:rPr>
          <w:rFonts w:ascii="Arial" w:hAnsi="Arial" w:cs="Arial"/>
          <w:color w:val="000000" w:themeColor="text1"/>
          <w:sz w:val="22"/>
          <w:szCs w:val="22"/>
        </w:rPr>
      </w:pPr>
    </w:p>
    <w:p w14:paraId="40F1AD07" w14:textId="1287AF6D" w:rsidR="00DB514B" w:rsidRDefault="00DB514B" w:rsidP="00DB514B">
      <w:pPr>
        <w:spacing w:line="480" w:lineRule="auto"/>
        <w:rPr>
          <w:rFonts w:ascii="Arial" w:hAnsi="Arial" w:cs="Arial"/>
          <w:color w:val="000000" w:themeColor="text1"/>
          <w:sz w:val="22"/>
          <w:szCs w:val="22"/>
        </w:rPr>
      </w:pPr>
    </w:p>
    <w:p w14:paraId="7A619FD1" w14:textId="0E3D101C" w:rsidR="00DB514B" w:rsidRDefault="00DB514B" w:rsidP="00DB514B">
      <w:pPr>
        <w:spacing w:line="480" w:lineRule="auto"/>
        <w:rPr>
          <w:rFonts w:ascii="Arial" w:hAnsi="Arial" w:cs="Arial"/>
          <w:color w:val="000000" w:themeColor="text1"/>
          <w:sz w:val="22"/>
          <w:szCs w:val="22"/>
        </w:rPr>
      </w:pPr>
    </w:p>
    <w:p w14:paraId="579FCD53" w14:textId="2894CA1C" w:rsidR="00DB514B" w:rsidRDefault="00DB514B" w:rsidP="00DB514B">
      <w:pPr>
        <w:spacing w:line="480" w:lineRule="auto"/>
        <w:rPr>
          <w:rFonts w:ascii="Arial" w:hAnsi="Arial" w:cs="Arial"/>
          <w:color w:val="000000" w:themeColor="text1"/>
          <w:sz w:val="22"/>
          <w:szCs w:val="22"/>
        </w:rPr>
      </w:pPr>
    </w:p>
    <w:p w14:paraId="6F1A6FA8" w14:textId="643A77EA" w:rsidR="00DB514B" w:rsidRDefault="00DB514B" w:rsidP="00DB514B">
      <w:pPr>
        <w:spacing w:line="480" w:lineRule="auto"/>
        <w:rPr>
          <w:rFonts w:ascii="Arial" w:hAnsi="Arial" w:cs="Arial"/>
          <w:color w:val="000000" w:themeColor="text1"/>
          <w:sz w:val="22"/>
          <w:szCs w:val="22"/>
        </w:rPr>
      </w:pPr>
    </w:p>
    <w:p w14:paraId="32173DD3" w14:textId="40AB9E1F" w:rsidR="00DB514B" w:rsidRDefault="00DB514B" w:rsidP="00DB514B">
      <w:pPr>
        <w:spacing w:line="480" w:lineRule="auto"/>
        <w:rPr>
          <w:rFonts w:ascii="Arial" w:hAnsi="Arial" w:cs="Arial"/>
          <w:color w:val="000000" w:themeColor="text1"/>
          <w:sz w:val="22"/>
          <w:szCs w:val="22"/>
        </w:rPr>
      </w:pPr>
    </w:p>
    <w:p w14:paraId="12DDD645" w14:textId="6371C1B9" w:rsidR="00DB514B" w:rsidRDefault="00DB514B" w:rsidP="00DB514B">
      <w:pPr>
        <w:spacing w:line="480" w:lineRule="auto"/>
        <w:rPr>
          <w:rFonts w:ascii="Arial" w:hAnsi="Arial" w:cs="Arial"/>
          <w:color w:val="000000" w:themeColor="text1"/>
          <w:sz w:val="22"/>
          <w:szCs w:val="22"/>
        </w:rPr>
      </w:pPr>
    </w:p>
    <w:p w14:paraId="4E833BDD" w14:textId="77777777" w:rsidR="00DB514B" w:rsidRPr="00DB514B" w:rsidRDefault="00DB514B" w:rsidP="00DB514B">
      <w:pPr>
        <w:spacing w:line="480" w:lineRule="auto"/>
        <w:rPr>
          <w:rFonts w:ascii="Arial" w:hAnsi="Arial" w:cs="Arial"/>
          <w:color w:val="000000" w:themeColor="text1"/>
          <w:sz w:val="22"/>
          <w:szCs w:val="22"/>
        </w:rPr>
      </w:pPr>
      <w:bookmarkStart w:id="0" w:name="_GoBack"/>
      <w:bookmarkEnd w:id="0"/>
    </w:p>
    <w:p w14:paraId="2CD7C354" w14:textId="77777777" w:rsidR="00DB514B" w:rsidRPr="00DB514B" w:rsidRDefault="00DB514B" w:rsidP="00DB514B">
      <w:pPr>
        <w:spacing w:line="480" w:lineRule="auto"/>
        <w:rPr>
          <w:rFonts w:ascii="Arial" w:hAnsi="Arial" w:cs="Arial"/>
          <w:sz w:val="22"/>
          <w:szCs w:val="22"/>
          <w:u w:val="single"/>
        </w:rPr>
      </w:pPr>
      <w:r w:rsidRPr="00DB514B">
        <w:rPr>
          <w:rFonts w:ascii="Arial" w:hAnsi="Arial" w:cs="Arial"/>
          <w:sz w:val="22"/>
          <w:szCs w:val="22"/>
          <w:u w:val="single"/>
        </w:rPr>
        <w:lastRenderedPageBreak/>
        <w:t xml:space="preserve">Reference list </w:t>
      </w:r>
    </w:p>
    <w:p w14:paraId="6C6D39A4"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Barkley, E.F (2009) </w:t>
      </w:r>
      <w:r w:rsidRPr="00DB514B">
        <w:rPr>
          <w:rFonts w:ascii="Arial" w:hAnsi="Arial" w:cs="Arial"/>
          <w:i/>
          <w:sz w:val="22"/>
          <w:szCs w:val="22"/>
        </w:rPr>
        <w:t xml:space="preserve">Student Engagement Techniques: A Handbook for College Faculty. </w:t>
      </w:r>
      <w:r w:rsidRPr="00DB514B">
        <w:rPr>
          <w:rFonts w:ascii="Arial" w:hAnsi="Arial" w:cs="Arial"/>
          <w:sz w:val="22"/>
          <w:szCs w:val="22"/>
        </w:rPr>
        <w:t xml:space="preserve">John Wiley and Sons: United States of America. </w:t>
      </w:r>
    </w:p>
    <w:p w14:paraId="35493766"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Burton, D. and Barlett, S. (2005) </w:t>
      </w:r>
      <w:r w:rsidRPr="00DB514B">
        <w:rPr>
          <w:rFonts w:ascii="Arial" w:hAnsi="Arial" w:cs="Arial"/>
          <w:i/>
          <w:sz w:val="22"/>
          <w:szCs w:val="22"/>
        </w:rPr>
        <w:t xml:space="preserve">Practitioner Research for Teachers. </w:t>
      </w:r>
      <w:r w:rsidRPr="00DB514B">
        <w:rPr>
          <w:rFonts w:ascii="Arial" w:hAnsi="Arial" w:cs="Arial"/>
          <w:sz w:val="22"/>
          <w:szCs w:val="22"/>
        </w:rPr>
        <w:t xml:space="preserve">Paul Chapman Publishing: London. </w:t>
      </w:r>
    </w:p>
    <w:p w14:paraId="54DF1068"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Cash, R.M. (2017) </w:t>
      </w:r>
      <w:r w:rsidRPr="00DB514B">
        <w:rPr>
          <w:rFonts w:ascii="Arial" w:hAnsi="Arial" w:cs="Arial"/>
          <w:i/>
          <w:sz w:val="22"/>
          <w:szCs w:val="22"/>
        </w:rPr>
        <w:t>Advancing Differentiation: Thinking and Learning for the 21</w:t>
      </w:r>
      <w:r w:rsidRPr="00DB514B">
        <w:rPr>
          <w:rFonts w:ascii="Arial" w:hAnsi="Arial" w:cs="Arial"/>
          <w:i/>
          <w:sz w:val="22"/>
          <w:szCs w:val="22"/>
          <w:vertAlign w:val="superscript"/>
        </w:rPr>
        <w:t>st</w:t>
      </w:r>
      <w:r w:rsidRPr="00DB514B">
        <w:rPr>
          <w:rFonts w:ascii="Arial" w:hAnsi="Arial" w:cs="Arial"/>
          <w:i/>
          <w:sz w:val="22"/>
          <w:szCs w:val="22"/>
        </w:rPr>
        <w:t xml:space="preserve"> Century. </w:t>
      </w:r>
      <w:r w:rsidRPr="00DB514B">
        <w:rPr>
          <w:rFonts w:ascii="Arial" w:hAnsi="Arial" w:cs="Arial"/>
          <w:sz w:val="22"/>
          <w:szCs w:val="22"/>
        </w:rPr>
        <w:t xml:space="preserve">Free Spirit Publishing: Minneapolis. </w:t>
      </w:r>
    </w:p>
    <w:p w14:paraId="0C854325"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Chestefield, R. (1997) </w:t>
      </w:r>
      <w:r w:rsidRPr="00DB514B">
        <w:rPr>
          <w:rFonts w:ascii="Arial" w:hAnsi="Arial" w:cs="Arial"/>
          <w:i/>
          <w:sz w:val="22"/>
          <w:szCs w:val="22"/>
        </w:rPr>
        <w:t xml:space="preserve">Classroom Observation Tools. </w:t>
      </w:r>
      <w:r w:rsidRPr="00DB514B">
        <w:rPr>
          <w:rFonts w:ascii="Arial" w:hAnsi="Arial" w:cs="Arial"/>
          <w:sz w:val="22"/>
          <w:szCs w:val="22"/>
        </w:rPr>
        <w:t xml:space="preserve">Institute for International Research: London. </w:t>
      </w:r>
    </w:p>
    <w:p w14:paraId="6F6DA25A"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Christenson, S.L, Reschly, A.L and Wylie, C. (2012) </w:t>
      </w:r>
      <w:r w:rsidRPr="00DB514B">
        <w:rPr>
          <w:rFonts w:ascii="Arial" w:hAnsi="Arial" w:cs="Arial"/>
          <w:i/>
          <w:sz w:val="22"/>
          <w:szCs w:val="22"/>
        </w:rPr>
        <w:t xml:space="preserve">Handbook of Research on Student Engagement. </w:t>
      </w:r>
      <w:r w:rsidRPr="00DB514B">
        <w:rPr>
          <w:rFonts w:ascii="Arial" w:hAnsi="Arial" w:cs="Arial"/>
          <w:sz w:val="22"/>
          <w:szCs w:val="22"/>
        </w:rPr>
        <w:t>Springer Science &amp; Business Media: Berlin.</w:t>
      </w:r>
    </w:p>
    <w:p w14:paraId="5BFA5493"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Drever, E. (2003) </w:t>
      </w:r>
      <w:r w:rsidRPr="00DB514B">
        <w:rPr>
          <w:rFonts w:ascii="Arial" w:hAnsi="Arial" w:cs="Arial"/>
          <w:i/>
          <w:sz w:val="22"/>
          <w:szCs w:val="22"/>
        </w:rPr>
        <w:t xml:space="preserve">Using Semi-Structured Interviews in Small Scale Research. </w:t>
      </w:r>
      <w:r w:rsidRPr="00DB514B">
        <w:rPr>
          <w:rFonts w:ascii="Arial" w:hAnsi="Arial" w:cs="Arial"/>
          <w:sz w:val="22"/>
          <w:szCs w:val="22"/>
        </w:rPr>
        <w:t xml:space="preserve">The SCRE Centre: Glasgow. </w:t>
      </w:r>
    </w:p>
    <w:p w14:paraId="2D8B6B3D"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Dudley, P. (2014) </w:t>
      </w:r>
      <w:r w:rsidRPr="00DB514B">
        <w:rPr>
          <w:rFonts w:ascii="Arial" w:hAnsi="Arial" w:cs="Arial"/>
          <w:i/>
          <w:sz w:val="22"/>
          <w:szCs w:val="22"/>
        </w:rPr>
        <w:t xml:space="preserve">Lesson Study: A Handbook. </w:t>
      </w:r>
      <w:r w:rsidRPr="00DB514B">
        <w:rPr>
          <w:rFonts w:ascii="Arial" w:hAnsi="Arial" w:cs="Arial"/>
          <w:sz w:val="22"/>
          <w:szCs w:val="22"/>
        </w:rPr>
        <w:t xml:space="preserve">Available at: </w:t>
      </w:r>
      <w:hyperlink r:id="rId6" w:history="1">
        <w:r w:rsidRPr="00DB514B">
          <w:rPr>
            <w:rStyle w:val="Hyperlink"/>
            <w:rFonts w:ascii="Arial" w:hAnsi="Arial" w:cs="Arial"/>
            <w:sz w:val="22"/>
            <w:szCs w:val="22"/>
          </w:rPr>
          <w:t>www.lessonstudy.co.uk</w:t>
        </w:r>
      </w:hyperlink>
      <w:r w:rsidRPr="00DB514B">
        <w:rPr>
          <w:rFonts w:ascii="Arial" w:hAnsi="Arial" w:cs="Arial"/>
          <w:sz w:val="22"/>
          <w:szCs w:val="22"/>
        </w:rPr>
        <w:t>. (Accessed on: 27</w:t>
      </w:r>
      <w:r w:rsidRPr="00DB514B">
        <w:rPr>
          <w:rFonts w:ascii="Arial" w:hAnsi="Arial" w:cs="Arial"/>
          <w:sz w:val="22"/>
          <w:szCs w:val="22"/>
          <w:vertAlign w:val="superscript"/>
        </w:rPr>
        <w:t>th</w:t>
      </w:r>
      <w:r w:rsidRPr="00DB514B">
        <w:rPr>
          <w:rFonts w:ascii="Arial" w:hAnsi="Arial" w:cs="Arial"/>
          <w:sz w:val="22"/>
          <w:szCs w:val="22"/>
        </w:rPr>
        <w:t xml:space="preserve"> January 2019). </w:t>
      </w:r>
    </w:p>
    <w:p w14:paraId="589DC2D9"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Estyn (2014) Available at: </w:t>
      </w:r>
    </w:p>
    <w:p w14:paraId="3748E7CF" w14:textId="77777777" w:rsidR="00DB514B" w:rsidRPr="00DB514B" w:rsidRDefault="00DB514B" w:rsidP="00DB514B">
      <w:pPr>
        <w:spacing w:line="480" w:lineRule="auto"/>
        <w:rPr>
          <w:rFonts w:ascii="Arial" w:hAnsi="Arial" w:cs="Arial"/>
          <w:sz w:val="22"/>
          <w:szCs w:val="22"/>
        </w:rPr>
      </w:pPr>
      <w:hyperlink r:id="rId7" w:history="1">
        <w:r w:rsidRPr="00DB514B">
          <w:rPr>
            <w:rStyle w:val="Hyperlink"/>
            <w:rFonts w:ascii="Arial" w:hAnsi="Arial" w:cs="Arial"/>
            <w:sz w:val="22"/>
            <w:szCs w:val="22"/>
          </w:rPr>
          <w:t>https://www.estyn.gov.wales/sites/default/files/documents/Inspection%20report%20St%20Thomas%20Community%20Primary%20School%202014%20%28English%20only%29.pdf.pdf.pdf.pdf.pdf.pdf.pdf.pdf.pdf.pdf.pdf.pdf.pdf.pdf.pdf.pdf.pdf.pdf.pdf.pdf.pdf.pdf.pdf.pdf.pdf.pdf.pdf.pdf.pdf</w:t>
        </w:r>
      </w:hyperlink>
      <w:r w:rsidRPr="00DB514B">
        <w:rPr>
          <w:rFonts w:ascii="Arial" w:hAnsi="Arial" w:cs="Arial"/>
          <w:sz w:val="22"/>
          <w:szCs w:val="22"/>
        </w:rPr>
        <w:t xml:space="preserve">  (accessed on: 20</w:t>
      </w:r>
      <w:r w:rsidRPr="00DB514B">
        <w:rPr>
          <w:rFonts w:ascii="Arial" w:hAnsi="Arial" w:cs="Arial"/>
          <w:sz w:val="22"/>
          <w:szCs w:val="22"/>
          <w:vertAlign w:val="superscript"/>
        </w:rPr>
        <w:t>th</w:t>
      </w:r>
      <w:r w:rsidRPr="00DB514B">
        <w:rPr>
          <w:rFonts w:ascii="Arial" w:hAnsi="Arial" w:cs="Arial"/>
          <w:sz w:val="22"/>
          <w:szCs w:val="22"/>
        </w:rPr>
        <w:t xml:space="preserve"> February 2019)</w:t>
      </w:r>
    </w:p>
    <w:p w14:paraId="02F1B609"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Estyn (2016) Available at: </w:t>
      </w:r>
      <w:hyperlink r:id="rId8" w:history="1">
        <w:r w:rsidRPr="00DB514B">
          <w:rPr>
            <w:rStyle w:val="Hyperlink"/>
            <w:rFonts w:ascii="Arial" w:hAnsi="Arial" w:cs="Arial"/>
            <w:sz w:val="22"/>
            <w:szCs w:val="22"/>
          </w:rPr>
          <w:t>https://www.estyn.gov.wales/sites/default/files/documents/Inspection%20report%20Caerau%20Primary%20School%202015%20%28English%20only%29%20.pdf.pdf.pdf.pdf.pdf.pdf.pdf.pdf.pdf.pdf.pdf.pdf.pdf.pdf.pdf.pdf.pdf.pdf.pdf.pdf</w:t>
        </w:r>
      </w:hyperlink>
      <w:r w:rsidRPr="00DB514B">
        <w:rPr>
          <w:rFonts w:ascii="Arial" w:hAnsi="Arial" w:cs="Arial"/>
          <w:sz w:val="22"/>
          <w:szCs w:val="22"/>
        </w:rPr>
        <w:t xml:space="preserve"> (Accessed on: 20</w:t>
      </w:r>
      <w:r w:rsidRPr="00DB514B">
        <w:rPr>
          <w:rFonts w:ascii="Arial" w:hAnsi="Arial" w:cs="Arial"/>
          <w:sz w:val="22"/>
          <w:szCs w:val="22"/>
          <w:vertAlign w:val="superscript"/>
        </w:rPr>
        <w:t>th</w:t>
      </w:r>
      <w:r w:rsidRPr="00DB514B">
        <w:rPr>
          <w:rFonts w:ascii="Arial" w:hAnsi="Arial" w:cs="Arial"/>
          <w:sz w:val="22"/>
          <w:szCs w:val="22"/>
        </w:rPr>
        <w:t xml:space="preserve"> February 2019).</w:t>
      </w:r>
    </w:p>
    <w:p w14:paraId="0DE135D7"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Grigg, R. and Lewis, H. (2016) ‘Is Reflective Practice Worth all the Effort?’ </w:t>
      </w:r>
      <w:r w:rsidRPr="00DB514B">
        <w:rPr>
          <w:rFonts w:ascii="Arial" w:hAnsi="Arial" w:cs="Arial"/>
          <w:i/>
          <w:sz w:val="22"/>
          <w:szCs w:val="22"/>
        </w:rPr>
        <w:t xml:space="preserve">Arts Teaching &amp; Learning Network Faculty of Arts. </w:t>
      </w:r>
      <w:r w:rsidRPr="00DB514B">
        <w:rPr>
          <w:rFonts w:ascii="Arial" w:hAnsi="Arial" w:cs="Arial"/>
          <w:sz w:val="22"/>
          <w:szCs w:val="22"/>
        </w:rPr>
        <w:t xml:space="preserve">7(6). </w:t>
      </w:r>
    </w:p>
    <w:p w14:paraId="13DB1FEC" w14:textId="77777777" w:rsidR="00DB514B" w:rsidRPr="00DB514B" w:rsidRDefault="00DB514B" w:rsidP="00DB514B">
      <w:pPr>
        <w:spacing w:line="480" w:lineRule="auto"/>
        <w:rPr>
          <w:rFonts w:ascii="Arial" w:hAnsi="Arial" w:cs="Arial"/>
          <w:i/>
          <w:sz w:val="22"/>
          <w:szCs w:val="22"/>
        </w:rPr>
      </w:pPr>
      <w:r w:rsidRPr="00DB514B">
        <w:rPr>
          <w:rFonts w:ascii="Arial" w:hAnsi="Arial" w:cs="Arial"/>
          <w:sz w:val="22"/>
          <w:szCs w:val="22"/>
        </w:rPr>
        <w:t xml:space="preserve">Katz, I and Assor, A. (2007) ‘When Choice Motivates and When it Does Not’. </w:t>
      </w:r>
      <w:r w:rsidRPr="00DB514B">
        <w:rPr>
          <w:rFonts w:ascii="Arial" w:hAnsi="Arial" w:cs="Arial"/>
          <w:i/>
          <w:sz w:val="22"/>
          <w:szCs w:val="22"/>
        </w:rPr>
        <w:t>Education Psychology Review.</w:t>
      </w:r>
    </w:p>
    <w:p w14:paraId="58646EA9"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lastRenderedPageBreak/>
        <w:t xml:space="preserve">Lyons, E. and Coyle, A. (2012) </w:t>
      </w:r>
      <w:r w:rsidRPr="00DB514B">
        <w:rPr>
          <w:rFonts w:ascii="Arial" w:hAnsi="Arial" w:cs="Arial"/>
          <w:i/>
          <w:sz w:val="22"/>
          <w:szCs w:val="22"/>
        </w:rPr>
        <w:t xml:space="preserve">Analysing Qualitative Data in Psychology. </w:t>
      </w:r>
      <w:r w:rsidRPr="00DB514B">
        <w:rPr>
          <w:rFonts w:ascii="Arial" w:hAnsi="Arial" w:cs="Arial"/>
          <w:sz w:val="22"/>
          <w:szCs w:val="22"/>
        </w:rPr>
        <w:t xml:space="preserve">Sage Publications Ltd: London. </w:t>
      </w:r>
    </w:p>
    <w:p w14:paraId="1FF61FA4"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Maag, J.W. (2016) Behaviour Management: From theoretical Implications to Practical Applications. Cengage learning: USA. </w:t>
      </w:r>
    </w:p>
    <w:p w14:paraId="40288CAD"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Mack, N., Woodsong, C., MacQueen, K.M., Guest, G. and Namey, E. (2005) </w:t>
      </w:r>
      <w:r w:rsidRPr="00DB514B">
        <w:rPr>
          <w:rFonts w:ascii="Arial" w:hAnsi="Arial" w:cs="Arial"/>
          <w:i/>
          <w:sz w:val="22"/>
          <w:szCs w:val="22"/>
        </w:rPr>
        <w:t xml:space="preserve">Qualitative Research Methods: A Data Collector’s Field Guide. </w:t>
      </w:r>
      <w:r w:rsidRPr="00DB514B">
        <w:rPr>
          <w:rFonts w:ascii="Arial" w:hAnsi="Arial" w:cs="Arial"/>
          <w:sz w:val="22"/>
          <w:szCs w:val="22"/>
        </w:rPr>
        <w:t xml:space="preserve">Family Health International: North Carolina. </w:t>
      </w:r>
    </w:p>
    <w:p w14:paraId="6EA9A83B"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Martinek, D., Hofmann, F. and Kipman, U. (2016) ‘Academic self-reguation as a function fo age: the mediating role of autonomy support and differentiation in school’. </w:t>
      </w:r>
      <w:r w:rsidRPr="00DB514B">
        <w:rPr>
          <w:rFonts w:ascii="Arial" w:hAnsi="Arial" w:cs="Arial"/>
          <w:i/>
          <w:sz w:val="22"/>
          <w:szCs w:val="22"/>
        </w:rPr>
        <w:t xml:space="preserve">Social Psychology of Education: An International Journal. </w:t>
      </w:r>
      <w:r w:rsidRPr="00DB514B">
        <w:rPr>
          <w:rFonts w:ascii="Arial" w:hAnsi="Arial" w:cs="Arial"/>
          <w:sz w:val="22"/>
          <w:szCs w:val="22"/>
        </w:rPr>
        <w:t xml:space="preserve">19(4). P.729-748. </w:t>
      </w:r>
    </w:p>
    <w:p w14:paraId="7DA7C209"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Marzano, R.J and Pickering, D.J (2010) </w:t>
      </w:r>
      <w:r w:rsidRPr="00DB514B">
        <w:rPr>
          <w:rFonts w:ascii="Arial" w:hAnsi="Arial" w:cs="Arial"/>
          <w:i/>
          <w:sz w:val="22"/>
          <w:szCs w:val="22"/>
        </w:rPr>
        <w:t xml:space="preserve">The Highly Engaged Classroom. </w:t>
      </w:r>
      <w:r w:rsidRPr="00DB514B">
        <w:rPr>
          <w:rFonts w:ascii="Arial" w:hAnsi="Arial" w:cs="Arial"/>
          <w:sz w:val="22"/>
          <w:szCs w:val="22"/>
        </w:rPr>
        <w:t xml:space="preserve">Solution Tree Press: United States of America. </w:t>
      </w:r>
    </w:p>
    <w:p w14:paraId="27CBD4F9"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Middleton, J.A (1995) ‘A Study of Intrinsic Motivation in the Mathematics Classroom: A Personal Constructs Approach’. </w:t>
      </w:r>
      <w:r w:rsidRPr="00DB514B">
        <w:rPr>
          <w:rFonts w:ascii="Arial" w:hAnsi="Arial" w:cs="Arial"/>
          <w:i/>
          <w:sz w:val="22"/>
          <w:szCs w:val="22"/>
        </w:rPr>
        <w:t xml:space="preserve">Journal for Research in Mathematics Education. </w:t>
      </w:r>
      <w:r w:rsidRPr="00DB514B">
        <w:rPr>
          <w:rFonts w:ascii="Arial" w:hAnsi="Arial" w:cs="Arial"/>
          <w:sz w:val="22"/>
          <w:szCs w:val="22"/>
        </w:rPr>
        <w:t>26.3. pp. 254-279.</w:t>
      </w:r>
    </w:p>
    <w:p w14:paraId="51B6181E" w14:textId="77777777" w:rsidR="00DB514B" w:rsidRPr="00DB514B" w:rsidRDefault="00DB514B" w:rsidP="00DB514B">
      <w:pPr>
        <w:spacing w:line="480" w:lineRule="auto"/>
        <w:rPr>
          <w:rFonts w:ascii="Arial" w:hAnsi="Arial" w:cs="Arial"/>
          <w:i/>
          <w:sz w:val="22"/>
          <w:szCs w:val="22"/>
        </w:rPr>
      </w:pPr>
      <w:r w:rsidRPr="00DB514B">
        <w:rPr>
          <w:rFonts w:ascii="Arial" w:hAnsi="Arial" w:cs="Arial"/>
          <w:sz w:val="22"/>
          <w:szCs w:val="22"/>
        </w:rPr>
        <w:t xml:space="preserve">Miller, B. (2010) ‘Brookfield’s Four Lenses: Becoming a Critically Reflective Teacher. </w:t>
      </w:r>
      <w:r w:rsidRPr="00DB514B">
        <w:rPr>
          <w:rFonts w:ascii="Arial" w:hAnsi="Arial" w:cs="Arial"/>
          <w:i/>
          <w:sz w:val="22"/>
          <w:szCs w:val="22"/>
        </w:rPr>
        <w:t xml:space="preserve">Faculty of Arts Teaching and Learning Committee. </w:t>
      </w:r>
    </w:p>
    <w:p w14:paraId="51C81190"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Muscat, M. and Mollicone, P (2012) ‘Using Kolb’s Learning Cycle to Enhance the Teaching and Learning of Mechanics of Materials’. </w:t>
      </w:r>
      <w:r w:rsidRPr="00DB514B">
        <w:rPr>
          <w:rFonts w:ascii="Arial" w:hAnsi="Arial" w:cs="Arial"/>
          <w:i/>
          <w:sz w:val="22"/>
          <w:szCs w:val="22"/>
        </w:rPr>
        <w:t xml:space="preserve">Journal of Mechanical Engineering Education. </w:t>
      </w:r>
      <w:r w:rsidRPr="00DB514B">
        <w:rPr>
          <w:rFonts w:ascii="Arial" w:hAnsi="Arial" w:cs="Arial"/>
          <w:sz w:val="22"/>
          <w:szCs w:val="22"/>
        </w:rPr>
        <w:t xml:space="preserve">40(1). Pp. 66-78. </w:t>
      </w:r>
    </w:p>
    <w:p w14:paraId="035692EA"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Norwich, B. and Jones, J. (2012) Lesson Study. </w:t>
      </w:r>
      <w:r w:rsidRPr="00DB514B">
        <w:rPr>
          <w:rFonts w:ascii="Arial" w:hAnsi="Arial" w:cs="Arial"/>
          <w:i/>
          <w:sz w:val="22"/>
          <w:szCs w:val="22"/>
        </w:rPr>
        <w:t xml:space="preserve">Making a Difference to Teaching Pupils with Learning Difficulties. </w:t>
      </w:r>
      <w:r w:rsidRPr="00DB514B">
        <w:rPr>
          <w:rFonts w:ascii="Arial" w:hAnsi="Arial" w:cs="Arial"/>
          <w:sz w:val="22"/>
          <w:szCs w:val="22"/>
        </w:rPr>
        <w:t xml:space="preserve">Bloomsbury Publishing Plc: London. </w:t>
      </w:r>
    </w:p>
    <w:p w14:paraId="2B4EC711"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Oldfield, S.J. (2001) ‘A Critical Review of the use of Time Sampling in Observational Research’. </w:t>
      </w:r>
      <w:r w:rsidRPr="00DB514B">
        <w:rPr>
          <w:rFonts w:ascii="Arial" w:hAnsi="Arial" w:cs="Arial"/>
          <w:i/>
          <w:sz w:val="22"/>
          <w:szCs w:val="22"/>
        </w:rPr>
        <w:t xml:space="preserve">School of Health Care. </w:t>
      </w:r>
      <w:r w:rsidRPr="00DB514B">
        <w:rPr>
          <w:rFonts w:ascii="Arial" w:hAnsi="Arial" w:cs="Arial"/>
          <w:sz w:val="22"/>
          <w:szCs w:val="22"/>
        </w:rPr>
        <w:t xml:space="preserve">6(2). </w:t>
      </w:r>
    </w:p>
    <w:p w14:paraId="0837A987"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Palaiologou, I. (2010) </w:t>
      </w:r>
      <w:r w:rsidRPr="00DB514B">
        <w:rPr>
          <w:rFonts w:ascii="Arial" w:hAnsi="Arial" w:cs="Arial"/>
          <w:i/>
          <w:sz w:val="22"/>
          <w:szCs w:val="22"/>
        </w:rPr>
        <w:t xml:space="preserve">The Early Years Foundation Stage. </w:t>
      </w:r>
      <w:r w:rsidRPr="00DB514B">
        <w:rPr>
          <w:rFonts w:ascii="Arial" w:hAnsi="Arial" w:cs="Arial"/>
          <w:sz w:val="22"/>
          <w:szCs w:val="22"/>
        </w:rPr>
        <w:t xml:space="preserve">Sage Publications: London. </w:t>
      </w:r>
    </w:p>
    <w:p w14:paraId="5A6F450E"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Patall, E.A (2012) ‘Constructing Motivation Through Choice, Interest and Interestingness’. </w:t>
      </w:r>
      <w:r w:rsidRPr="00DB514B">
        <w:rPr>
          <w:rFonts w:ascii="Arial" w:hAnsi="Arial" w:cs="Arial"/>
          <w:i/>
          <w:sz w:val="22"/>
          <w:szCs w:val="22"/>
        </w:rPr>
        <w:t xml:space="preserve">Journal of Educational Psychology. </w:t>
      </w:r>
      <w:r w:rsidRPr="00DB514B">
        <w:rPr>
          <w:rFonts w:ascii="Arial" w:hAnsi="Arial" w:cs="Arial"/>
          <w:sz w:val="22"/>
          <w:szCs w:val="22"/>
        </w:rPr>
        <w:t xml:space="preserve">105(2). pp. 522- 534. </w:t>
      </w:r>
    </w:p>
    <w:p w14:paraId="79B91FF2"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lastRenderedPageBreak/>
        <w:t xml:space="preserve">Shernoff, D.J. (2013) </w:t>
      </w:r>
      <w:r w:rsidRPr="00DB514B">
        <w:rPr>
          <w:rFonts w:ascii="Arial" w:hAnsi="Arial" w:cs="Arial"/>
          <w:i/>
          <w:sz w:val="22"/>
          <w:szCs w:val="22"/>
        </w:rPr>
        <w:t xml:space="preserve">Optimal Learning Environments to Promote Student Engagment. </w:t>
      </w:r>
      <w:r w:rsidRPr="00DB514B">
        <w:rPr>
          <w:rFonts w:ascii="Arial" w:hAnsi="Arial" w:cs="Arial"/>
          <w:sz w:val="22"/>
          <w:szCs w:val="22"/>
        </w:rPr>
        <w:t>Springer Science and Business Media: Berlin.</w:t>
      </w:r>
    </w:p>
    <w:p w14:paraId="4E0B7C67"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Smith, J.A. (2009) </w:t>
      </w:r>
      <w:r w:rsidRPr="00DB514B">
        <w:rPr>
          <w:rFonts w:ascii="Arial" w:hAnsi="Arial" w:cs="Arial"/>
          <w:i/>
          <w:sz w:val="22"/>
          <w:szCs w:val="22"/>
        </w:rPr>
        <w:t xml:space="preserve">Qualitative Psychology a Practical Guide to Research Methods. </w:t>
      </w:r>
      <w:r w:rsidRPr="00DB514B">
        <w:rPr>
          <w:rFonts w:ascii="Arial" w:hAnsi="Arial" w:cs="Arial"/>
          <w:sz w:val="22"/>
          <w:szCs w:val="22"/>
        </w:rPr>
        <w:t xml:space="preserve">Sage Publications Ltd; London. </w:t>
      </w:r>
    </w:p>
    <w:p w14:paraId="29B04E11"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Stepanek, J., Appel, G., Leong, M, Turner Mangan, M and Mitchell, M. (2006) </w:t>
      </w:r>
      <w:r w:rsidRPr="00DB514B">
        <w:rPr>
          <w:rFonts w:ascii="Arial" w:hAnsi="Arial" w:cs="Arial"/>
          <w:i/>
          <w:sz w:val="22"/>
          <w:szCs w:val="22"/>
        </w:rPr>
        <w:t xml:space="preserve">Leading Lesson Study: A Practical Guide for Teachers and Facilitators. </w:t>
      </w:r>
      <w:r w:rsidRPr="00DB514B">
        <w:rPr>
          <w:rFonts w:ascii="Arial" w:hAnsi="Arial" w:cs="Arial"/>
          <w:sz w:val="22"/>
          <w:szCs w:val="22"/>
        </w:rPr>
        <w:t xml:space="preserve">Sage Publications: California. </w:t>
      </w:r>
    </w:p>
    <w:p w14:paraId="6BAFA310"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Valerio, K. (2012) ‘Intrinsic Motivation in the Classroom’. </w:t>
      </w:r>
      <w:r w:rsidRPr="00DB514B">
        <w:rPr>
          <w:rFonts w:ascii="Arial" w:hAnsi="Arial" w:cs="Arial"/>
          <w:i/>
          <w:sz w:val="22"/>
          <w:szCs w:val="22"/>
        </w:rPr>
        <w:t xml:space="preserve">Journal of Student Engagement: Education Masters. </w:t>
      </w:r>
      <w:r w:rsidRPr="00DB514B">
        <w:rPr>
          <w:rFonts w:ascii="Arial" w:hAnsi="Arial" w:cs="Arial"/>
          <w:sz w:val="22"/>
          <w:szCs w:val="22"/>
        </w:rPr>
        <w:t>2(1).</w:t>
      </w:r>
    </w:p>
    <w:p w14:paraId="4C0F8231"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Tomlinson, C.A. and Moon, T.R. (2013) </w:t>
      </w:r>
      <w:r w:rsidRPr="00DB514B">
        <w:rPr>
          <w:rFonts w:ascii="Arial" w:hAnsi="Arial" w:cs="Arial"/>
          <w:i/>
          <w:sz w:val="22"/>
          <w:szCs w:val="22"/>
        </w:rPr>
        <w:t xml:space="preserve">Assessment and Student Success in a Differentiated Classroom. </w:t>
      </w:r>
      <w:r w:rsidRPr="00DB514B">
        <w:rPr>
          <w:rFonts w:ascii="Arial" w:hAnsi="Arial" w:cs="Arial"/>
          <w:sz w:val="22"/>
          <w:szCs w:val="22"/>
        </w:rPr>
        <w:t xml:space="preserve">ASCD: Minnesota. </w:t>
      </w:r>
    </w:p>
    <w:p w14:paraId="0A026281" w14:textId="77777777" w:rsidR="00DB514B" w:rsidRPr="00DB514B" w:rsidRDefault="00DB514B" w:rsidP="00DB514B">
      <w:pPr>
        <w:spacing w:line="480" w:lineRule="auto"/>
        <w:rPr>
          <w:rFonts w:ascii="Arial" w:hAnsi="Arial" w:cs="Arial"/>
          <w:sz w:val="22"/>
          <w:szCs w:val="22"/>
        </w:rPr>
      </w:pPr>
      <w:r w:rsidRPr="00DB514B">
        <w:rPr>
          <w:rFonts w:ascii="Arial" w:hAnsi="Arial" w:cs="Arial"/>
          <w:sz w:val="22"/>
          <w:szCs w:val="22"/>
        </w:rPr>
        <w:t xml:space="preserve">Walker, I. (2010) </w:t>
      </w:r>
      <w:r w:rsidRPr="00DB514B">
        <w:rPr>
          <w:rFonts w:ascii="Arial" w:hAnsi="Arial" w:cs="Arial"/>
          <w:i/>
          <w:sz w:val="22"/>
          <w:szCs w:val="22"/>
        </w:rPr>
        <w:t xml:space="preserve">Research Methods and Statistics. Palgrave Macmillian: Hampshire. </w:t>
      </w:r>
    </w:p>
    <w:p w14:paraId="18899408" w14:textId="77777777" w:rsidR="00DB514B" w:rsidRPr="00DB514B" w:rsidRDefault="00DB514B" w:rsidP="00DB514B">
      <w:pPr>
        <w:spacing w:line="480" w:lineRule="auto"/>
        <w:rPr>
          <w:rFonts w:ascii="Arial" w:eastAsia="Times New Roman" w:hAnsi="Arial" w:cs="Arial"/>
          <w:sz w:val="22"/>
          <w:szCs w:val="22"/>
        </w:rPr>
      </w:pPr>
      <w:r w:rsidRPr="00DB514B">
        <w:rPr>
          <w:rFonts w:ascii="Arial" w:hAnsi="Arial" w:cs="Arial"/>
          <w:sz w:val="22"/>
          <w:szCs w:val="22"/>
        </w:rPr>
        <w:t xml:space="preserve">Xerri, M.J, Radford, K. and Shacklock, K. (2018) ‘Student Engagemetn in Academic Activities: a Social Support Perspective’. </w:t>
      </w:r>
      <w:r w:rsidRPr="00DB514B">
        <w:rPr>
          <w:rFonts w:ascii="Arial" w:eastAsia="Times New Roman" w:hAnsi="Arial" w:cs="Arial"/>
          <w:i/>
          <w:color w:val="000000" w:themeColor="text1"/>
          <w:sz w:val="22"/>
          <w:szCs w:val="22"/>
        </w:rPr>
        <w:t xml:space="preserve">The International Journal of Higher Education Research. </w:t>
      </w:r>
      <w:r w:rsidRPr="00DB514B">
        <w:rPr>
          <w:rFonts w:ascii="Arial" w:eastAsia="Times New Roman" w:hAnsi="Arial" w:cs="Arial"/>
          <w:color w:val="000000" w:themeColor="text1"/>
          <w:sz w:val="22"/>
          <w:szCs w:val="22"/>
        </w:rPr>
        <w:t xml:space="preserve">75(5) pp 589-605. </w:t>
      </w:r>
    </w:p>
    <w:p w14:paraId="7100ADFA" w14:textId="77777777" w:rsidR="00DB514B" w:rsidRPr="00DB514B" w:rsidRDefault="00DB514B" w:rsidP="00DB514B">
      <w:pPr>
        <w:spacing w:line="480" w:lineRule="auto"/>
        <w:rPr>
          <w:rFonts w:ascii="Arial" w:hAnsi="Arial" w:cs="Arial"/>
          <w:i/>
          <w:sz w:val="22"/>
          <w:szCs w:val="22"/>
        </w:rPr>
      </w:pPr>
    </w:p>
    <w:p w14:paraId="467FB88D" w14:textId="77777777" w:rsidR="00DB514B" w:rsidRPr="00DB514B" w:rsidRDefault="00DB514B" w:rsidP="00DB514B">
      <w:pPr>
        <w:spacing w:line="480" w:lineRule="auto"/>
        <w:rPr>
          <w:rFonts w:ascii="Arial" w:hAnsi="Arial" w:cs="Arial"/>
          <w:color w:val="000000" w:themeColor="text1"/>
          <w:sz w:val="22"/>
          <w:szCs w:val="22"/>
        </w:rPr>
      </w:pPr>
    </w:p>
    <w:sectPr w:rsidR="00DB514B" w:rsidRPr="00DB514B" w:rsidSect="003B2F15">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587EC" w14:textId="77777777" w:rsidR="001B05D7" w:rsidRDefault="001B05D7" w:rsidP="009C4519">
      <w:r>
        <w:separator/>
      </w:r>
    </w:p>
  </w:endnote>
  <w:endnote w:type="continuationSeparator" w:id="0">
    <w:p w14:paraId="012D8B77" w14:textId="77777777" w:rsidR="001B05D7" w:rsidRDefault="001B05D7" w:rsidP="009C4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1D94B" w14:textId="77777777" w:rsidR="001B05D7" w:rsidRDefault="001B05D7" w:rsidP="009C4519">
      <w:r>
        <w:separator/>
      </w:r>
    </w:p>
  </w:footnote>
  <w:footnote w:type="continuationSeparator" w:id="0">
    <w:p w14:paraId="520056F7" w14:textId="77777777" w:rsidR="001B05D7" w:rsidRDefault="001B05D7" w:rsidP="009C45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6305E" w14:textId="22DFB693" w:rsidR="009C4519" w:rsidRDefault="009C4519">
    <w:pPr>
      <w:pStyle w:val="Header"/>
    </w:pPr>
    <w:r>
      <w:t>Natalie Colcomb 1800838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519"/>
    <w:rsid w:val="00002242"/>
    <w:rsid w:val="000022C7"/>
    <w:rsid w:val="001069E2"/>
    <w:rsid w:val="00114920"/>
    <w:rsid w:val="00116DE2"/>
    <w:rsid w:val="00130EC0"/>
    <w:rsid w:val="00136BB6"/>
    <w:rsid w:val="001B05D7"/>
    <w:rsid w:val="00202182"/>
    <w:rsid w:val="00252FDB"/>
    <w:rsid w:val="00273CDF"/>
    <w:rsid w:val="002812E7"/>
    <w:rsid w:val="002B2EA0"/>
    <w:rsid w:val="002D565E"/>
    <w:rsid w:val="00300101"/>
    <w:rsid w:val="00305B7C"/>
    <w:rsid w:val="00324046"/>
    <w:rsid w:val="00337525"/>
    <w:rsid w:val="003548C9"/>
    <w:rsid w:val="003A6348"/>
    <w:rsid w:val="003B2F15"/>
    <w:rsid w:val="003C2BD9"/>
    <w:rsid w:val="003E2D6C"/>
    <w:rsid w:val="004136F6"/>
    <w:rsid w:val="0046395D"/>
    <w:rsid w:val="004B0616"/>
    <w:rsid w:val="004D0866"/>
    <w:rsid w:val="004E07DC"/>
    <w:rsid w:val="004F08C8"/>
    <w:rsid w:val="004F0EC0"/>
    <w:rsid w:val="005067F7"/>
    <w:rsid w:val="005451BF"/>
    <w:rsid w:val="00580352"/>
    <w:rsid w:val="00586CF3"/>
    <w:rsid w:val="00596E90"/>
    <w:rsid w:val="005A3328"/>
    <w:rsid w:val="005B3F7A"/>
    <w:rsid w:val="005D141E"/>
    <w:rsid w:val="005D311E"/>
    <w:rsid w:val="00605976"/>
    <w:rsid w:val="0062173D"/>
    <w:rsid w:val="00643048"/>
    <w:rsid w:val="006A170C"/>
    <w:rsid w:val="006B58AA"/>
    <w:rsid w:val="00723DA6"/>
    <w:rsid w:val="00753FB8"/>
    <w:rsid w:val="007621B6"/>
    <w:rsid w:val="00775DF2"/>
    <w:rsid w:val="007966F7"/>
    <w:rsid w:val="007B34AF"/>
    <w:rsid w:val="0081437D"/>
    <w:rsid w:val="00841B8F"/>
    <w:rsid w:val="00850606"/>
    <w:rsid w:val="008D1B9C"/>
    <w:rsid w:val="008D5E2A"/>
    <w:rsid w:val="008D5F68"/>
    <w:rsid w:val="00902E94"/>
    <w:rsid w:val="00924ED1"/>
    <w:rsid w:val="00944683"/>
    <w:rsid w:val="00945335"/>
    <w:rsid w:val="00955581"/>
    <w:rsid w:val="009C4519"/>
    <w:rsid w:val="00A2309D"/>
    <w:rsid w:val="00A25B52"/>
    <w:rsid w:val="00A44876"/>
    <w:rsid w:val="00A46374"/>
    <w:rsid w:val="00A9509C"/>
    <w:rsid w:val="00AE161D"/>
    <w:rsid w:val="00BE7345"/>
    <w:rsid w:val="00BF080B"/>
    <w:rsid w:val="00C3121B"/>
    <w:rsid w:val="00C3779C"/>
    <w:rsid w:val="00C45101"/>
    <w:rsid w:val="00C624C4"/>
    <w:rsid w:val="00C8682D"/>
    <w:rsid w:val="00C86C9C"/>
    <w:rsid w:val="00CD53BF"/>
    <w:rsid w:val="00CE5308"/>
    <w:rsid w:val="00CF6C29"/>
    <w:rsid w:val="00D60598"/>
    <w:rsid w:val="00D61A2B"/>
    <w:rsid w:val="00D62EBE"/>
    <w:rsid w:val="00D74A59"/>
    <w:rsid w:val="00D93D82"/>
    <w:rsid w:val="00DA5BFC"/>
    <w:rsid w:val="00DB514B"/>
    <w:rsid w:val="00E30D73"/>
    <w:rsid w:val="00E852A5"/>
    <w:rsid w:val="00ED12BE"/>
    <w:rsid w:val="00F76A95"/>
    <w:rsid w:val="00F86575"/>
    <w:rsid w:val="00FE4953"/>
    <w:rsid w:val="00FE6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67E8B8"/>
  <w15:chartTrackingRefBased/>
  <w15:docId w15:val="{C1D2275D-D456-B344-92FD-A55842FDD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4519"/>
    <w:pPr>
      <w:tabs>
        <w:tab w:val="center" w:pos="4680"/>
        <w:tab w:val="right" w:pos="9360"/>
      </w:tabs>
    </w:pPr>
  </w:style>
  <w:style w:type="character" w:customStyle="1" w:styleId="HeaderChar">
    <w:name w:val="Header Char"/>
    <w:basedOn w:val="DefaultParagraphFont"/>
    <w:link w:val="Header"/>
    <w:uiPriority w:val="99"/>
    <w:rsid w:val="009C4519"/>
  </w:style>
  <w:style w:type="paragraph" w:styleId="Footer">
    <w:name w:val="footer"/>
    <w:basedOn w:val="Normal"/>
    <w:link w:val="FooterChar"/>
    <w:uiPriority w:val="99"/>
    <w:unhideWhenUsed/>
    <w:rsid w:val="009C4519"/>
    <w:pPr>
      <w:tabs>
        <w:tab w:val="center" w:pos="4680"/>
        <w:tab w:val="right" w:pos="9360"/>
      </w:tabs>
    </w:pPr>
  </w:style>
  <w:style w:type="character" w:customStyle="1" w:styleId="FooterChar">
    <w:name w:val="Footer Char"/>
    <w:basedOn w:val="DefaultParagraphFont"/>
    <w:link w:val="Footer"/>
    <w:uiPriority w:val="99"/>
    <w:rsid w:val="009C4519"/>
  </w:style>
  <w:style w:type="character" w:styleId="Hyperlink">
    <w:name w:val="Hyperlink"/>
    <w:basedOn w:val="DefaultParagraphFont"/>
    <w:uiPriority w:val="99"/>
    <w:unhideWhenUsed/>
    <w:rsid w:val="00DB51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Inspection%20report%20Caerau%20Primary%20School%202015%20%28English%20only%29%20.pdf.pdf.pdf.pdf.pdf.pdf.pdf.pdf.pdf.pdf.pdf.pdf.pdf.pdf.pdf.pdf.pdf.pdf.pdf.pdf" TargetMode="External"/><Relationship Id="rId3" Type="http://schemas.openxmlformats.org/officeDocument/2006/relationships/webSettings" Target="webSettings.xml"/><Relationship Id="rId7"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ssonstudy.co.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474</TotalTime>
  <Pages>20</Pages>
  <Words>6401</Words>
  <Characters>36491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Colcomb</dc:creator>
  <cp:keywords/>
  <dc:description/>
  <cp:lastModifiedBy>Natalie Colcomb</cp:lastModifiedBy>
  <cp:revision>28</cp:revision>
  <dcterms:created xsi:type="dcterms:W3CDTF">2019-01-23T12:36:00Z</dcterms:created>
  <dcterms:modified xsi:type="dcterms:W3CDTF">2019-02-27T13:23:00Z</dcterms:modified>
</cp:coreProperties>
</file>