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0DC0C" w14:textId="41479700" w:rsidR="00C90875" w:rsidRDefault="00C90875">
      <w:r>
        <w:t>NOTES FOR JULIA:</w:t>
      </w:r>
    </w:p>
    <w:p w14:paraId="7278BFED" w14:textId="083EB33E" w:rsidR="00C90875" w:rsidRPr="00D0129B" w:rsidRDefault="00C90875">
      <w:pPr>
        <w:rPr>
          <w:color w:val="FF0000"/>
        </w:rPr>
      </w:pPr>
      <w:r w:rsidRPr="00D0129B">
        <w:rPr>
          <w:color w:val="FF0000"/>
        </w:rPr>
        <w:t xml:space="preserve">I’m not sure what it means by ‘’show it relationship to your ideas” so I have included some sentences on how the word relates to my own practice </w:t>
      </w:r>
      <w:proofErr w:type="gramStart"/>
      <w:r w:rsidRPr="00D0129B">
        <w:rPr>
          <w:color w:val="FF0000"/>
        </w:rPr>
        <w:t>and also</w:t>
      </w:r>
      <w:proofErr w:type="gramEnd"/>
      <w:r w:rsidRPr="00D0129B">
        <w:rPr>
          <w:color w:val="FF0000"/>
        </w:rPr>
        <w:t xml:space="preserve"> in the broader context of craft – this is in red as I am not sure if it’s correct </w:t>
      </w:r>
      <w:r w:rsidR="00C77744" w:rsidRPr="00D0129B">
        <w:rPr>
          <w:color w:val="FF0000"/>
        </w:rPr>
        <w:t xml:space="preserve">or relevant </w:t>
      </w:r>
    </w:p>
    <w:p w14:paraId="58CFCF7F" w14:textId="4C31A993" w:rsidR="00BD789A" w:rsidRDefault="00BD789A"/>
    <w:p w14:paraId="2CCFE3A2" w14:textId="77777777" w:rsidR="00C90875" w:rsidRDefault="00C90875"/>
    <w:p w14:paraId="29A71E79" w14:textId="7AEEAB82" w:rsidR="005371CE" w:rsidRPr="008C6AD7" w:rsidRDefault="005371CE" w:rsidP="000F3B08">
      <w:pPr>
        <w:spacing w:line="360" w:lineRule="auto"/>
      </w:pPr>
      <w:r w:rsidRPr="008C6AD7">
        <w:t xml:space="preserve">In preparation for </w:t>
      </w:r>
      <w:r w:rsidR="003031AD" w:rsidRPr="008C6AD7">
        <w:t xml:space="preserve">the </w:t>
      </w:r>
      <w:r w:rsidRPr="008C6AD7">
        <w:t xml:space="preserve">independent project, </w:t>
      </w:r>
      <w:r w:rsidR="003031AD" w:rsidRPr="008C6AD7">
        <w:t xml:space="preserve">I </w:t>
      </w:r>
      <w:r w:rsidRPr="008C6AD7">
        <w:t xml:space="preserve">will be researching the words touch, </w:t>
      </w:r>
      <w:proofErr w:type="gramStart"/>
      <w:r w:rsidRPr="008C6AD7">
        <w:t>body</w:t>
      </w:r>
      <w:proofErr w:type="gramEnd"/>
      <w:r w:rsidRPr="008C6AD7">
        <w:t xml:space="preserve"> and material</w:t>
      </w:r>
      <w:r w:rsidR="00C90875" w:rsidRPr="008C6AD7">
        <w:t>.</w:t>
      </w:r>
      <w:r w:rsidR="00C77744" w:rsidRPr="008C6AD7">
        <w:t xml:space="preserve"> </w:t>
      </w:r>
      <w:r w:rsidR="003031AD" w:rsidRPr="008C6AD7">
        <w:t xml:space="preserve">The words that I have chosen are of interest to my work as a maker and that have also impacted </w:t>
      </w:r>
      <w:r w:rsidR="00FE1F84" w:rsidRPr="008C6AD7">
        <w:t>the</w:t>
      </w:r>
      <w:r w:rsidR="003031AD" w:rsidRPr="008C6AD7">
        <w:t xml:space="preserve"> discipline of craft. </w:t>
      </w:r>
      <w:r w:rsidR="00FE1F84" w:rsidRPr="008C6AD7">
        <w:t>The essay explores the words in a historical context, with references to artists such as Constantin Brancusi, Karen Finley and Antony Gormley, and theorists</w:t>
      </w:r>
      <w:r w:rsidR="00D0129B" w:rsidRPr="008C6AD7">
        <w:t xml:space="preserve"> such as</w:t>
      </w:r>
      <w:r w:rsidR="00FE1F84" w:rsidRPr="008C6AD7">
        <w:t xml:space="preserve"> </w:t>
      </w:r>
      <w:r w:rsidR="000F3B08" w:rsidRPr="008C6AD7">
        <w:t xml:space="preserve">Laura Mulvey, Ann-Sophie </w:t>
      </w:r>
      <w:proofErr w:type="gramStart"/>
      <w:r w:rsidR="000F3B08" w:rsidRPr="008C6AD7">
        <w:t>Lehmann</w:t>
      </w:r>
      <w:proofErr w:type="gramEnd"/>
      <w:r w:rsidR="000F3B08" w:rsidRPr="008C6AD7">
        <w:t xml:space="preserve"> and Geraldine Johson.</w:t>
      </w:r>
    </w:p>
    <w:p w14:paraId="2CFC558B" w14:textId="77777777" w:rsidR="005371CE" w:rsidRDefault="005371CE" w:rsidP="007045B1">
      <w:pPr>
        <w:spacing w:line="360" w:lineRule="auto"/>
      </w:pPr>
    </w:p>
    <w:p w14:paraId="1AEE727B" w14:textId="12EA84EC" w:rsidR="00186E3B" w:rsidRPr="00794AC5" w:rsidRDefault="00186E3B" w:rsidP="007045B1">
      <w:pPr>
        <w:spacing w:line="360" w:lineRule="auto"/>
        <w:rPr>
          <w:color w:val="FF0000"/>
        </w:rPr>
      </w:pPr>
      <w:r>
        <w:t>Touch is the first sense to develop in the embryo (Montagu, 1978, p.2) and it is a fundamental aspect of development (</w:t>
      </w:r>
      <w:bookmarkStart w:id="0" w:name="_Hlk101203926"/>
      <w:r>
        <w:t>Davis, Petrella &amp; Rovers</w:t>
      </w:r>
      <w:bookmarkEnd w:id="0"/>
      <w:r>
        <w:t xml:space="preserve">, 2017, p.14). Touch greatly contributes to the “cognitive, brain and socio-emotional development” </w:t>
      </w:r>
      <w:r w:rsidR="00232377">
        <w:t xml:space="preserve">(Davis, Petrella &amp; Rovers, 2017, p.14) </w:t>
      </w:r>
      <w:r>
        <w:t xml:space="preserve">and when touch is not present during </w:t>
      </w:r>
      <w:r w:rsidR="00232377">
        <w:t>development, ‘’long-lasting negative effects take place, in terms of attachment injuries and touch wounds’’ (Davis, Petrella &amp; Rovers, 2017, p.15). In terms of art and sculpture, touch was a factor that was not greatly considered until early modern Italy (Johnson, 2002, p. 61)</w:t>
      </w:r>
      <w:r w:rsidR="007C627A">
        <w:t>. Artists began to consider the sense as an important way for three-dimensional</w:t>
      </w:r>
      <w:r w:rsidR="008A6A67">
        <w:t xml:space="preserve"> object</w:t>
      </w:r>
      <w:r w:rsidR="00BD789A">
        <w:t>s</w:t>
      </w:r>
      <w:r w:rsidR="008A6A67">
        <w:t xml:space="preserve"> to be confronted by the viewer (Johnson, 2002, p. 61) and it has continued to be of “growing importance in artistic production’’ (</w:t>
      </w:r>
      <w:bookmarkStart w:id="1" w:name="_Hlk101204586"/>
      <w:proofErr w:type="spellStart"/>
      <w:r w:rsidR="008A6A67">
        <w:t>Gallace</w:t>
      </w:r>
      <w:proofErr w:type="spellEnd"/>
      <w:r w:rsidR="008A6A67">
        <w:t xml:space="preserve"> &amp; Spence, 2016</w:t>
      </w:r>
      <w:bookmarkEnd w:id="1"/>
      <w:r w:rsidR="0079325C">
        <w:t>, p. 114</w:t>
      </w:r>
      <w:r w:rsidR="008A6A67">
        <w:t>).</w:t>
      </w:r>
      <w:r w:rsidR="00C81536">
        <w:t xml:space="preserve"> </w:t>
      </w:r>
    </w:p>
    <w:p w14:paraId="503897EA" w14:textId="59ECEEA4" w:rsidR="008A6A67" w:rsidRPr="00522D75" w:rsidRDefault="00C81536" w:rsidP="007045B1">
      <w:pPr>
        <w:spacing w:line="360" w:lineRule="auto"/>
        <w:rPr>
          <w:color w:val="FF0000"/>
        </w:rPr>
      </w:pPr>
      <w:r>
        <w:t>Prior to the Italian Renaissance, vision was</w:t>
      </w:r>
      <w:r w:rsidR="00832B3F">
        <w:t xml:space="preserve"> dominantly</w:t>
      </w:r>
      <w:r>
        <w:t xml:space="preserve"> viewed as </w:t>
      </w:r>
      <w:r w:rsidR="00832B3F">
        <w:t xml:space="preserve">the most </w:t>
      </w:r>
      <w:r w:rsidR="00BA3689">
        <w:t>important</w:t>
      </w:r>
      <w:r w:rsidR="00832B3F">
        <w:t xml:space="preserve"> out of all the senses (</w:t>
      </w:r>
      <w:proofErr w:type="spellStart"/>
      <w:r w:rsidR="00832B3F">
        <w:t>ocularcentrism</w:t>
      </w:r>
      <w:proofErr w:type="spellEnd"/>
      <w:r w:rsidR="00832B3F">
        <w:t xml:space="preserve">). Philosophers Plato and Aristotle were prominent </w:t>
      </w:r>
      <w:r w:rsidR="00BA3689">
        <w:t xml:space="preserve">figures who held this view, and it was not until the Renaissance where philosophers and writers began to open the debate about the senses. </w:t>
      </w:r>
      <w:r w:rsidR="00832B3F">
        <w:t>Touch was considered as a “less cer</w:t>
      </w:r>
      <w:r w:rsidR="00BA3689">
        <w:t xml:space="preserve">ebral” and “more carnal” </w:t>
      </w:r>
      <w:r w:rsidR="00DB1496">
        <w:t>sense than vision (Johson, 2016, p. 61)</w:t>
      </w:r>
      <w:r w:rsidR="000F210B">
        <w:t xml:space="preserve"> and this view persisted until the Middle Ages.</w:t>
      </w:r>
      <w:r w:rsidR="00ED7E30">
        <w:t xml:space="preserve"> </w:t>
      </w:r>
      <w:r w:rsidR="007045B1">
        <w:t>T</w:t>
      </w:r>
      <w:r w:rsidR="000F210B">
        <w:t xml:space="preserve">ouch was an attribute that was seen </w:t>
      </w:r>
      <w:r w:rsidR="00676B81">
        <w:t xml:space="preserve">as evidence for sculptures’ lower status in the </w:t>
      </w:r>
      <w:proofErr w:type="spellStart"/>
      <w:r w:rsidR="00676B81" w:rsidRPr="5648CCBF">
        <w:rPr>
          <w:i/>
          <w:iCs/>
        </w:rPr>
        <w:t>paragone</w:t>
      </w:r>
      <w:proofErr w:type="spellEnd"/>
      <w:r w:rsidR="00676B81">
        <w:t xml:space="preserve"> debate, </w:t>
      </w:r>
      <w:r w:rsidR="007045B1">
        <w:t>which was a</w:t>
      </w:r>
      <w:r w:rsidR="00794AC5">
        <w:t xml:space="preserve"> “theoretical discussion concerned with comparing and contrasting sculpture and painting </w:t>
      </w:r>
      <w:proofErr w:type="gramStart"/>
      <w:r w:rsidR="00794AC5">
        <w:t>in order to</w:t>
      </w:r>
      <w:proofErr w:type="gramEnd"/>
      <w:r w:rsidR="00794AC5">
        <w:t xml:space="preserve"> establish which art was more </w:t>
      </w:r>
      <w:r w:rsidR="00794AC5" w:rsidRPr="002C2F19">
        <w:rPr>
          <w:color w:val="000000" w:themeColor="text1"/>
        </w:rPr>
        <w:t>noble’’ (Johnson, 2002,</w:t>
      </w:r>
      <w:r w:rsidR="002F74F5" w:rsidRPr="002C2F19">
        <w:rPr>
          <w:color w:val="000000" w:themeColor="text1"/>
        </w:rPr>
        <w:t xml:space="preserve"> </w:t>
      </w:r>
      <w:r w:rsidR="002C2F19" w:rsidRPr="002C2F19">
        <w:rPr>
          <w:color w:val="000000" w:themeColor="text1"/>
        </w:rPr>
        <w:t>p. 68</w:t>
      </w:r>
      <w:r w:rsidR="00794AC5" w:rsidRPr="002C2F19">
        <w:rPr>
          <w:color w:val="000000" w:themeColor="text1"/>
        </w:rPr>
        <w:t xml:space="preserve">), however </w:t>
      </w:r>
      <w:r w:rsidR="00794AC5">
        <w:t>it was also considered as a positive attribute for sculpture (Johnson, 2016, p. 92)</w:t>
      </w:r>
      <w:r w:rsidR="00EE7C13">
        <w:t xml:space="preserve">. </w:t>
      </w:r>
      <w:r w:rsidR="007045B1" w:rsidRPr="00522D75">
        <w:rPr>
          <w:color w:val="FF0000"/>
        </w:rPr>
        <w:t xml:space="preserve">In the context of craft, the artists eye is not </w:t>
      </w:r>
      <w:r w:rsidR="00E30738" w:rsidRPr="00522D75">
        <w:rPr>
          <w:color w:val="FF0000"/>
        </w:rPr>
        <w:t>capa</w:t>
      </w:r>
      <w:r w:rsidR="007045B1" w:rsidRPr="00522D75">
        <w:rPr>
          <w:color w:val="FF0000"/>
        </w:rPr>
        <w:t xml:space="preserve">ble to make the decisions that the </w:t>
      </w:r>
      <w:r w:rsidR="00E30738" w:rsidRPr="00522D75">
        <w:rPr>
          <w:color w:val="FF0000"/>
        </w:rPr>
        <w:t>touch of the hand can. Touch is therefore an important sense can as the eye is not able to dictate the tactility of the piece like the hand</w:t>
      </w:r>
    </w:p>
    <w:p w14:paraId="62EF45E7" w14:textId="2BCF9D6D" w:rsidR="00823D84" w:rsidRDefault="00823D84">
      <w:r w:rsidRPr="00823D84">
        <w:rPr>
          <w:noProof/>
        </w:rPr>
        <w:lastRenderedPageBreak/>
        <w:drawing>
          <wp:anchor distT="0" distB="0" distL="114300" distR="114300" simplePos="0" relativeHeight="251658240" behindDoc="1" locked="0" layoutInCell="1" allowOverlap="1" wp14:anchorId="25E55D4F" wp14:editId="4EA7643F">
            <wp:simplePos x="0" y="0"/>
            <wp:positionH relativeFrom="margin">
              <wp:posOffset>1892174</wp:posOffset>
            </wp:positionH>
            <wp:positionV relativeFrom="paragraph">
              <wp:posOffset>8267</wp:posOffset>
            </wp:positionV>
            <wp:extent cx="1943100" cy="2482850"/>
            <wp:effectExtent l="0" t="0" r="0" b="0"/>
            <wp:wrapSquare wrapText="bothSides"/>
            <wp:docPr id="2" name="Picture 2"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43100" cy="2482850"/>
                    </a:xfrm>
                    <a:prstGeom prst="rect">
                      <a:avLst/>
                    </a:prstGeom>
                  </pic:spPr>
                </pic:pic>
              </a:graphicData>
            </a:graphic>
            <wp14:sizeRelH relativeFrom="page">
              <wp14:pctWidth>0</wp14:pctWidth>
            </wp14:sizeRelH>
            <wp14:sizeRelV relativeFrom="page">
              <wp14:pctHeight>0</wp14:pctHeight>
            </wp14:sizeRelV>
          </wp:anchor>
        </w:drawing>
      </w:r>
    </w:p>
    <w:p w14:paraId="0F7A3BE9" w14:textId="77777777" w:rsidR="00823D84" w:rsidRDefault="00823D84"/>
    <w:p w14:paraId="75847980" w14:textId="77777777" w:rsidR="00823D84" w:rsidRDefault="00823D84"/>
    <w:p w14:paraId="15A88647" w14:textId="77777777" w:rsidR="00823D84" w:rsidRDefault="00823D84"/>
    <w:p w14:paraId="533BD163" w14:textId="77777777" w:rsidR="00823D84" w:rsidRDefault="00823D84"/>
    <w:p w14:paraId="0535BCF5" w14:textId="77777777" w:rsidR="00823D84" w:rsidRDefault="00823D84"/>
    <w:p w14:paraId="5783AD19" w14:textId="77777777" w:rsidR="00823D84" w:rsidRDefault="00823D84"/>
    <w:p w14:paraId="683C2CE3" w14:textId="77777777" w:rsidR="00823D84" w:rsidRDefault="00823D84"/>
    <w:p w14:paraId="08632D49" w14:textId="1377DE37" w:rsidR="00823D84" w:rsidRDefault="00823D84">
      <w:r w:rsidRPr="00823D84">
        <w:rPr>
          <w:noProof/>
        </w:rPr>
        <mc:AlternateContent>
          <mc:Choice Requires="wps">
            <w:drawing>
              <wp:anchor distT="45720" distB="45720" distL="114300" distR="114300" simplePos="0" relativeHeight="251658241" behindDoc="0" locked="0" layoutInCell="1" allowOverlap="1" wp14:anchorId="15A823F0" wp14:editId="7894AAB6">
                <wp:simplePos x="0" y="0"/>
                <wp:positionH relativeFrom="margin">
                  <wp:align>center</wp:align>
                </wp:positionH>
                <wp:positionV relativeFrom="paragraph">
                  <wp:posOffset>136286</wp:posOffset>
                </wp:positionV>
                <wp:extent cx="1786255" cy="309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255" cy="309245"/>
                        </a:xfrm>
                        <a:prstGeom prst="rect">
                          <a:avLst/>
                        </a:prstGeom>
                        <a:noFill/>
                        <a:ln w="9525">
                          <a:noFill/>
                          <a:miter lim="800000"/>
                          <a:headEnd/>
                          <a:tailEnd/>
                        </a:ln>
                      </wps:spPr>
                      <wps:txbx>
                        <w:txbxContent>
                          <w:p w14:paraId="5841B0BB" w14:textId="77777777" w:rsidR="00823D84" w:rsidRDefault="00823D84" w:rsidP="00823D84">
                            <w:pPr>
                              <w:jc w:val="center"/>
                            </w:pPr>
                            <w:r>
                              <w:t>Fig 1: The Sence of Touch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A823F0" id="_x0000_t202" coordsize="21600,21600" o:spt="202" path="m,l,21600r21600,l21600,xe">
                <v:stroke joinstyle="miter"/>
                <v:path gradientshapeok="t" o:connecttype="rect"/>
              </v:shapetype>
              <v:shape id="Text Box 2" o:spid="_x0000_s1026" type="#_x0000_t202" style="position:absolute;margin-left:0;margin-top:10.75pt;width:140.65pt;height:24.35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" filled="f" stroked="f">
                <v:textbox>
                  <w:txbxContent>
                    <w:p w14:paraId="5841B0BB" w14:textId="77777777" w:rsidR="00823D84" w:rsidRDefault="00823D84" w:rsidP="00823D84">
                      <w:pPr>
                        <w:jc w:val="center"/>
                      </w:pPr>
                      <w:r>
                        <w:t>Fig 1: The Sence of Touch</w:t>
                      </w:r>
                    </w:p>
                  </w:txbxContent>
                </v:textbox>
                <w10:wrap type="square" anchorx="margin"/>
              </v:shape>
            </w:pict>
          </mc:Fallback>
        </mc:AlternateContent>
      </w:r>
    </w:p>
    <w:p w14:paraId="5862B9AB" w14:textId="0BA6A796" w:rsidR="00823D84" w:rsidRDefault="00823D84"/>
    <w:p w14:paraId="7C6AEE59" w14:textId="1A3011DC" w:rsidR="00823D84" w:rsidRPr="00823D84" w:rsidRDefault="00823D84" w:rsidP="00F7124D">
      <w:pPr>
        <w:spacing w:line="360" w:lineRule="auto"/>
      </w:pPr>
      <w:r w:rsidRPr="5648CCBF">
        <w:rPr>
          <w:i/>
          <w:iCs/>
        </w:rPr>
        <w:t xml:space="preserve">The Sense of </w:t>
      </w:r>
      <w:r w:rsidRPr="002F74F5">
        <w:rPr>
          <w:i/>
          <w:iCs/>
        </w:rPr>
        <w:t>Touch</w:t>
      </w:r>
      <w:r w:rsidRPr="002F74F5">
        <w:t xml:space="preserve"> </w:t>
      </w:r>
      <w:r w:rsidR="006C55AC" w:rsidRPr="002F74F5">
        <w:t>(</w:t>
      </w:r>
      <w:r w:rsidR="00D1389B" w:rsidRPr="002F74F5">
        <w:t>1632</w:t>
      </w:r>
      <w:r w:rsidR="006C55AC" w:rsidRPr="002F74F5">
        <w:t xml:space="preserve">) </w:t>
      </w:r>
      <w:r>
        <w:t xml:space="preserve">(Figure 1) by Jusepe de Ribera depicts a blind man touching a sculpture of a head. </w:t>
      </w:r>
      <w:r w:rsidR="00297A34">
        <w:t xml:space="preserve">It is the embodiment of the </w:t>
      </w:r>
      <w:proofErr w:type="spellStart"/>
      <w:r w:rsidR="00297A34">
        <w:t>Niccolo</w:t>
      </w:r>
      <w:proofErr w:type="spellEnd"/>
      <w:r w:rsidR="00297A34">
        <w:t xml:space="preserve"> </w:t>
      </w:r>
      <w:proofErr w:type="spellStart"/>
      <w:r w:rsidR="00297A34">
        <w:t>Tribolo’s</w:t>
      </w:r>
      <w:proofErr w:type="spellEnd"/>
      <w:r w:rsidR="00297A34">
        <w:t xml:space="preserve"> quote, which reads: </w:t>
      </w:r>
    </w:p>
    <w:p w14:paraId="100A0B0B" w14:textId="4729706C" w:rsidR="00297A34" w:rsidRDefault="00297A34" w:rsidP="00F7124D">
      <w:pPr>
        <w:spacing w:line="360" w:lineRule="auto"/>
        <w:ind w:left="720" w:firstLine="720"/>
      </w:pPr>
      <w:r>
        <w:t>[</w:t>
      </w:r>
      <w:r w:rsidRPr="6BC69B41">
        <w:t>S]</w:t>
      </w:r>
      <w:proofErr w:type="spellStart"/>
      <w:r w:rsidRPr="6BC69B41">
        <w:t>culpture</w:t>
      </w:r>
      <w:proofErr w:type="spellEnd"/>
      <w:r w:rsidRPr="6BC69B41">
        <w:t xml:space="preserve"> is… [the art] of using one's hands to show what is true. ... [I]f a blind man… happened to come upon a marble or wood or clay figure, he would claim that it was the figure of a [living person, but] … had it been a painting, he would have encountered nothing at all… [because] sculpture is the real thing, and painting is a lie (</w:t>
      </w:r>
      <w:proofErr w:type="spellStart"/>
      <w:r w:rsidRPr="6BC69B41">
        <w:t>B</w:t>
      </w:r>
      <w:r w:rsidR="00E20EC7">
        <w:t>a</w:t>
      </w:r>
      <w:r w:rsidRPr="6BC69B41">
        <w:t>rocchi</w:t>
      </w:r>
      <w:proofErr w:type="spellEnd"/>
      <w:r w:rsidRPr="6BC69B41">
        <w:t>, 1971, p</w:t>
      </w:r>
      <w:r>
        <w:t xml:space="preserve">. </w:t>
      </w:r>
      <w:r w:rsidRPr="6BC69B41">
        <w:t xml:space="preserve">518). </w:t>
      </w:r>
    </w:p>
    <w:p w14:paraId="4BA2431D" w14:textId="099072B1" w:rsidR="00AC39DE" w:rsidRDefault="00297A34" w:rsidP="00F7124D">
      <w:pPr>
        <w:spacing w:line="360" w:lineRule="auto"/>
        <w:rPr>
          <w:color w:val="FF0000"/>
        </w:rPr>
      </w:pPr>
      <w:r>
        <w:t xml:space="preserve">The painting reflects the importance of touch </w:t>
      </w:r>
      <w:r w:rsidR="001141EC">
        <w:t>to a visibly impaired person</w:t>
      </w:r>
      <w:r w:rsidR="00FC3C86">
        <w:t>,</w:t>
      </w:r>
      <w:r w:rsidR="00522D75">
        <w:t xml:space="preserve"> and it also can also indicate </w:t>
      </w:r>
      <w:r w:rsidR="00522D75" w:rsidRPr="00522D75">
        <w:rPr>
          <w:color w:val="FF0000"/>
        </w:rPr>
        <w:t>how important touch is to a sculptor</w:t>
      </w:r>
      <w:r w:rsidR="00522D75">
        <w:rPr>
          <w:color w:val="FF0000"/>
        </w:rPr>
        <w:t xml:space="preserve">, as </w:t>
      </w:r>
      <w:r w:rsidR="00C80D14">
        <w:rPr>
          <w:color w:val="FF0000"/>
        </w:rPr>
        <w:t xml:space="preserve">when the sculptor considers the tactility of a piece, they are not using their eye but their hand. </w:t>
      </w:r>
      <w:r w:rsidR="00C80D14" w:rsidRPr="00C80D14">
        <w:t>The painting additionally</w:t>
      </w:r>
      <w:r w:rsidR="001141EC" w:rsidRPr="00C80D14">
        <w:t xml:space="preserve"> </w:t>
      </w:r>
      <w:r w:rsidR="001141EC">
        <w:t>outlin</w:t>
      </w:r>
      <w:r w:rsidR="00B14F98">
        <w:t>es</w:t>
      </w:r>
      <w:r w:rsidR="001141EC">
        <w:t xml:space="preserve"> the engagement between </w:t>
      </w:r>
      <w:r w:rsidR="00C80D14">
        <w:t>the</w:t>
      </w:r>
      <w:r w:rsidR="001141EC">
        <w:t xml:space="preserve"> </w:t>
      </w:r>
      <w:r w:rsidR="00C80D14">
        <w:t>artist/</w:t>
      </w:r>
      <w:r w:rsidR="001141EC">
        <w:t xml:space="preserve">viewer and </w:t>
      </w:r>
      <w:r w:rsidR="006C55AC">
        <w:t>an</w:t>
      </w:r>
      <w:r w:rsidR="00FC3C86">
        <w:t xml:space="preserve"> </w:t>
      </w:r>
      <w:r w:rsidR="006C55AC">
        <w:t>object</w:t>
      </w:r>
      <w:r w:rsidR="001141EC">
        <w:t xml:space="preserve">, something which is </w:t>
      </w:r>
      <w:r w:rsidR="006C55AC">
        <w:t>una</w:t>
      </w:r>
      <w:r w:rsidR="001141EC">
        <w:t>ttainable with a</w:t>
      </w:r>
      <w:r w:rsidR="00FC3C86">
        <w:t xml:space="preserve"> painting. We </w:t>
      </w:r>
      <w:proofErr w:type="gramStart"/>
      <w:r w:rsidR="00FC3C86">
        <w:t>are able to</w:t>
      </w:r>
      <w:proofErr w:type="gramEnd"/>
      <w:r w:rsidR="00FC3C86">
        <w:t xml:space="preserve"> touch a painting, but, as Keenan exclaims, the hand “remain[s] an outsider to the painted world” (2016, p. 54). </w:t>
      </w:r>
      <w:r w:rsidR="006C55AC">
        <w:t>Painting allows us to have an insight into a moment, but sculpture allows us to be present and exist in the same moment.</w:t>
      </w:r>
      <w:r w:rsidR="00553E1F" w:rsidRPr="00F7124D">
        <w:t xml:space="preserve"> </w:t>
      </w:r>
      <w:r w:rsidR="00553E1F" w:rsidRPr="00F7124D">
        <w:rPr>
          <w:color w:val="FF0000"/>
        </w:rPr>
        <w:t>In craft, the engagement between the object and maker is a crucial component of making from the starting point to the finish. Makers are constantly checking in with their pieces, touching and viewing from all angles to ensure that it is up their standard of making</w:t>
      </w:r>
      <w:r w:rsidR="00F7124D" w:rsidRPr="00F7124D">
        <w:rPr>
          <w:color w:val="FF0000"/>
        </w:rPr>
        <w:t xml:space="preserve"> and it is an experience that cannot be applied to working in 2D</w:t>
      </w:r>
      <w:r w:rsidR="00553E1F" w:rsidRPr="00F7124D">
        <w:rPr>
          <w:color w:val="FF0000"/>
        </w:rPr>
        <w:t>. Touching our pieces is the proof that we have that it exists, and we are able to make choices on our next step based u</w:t>
      </w:r>
      <w:r w:rsidR="00F7124D" w:rsidRPr="00F7124D">
        <w:rPr>
          <w:color w:val="FF0000"/>
        </w:rPr>
        <w:t xml:space="preserve">pon the multisensory aspect of craft/sculpture. </w:t>
      </w:r>
    </w:p>
    <w:p w14:paraId="5A6E84E3" w14:textId="4BED37EC" w:rsidR="005B59A0" w:rsidRDefault="00A31D90">
      <w:r w:rsidRPr="006C55AC">
        <w:rPr>
          <w:noProof/>
        </w:rPr>
        <w:lastRenderedPageBreak/>
        <mc:AlternateContent>
          <mc:Choice Requires="wps">
            <w:drawing>
              <wp:anchor distT="45720" distB="45720" distL="114300" distR="114300" simplePos="0" relativeHeight="251681792" behindDoc="0" locked="0" layoutInCell="1" allowOverlap="1" wp14:anchorId="66872F20" wp14:editId="370FC105">
                <wp:simplePos x="0" y="0"/>
                <wp:positionH relativeFrom="margin">
                  <wp:posOffset>3134409</wp:posOffset>
                </wp:positionH>
                <wp:positionV relativeFrom="paragraph">
                  <wp:posOffset>2417103</wp:posOffset>
                </wp:positionV>
                <wp:extent cx="2665730" cy="323215"/>
                <wp:effectExtent l="0" t="0" r="1270" b="6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323215"/>
                        </a:xfrm>
                        <a:prstGeom prst="rect">
                          <a:avLst/>
                        </a:prstGeom>
                        <a:solidFill>
                          <a:srgbClr val="FFFFFF"/>
                        </a:solidFill>
                        <a:ln w="9525">
                          <a:noFill/>
                          <a:miter lim="800000"/>
                          <a:headEnd/>
                          <a:tailEnd/>
                        </a:ln>
                      </wps:spPr>
                      <wps:txbx>
                        <w:txbxContent>
                          <w:p w14:paraId="24F32404" w14:textId="4E4B9A10" w:rsidR="00A31D90" w:rsidRDefault="00A31D90" w:rsidP="00A31D90">
                            <w:pPr>
                              <w:jc w:val="center"/>
                            </w:pPr>
                            <w:r>
                              <w:t>Fig 3: Sleeping Muse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72F20" id="_x0000_s1027" type="#_x0000_t202" style="position:absolute;margin-left:246.8pt;margin-top:190.3pt;width:209.9pt;height:25.4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" stroked="f">
                <v:textbox>
                  <w:txbxContent>
                    <w:p w14:paraId="24F32404" w14:textId="4E4B9A10" w:rsidR="00A31D90" w:rsidRDefault="00A31D90" w:rsidP="00A31D90">
                      <w:pPr>
                        <w:jc w:val="center"/>
                      </w:pPr>
                      <w:r>
                        <w:t>Fig 3: Sleeping Muse</w:t>
                      </w:r>
                    </w:p>
                  </w:txbxContent>
                </v:textbox>
                <w10:wrap type="square" anchorx="margin"/>
              </v:shape>
            </w:pict>
          </mc:Fallback>
        </mc:AlternateContent>
      </w:r>
      <w:r w:rsidR="00D143C1">
        <w:rPr>
          <w:noProof/>
        </w:rPr>
        <w:drawing>
          <wp:anchor distT="0" distB="0" distL="114300" distR="114300" simplePos="0" relativeHeight="251679744" behindDoc="0" locked="0" layoutInCell="1" allowOverlap="1" wp14:anchorId="74A1054A" wp14:editId="193AECE4">
            <wp:simplePos x="0" y="0"/>
            <wp:positionH relativeFrom="column">
              <wp:posOffset>2946058</wp:posOffset>
            </wp:positionH>
            <wp:positionV relativeFrom="paragraph">
              <wp:posOffset>148737</wp:posOffset>
            </wp:positionV>
            <wp:extent cx="3038475" cy="2204085"/>
            <wp:effectExtent l="0" t="0" r="9525"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8475" cy="2204085"/>
                    </a:xfrm>
                    <a:prstGeom prst="rect">
                      <a:avLst/>
                    </a:prstGeom>
                    <a:noFill/>
                  </pic:spPr>
                </pic:pic>
              </a:graphicData>
            </a:graphic>
            <wp14:sizeRelH relativeFrom="page">
              <wp14:pctWidth>0</wp14:pctWidth>
            </wp14:sizeRelH>
            <wp14:sizeRelV relativeFrom="page">
              <wp14:pctHeight>0</wp14:pctHeight>
            </wp14:sizeRelV>
          </wp:anchor>
        </w:drawing>
      </w:r>
      <w:r w:rsidR="00D143C1" w:rsidRPr="006C55AC">
        <w:rPr>
          <w:noProof/>
        </w:rPr>
        <w:drawing>
          <wp:anchor distT="0" distB="0" distL="114300" distR="114300" simplePos="0" relativeHeight="251658243" behindDoc="0" locked="0" layoutInCell="1" allowOverlap="1" wp14:anchorId="3A8FDDF7" wp14:editId="2DF1D0AC">
            <wp:simplePos x="0" y="0"/>
            <wp:positionH relativeFrom="margin">
              <wp:posOffset>-164221</wp:posOffset>
            </wp:positionH>
            <wp:positionV relativeFrom="paragraph">
              <wp:posOffset>142924</wp:posOffset>
            </wp:positionV>
            <wp:extent cx="2936918" cy="2215662"/>
            <wp:effectExtent l="0" t="0" r="0" b="0"/>
            <wp:wrapSquare wrapText="bothSides"/>
            <wp:docPr id="5" name="Picture 5" descr="A potato on a white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otato on a white surfac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6918" cy="2215662"/>
                    </a:xfrm>
                    <a:prstGeom prst="rect">
                      <a:avLst/>
                    </a:prstGeom>
                  </pic:spPr>
                </pic:pic>
              </a:graphicData>
            </a:graphic>
            <wp14:sizeRelH relativeFrom="page">
              <wp14:pctWidth>0</wp14:pctWidth>
            </wp14:sizeRelH>
            <wp14:sizeRelV relativeFrom="page">
              <wp14:pctHeight>0</wp14:pctHeight>
            </wp14:sizeRelV>
          </wp:anchor>
        </w:drawing>
      </w:r>
      <w:r w:rsidR="005B59A0" w:rsidRPr="006C55AC">
        <w:rPr>
          <w:noProof/>
        </w:rPr>
        <mc:AlternateContent>
          <mc:Choice Requires="wps">
            <w:drawing>
              <wp:anchor distT="45720" distB="45720" distL="114300" distR="114300" simplePos="0" relativeHeight="251658242" behindDoc="0" locked="0" layoutInCell="1" allowOverlap="1" wp14:anchorId="42A110BC" wp14:editId="16919C68">
                <wp:simplePos x="0" y="0"/>
                <wp:positionH relativeFrom="margin">
                  <wp:posOffset>138088</wp:posOffset>
                </wp:positionH>
                <wp:positionV relativeFrom="paragraph">
                  <wp:posOffset>2406210</wp:posOffset>
                </wp:positionV>
                <wp:extent cx="2665730" cy="323215"/>
                <wp:effectExtent l="0" t="0" r="1270" b="6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323215"/>
                        </a:xfrm>
                        <a:prstGeom prst="rect">
                          <a:avLst/>
                        </a:prstGeom>
                        <a:solidFill>
                          <a:srgbClr val="FFFFFF"/>
                        </a:solidFill>
                        <a:ln w="9525">
                          <a:noFill/>
                          <a:miter lim="800000"/>
                          <a:headEnd/>
                          <a:tailEnd/>
                        </a:ln>
                      </wps:spPr>
                      <wps:txbx>
                        <w:txbxContent>
                          <w:p w14:paraId="20CD0FE2" w14:textId="77777777" w:rsidR="006C55AC" w:rsidRDefault="006C55AC" w:rsidP="006C55AC">
                            <w:pPr>
                              <w:jc w:val="center"/>
                            </w:pPr>
                            <w:r>
                              <w:t>Fig 2: A Sculpture for the Blind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110BC" id="_x0000_s1028" type="#_x0000_t202" style="position:absolute;margin-left:10.85pt;margin-top:189.45pt;width:209.9pt;height:25.4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" stroked="f">
                <v:textbox>
                  <w:txbxContent>
                    <w:p w14:paraId="20CD0FE2" w14:textId="77777777" w:rsidR="006C55AC" w:rsidRDefault="006C55AC" w:rsidP="006C55AC">
                      <w:pPr>
                        <w:jc w:val="center"/>
                      </w:pPr>
                      <w:r>
                        <w:t>Fig 2: A Sculpture for the Blind</w:t>
                      </w:r>
                    </w:p>
                  </w:txbxContent>
                </v:textbox>
                <w10:wrap type="square" anchorx="margin"/>
              </v:shape>
            </w:pict>
          </mc:Fallback>
        </mc:AlternateContent>
      </w:r>
    </w:p>
    <w:p w14:paraId="0788A6C4" w14:textId="77777777" w:rsidR="005B59A0" w:rsidRDefault="005B59A0"/>
    <w:p w14:paraId="45EA1774" w14:textId="0F23E8E9" w:rsidR="001057AE" w:rsidRPr="001057AE" w:rsidRDefault="00685EB9" w:rsidP="00A31D90">
      <w:pPr>
        <w:spacing w:line="360" w:lineRule="auto"/>
        <w:rPr>
          <w:color w:val="FF0000"/>
        </w:rPr>
      </w:pPr>
      <w:r>
        <w:t xml:space="preserve">As </w:t>
      </w:r>
      <w:r w:rsidR="005C67C3">
        <w:t>Brancusi</w:t>
      </w:r>
      <w:r>
        <w:t xml:space="preserve"> once said, “</w:t>
      </w:r>
      <w:r w:rsidR="008F2844">
        <w:t>sculpture</w:t>
      </w:r>
      <w:r>
        <w:t xml:space="preserve"> </w:t>
      </w:r>
      <w:r w:rsidR="008F2844">
        <w:t>must be lovely to touch, friendly to live with, not only well made’’</w:t>
      </w:r>
      <w:r w:rsidR="005C67C3">
        <w:t xml:space="preserve"> </w:t>
      </w:r>
      <w:r w:rsidR="005C67C3" w:rsidRPr="008C6AD7">
        <w:t xml:space="preserve">(Tacha, 1963, pp. 240, 241) </w:t>
      </w:r>
      <w:r w:rsidR="005C67C3">
        <w:t xml:space="preserve">which is reflected in his piece </w:t>
      </w:r>
      <w:r w:rsidR="006C55AC" w:rsidRPr="5648CCBF">
        <w:rPr>
          <w:i/>
          <w:iCs/>
        </w:rPr>
        <w:t>A Sculpture for the Blind</w:t>
      </w:r>
      <w:r w:rsidR="005C67C3" w:rsidRPr="5648CCBF">
        <w:rPr>
          <w:i/>
          <w:iCs/>
        </w:rPr>
        <w:t xml:space="preserve">, </w:t>
      </w:r>
      <w:r w:rsidR="005C67C3">
        <w:t xml:space="preserve">Fig 1 </w:t>
      </w:r>
      <w:r w:rsidR="006C55AC">
        <w:t>(</w:t>
      </w:r>
      <w:r w:rsidR="0009218D">
        <w:t xml:space="preserve">c. </w:t>
      </w:r>
      <w:r w:rsidR="006C55AC">
        <w:t>1920)</w:t>
      </w:r>
      <w:r w:rsidR="005C67C3">
        <w:t xml:space="preserve">. The sculpture </w:t>
      </w:r>
      <w:r w:rsidR="009355C9">
        <w:t>is made of veined marble, and it is the rough shape of an e</w:t>
      </w:r>
      <w:r w:rsidR="00724D72">
        <w:t>gg, measuring 17.5 x 29.5 x 18cm.</w:t>
      </w:r>
      <w:r w:rsidR="00840251">
        <w:t xml:space="preserve"> </w:t>
      </w:r>
      <w:r w:rsidR="00724D72">
        <w:t>The piece’s intention is to be touched,</w:t>
      </w:r>
      <w:r w:rsidR="00700C7C">
        <w:t xml:space="preserve"> and Brancusi considered all elements of touch when creating the piece. Firstly, it is easily embraceable. Clayton described the object as fitting “easily on[to] your lap” and it would “take two hands to hold comfortably” (2017). Secondly, the </w:t>
      </w:r>
      <w:r w:rsidR="00FD096B">
        <w:t>piece is incredibly smooth</w:t>
      </w:r>
      <w:r w:rsidR="00282F0E">
        <w:t>.</w:t>
      </w:r>
      <w:r w:rsidR="00FD096B">
        <w:t xml:space="preserve"> Brancusi </w:t>
      </w:r>
      <w:r w:rsidR="00282F0E">
        <w:t xml:space="preserve">was </w:t>
      </w:r>
      <w:r w:rsidR="00FD096B">
        <w:t>said to be “very fastidious about the finishing of his works” and he would personally smooth and polish the piece with “great care until he obtained the perfect surface quality’s he longed for” (</w:t>
      </w:r>
      <w:proofErr w:type="spellStart"/>
      <w:r w:rsidR="00FD096B">
        <w:t>Barassi</w:t>
      </w:r>
      <w:proofErr w:type="spellEnd"/>
      <w:r w:rsidR="00FD096B">
        <w:t>, 2016, p. 174)</w:t>
      </w:r>
      <w:r w:rsidR="00282F0E">
        <w:t xml:space="preserve">. Thirdly, due to the nature of marble and its high density, the object is heavy and lastly, again due to the nature of marble, the sculpture is cold to the touch. </w:t>
      </w:r>
    </w:p>
    <w:p w14:paraId="6D62D193" w14:textId="1D1F9E7F" w:rsidR="007A44D8" w:rsidRPr="00F31298" w:rsidRDefault="00282F0E" w:rsidP="00A31D90">
      <w:pPr>
        <w:spacing w:line="360" w:lineRule="auto"/>
        <w:rPr>
          <w:color w:val="FF0000"/>
        </w:rPr>
      </w:pPr>
      <w:r w:rsidRPr="008C6AD7">
        <w:t xml:space="preserve">Brancusi </w:t>
      </w:r>
      <w:r w:rsidR="007F6B67" w:rsidRPr="008C6AD7">
        <w:t xml:space="preserve">was known </w:t>
      </w:r>
      <w:r w:rsidR="00D143C1" w:rsidRPr="008C6AD7">
        <w:t>for his facial sculptures (Figure 3)</w:t>
      </w:r>
      <w:r w:rsidR="00F31298" w:rsidRPr="008C6AD7">
        <w:t xml:space="preserve"> which resembles Figure 2 due to the similarity of the shape. He was known </w:t>
      </w:r>
      <w:r w:rsidR="007F6B67" w:rsidRPr="008C6AD7">
        <w:t>to place</w:t>
      </w:r>
      <w:r w:rsidR="0058585F" w:rsidRPr="008C6AD7">
        <w:t xml:space="preserve"> his sculptures upon </w:t>
      </w:r>
      <w:r w:rsidR="007F6B67" w:rsidRPr="008C6AD7">
        <w:t xml:space="preserve">his knees and </w:t>
      </w:r>
      <w:r w:rsidR="0058585F" w:rsidRPr="008C6AD7">
        <w:t>touch them with his eyes closed</w:t>
      </w:r>
      <w:r w:rsidR="00F31298" w:rsidRPr="008C6AD7">
        <w:t xml:space="preserve">, which is reminiscent of Figure 1. </w:t>
      </w:r>
      <w:r w:rsidR="0058585F" w:rsidRPr="008C6AD7">
        <w:t>It was not only his way of enjoying the finished</w:t>
      </w:r>
      <w:r w:rsidR="00F31298" w:rsidRPr="008C6AD7">
        <w:t xml:space="preserve"> piece</w:t>
      </w:r>
      <w:r w:rsidR="00AF4B2F" w:rsidRPr="008C6AD7">
        <w:t>, but “an integral part to its making’’ (</w:t>
      </w:r>
      <w:proofErr w:type="spellStart"/>
      <w:r w:rsidR="00AF4B2F" w:rsidRPr="008C6AD7">
        <w:t>Barassi</w:t>
      </w:r>
      <w:proofErr w:type="spellEnd"/>
      <w:r w:rsidR="00AF4B2F" w:rsidRPr="008C6AD7">
        <w:t xml:space="preserve">, 2016, p. 174). </w:t>
      </w:r>
      <w:r w:rsidR="007B53D9" w:rsidRPr="008C6AD7">
        <w:t xml:space="preserve">He therefore viewed his artworks through touch, and through the eyes of someone who was </w:t>
      </w:r>
      <w:r w:rsidR="007B53D9">
        <w:t xml:space="preserve">visually impaired. The paradox of this piece is one that is interesting, as the piece is now displayed in a glass vitrine in the Museum of Art in Philadelphia, therefore a piece </w:t>
      </w:r>
      <w:r w:rsidR="004D7481">
        <w:t xml:space="preserve">intended </w:t>
      </w:r>
      <w:r w:rsidR="007B53D9">
        <w:t>for the blind, is now for the sighted.</w:t>
      </w:r>
    </w:p>
    <w:p w14:paraId="5F3E8185" w14:textId="76470DC1" w:rsidR="005B59A0" w:rsidRDefault="005B59A0">
      <w:r>
        <w:t xml:space="preserve">Word count for TOUCH: </w:t>
      </w:r>
      <w:r w:rsidR="00A31D90">
        <w:t>916…</w:t>
      </w:r>
    </w:p>
    <w:p w14:paraId="1EE7A8FD" w14:textId="77777777" w:rsidR="00A31D90" w:rsidRDefault="00A31D90"/>
    <w:p w14:paraId="085CA9C9" w14:textId="788C9D6C" w:rsidR="00883ABE" w:rsidRDefault="00EB386C" w:rsidP="000E34FB">
      <w:pPr>
        <w:spacing w:line="360" w:lineRule="auto"/>
      </w:pPr>
      <w:r w:rsidRPr="00EB386C">
        <w:rPr>
          <w:color w:val="FF0000"/>
        </w:rPr>
        <w:lastRenderedPageBreak/>
        <w:t>Link face to body</w:t>
      </w:r>
      <w:r>
        <w:t xml:space="preserve">… </w:t>
      </w:r>
      <w:r w:rsidR="007A44D8">
        <w:t>The body is defined as “the whole physical structure of a human or an animal” (Oxford Learner’s Dictionaries, 2022)</w:t>
      </w:r>
      <w:r w:rsidR="00232AD2">
        <w:t xml:space="preserve"> and i</w:t>
      </w:r>
      <w:r w:rsidR="00883ABE">
        <w:t>t is “central to how we understand facets of identity such as gender, sexuality, race, and ethnicity” (MOMA, 2022)</w:t>
      </w:r>
      <w:r w:rsidR="00232AD2">
        <w:t>.</w:t>
      </w:r>
      <w:r w:rsidR="00883ABE">
        <w:t xml:space="preserve"> </w:t>
      </w:r>
      <w:r w:rsidR="00232AD2">
        <w:t>H</w:t>
      </w:r>
      <w:r w:rsidR="00883ABE">
        <w:t>ow one presents their body can either align or rebel against social conventions (MOMA, 2022), signifying</w:t>
      </w:r>
      <w:r w:rsidR="00955CB5">
        <w:t xml:space="preserve"> that </w:t>
      </w:r>
      <w:r w:rsidR="00883ABE">
        <w:t>the body is a powerful form of communication.</w:t>
      </w:r>
    </w:p>
    <w:p w14:paraId="740CA730" w14:textId="16FF752D" w:rsidR="007A44D8" w:rsidRDefault="007C0E67" w:rsidP="000E34FB">
      <w:pPr>
        <w:spacing w:line="360" w:lineRule="auto"/>
      </w:pPr>
      <w:r>
        <w:t xml:space="preserve">The </w:t>
      </w:r>
      <w:r w:rsidR="00394FA8">
        <w:t>body of a woman has</w:t>
      </w:r>
      <w:r w:rsidR="00CC2BB7">
        <w:t xml:space="preserve"> been the object of male desires for centuries (Suleiman, 1986, p. 7)</w:t>
      </w:r>
      <w:r w:rsidR="00394FA8">
        <w:t>. In addition, the i</w:t>
      </w:r>
      <w:r w:rsidR="00394FA8" w:rsidRPr="00394FA8">
        <w:t>deal</w:t>
      </w:r>
      <w:r w:rsidR="00394FA8">
        <w:t>s</w:t>
      </w:r>
      <w:r w:rsidR="00394FA8" w:rsidRPr="00394FA8">
        <w:t xml:space="preserve"> of</w:t>
      </w:r>
      <w:r w:rsidR="00EB386C">
        <w:t xml:space="preserve"> the</w:t>
      </w:r>
      <w:r w:rsidR="00394FA8" w:rsidRPr="00394FA8">
        <w:t xml:space="preserve"> </w:t>
      </w:r>
      <w:r w:rsidR="00394FA8">
        <w:t>“</w:t>
      </w:r>
      <w:r w:rsidR="00394FA8" w:rsidRPr="00394FA8">
        <w:t xml:space="preserve">female beauty has shifted from a symbol of fertility to one of </w:t>
      </w:r>
      <w:r w:rsidR="00C854ED" w:rsidRPr="00394FA8">
        <w:t>mathematically calculated</w:t>
      </w:r>
      <w:r w:rsidR="00394FA8" w:rsidRPr="00394FA8">
        <w:t xml:space="preserve"> proportions</w:t>
      </w:r>
      <w:r w:rsidR="00394FA8">
        <w:t>”</w:t>
      </w:r>
      <w:r w:rsidR="00EB386C">
        <w:t xml:space="preserve">, </w:t>
      </w:r>
      <w:r w:rsidR="006A6719">
        <w:t>which is evident</w:t>
      </w:r>
      <w:r w:rsidR="00C854ED">
        <w:t xml:space="preserve"> </w:t>
      </w:r>
      <w:r w:rsidR="00C854ED" w:rsidRPr="008C6AD7">
        <w:t>through</w:t>
      </w:r>
      <w:r w:rsidR="006A6719" w:rsidRPr="008C6AD7">
        <w:t xml:space="preserve"> analysing</w:t>
      </w:r>
      <w:r w:rsidR="00C854ED" w:rsidRPr="008C6AD7">
        <w:t xml:space="preserve"> depictions of female bodies by artists throughout history</w:t>
      </w:r>
      <w:r w:rsidR="005917E6" w:rsidRPr="008C6AD7">
        <w:t xml:space="preserve"> </w:t>
      </w:r>
      <w:r w:rsidR="00C854ED" w:rsidRPr="008C6AD7">
        <w:t>(</w:t>
      </w:r>
      <w:proofErr w:type="spellStart"/>
      <w:r w:rsidR="00C854ED" w:rsidRPr="008C6AD7">
        <w:t>Bonafini</w:t>
      </w:r>
      <w:proofErr w:type="spellEnd"/>
      <w:r w:rsidR="00C854ED" w:rsidRPr="008C6AD7">
        <w:t xml:space="preserve"> &amp; </w:t>
      </w:r>
      <w:proofErr w:type="spellStart"/>
      <w:r w:rsidR="00C854ED" w:rsidRPr="008C6AD7">
        <w:t>Pozzilli</w:t>
      </w:r>
      <w:proofErr w:type="spellEnd"/>
      <w:r w:rsidR="00C854ED" w:rsidRPr="008C6AD7">
        <w:t>, 2010).</w:t>
      </w:r>
      <w:r w:rsidR="00EB386C" w:rsidRPr="008C6AD7">
        <w:t xml:space="preserve"> The artists who have documented these changed are a good indication of how society saw women</w:t>
      </w:r>
      <w:r w:rsidR="000E34FB" w:rsidRPr="008C6AD7">
        <w:t>.</w:t>
      </w:r>
    </w:p>
    <w:p w14:paraId="5EDBAD87" w14:textId="76B5C4BE" w:rsidR="00C854ED" w:rsidRPr="00C854ED" w:rsidRDefault="005143F3" w:rsidP="00C854E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26C9B">
        <w:rPr>
          <w:noProof/>
        </w:rPr>
        <w:drawing>
          <wp:anchor distT="0" distB="0" distL="114300" distR="114300" simplePos="0" relativeHeight="251649024" behindDoc="0" locked="0" layoutInCell="1" allowOverlap="1" wp14:anchorId="3D1CB121" wp14:editId="70E177C8">
            <wp:simplePos x="0" y="0"/>
            <wp:positionH relativeFrom="margin">
              <wp:posOffset>2591142</wp:posOffset>
            </wp:positionH>
            <wp:positionV relativeFrom="paragraph">
              <wp:posOffset>520065</wp:posOffset>
            </wp:positionV>
            <wp:extent cx="3546475" cy="2235200"/>
            <wp:effectExtent l="0" t="0" r="0" b="0"/>
            <wp:wrapSquare wrapText="bothSides"/>
            <wp:docPr id="6" name="Picture 6"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abric&#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6475" cy="2235200"/>
                    </a:xfrm>
                    <a:prstGeom prst="rect">
                      <a:avLst/>
                    </a:prstGeom>
                  </pic:spPr>
                </pic:pic>
              </a:graphicData>
            </a:graphic>
            <wp14:sizeRelH relativeFrom="page">
              <wp14:pctWidth>0</wp14:pctWidth>
            </wp14:sizeRelH>
            <wp14:sizeRelV relativeFrom="page">
              <wp14:pctHeight>0</wp14:pctHeight>
            </wp14:sizeRelV>
          </wp:anchor>
        </w:drawing>
      </w:r>
      <w:r w:rsidRPr="005917E6">
        <w:rPr>
          <w:noProof/>
        </w:rPr>
        <w:drawing>
          <wp:anchor distT="0" distB="0" distL="114300" distR="114300" simplePos="0" relativeHeight="251665408" behindDoc="0" locked="0" layoutInCell="1" allowOverlap="1" wp14:anchorId="5528E21F" wp14:editId="3A3CBBCF">
            <wp:simplePos x="0" y="0"/>
            <wp:positionH relativeFrom="margin">
              <wp:posOffset>-369130</wp:posOffset>
            </wp:positionH>
            <wp:positionV relativeFrom="paragraph">
              <wp:posOffset>337674</wp:posOffset>
            </wp:positionV>
            <wp:extent cx="2800350" cy="2800350"/>
            <wp:effectExtent l="0" t="0" r="0" b="0"/>
            <wp:wrapSquare wrapText="bothSides"/>
            <wp:docPr id="13" name="Picture 13" descr="A close-up of a human sku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human skull&#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00C854ED" w:rsidRPr="00C854ED">
        <w:rPr>
          <w:rFonts w:ascii="Times New Roman" w:eastAsia="Times New Roman" w:hAnsi="Times New Roman" w:cs="Times New Roman"/>
          <w:color w:val="000000"/>
          <w:sz w:val="24"/>
          <w:szCs w:val="24"/>
          <w:lang w:eastAsia="en-GB"/>
        </w:rPr>
        <w:t>‌</w:t>
      </w:r>
    </w:p>
    <w:p w14:paraId="13A84B89" w14:textId="10BA9715" w:rsidR="005917E6" w:rsidRDefault="005143F3" w:rsidP="005917E6">
      <w:r>
        <w:rPr>
          <w:noProof/>
        </w:rPr>
        <mc:AlternateContent>
          <mc:Choice Requires="wps">
            <w:drawing>
              <wp:anchor distT="45720" distB="45720" distL="114300" distR="114300" simplePos="0" relativeHeight="251657216" behindDoc="0" locked="0" layoutInCell="1" allowOverlap="1" wp14:anchorId="349B371C" wp14:editId="42DDC35F">
                <wp:simplePos x="0" y="0"/>
                <wp:positionH relativeFrom="margin">
                  <wp:align>right</wp:align>
                </wp:positionH>
                <wp:positionV relativeFrom="paragraph">
                  <wp:posOffset>2428875</wp:posOffset>
                </wp:positionV>
                <wp:extent cx="2593340" cy="29527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295275"/>
                        </a:xfrm>
                        <a:prstGeom prst="rect">
                          <a:avLst/>
                        </a:prstGeom>
                        <a:noFill/>
                        <a:ln w="9525">
                          <a:noFill/>
                          <a:miter lim="800000"/>
                          <a:headEnd/>
                          <a:tailEnd/>
                        </a:ln>
                      </wps:spPr>
                      <wps:txbx>
                        <w:txbxContent>
                          <w:p w14:paraId="6A05F2E4" w14:textId="7CCFE553" w:rsidR="005917E6" w:rsidRDefault="005917E6" w:rsidP="005917E6">
                            <w:pPr>
                              <w:jc w:val="center"/>
                            </w:pPr>
                            <w:r>
                              <w:t xml:space="preserve">Fig </w:t>
                            </w:r>
                            <w:r w:rsidR="003C60BD">
                              <w:t>5</w:t>
                            </w:r>
                            <w:r>
                              <w:t xml:space="preserve">: </w:t>
                            </w:r>
                            <w:r>
                              <w:rPr>
                                <w:i/>
                                <w:iCs/>
                              </w:rPr>
                              <w:t>The Birth of Venus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B371C" id="_x0000_s1029" type="#_x0000_t202" style="position:absolute;margin-left:153pt;margin-top:191.25pt;width:204.2pt;height:23.2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" filled="f" stroked="f">
                <v:textbox>
                  <w:txbxContent>
                    <w:p w14:paraId="6A05F2E4" w14:textId="7CCFE553" w:rsidR="005917E6" w:rsidRDefault="005917E6" w:rsidP="005917E6">
                      <w:pPr>
                        <w:jc w:val="center"/>
                      </w:pPr>
                      <w:r>
                        <w:t xml:space="preserve">Fig </w:t>
                      </w:r>
                      <w:r w:rsidR="003C60BD">
                        <w:t>5</w:t>
                      </w:r>
                      <w:r>
                        <w:t xml:space="preserve">: </w:t>
                      </w:r>
                      <w:r>
                        <w:rPr>
                          <w:i/>
                          <w:iCs/>
                        </w:rPr>
                        <w:t>The Birth of Venus</w:t>
                      </w:r>
                    </w:p>
                  </w:txbxContent>
                </v:textbox>
                <w10:wrap type="square" anchorx="margin"/>
              </v:shape>
            </w:pict>
          </mc:Fallback>
        </mc:AlternateContent>
      </w:r>
    </w:p>
    <w:p w14:paraId="3A6693CC" w14:textId="6142B680" w:rsidR="005917E6" w:rsidRDefault="005143F3" w:rsidP="005917E6">
      <w:r w:rsidRPr="005917E6">
        <w:rPr>
          <w:noProof/>
        </w:rPr>
        <mc:AlternateContent>
          <mc:Choice Requires="wps">
            <w:drawing>
              <wp:anchor distT="45720" distB="45720" distL="114300" distR="114300" simplePos="0" relativeHeight="251672576" behindDoc="1" locked="0" layoutInCell="1" allowOverlap="1" wp14:anchorId="342AC141" wp14:editId="264E987E">
                <wp:simplePos x="0" y="0"/>
                <wp:positionH relativeFrom="column">
                  <wp:posOffset>160948</wp:posOffset>
                </wp:positionH>
                <wp:positionV relativeFrom="paragraph">
                  <wp:posOffset>205545</wp:posOffset>
                </wp:positionV>
                <wp:extent cx="1689100" cy="295422"/>
                <wp:effectExtent l="0" t="0" r="635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95422"/>
                        </a:xfrm>
                        <a:prstGeom prst="rect">
                          <a:avLst/>
                        </a:prstGeom>
                        <a:solidFill>
                          <a:srgbClr val="FFFFFF"/>
                        </a:solidFill>
                        <a:ln w="9525">
                          <a:noFill/>
                          <a:miter lim="800000"/>
                          <a:headEnd/>
                          <a:tailEnd/>
                        </a:ln>
                      </wps:spPr>
                      <wps:txbx>
                        <w:txbxContent>
                          <w:p w14:paraId="53C97029" w14:textId="4D2ACB95" w:rsidR="005917E6" w:rsidRDefault="005917E6" w:rsidP="005917E6">
                            <w:r>
                              <w:t xml:space="preserve">Fig </w:t>
                            </w:r>
                            <w:r w:rsidR="003C60BD">
                              <w:t>4</w:t>
                            </w:r>
                            <w:r>
                              <w:t>: Venus of Willendorf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AC141" id="_x0000_s1030" type="#_x0000_t202" style="position:absolute;margin-left:12.65pt;margin-top:16.2pt;width:133pt;height:23.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" stroked="f">
                <v:textbox>
                  <w:txbxContent>
                    <w:p w14:paraId="53C97029" w14:textId="4D2ACB95" w:rsidR="005917E6" w:rsidRDefault="005917E6" w:rsidP="005917E6">
                      <w:r>
                        <w:t xml:space="preserve">Fig </w:t>
                      </w:r>
                      <w:r w:rsidR="003C60BD">
                        <w:t>4</w:t>
                      </w:r>
                      <w:r>
                        <w:t>: Venus of Willendorf</w:t>
                      </w:r>
                    </w:p>
                  </w:txbxContent>
                </v:textbox>
              </v:shape>
            </w:pict>
          </mc:Fallback>
        </mc:AlternateContent>
      </w:r>
    </w:p>
    <w:p w14:paraId="2442ABFA" w14:textId="221E2194" w:rsidR="005917E6" w:rsidRDefault="005917E6" w:rsidP="005917E6"/>
    <w:p w14:paraId="175A045C" w14:textId="77777777" w:rsidR="005143F3" w:rsidRDefault="005143F3" w:rsidP="005917E6"/>
    <w:p w14:paraId="2A367B16" w14:textId="1E4BD6A0" w:rsidR="000E34FB" w:rsidRDefault="005143F3" w:rsidP="00DD54DA">
      <w:pPr>
        <w:spacing w:line="360" w:lineRule="auto"/>
        <w:rPr>
          <w:color w:val="000000" w:themeColor="text1"/>
        </w:rPr>
      </w:pPr>
      <w:r>
        <w:rPr>
          <w:i/>
          <w:iCs/>
        </w:rPr>
        <w:t xml:space="preserve">The </w:t>
      </w:r>
      <w:r w:rsidRPr="5648CCBF">
        <w:rPr>
          <w:i/>
          <w:iCs/>
        </w:rPr>
        <w:t>Venus of Willendorf</w:t>
      </w:r>
      <w:r>
        <w:t xml:space="preserve"> (30,000 – 25,000 BCE) (Figure </w:t>
      </w:r>
      <w:r w:rsidR="003C60BD">
        <w:t>4</w:t>
      </w:r>
      <w:r>
        <w:t xml:space="preserve">) is one of the oldest portrayals of woman. The statue depicts a “bulging” stomach and “large breasts”, suggesting that the culture </w:t>
      </w:r>
      <w:r w:rsidRPr="5648CCBF">
        <w:t>idolized a mother goddess (</w:t>
      </w:r>
      <w:proofErr w:type="spellStart"/>
      <w:r w:rsidRPr="5648CCBF">
        <w:t>Bonafini</w:t>
      </w:r>
      <w:proofErr w:type="spellEnd"/>
      <w:r w:rsidRPr="5648CCBF">
        <w:t xml:space="preserve"> &amp; </w:t>
      </w:r>
      <w:proofErr w:type="spellStart"/>
      <w:r w:rsidRPr="5648CCBF">
        <w:t>Pozzilli</w:t>
      </w:r>
      <w:proofErr w:type="spellEnd"/>
      <w:r w:rsidRPr="5648CCBF">
        <w:t>, 201</w:t>
      </w:r>
      <w:r w:rsidR="00516A41">
        <w:t>1</w:t>
      </w:r>
      <w:r w:rsidRPr="5648CCBF">
        <w:t>) and that the figure was a fertility symbol (</w:t>
      </w:r>
      <w:r w:rsidR="00454F48">
        <w:rPr>
          <w:color w:val="000000" w:themeColor="text1"/>
        </w:rPr>
        <w:t>Zygmont,</w:t>
      </w:r>
      <w:r w:rsidRPr="5648CCBF">
        <w:rPr>
          <w:color w:val="000000" w:themeColor="text1"/>
        </w:rPr>
        <w:t xml:space="preserve"> 2022). Th</w:t>
      </w:r>
      <w:r w:rsidR="005C6B7A">
        <w:rPr>
          <w:color w:val="000000" w:themeColor="text1"/>
        </w:rPr>
        <w:t xml:space="preserve">is depiction </w:t>
      </w:r>
      <w:r w:rsidRPr="5648CCBF">
        <w:rPr>
          <w:color w:val="000000" w:themeColor="text1"/>
        </w:rPr>
        <w:t xml:space="preserve">of </w:t>
      </w:r>
      <w:r w:rsidR="000E34FB">
        <w:rPr>
          <w:color w:val="000000" w:themeColor="text1"/>
        </w:rPr>
        <w:t>the</w:t>
      </w:r>
      <w:r w:rsidR="005C6B7A">
        <w:rPr>
          <w:color w:val="000000" w:themeColor="text1"/>
        </w:rPr>
        <w:t xml:space="preserve"> female body</w:t>
      </w:r>
      <w:r w:rsidR="000E34FB">
        <w:rPr>
          <w:color w:val="000000" w:themeColor="text1"/>
        </w:rPr>
        <w:t>, in comparison to Figure 4,</w:t>
      </w:r>
      <w:r w:rsidRPr="5648CCBF">
        <w:rPr>
          <w:color w:val="000000" w:themeColor="text1"/>
        </w:rPr>
        <w:t xml:space="preserve"> document</w:t>
      </w:r>
      <w:r w:rsidR="005C6B7A">
        <w:rPr>
          <w:color w:val="000000" w:themeColor="text1"/>
        </w:rPr>
        <w:t>s</w:t>
      </w:r>
      <w:r w:rsidRPr="5648CCBF">
        <w:rPr>
          <w:color w:val="000000" w:themeColor="text1"/>
        </w:rPr>
        <w:t xml:space="preserve"> the change from women being</w:t>
      </w:r>
      <w:r w:rsidR="000E34FB">
        <w:rPr>
          <w:color w:val="000000" w:themeColor="text1"/>
        </w:rPr>
        <w:t xml:space="preserve"> seen as a</w:t>
      </w:r>
      <w:r w:rsidRPr="5648CCBF">
        <w:rPr>
          <w:color w:val="000000" w:themeColor="text1"/>
        </w:rPr>
        <w:t xml:space="preserve"> fertility symbol to one who is the object of the Male Gaze</w:t>
      </w:r>
      <w:r w:rsidR="000E34FB">
        <w:rPr>
          <w:color w:val="000000" w:themeColor="text1"/>
        </w:rPr>
        <w:t xml:space="preserve">. </w:t>
      </w:r>
    </w:p>
    <w:p w14:paraId="758BC7BF" w14:textId="5CBE6F64" w:rsidR="004E21E7" w:rsidRDefault="000E34FB" w:rsidP="003C60BD">
      <w:pPr>
        <w:spacing w:line="360" w:lineRule="auto"/>
      </w:pPr>
      <w:r>
        <w:rPr>
          <w:color w:val="000000" w:themeColor="text1"/>
        </w:rPr>
        <w:t xml:space="preserve">Figure </w:t>
      </w:r>
      <w:r w:rsidR="003C60BD">
        <w:rPr>
          <w:color w:val="000000" w:themeColor="text1"/>
        </w:rPr>
        <w:t>5</w:t>
      </w:r>
      <w:r>
        <w:rPr>
          <w:color w:val="000000" w:themeColor="text1"/>
        </w:rPr>
        <w:t xml:space="preserve">, </w:t>
      </w:r>
      <w:r w:rsidR="005917E6" w:rsidRPr="5648CCBF">
        <w:rPr>
          <w:i/>
          <w:iCs/>
        </w:rPr>
        <w:t>The Birth of Venus</w:t>
      </w:r>
      <w:r w:rsidR="007C4590">
        <w:t xml:space="preserve"> </w:t>
      </w:r>
      <w:r w:rsidR="005917E6">
        <w:t>(1483 – 1485)</w:t>
      </w:r>
      <w:r>
        <w:t>,</w:t>
      </w:r>
      <w:r w:rsidR="00F63AE9">
        <w:t xml:space="preserve"> </w:t>
      </w:r>
      <w:r>
        <w:t>p</w:t>
      </w:r>
      <w:r w:rsidR="005917E6">
        <w:t>ainted by Sandro Botticelli</w:t>
      </w:r>
      <w:r w:rsidR="00F63AE9">
        <w:t xml:space="preserve">, </w:t>
      </w:r>
      <w:r w:rsidR="007C4590">
        <w:t>portrays</w:t>
      </w:r>
      <w:r w:rsidR="005917E6">
        <w:t xml:space="preserve"> Venus, the ancient goddess of beauty and love (</w:t>
      </w:r>
      <w:proofErr w:type="spellStart"/>
      <w:r w:rsidR="00454F48">
        <w:t>Hoena</w:t>
      </w:r>
      <w:proofErr w:type="spellEnd"/>
      <w:r w:rsidR="005917E6">
        <w:t>, 20</w:t>
      </w:r>
      <w:r w:rsidR="00454F48">
        <w:t>03</w:t>
      </w:r>
      <w:r w:rsidR="005917E6">
        <w:t xml:space="preserve">, p. </w:t>
      </w:r>
      <w:r w:rsidR="00454F48">
        <w:t>5</w:t>
      </w:r>
      <w:r w:rsidR="005917E6">
        <w:t xml:space="preserve">) </w:t>
      </w:r>
      <w:r w:rsidR="001E096D">
        <w:t>nude and</w:t>
      </w:r>
      <w:r w:rsidR="005917E6">
        <w:t xml:space="preserve"> emerging from the water. </w:t>
      </w:r>
      <w:r w:rsidR="007C4590">
        <w:t>The painting was created during the Renaissance</w:t>
      </w:r>
      <w:r>
        <w:t xml:space="preserve"> </w:t>
      </w:r>
      <w:r w:rsidR="007C4590">
        <w:t xml:space="preserve">and at this time </w:t>
      </w:r>
      <w:r w:rsidR="005917E6">
        <w:t xml:space="preserve">an artist’s skill laid in their ability to “show </w:t>
      </w:r>
      <w:r w:rsidR="005917E6">
        <w:lastRenderedPageBreak/>
        <w:t>perception in the body of the nude woman” (</w:t>
      </w:r>
      <w:proofErr w:type="spellStart"/>
      <w:r w:rsidR="005917E6">
        <w:t>Zhoa</w:t>
      </w:r>
      <w:proofErr w:type="spellEnd"/>
      <w:r w:rsidR="005917E6">
        <w:t>, 2017, p. 106). The paintings of this period were mostly created by men, and as the paintings of the Renaissance reflected the ideals of beauty at the time (</w:t>
      </w:r>
      <w:proofErr w:type="spellStart"/>
      <w:r w:rsidR="005917E6">
        <w:t>Zhoa</w:t>
      </w:r>
      <w:proofErr w:type="spellEnd"/>
      <w:r w:rsidR="005917E6">
        <w:t>, 2017, p. 110), men therefore dictated women’s beauty standards.</w:t>
      </w:r>
      <w:r w:rsidR="00F53EA9">
        <w:t xml:space="preserve"> </w:t>
      </w:r>
    </w:p>
    <w:p w14:paraId="500B3365" w14:textId="1B5D3684" w:rsidR="00DD54DA" w:rsidRDefault="00851F3F" w:rsidP="003C60BD">
      <w:pPr>
        <w:spacing w:line="360" w:lineRule="auto"/>
      </w:pPr>
      <w:r>
        <w:t xml:space="preserve">The fact that Venus is portrayed as nude, </w:t>
      </w:r>
      <w:r w:rsidR="00DD54DA">
        <w:t>signifying</w:t>
      </w:r>
      <w:r>
        <w:t xml:space="preserve"> “lust and erotic pleasure” </w:t>
      </w:r>
      <w:r w:rsidR="00DD54DA">
        <w:t>(</w:t>
      </w:r>
      <w:proofErr w:type="spellStart"/>
      <w:r w:rsidR="00DD54DA">
        <w:t>Zhoa</w:t>
      </w:r>
      <w:proofErr w:type="spellEnd"/>
      <w:r w:rsidR="00DD54DA">
        <w:t>, 2017, p. 106), implies that the painting was intended for the male audience. This demonstrates that the painting is the object of the Male Gaze (Mulvey, 19</w:t>
      </w:r>
      <w:r w:rsidR="004D188D">
        <w:t>89</w:t>
      </w:r>
      <w:r w:rsidR="00DD54DA">
        <w:t>) which is further emphasized by Venus’ strategically painted hands which cover her breasts. This is designed to titillate the man while conveying modesty</w:t>
      </w:r>
      <w:r w:rsidR="003C60BD">
        <w:t xml:space="preserve">. </w:t>
      </w:r>
    </w:p>
    <w:p w14:paraId="4CCD3490" w14:textId="77777777" w:rsidR="00C854ED" w:rsidRDefault="00C854ED"/>
    <w:p w14:paraId="4150E5D9" w14:textId="578E7EE3" w:rsidR="00232AD2" w:rsidRDefault="00232AD2"/>
    <w:p w14:paraId="10A6A821" w14:textId="499F2BC8" w:rsidR="00232AD2" w:rsidRDefault="00403D6E">
      <w:r w:rsidRPr="00403D6E">
        <w:rPr>
          <w:noProof/>
        </w:rPr>
        <w:drawing>
          <wp:anchor distT="0" distB="0" distL="114300" distR="114300" simplePos="0" relativeHeight="251658244" behindDoc="1" locked="0" layoutInCell="1" allowOverlap="1" wp14:anchorId="7A5F7C6E" wp14:editId="59646E43">
            <wp:simplePos x="0" y="0"/>
            <wp:positionH relativeFrom="margin">
              <wp:align>center</wp:align>
            </wp:positionH>
            <wp:positionV relativeFrom="paragraph">
              <wp:posOffset>0</wp:posOffset>
            </wp:positionV>
            <wp:extent cx="2650490" cy="3001645"/>
            <wp:effectExtent l="0" t="0" r="0" b="8255"/>
            <wp:wrapSquare wrapText="bothSides"/>
            <wp:docPr id="1" name="Picture 1"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50490" cy="3001645"/>
                    </a:xfrm>
                    <a:prstGeom prst="rect">
                      <a:avLst/>
                    </a:prstGeom>
                  </pic:spPr>
                </pic:pic>
              </a:graphicData>
            </a:graphic>
            <wp14:sizeRelH relativeFrom="page">
              <wp14:pctWidth>0</wp14:pctWidth>
            </wp14:sizeRelH>
            <wp14:sizeRelV relativeFrom="page">
              <wp14:pctHeight>0</wp14:pctHeight>
            </wp14:sizeRelV>
          </wp:anchor>
        </w:drawing>
      </w:r>
    </w:p>
    <w:p w14:paraId="04323C8B" w14:textId="491A6C63" w:rsidR="00232AD2" w:rsidRDefault="00232AD2"/>
    <w:p w14:paraId="15BCE31D" w14:textId="0A619E83" w:rsidR="00403D6E" w:rsidRDefault="00403D6E"/>
    <w:p w14:paraId="5E0ACC4C" w14:textId="5F4C6F1A" w:rsidR="00403D6E" w:rsidRDefault="00403D6E"/>
    <w:p w14:paraId="124F1D14" w14:textId="001B3993" w:rsidR="00403D6E" w:rsidRDefault="00403D6E"/>
    <w:p w14:paraId="2F7C5D72" w14:textId="5119BC3A" w:rsidR="00403D6E" w:rsidRDefault="00403D6E"/>
    <w:p w14:paraId="6356CED1" w14:textId="14490849" w:rsidR="00403D6E" w:rsidRDefault="00403D6E"/>
    <w:p w14:paraId="50CFA29F" w14:textId="489EA040" w:rsidR="00403D6E" w:rsidRDefault="00403D6E"/>
    <w:p w14:paraId="0876A613" w14:textId="704DB5A1" w:rsidR="00403D6E" w:rsidRDefault="00403D6E"/>
    <w:p w14:paraId="54374451" w14:textId="480B05E7" w:rsidR="00403D6E" w:rsidRDefault="00403D6E"/>
    <w:p w14:paraId="49F84051" w14:textId="300E8895" w:rsidR="00403D6E" w:rsidRDefault="00B26C9B">
      <w:r>
        <w:rPr>
          <w:noProof/>
        </w:rPr>
        <mc:AlternateContent>
          <mc:Choice Requires="wps">
            <w:drawing>
              <wp:anchor distT="45720" distB="45720" distL="114300" distR="114300" simplePos="0" relativeHeight="251658245" behindDoc="0" locked="0" layoutInCell="1" allowOverlap="1" wp14:anchorId="0DEC0727" wp14:editId="3EB83FCC">
                <wp:simplePos x="0" y="0"/>
                <wp:positionH relativeFrom="margin">
                  <wp:align>center</wp:align>
                </wp:positionH>
                <wp:positionV relativeFrom="paragraph">
                  <wp:posOffset>95621</wp:posOffset>
                </wp:positionV>
                <wp:extent cx="2593340" cy="46545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465455"/>
                        </a:xfrm>
                        <a:prstGeom prst="rect">
                          <a:avLst/>
                        </a:prstGeom>
                        <a:noFill/>
                        <a:ln w="9525">
                          <a:noFill/>
                          <a:miter lim="800000"/>
                          <a:headEnd/>
                          <a:tailEnd/>
                        </a:ln>
                      </wps:spPr>
                      <wps:txbx>
                        <w:txbxContent>
                          <w:p w14:paraId="5CF15412" w14:textId="5A7F8E68" w:rsidR="00403D6E" w:rsidRDefault="00403D6E" w:rsidP="00403D6E">
                            <w:pPr>
                              <w:jc w:val="center"/>
                            </w:pPr>
                            <w:r>
                              <w:t xml:space="preserve">Fig </w:t>
                            </w:r>
                            <w:r w:rsidR="003C60BD">
                              <w:t>6</w:t>
                            </w:r>
                            <w:r>
                              <w:t xml:space="preserve">: Karen Finley tossing candies at the audience in </w:t>
                            </w:r>
                            <w:r w:rsidRPr="00F34C16">
                              <w:rPr>
                                <w:i/>
                                <w:iCs/>
                              </w:rPr>
                              <w:t>The Constant State of Desire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EC0727" id="_x0000_s1031" type="#_x0000_t202" style="position:absolute;margin-left:0;margin-top:7.55pt;width:204.2pt;height:36.65pt;z-index:25165824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" filled="f" stroked="f">
                <v:textbox>
                  <w:txbxContent>
                    <w:p w14:paraId="5CF15412" w14:textId="5A7F8E68" w:rsidR="00403D6E" w:rsidRDefault="00403D6E" w:rsidP="00403D6E">
                      <w:pPr>
                        <w:jc w:val="center"/>
                      </w:pPr>
                      <w:r>
                        <w:t xml:space="preserve">Fig </w:t>
                      </w:r>
                      <w:r w:rsidR="003C60BD">
                        <w:t>6</w:t>
                      </w:r>
                      <w:r>
                        <w:t xml:space="preserve">: Karen Finley tossing candies at the audience in </w:t>
                      </w:r>
                      <w:r w:rsidRPr="00F34C16">
                        <w:rPr>
                          <w:i/>
                          <w:iCs/>
                        </w:rPr>
                        <w:t>The Constant State of Desire</w:t>
                      </w:r>
                    </w:p>
                  </w:txbxContent>
                </v:textbox>
                <w10:wrap type="square" anchorx="margin"/>
              </v:shape>
            </w:pict>
          </mc:Fallback>
        </mc:AlternateContent>
      </w:r>
    </w:p>
    <w:p w14:paraId="389A8DCD" w14:textId="6B8E4C09" w:rsidR="00B26C9B" w:rsidRDefault="00B26C9B"/>
    <w:p w14:paraId="46614EAA" w14:textId="30FE6FCD" w:rsidR="00403D6E" w:rsidRDefault="00403D6E" w:rsidP="004156AD">
      <w:pPr>
        <w:spacing w:line="360" w:lineRule="auto"/>
      </w:pPr>
      <w:bookmarkStart w:id="2" w:name="_Hlk101195243"/>
    </w:p>
    <w:p w14:paraId="4668F437" w14:textId="34B57CA7" w:rsidR="0036133E" w:rsidRPr="008C6AD7" w:rsidRDefault="00FC48FB" w:rsidP="004156AD">
      <w:pPr>
        <w:spacing w:line="360" w:lineRule="auto"/>
      </w:pPr>
      <w:r w:rsidRPr="008C6AD7">
        <w:t>Karen Finley’s performances (Figure 6) outlines another change in attitude towards the female body. Finley was aware that a women’s body was typically seen as an “object of the gaze, an object of desire” when appearing on stage (</w:t>
      </w:r>
      <w:proofErr w:type="spellStart"/>
      <w:r w:rsidRPr="008C6AD7">
        <w:t>Striff</w:t>
      </w:r>
      <w:proofErr w:type="spellEnd"/>
      <w:r w:rsidRPr="008C6AD7">
        <w:t xml:space="preserve">, 1997), and in </w:t>
      </w:r>
      <w:r w:rsidR="0036133E" w:rsidRPr="008C6AD7">
        <w:rPr>
          <w:i/>
          <w:iCs/>
        </w:rPr>
        <w:t xml:space="preserve">The </w:t>
      </w:r>
      <w:r w:rsidRPr="008C6AD7">
        <w:rPr>
          <w:i/>
          <w:iCs/>
        </w:rPr>
        <w:t xml:space="preserve">Constant State of Desire </w:t>
      </w:r>
      <w:r w:rsidRPr="008C6AD7">
        <w:t xml:space="preserve">(1988) she </w:t>
      </w:r>
      <w:r w:rsidR="0036133E" w:rsidRPr="008C6AD7">
        <w:t>presented</w:t>
      </w:r>
      <w:r w:rsidRPr="008C6AD7">
        <w:t xml:space="preserve"> her body in a way the subverted the Male Gaze by talking about her body in a graphic way and not displaying her body for the spectators’ approval (</w:t>
      </w:r>
      <w:proofErr w:type="spellStart"/>
      <w:r w:rsidRPr="008C6AD7">
        <w:t>Striff</w:t>
      </w:r>
      <w:proofErr w:type="spellEnd"/>
      <w:r w:rsidRPr="008C6AD7">
        <w:t>, 1997)</w:t>
      </w:r>
      <w:r w:rsidR="00C666F6" w:rsidRPr="008C6AD7">
        <w:t xml:space="preserve"> despite being almost nude. This greatly contrasts to how women’s bodies were </w:t>
      </w:r>
      <w:r w:rsidR="002A2657" w:rsidRPr="008C6AD7">
        <w:t xml:space="preserve">received </w:t>
      </w:r>
      <w:r w:rsidR="00C666F6" w:rsidRPr="008C6AD7">
        <w:t xml:space="preserve">in the art sphere during this period and throughout history, which The Guerrilla Girls highlighted in their piece </w:t>
      </w:r>
      <w:bookmarkStart w:id="3" w:name="_Hlk101261827"/>
      <w:r w:rsidR="00C666F6" w:rsidRPr="008C6AD7">
        <w:rPr>
          <w:i/>
          <w:iCs/>
        </w:rPr>
        <w:t>Do women have to be naked to get into the Met. Museum?</w:t>
      </w:r>
      <w:r w:rsidR="00F07556" w:rsidRPr="008C6AD7">
        <w:rPr>
          <w:i/>
          <w:iCs/>
        </w:rPr>
        <w:t xml:space="preserve"> </w:t>
      </w:r>
      <w:r w:rsidR="00F07556" w:rsidRPr="008C6AD7">
        <w:t>(Figu</w:t>
      </w:r>
      <w:bookmarkEnd w:id="3"/>
      <w:r w:rsidR="00F07556" w:rsidRPr="008C6AD7">
        <w:t xml:space="preserve">re 7 - </w:t>
      </w:r>
      <w:r w:rsidR="002A2657" w:rsidRPr="008C6AD7">
        <w:t>1989). The piece revealed that “</w:t>
      </w:r>
      <w:r w:rsidR="002A2657" w:rsidRPr="008C6AD7">
        <w:rPr>
          <w:rFonts w:cstheme="minorHAnsi"/>
          <w:shd w:val="clear" w:color="auto" w:fill="FFFFFF"/>
        </w:rPr>
        <w:t>less than 5% of the artists in the Modern Art Sections are women, but 85% of the nudes are female</w:t>
      </w:r>
      <w:r w:rsidR="002A2657" w:rsidRPr="008C6AD7">
        <w:rPr>
          <w:rStyle w:val="Emphasis"/>
          <w:rFonts w:cstheme="minorHAnsi"/>
          <w:shd w:val="clear" w:color="auto" w:fill="FFFFFF"/>
        </w:rPr>
        <w:t xml:space="preserve">”, </w:t>
      </w:r>
      <w:r w:rsidR="002A2657" w:rsidRPr="008C6AD7">
        <w:rPr>
          <w:rStyle w:val="Emphasis"/>
          <w:rFonts w:cstheme="minorHAnsi"/>
          <w:i w:val="0"/>
          <w:iCs w:val="0"/>
          <w:shd w:val="clear" w:color="auto" w:fill="FFFFFF"/>
        </w:rPr>
        <w:t xml:space="preserve">demonstrating that </w:t>
      </w:r>
      <w:r w:rsidR="002A2657" w:rsidRPr="008C6AD7">
        <w:rPr>
          <w:rStyle w:val="Emphasis"/>
          <w:rFonts w:cstheme="minorHAnsi"/>
          <w:i w:val="0"/>
          <w:iCs w:val="0"/>
          <w:shd w:val="clear" w:color="auto" w:fill="FFFFFF"/>
        </w:rPr>
        <w:lastRenderedPageBreak/>
        <w:t>“women in the art world are therefore [exist for] exploration and objection only”</w:t>
      </w:r>
      <w:r w:rsidR="00F07556" w:rsidRPr="008C6AD7">
        <w:rPr>
          <w:rStyle w:val="Emphasis"/>
          <w:rFonts w:cstheme="minorHAnsi"/>
          <w:i w:val="0"/>
          <w:iCs w:val="0"/>
          <w:shd w:val="clear" w:color="auto" w:fill="FFFFFF"/>
        </w:rPr>
        <w:t xml:space="preserve"> (Cronje, 2001)</w:t>
      </w:r>
      <w:r w:rsidR="002A2657" w:rsidRPr="008C6AD7">
        <w:rPr>
          <w:rStyle w:val="Emphasis"/>
          <w:rFonts w:cstheme="minorHAnsi"/>
          <w:i w:val="0"/>
          <w:iCs w:val="0"/>
          <w:shd w:val="clear" w:color="auto" w:fill="FFFFFF"/>
        </w:rPr>
        <w:t>. Finley actively disengages with this narrative by</w:t>
      </w:r>
      <w:r w:rsidR="002A2657" w:rsidRPr="008C6AD7">
        <w:t xml:space="preserve"> </w:t>
      </w:r>
      <w:r w:rsidRPr="008C6AD7">
        <w:t xml:space="preserve">purposely </w:t>
      </w:r>
      <w:r w:rsidR="00D0129B" w:rsidRPr="008C6AD7">
        <w:t>make</w:t>
      </w:r>
      <w:r w:rsidRPr="008C6AD7">
        <w:t xml:space="preserve"> the audience feel uncomfortable</w:t>
      </w:r>
      <w:r w:rsidR="002A2657" w:rsidRPr="008C6AD7">
        <w:t xml:space="preserve"> during her performances,</w:t>
      </w:r>
      <w:r w:rsidRPr="008C6AD7">
        <w:t xml:space="preserve"> by urging the view to question the “personal and public costs of sexism, homophobia, and racism” (Pellegrini, 2007). </w:t>
      </w:r>
      <w:r w:rsidR="0036133E" w:rsidRPr="008C6AD7">
        <w:t xml:space="preserve">Her body is therefore present to communicate and to begin a narrative between the audience and herself rather than to </w:t>
      </w:r>
      <w:r w:rsidR="00E5697A" w:rsidRPr="008C6AD7">
        <w:t xml:space="preserve">be treated as a passive object which is </w:t>
      </w:r>
      <w:r w:rsidR="00F07556" w:rsidRPr="008C6AD7">
        <w:drawing>
          <wp:anchor distT="0" distB="0" distL="114300" distR="114300" simplePos="0" relativeHeight="251682816" behindDoc="0" locked="0" layoutInCell="1" allowOverlap="1" wp14:anchorId="0249652F" wp14:editId="20065D0F">
            <wp:simplePos x="0" y="0"/>
            <wp:positionH relativeFrom="margin">
              <wp:align>right</wp:align>
            </wp:positionH>
            <wp:positionV relativeFrom="paragraph">
              <wp:posOffset>1533134</wp:posOffset>
            </wp:positionV>
            <wp:extent cx="5731510" cy="2261235"/>
            <wp:effectExtent l="0" t="0" r="2540" b="5715"/>
            <wp:wrapSquare wrapText="bothSides"/>
            <wp:docPr id="18" name="Picture 18" descr="A picture containing text, indoor,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indoor, ca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61235"/>
                    </a:xfrm>
                    <a:prstGeom prst="rect">
                      <a:avLst/>
                    </a:prstGeom>
                  </pic:spPr>
                </pic:pic>
              </a:graphicData>
            </a:graphic>
            <wp14:sizeRelH relativeFrom="page">
              <wp14:pctWidth>0</wp14:pctWidth>
            </wp14:sizeRelH>
            <wp14:sizeRelV relativeFrom="page">
              <wp14:pctHeight>0</wp14:pctHeight>
            </wp14:sizeRelV>
          </wp:anchor>
        </w:drawing>
      </w:r>
      <w:r w:rsidR="00E5697A" w:rsidRPr="008C6AD7">
        <w:t>reminiscent of Figure 5.</w:t>
      </w:r>
    </w:p>
    <w:p w14:paraId="622F64E6" w14:textId="553910F1" w:rsidR="00F07556" w:rsidRDefault="00F07556" w:rsidP="004156AD">
      <w:pPr>
        <w:spacing w:line="360" w:lineRule="auto"/>
        <w:rPr>
          <w:color w:val="FF0000"/>
        </w:rPr>
      </w:pPr>
      <w:r>
        <w:rPr>
          <w:noProof/>
        </w:rPr>
        <mc:AlternateContent>
          <mc:Choice Requires="wps">
            <w:drawing>
              <wp:anchor distT="45720" distB="45720" distL="114300" distR="114300" simplePos="0" relativeHeight="251684864" behindDoc="0" locked="0" layoutInCell="1" allowOverlap="1" wp14:anchorId="094BC632" wp14:editId="18FC47A6">
                <wp:simplePos x="0" y="0"/>
                <wp:positionH relativeFrom="margin">
                  <wp:align>center</wp:align>
                </wp:positionH>
                <wp:positionV relativeFrom="paragraph">
                  <wp:posOffset>2173410</wp:posOffset>
                </wp:positionV>
                <wp:extent cx="2593340" cy="46545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465455"/>
                        </a:xfrm>
                        <a:prstGeom prst="rect">
                          <a:avLst/>
                        </a:prstGeom>
                        <a:noFill/>
                        <a:ln w="9525">
                          <a:noFill/>
                          <a:miter lim="800000"/>
                          <a:headEnd/>
                          <a:tailEnd/>
                        </a:ln>
                      </wps:spPr>
                      <wps:txbx>
                        <w:txbxContent>
                          <w:p w14:paraId="3F09E73C" w14:textId="24388C86" w:rsidR="00F07556" w:rsidRDefault="00F07556" w:rsidP="00F07556">
                            <w:pPr>
                              <w:jc w:val="center"/>
                            </w:pPr>
                            <w:r>
                              <w:t xml:space="preserve">Fig </w:t>
                            </w:r>
                            <w:r>
                              <w:t>7</w:t>
                            </w:r>
                            <w:r>
                              <w:t xml:space="preserve">: </w:t>
                            </w:r>
                            <w:r w:rsidRPr="00F07556">
                              <w:t>Do women have to be naked to get into the Met. Museum?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BC632" id="_x0000_s1032" type="#_x0000_t202" style="position:absolute;margin-left:0;margin-top:171.15pt;width:204.2pt;height:36.6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" filled="f" stroked="f">
                <v:textbox>
                  <w:txbxContent>
                    <w:p w14:paraId="3F09E73C" w14:textId="24388C86" w:rsidR="00F07556" w:rsidRDefault="00F07556" w:rsidP="00F07556">
                      <w:pPr>
                        <w:jc w:val="center"/>
                      </w:pPr>
                      <w:r>
                        <w:t xml:space="preserve">Fig </w:t>
                      </w:r>
                      <w:r>
                        <w:t>7</w:t>
                      </w:r>
                      <w:r>
                        <w:t xml:space="preserve">: </w:t>
                      </w:r>
                      <w:r w:rsidRPr="00F07556">
                        <w:t>Do women have to be naked to get into the Met. Museum?</w:t>
                      </w:r>
                    </w:p>
                  </w:txbxContent>
                </v:textbox>
                <w10:wrap type="square" anchorx="margin"/>
              </v:shape>
            </w:pict>
          </mc:Fallback>
        </mc:AlternateContent>
      </w:r>
    </w:p>
    <w:p w14:paraId="025E16BD" w14:textId="77777777" w:rsidR="009573EB" w:rsidRPr="008C6AD7" w:rsidRDefault="009573EB" w:rsidP="004156AD">
      <w:pPr>
        <w:spacing w:line="360" w:lineRule="auto"/>
      </w:pPr>
    </w:p>
    <w:bookmarkEnd w:id="2"/>
    <w:p w14:paraId="59B2F3C6" w14:textId="5352DFBE" w:rsidR="00E60429" w:rsidRPr="00E60429" w:rsidRDefault="00AE1E9E" w:rsidP="004156AD">
      <w:pPr>
        <w:spacing w:line="360" w:lineRule="auto"/>
        <w:rPr>
          <w:color w:val="FF0000"/>
        </w:rPr>
      </w:pPr>
      <w:r w:rsidRPr="008C6AD7">
        <w:t>During</w:t>
      </w:r>
      <w:r w:rsidR="008C5606" w:rsidRPr="008C6AD7">
        <w:t xml:space="preserve"> a segment of</w:t>
      </w:r>
      <w:r w:rsidRPr="008C6AD7">
        <w:t xml:space="preserve"> her performance for </w:t>
      </w:r>
      <w:r w:rsidRPr="008C6AD7">
        <w:rPr>
          <w:i/>
          <w:iCs/>
        </w:rPr>
        <w:t>The Constant State of Desire</w:t>
      </w:r>
      <w:r w:rsidR="00C3709C" w:rsidRPr="008C6AD7">
        <w:rPr>
          <w:i/>
          <w:iCs/>
        </w:rPr>
        <w:t xml:space="preserve">, </w:t>
      </w:r>
      <w:r w:rsidR="008C5606" w:rsidRPr="008C6AD7">
        <w:t>F</w:t>
      </w:r>
      <w:r w:rsidR="007740B8" w:rsidRPr="008C6AD7">
        <w:t xml:space="preserve">inley </w:t>
      </w:r>
      <w:r w:rsidR="00BE6982" w:rsidRPr="008C6AD7">
        <w:t>communicates a women’s experience of living in a patriarchal society.</w:t>
      </w:r>
      <w:r w:rsidR="00133C87" w:rsidRPr="008C6AD7">
        <w:t xml:space="preserve"> </w:t>
      </w:r>
      <w:r w:rsidR="00BE6982" w:rsidRPr="008C6AD7">
        <w:t>She exclaims</w:t>
      </w:r>
      <w:r w:rsidR="00133C87" w:rsidRPr="008C6AD7">
        <w:t>,</w:t>
      </w:r>
      <w:r w:rsidR="00BE6982" w:rsidRPr="008C6AD7">
        <w:t xml:space="preserve"> “I've never been treated equally my entire life… like I'm supposed to be so thankful cause a chick is on the Supreme Court…But nothing's changed. Nothing has changed</w:t>
      </w:r>
      <w:r w:rsidR="007F791A" w:rsidRPr="008C6AD7">
        <w:t>’’</w:t>
      </w:r>
      <w:r w:rsidR="00352110" w:rsidRPr="008C6AD7">
        <w:t xml:space="preserve"> (1988)</w:t>
      </w:r>
      <w:r w:rsidR="007F791A" w:rsidRPr="008C6AD7">
        <w:t xml:space="preserve">. </w:t>
      </w:r>
      <w:r w:rsidR="00F07556" w:rsidRPr="008C6AD7">
        <w:t>Her performances</w:t>
      </w:r>
      <w:r w:rsidR="00E60429" w:rsidRPr="008C6AD7">
        <w:t xml:space="preserve"> communicate her own experiences while also</w:t>
      </w:r>
      <w:r w:rsidR="00F07556" w:rsidRPr="008C6AD7">
        <w:t xml:space="preserve"> giv</w:t>
      </w:r>
      <w:r w:rsidR="00E60429" w:rsidRPr="008C6AD7">
        <w:t>ing</w:t>
      </w:r>
      <w:r w:rsidR="00F07556" w:rsidRPr="008C6AD7">
        <w:t xml:space="preserve"> a voice</w:t>
      </w:r>
      <w:r w:rsidR="00E60429" w:rsidRPr="008C6AD7">
        <w:t xml:space="preserve"> to marginalised people and these experiences play a significant role in her performances. </w:t>
      </w:r>
      <w:r w:rsidR="00E60429" w:rsidRPr="00E60429">
        <w:rPr>
          <w:color w:val="FF0000"/>
        </w:rPr>
        <w:t xml:space="preserve">This relates to my own practice as I base a lot of my art using my </w:t>
      </w:r>
      <w:r w:rsidR="0000200A">
        <w:rPr>
          <w:color w:val="FF0000"/>
        </w:rPr>
        <w:t xml:space="preserve">own </w:t>
      </w:r>
      <w:r w:rsidR="00E60429" w:rsidRPr="00E60429">
        <w:rPr>
          <w:color w:val="FF0000"/>
        </w:rPr>
        <w:t>experiences</w:t>
      </w:r>
      <w:r w:rsidR="007C2C1C">
        <w:rPr>
          <w:color w:val="FF0000"/>
        </w:rPr>
        <w:t>.</w:t>
      </w:r>
    </w:p>
    <w:p w14:paraId="2E7C3EF6" w14:textId="3A737A87" w:rsidR="002933BE" w:rsidRPr="002933BE" w:rsidRDefault="002933BE" w:rsidP="004156AD">
      <w:pPr>
        <w:spacing w:line="360" w:lineRule="auto"/>
        <w:rPr>
          <w:color w:val="FF0000"/>
        </w:rPr>
      </w:pPr>
      <w:r>
        <w:rPr>
          <w:color w:val="FF0000"/>
        </w:rPr>
        <w:t xml:space="preserve">Word count for BODY: </w:t>
      </w:r>
      <w:r w:rsidR="00E60429">
        <w:rPr>
          <w:color w:val="FF0000"/>
        </w:rPr>
        <w:t>716</w:t>
      </w:r>
    </w:p>
    <w:p w14:paraId="7431B8B2" w14:textId="210D5718" w:rsidR="008C34F8" w:rsidRDefault="002F74F5" w:rsidP="004156AD">
      <w:pPr>
        <w:spacing w:line="360" w:lineRule="auto"/>
      </w:pPr>
      <w:r>
        <w:t xml:space="preserve">Materials are an integral part to our existence. As Ashby and Johnson state in </w:t>
      </w:r>
      <w:r w:rsidRPr="001642E7">
        <w:rPr>
          <w:i/>
          <w:iCs/>
        </w:rPr>
        <w:t>Materials and Design</w:t>
      </w:r>
      <w:r>
        <w:t>, “w</w:t>
      </w:r>
      <w:r w:rsidRPr="00E53DDD">
        <w:t>e live in a world of materials; it is materials that give substance to everything we see and touch</w:t>
      </w:r>
      <w:r>
        <w:t xml:space="preserve">” (2013). </w:t>
      </w:r>
      <w:r w:rsidR="001500FE">
        <w:t>The p</w:t>
      </w:r>
      <w:r w:rsidR="001500FE" w:rsidRPr="001500FE">
        <w:t xml:space="preserve">olitical developments, technical advancements, the wars, and economic and social changes of the late 19th century </w:t>
      </w:r>
      <w:r w:rsidR="001500FE">
        <w:t>contributed to significant change in how people viewed the existing world in the 20</w:t>
      </w:r>
      <w:r w:rsidR="001500FE" w:rsidRPr="001500FE">
        <w:rPr>
          <w:vertAlign w:val="superscript"/>
        </w:rPr>
        <w:t>th</w:t>
      </w:r>
      <w:r w:rsidR="001500FE">
        <w:t xml:space="preserve"> century, and it is within this century where artists were exploring the boundaries of artist</w:t>
      </w:r>
      <w:r w:rsidR="008C34F8">
        <w:t>ic</w:t>
      </w:r>
      <w:r w:rsidR="001500FE">
        <w:t xml:space="preserve"> expression</w:t>
      </w:r>
      <w:r w:rsidR="008C34F8">
        <w:t xml:space="preserve"> </w:t>
      </w:r>
      <w:r w:rsidR="008C34F8" w:rsidRPr="001500FE">
        <w:t>(</w:t>
      </w:r>
      <w:proofErr w:type="spellStart"/>
      <w:r w:rsidR="008C34F8" w:rsidRPr="001500FE">
        <w:t>Ruhrburg</w:t>
      </w:r>
      <w:proofErr w:type="spellEnd"/>
      <w:r w:rsidR="008C34F8" w:rsidRPr="001500FE">
        <w:t xml:space="preserve"> et al, 2000, p.7)</w:t>
      </w:r>
      <w:r w:rsidR="008C34F8">
        <w:t xml:space="preserve">. Artists </w:t>
      </w:r>
      <w:r w:rsidR="00544C47">
        <w:t>realised</w:t>
      </w:r>
      <w:r w:rsidR="008C34F8">
        <w:t xml:space="preserve"> that a piece of art no longer had to be “be made in the spirit of the old aesthetics of imitation”, but as its’ “own independent dimension of </w:t>
      </w:r>
      <w:r w:rsidR="008C34F8">
        <w:lastRenderedPageBreak/>
        <w:t>existence” (</w:t>
      </w:r>
      <w:proofErr w:type="spellStart"/>
      <w:r w:rsidR="008C34F8">
        <w:t>Ruhrburg</w:t>
      </w:r>
      <w:proofErr w:type="spellEnd"/>
      <w:r w:rsidR="008C34F8">
        <w:t xml:space="preserve"> et al, 2000, p.7). This was greatly reflected in the change of how materials were used in art and the subject matter of the creations.</w:t>
      </w:r>
    </w:p>
    <w:p w14:paraId="76A39391" w14:textId="1EF769AD" w:rsidR="008C34F8" w:rsidRDefault="004156AD" w:rsidP="004156AD">
      <w:pPr>
        <w:spacing w:line="360" w:lineRule="auto"/>
        <w:rPr>
          <w:color w:val="FF0000"/>
        </w:rPr>
      </w:pPr>
      <w:r>
        <w:rPr>
          <w:noProof/>
        </w:rPr>
        <w:drawing>
          <wp:anchor distT="0" distB="0" distL="114300" distR="114300" simplePos="0" relativeHeight="251673600" behindDoc="0" locked="0" layoutInCell="1" allowOverlap="1" wp14:anchorId="419B80B8" wp14:editId="50F8D164">
            <wp:simplePos x="0" y="0"/>
            <wp:positionH relativeFrom="margin">
              <wp:posOffset>1541341</wp:posOffset>
            </wp:positionH>
            <wp:positionV relativeFrom="paragraph">
              <wp:posOffset>2059940</wp:posOffset>
            </wp:positionV>
            <wp:extent cx="2698750" cy="205994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8750" cy="2059940"/>
                    </a:xfrm>
                    <a:prstGeom prst="rect">
                      <a:avLst/>
                    </a:prstGeom>
                    <a:noFill/>
                  </pic:spPr>
                </pic:pic>
              </a:graphicData>
            </a:graphic>
            <wp14:sizeRelH relativeFrom="page">
              <wp14:pctWidth>0</wp14:pctWidth>
            </wp14:sizeRelH>
            <wp14:sizeRelV relativeFrom="page">
              <wp14:pctHeight>0</wp14:pctHeight>
            </wp14:sizeRelV>
          </wp:anchor>
        </w:drawing>
      </w:r>
      <w:r w:rsidR="00544C47">
        <w:t xml:space="preserve">Materials are always required to be in contact with another (Lehmann, 2012) and </w:t>
      </w:r>
      <w:r w:rsidR="00B3330B">
        <w:t xml:space="preserve">it is within this connectivity where art is </w:t>
      </w:r>
      <w:r w:rsidR="00544C47">
        <w:t xml:space="preserve">formed. </w:t>
      </w:r>
      <w:r w:rsidR="00B3330B">
        <w:t xml:space="preserve">Materials </w:t>
      </w:r>
      <w:r w:rsidR="00574007">
        <w:t xml:space="preserve">undergo numerous processes and interaction with other materials before they </w:t>
      </w:r>
      <w:proofErr w:type="gramStart"/>
      <w:r w:rsidR="00574007">
        <w:t xml:space="preserve">are </w:t>
      </w:r>
      <w:r w:rsidR="00BC25CB">
        <w:t>able</w:t>
      </w:r>
      <w:r w:rsidR="00574007">
        <w:t xml:space="preserve"> to</w:t>
      </w:r>
      <w:proofErr w:type="gramEnd"/>
      <w:r w:rsidR="00574007">
        <w:t xml:space="preserve"> be used as a medium, and the materials are still interacting with one another when a piece of work has been completed</w:t>
      </w:r>
      <w:r w:rsidR="00BC25CB">
        <w:t xml:space="preserve"> (Lehmann, 2012).</w:t>
      </w:r>
      <w:r w:rsidR="00BC25CB" w:rsidRPr="005D07E7">
        <w:rPr>
          <w:color w:val="FF0000"/>
        </w:rPr>
        <w:t xml:space="preserve"> </w:t>
      </w:r>
      <w:r w:rsidR="00BC25CB" w:rsidRPr="003D7939">
        <w:t xml:space="preserve">Within craft the connectivity between material and material is an integral part of making. </w:t>
      </w:r>
      <w:r w:rsidR="00BC25CB" w:rsidRPr="008C6AD7">
        <w:rPr>
          <w:color w:val="FF0000"/>
        </w:rPr>
        <w:t>Craft greatly depends on numerous processes and these processes require materials, such as making a plaster cast</w:t>
      </w:r>
      <w:r w:rsidR="00AD768E" w:rsidRPr="008C6AD7">
        <w:rPr>
          <w:color w:val="FF0000"/>
        </w:rPr>
        <w:t>, which, for example, clay, plaster, an object, a container, and something to securely hold the mould together is required.</w:t>
      </w:r>
    </w:p>
    <w:p w14:paraId="3F1A2CE8" w14:textId="00FA5765" w:rsidR="00A23DA4" w:rsidRDefault="00A23DA4" w:rsidP="008C34F8"/>
    <w:p w14:paraId="3D001E46" w14:textId="77777777" w:rsidR="00A23DA4" w:rsidRDefault="00A23DA4" w:rsidP="008C34F8"/>
    <w:p w14:paraId="4512C4C0" w14:textId="161861EA" w:rsidR="00A23DA4" w:rsidRDefault="00A23DA4" w:rsidP="008C34F8"/>
    <w:p w14:paraId="78074823" w14:textId="77777777" w:rsidR="00A23DA4" w:rsidRDefault="00A23DA4" w:rsidP="008C34F8"/>
    <w:p w14:paraId="7CA1CE94" w14:textId="6A529122" w:rsidR="00A23DA4" w:rsidRDefault="00A23DA4" w:rsidP="008C34F8"/>
    <w:p w14:paraId="49941047" w14:textId="77777777" w:rsidR="007C2C1C" w:rsidRDefault="007C2C1C" w:rsidP="008C34F8"/>
    <w:p w14:paraId="7C96A4BB" w14:textId="199022CF" w:rsidR="00A23DA4" w:rsidRDefault="002933BE" w:rsidP="008C34F8">
      <w:r>
        <w:rPr>
          <w:noProof/>
        </w:rPr>
        <mc:AlternateContent>
          <mc:Choice Requires="wps">
            <w:drawing>
              <wp:anchor distT="45720" distB="45720" distL="114300" distR="114300" simplePos="0" relativeHeight="251675648" behindDoc="1" locked="0" layoutInCell="1" allowOverlap="1" wp14:anchorId="2D30B727" wp14:editId="05713479">
                <wp:simplePos x="0" y="0"/>
                <wp:positionH relativeFrom="margin">
                  <wp:posOffset>1581492</wp:posOffset>
                </wp:positionH>
                <wp:positionV relativeFrom="paragraph">
                  <wp:posOffset>372697</wp:posOffset>
                </wp:positionV>
                <wp:extent cx="2593340" cy="46545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465455"/>
                        </a:xfrm>
                        <a:prstGeom prst="rect">
                          <a:avLst/>
                        </a:prstGeom>
                        <a:noFill/>
                        <a:ln w="9525">
                          <a:noFill/>
                          <a:miter lim="800000"/>
                          <a:headEnd/>
                          <a:tailEnd/>
                        </a:ln>
                      </wps:spPr>
                      <wps:txbx>
                        <w:txbxContent>
                          <w:p w14:paraId="6AB4A5EE" w14:textId="1D922258" w:rsidR="006922D1" w:rsidRDefault="006922D1" w:rsidP="006922D1">
                            <w:pPr>
                              <w:jc w:val="center"/>
                            </w:pPr>
                            <w:r>
                              <w:t>Fig 6:</w:t>
                            </w:r>
                            <w:r w:rsidR="008A73CE">
                              <w:t xml:space="preserve"> </w:t>
                            </w:r>
                            <w:r w:rsidR="008A73CE">
                              <w:rPr>
                                <w:i/>
                                <w:iCs/>
                              </w:rPr>
                              <w:t xml:space="preserve">Bottle of </w:t>
                            </w:r>
                            <w:r w:rsidR="008A73CE" w:rsidRPr="00D95AFE">
                              <w:t xml:space="preserve">Vieux </w:t>
                            </w:r>
                            <w:r w:rsidR="008A73CE" w:rsidRPr="00A23DA4">
                              <w:rPr>
                                <w:i/>
                                <w:iCs/>
                              </w:rPr>
                              <w:t xml:space="preserve">Marc, Glass, </w:t>
                            </w:r>
                            <w:proofErr w:type="gramStart"/>
                            <w:r w:rsidR="008A73CE" w:rsidRPr="00A23DA4">
                              <w:rPr>
                                <w:i/>
                                <w:iCs/>
                              </w:rPr>
                              <w:t>Guitar</w:t>
                            </w:r>
                            <w:proofErr w:type="gramEnd"/>
                            <w:r w:rsidR="008A73CE" w:rsidRPr="00A23DA4">
                              <w:rPr>
                                <w:i/>
                                <w:iCs/>
                              </w:rPr>
                              <w:t xml:space="preserve"> and Newspaper</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0B727" id="_x0000_s1033" type="#_x0000_t202" style="position:absolute;margin-left:124.55pt;margin-top:29.35pt;width:204.2pt;height:36.6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" filled="f" stroked="f">
                <v:textbox>
                  <w:txbxContent>
                    <w:p w14:paraId="6AB4A5EE" w14:textId="1D922258" w:rsidR="006922D1" w:rsidRDefault="006922D1" w:rsidP="006922D1">
                      <w:pPr>
                        <w:jc w:val="center"/>
                      </w:pPr>
                      <w:r>
                        <w:t>Fig 6:</w:t>
                      </w:r>
                      <w:r w:rsidR="008A73CE">
                        <w:t xml:space="preserve"> </w:t>
                      </w:r>
                      <w:r w:rsidR="008A73CE">
                        <w:rPr>
                          <w:i/>
                          <w:iCs/>
                        </w:rPr>
                        <w:t xml:space="preserve">Bottle of </w:t>
                      </w:r>
                      <w:r w:rsidR="008A73CE" w:rsidRPr="00D95AFE">
                        <w:t xml:space="preserve">Vieux </w:t>
                      </w:r>
                      <w:r w:rsidR="008A73CE" w:rsidRPr="00A23DA4">
                        <w:rPr>
                          <w:i/>
                          <w:iCs/>
                        </w:rPr>
                        <w:t xml:space="preserve">Marc, Glass, </w:t>
                      </w:r>
                      <w:proofErr w:type="gramStart"/>
                      <w:r w:rsidR="008A73CE" w:rsidRPr="00A23DA4">
                        <w:rPr>
                          <w:i/>
                          <w:iCs/>
                        </w:rPr>
                        <w:t>Guitar</w:t>
                      </w:r>
                      <w:proofErr w:type="gramEnd"/>
                      <w:r w:rsidR="008A73CE" w:rsidRPr="00A23DA4">
                        <w:rPr>
                          <w:i/>
                          <w:iCs/>
                        </w:rPr>
                        <w:t xml:space="preserve"> and Newspaper</w:t>
                      </w:r>
                      <w:r>
                        <w:t xml:space="preserve"> </w:t>
                      </w:r>
                    </w:p>
                  </w:txbxContent>
                </v:textbox>
                <w10:wrap anchorx="margin"/>
              </v:shape>
            </w:pict>
          </mc:Fallback>
        </mc:AlternateContent>
      </w:r>
    </w:p>
    <w:p w14:paraId="52C957A4" w14:textId="2F4BDB14" w:rsidR="002933BE" w:rsidRDefault="002933BE" w:rsidP="008C34F8"/>
    <w:p w14:paraId="136FE12C" w14:textId="5280BC03" w:rsidR="004156AD" w:rsidRDefault="004156AD" w:rsidP="008C34F8"/>
    <w:p w14:paraId="7426B334" w14:textId="77777777" w:rsidR="007C2C1C" w:rsidRDefault="007C2C1C" w:rsidP="002933BE">
      <w:pPr>
        <w:spacing w:line="360" w:lineRule="auto"/>
      </w:pPr>
    </w:p>
    <w:p w14:paraId="7FD93FBC" w14:textId="50414CA8" w:rsidR="00DE0E67" w:rsidRPr="00643B52" w:rsidRDefault="007E3B18" w:rsidP="002933BE">
      <w:pPr>
        <w:spacing w:line="360" w:lineRule="auto"/>
      </w:pPr>
      <w:r>
        <w:t>Collage</w:t>
      </w:r>
      <w:r w:rsidR="005D07E7">
        <w:t xml:space="preserve"> is an example of the importance of material connectivity and</w:t>
      </w:r>
      <w:r w:rsidR="00F40C44">
        <w:t xml:space="preserve"> in Figure 6’s instance, </w:t>
      </w:r>
      <w:r w:rsidR="005D07E7">
        <w:t>this connectivity is also</w:t>
      </w:r>
      <w:r w:rsidR="006922D1" w:rsidRPr="00F54E09">
        <w:rPr>
          <w:color w:val="FF0000"/>
        </w:rPr>
        <w:t xml:space="preserve"> </w:t>
      </w:r>
      <w:r w:rsidR="002933BE">
        <w:t xml:space="preserve">visual. </w:t>
      </w:r>
      <w:r w:rsidR="002933BE">
        <w:rPr>
          <w:i/>
          <w:iCs/>
        </w:rPr>
        <w:t xml:space="preserve">Bottle of </w:t>
      </w:r>
      <w:r w:rsidR="002933BE" w:rsidRPr="00D95AFE">
        <w:t xml:space="preserve">Vieux </w:t>
      </w:r>
      <w:r w:rsidR="002933BE" w:rsidRPr="00A23DA4">
        <w:rPr>
          <w:i/>
          <w:iCs/>
        </w:rPr>
        <w:t xml:space="preserve">Marc, Glass, </w:t>
      </w:r>
      <w:proofErr w:type="gramStart"/>
      <w:r w:rsidR="002933BE" w:rsidRPr="00A23DA4">
        <w:rPr>
          <w:i/>
          <w:iCs/>
        </w:rPr>
        <w:t>Guitar</w:t>
      </w:r>
      <w:proofErr w:type="gramEnd"/>
      <w:r w:rsidR="002933BE" w:rsidRPr="00A23DA4">
        <w:rPr>
          <w:i/>
          <w:iCs/>
        </w:rPr>
        <w:t xml:space="preserve"> and Newspaper</w:t>
      </w:r>
      <w:r w:rsidR="002933BE">
        <w:rPr>
          <w:i/>
          <w:iCs/>
        </w:rPr>
        <w:t xml:space="preserve"> </w:t>
      </w:r>
      <w:r w:rsidR="002933BE" w:rsidRPr="00DE0E67">
        <w:t>(Fi</w:t>
      </w:r>
      <w:r w:rsidR="002933BE">
        <w:t>gure 6</w:t>
      </w:r>
      <w:r w:rsidR="002933BE" w:rsidRPr="00DE0E67">
        <w:t>)</w:t>
      </w:r>
      <w:r w:rsidR="002933BE">
        <w:t xml:space="preserve"> is an example of Cubist collage and was created by Pablo Picasso in 1913. Picasso, alongside Braque, </w:t>
      </w:r>
      <w:r w:rsidR="00643B52">
        <w:t xml:space="preserve">both created numerous paper collages between 1912 and 1913 (Kear, 2016) </w:t>
      </w:r>
      <w:r w:rsidR="002933BE">
        <w:t xml:space="preserve">and their technique reflects the change in how materials were utilised and how artistic concepts were conveyed. Though the materials that Picasso used in this composition are traditional (paper, pen), the ideas that it represented were modern for the time. </w:t>
      </w:r>
      <w:r w:rsidR="002933BE" w:rsidRPr="008C6AD7">
        <w:rPr>
          <w:color w:val="FF0000"/>
        </w:rPr>
        <w:t>In craft, conveying modern concepts but with traditional materials are a regular thing</w:t>
      </w:r>
      <w:r w:rsidR="00C77744" w:rsidRPr="008C6AD7">
        <w:rPr>
          <w:color w:val="FF0000"/>
        </w:rPr>
        <w:t xml:space="preserve"> </w:t>
      </w:r>
      <w:r w:rsidR="00F40C44" w:rsidRPr="008C6AD7">
        <w:rPr>
          <w:color w:val="FF0000"/>
        </w:rPr>
        <w:t xml:space="preserve">and </w:t>
      </w:r>
      <w:r w:rsidR="00F840B1" w:rsidRPr="008C6AD7">
        <w:rPr>
          <w:color w:val="FF0000"/>
        </w:rPr>
        <w:t>I carry this concept into my personal work.</w:t>
      </w:r>
    </w:p>
    <w:p w14:paraId="5F4A6563" w14:textId="6B4F2A56" w:rsidR="00D84678" w:rsidRDefault="00F40C44" w:rsidP="002933BE">
      <w:pPr>
        <w:spacing w:line="360" w:lineRule="auto"/>
      </w:pPr>
      <w:r>
        <w:t>Braque and Picasso are also credited with introducing everyday materials into art which they did so through Cubist collage</w:t>
      </w:r>
      <w:r w:rsidR="003D7939">
        <w:t xml:space="preserve"> (Evans,</w:t>
      </w:r>
      <w:r w:rsidR="002273CF">
        <w:t xml:space="preserve"> </w:t>
      </w:r>
      <w:r w:rsidR="00516A41">
        <w:t>2004</w:t>
      </w:r>
      <w:r w:rsidR="003D7939">
        <w:t xml:space="preserve"> p. 185)</w:t>
      </w:r>
      <w:r>
        <w:t xml:space="preserve">. </w:t>
      </w:r>
      <w:r w:rsidR="00F54E09">
        <w:t xml:space="preserve">This is a significant factor </w:t>
      </w:r>
      <w:r w:rsidR="000531CF">
        <w:t xml:space="preserve">as </w:t>
      </w:r>
      <w:r w:rsidR="00FD28A9">
        <w:t>their introduction of everyday materials into their art marks the beginning of how other artists introduced and experimented with unconventional materials</w:t>
      </w:r>
      <w:r w:rsidR="00C93E8B">
        <w:t xml:space="preserve"> during the 20</w:t>
      </w:r>
      <w:r w:rsidR="00C93E8B" w:rsidRPr="00C93E8B">
        <w:rPr>
          <w:vertAlign w:val="superscript"/>
        </w:rPr>
        <w:t>th</w:t>
      </w:r>
      <w:r w:rsidR="00C93E8B">
        <w:t xml:space="preserve"> century (Tate, 2022)</w:t>
      </w:r>
      <w:r w:rsidR="00160216">
        <w:t xml:space="preserve">. Minimalism </w:t>
      </w:r>
      <w:r w:rsidR="00160216">
        <w:lastRenderedPageBreak/>
        <w:t xml:space="preserve">(1960s) and </w:t>
      </w:r>
      <w:proofErr w:type="spellStart"/>
      <w:r w:rsidR="00160216">
        <w:t>Arte</w:t>
      </w:r>
      <w:proofErr w:type="spellEnd"/>
      <w:r w:rsidR="00160216">
        <w:t xml:space="preserve"> Povera (1960s – 1970s) both implemented found and unconventional materials into their art</w:t>
      </w:r>
      <w:r w:rsidR="00516A41">
        <w:t xml:space="preserve"> (</w:t>
      </w:r>
      <w:proofErr w:type="spellStart"/>
      <w:r w:rsidR="00304D0A">
        <w:t>Moma</w:t>
      </w:r>
      <w:proofErr w:type="spellEnd"/>
      <w:r w:rsidR="00304D0A">
        <w:t xml:space="preserve">, 2022 and </w:t>
      </w:r>
      <w:r w:rsidR="00516A41">
        <w:t>Tate, 2022)</w:t>
      </w:r>
      <w:r w:rsidR="00D84678">
        <w:t xml:space="preserve">, </w:t>
      </w:r>
      <w:r w:rsidR="00D84678" w:rsidRPr="008C6AD7">
        <w:rPr>
          <w:color w:val="FF0000"/>
        </w:rPr>
        <w:t xml:space="preserve">which I also do within my own practice by exploring concepts through casts of everyday and unconventional items. </w:t>
      </w:r>
      <w:r w:rsidR="00D84678">
        <w:t>Antony Gormley also employed ma</w:t>
      </w:r>
      <w:r w:rsidR="00FD1D3E">
        <w:t>terials in a different manor, which is evident in Figure 7 as he used his own body as the prime material.</w:t>
      </w:r>
      <w:r w:rsidR="00D84678">
        <w:t xml:space="preserve"> </w:t>
      </w:r>
    </w:p>
    <w:p w14:paraId="1AC5452F" w14:textId="711E524E" w:rsidR="002F4488" w:rsidRDefault="002F4488" w:rsidP="008C34F8">
      <w:r>
        <w:rPr>
          <w:noProof/>
        </w:rPr>
        <w:drawing>
          <wp:anchor distT="0" distB="0" distL="114300" distR="114300" simplePos="0" relativeHeight="251676672" behindDoc="0" locked="0" layoutInCell="1" allowOverlap="1" wp14:anchorId="4FA68898" wp14:editId="33485BAB">
            <wp:simplePos x="0" y="0"/>
            <wp:positionH relativeFrom="margin">
              <wp:align>center</wp:align>
            </wp:positionH>
            <wp:positionV relativeFrom="paragraph">
              <wp:posOffset>5862</wp:posOffset>
            </wp:positionV>
            <wp:extent cx="3874906" cy="293897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74906" cy="2938975"/>
                    </a:xfrm>
                    <a:prstGeom prst="rect">
                      <a:avLst/>
                    </a:prstGeom>
                    <a:noFill/>
                  </pic:spPr>
                </pic:pic>
              </a:graphicData>
            </a:graphic>
            <wp14:sizeRelH relativeFrom="page">
              <wp14:pctWidth>0</wp14:pctWidth>
            </wp14:sizeRelH>
            <wp14:sizeRelV relativeFrom="page">
              <wp14:pctHeight>0</wp14:pctHeight>
            </wp14:sizeRelV>
          </wp:anchor>
        </w:drawing>
      </w:r>
    </w:p>
    <w:p w14:paraId="02FFE9C7" w14:textId="68E5C91C" w:rsidR="002F4488" w:rsidRDefault="002F4488" w:rsidP="008C34F8"/>
    <w:p w14:paraId="6B840B45" w14:textId="1F64CD3C" w:rsidR="002F4488" w:rsidRDefault="002F4488" w:rsidP="008C34F8"/>
    <w:p w14:paraId="053347A6" w14:textId="77777777" w:rsidR="002F4488" w:rsidRDefault="002F4488" w:rsidP="008C34F8"/>
    <w:p w14:paraId="73D2A187" w14:textId="47BB2C50" w:rsidR="002F4488" w:rsidRDefault="002F4488" w:rsidP="008C34F8"/>
    <w:p w14:paraId="70FDAA89" w14:textId="79F18729" w:rsidR="002F4488" w:rsidRDefault="002F4488" w:rsidP="008C34F8"/>
    <w:p w14:paraId="41DB1A25" w14:textId="6CC2C365" w:rsidR="002F4488" w:rsidRDefault="002F4488" w:rsidP="008C34F8"/>
    <w:p w14:paraId="06CEF34E" w14:textId="39FA5489" w:rsidR="002F4488" w:rsidRDefault="002F4488" w:rsidP="008C34F8"/>
    <w:p w14:paraId="4330B18D" w14:textId="77777777" w:rsidR="002F4488" w:rsidRDefault="002F4488" w:rsidP="008C34F8"/>
    <w:p w14:paraId="43358F22" w14:textId="4B417A10" w:rsidR="002F4488" w:rsidRDefault="002F4488" w:rsidP="008C34F8"/>
    <w:p w14:paraId="29F48464" w14:textId="2A459B35" w:rsidR="00FD1D3E" w:rsidRDefault="00FD1D3E" w:rsidP="008C34F8">
      <w:r>
        <w:rPr>
          <w:noProof/>
        </w:rPr>
        <mc:AlternateContent>
          <mc:Choice Requires="wps">
            <w:drawing>
              <wp:anchor distT="45720" distB="45720" distL="114300" distR="114300" simplePos="0" relativeHeight="251678720" behindDoc="0" locked="0" layoutInCell="1" allowOverlap="1" wp14:anchorId="334A5C4E" wp14:editId="4B600CAE">
                <wp:simplePos x="0" y="0"/>
                <wp:positionH relativeFrom="margin">
                  <wp:align>center</wp:align>
                </wp:positionH>
                <wp:positionV relativeFrom="paragraph">
                  <wp:posOffset>153767</wp:posOffset>
                </wp:positionV>
                <wp:extent cx="2360930" cy="46418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4185"/>
                        </a:xfrm>
                        <a:prstGeom prst="rect">
                          <a:avLst/>
                        </a:prstGeom>
                        <a:noFill/>
                        <a:ln w="9525">
                          <a:noFill/>
                          <a:miter lim="800000"/>
                          <a:headEnd/>
                          <a:tailEnd/>
                        </a:ln>
                      </wps:spPr>
                      <wps:txbx>
                        <w:txbxContent>
                          <w:p w14:paraId="56EFC797" w14:textId="1C749324" w:rsidR="002F4488" w:rsidRDefault="002F4488" w:rsidP="002F4488">
                            <w:pPr>
                              <w:jc w:val="center"/>
                            </w:pPr>
                            <w:r>
                              <w:t xml:space="preserve">Figure 7: Three Ways: Mould, </w:t>
                            </w:r>
                            <w:proofErr w:type="gramStart"/>
                            <w:r>
                              <w:t>Hole</w:t>
                            </w:r>
                            <w:proofErr w:type="gramEnd"/>
                            <w:r>
                              <w:t xml:space="preserve"> and Passage</w:t>
                            </w:r>
                          </w:p>
                          <w:p w14:paraId="1B8F0DE5" w14:textId="47C8D594" w:rsidR="002F4488" w:rsidRDefault="002F4488" w:rsidP="002F4488">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4A5C4E" id="_x0000_s1034" type="#_x0000_t202" style="position:absolute;margin-left:0;margin-top:12.1pt;width:185.9pt;height:36.55pt;z-index:25167872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" filled="f" stroked="f">
                <v:textbox>
                  <w:txbxContent>
                    <w:p w14:paraId="56EFC797" w14:textId="1C749324" w:rsidR="002F4488" w:rsidRDefault="002F4488" w:rsidP="002F4488">
                      <w:pPr>
                        <w:jc w:val="center"/>
                      </w:pPr>
                      <w:r>
                        <w:t xml:space="preserve">Figure 7: Three Ways: Mould, </w:t>
                      </w:r>
                      <w:proofErr w:type="gramStart"/>
                      <w:r>
                        <w:t>Hole</w:t>
                      </w:r>
                      <w:proofErr w:type="gramEnd"/>
                      <w:r>
                        <w:t xml:space="preserve"> and Passage</w:t>
                      </w:r>
                    </w:p>
                    <w:p w14:paraId="1B8F0DE5" w14:textId="47C8D594" w:rsidR="002F4488" w:rsidRDefault="002F4488" w:rsidP="002F4488">
                      <w:pPr>
                        <w:jc w:val="center"/>
                      </w:pPr>
                    </w:p>
                  </w:txbxContent>
                </v:textbox>
                <w10:wrap type="square" anchorx="margin"/>
              </v:shape>
            </w:pict>
          </mc:Fallback>
        </mc:AlternateContent>
      </w:r>
    </w:p>
    <w:p w14:paraId="3A773634" w14:textId="23A7DD7A" w:rsidR="002F4488" w:rsidRDefault="002F4488" w:rsidP="008C34F8"/>
    <w:p w14:paraId="79E85F78" w14:textId="77777777" w:rsidR="00DB4685" w:rsidRDefault="00DB4685" w:rsidP="008C34F8"/>
    <w:p w14:paraId="5149C3EC" w14:textId="2E13E4D4" w:rsidR="003F0BB1" w:rsidRDefault="0097656D" w:rsidP="002933BE">
      <w:pPr>
        <w:spacing w:line="360" w:lineRule="auto"/>
      </w:pPr>
      <w:r>
        <w:t xml:space="preserve">Figure 7, Three Ways: Mould, Hole and Passage (1981-82) </w:t>
      </w:r>
      <w:proofErr w:type="gramStart"/>
      <w:r>
        <w:t>is</w:t>
      </w:r>
      <w:proofErr w:type="gramEnd"/>
      <w:r>
        <w:t xml:space="preserve"> one of Gormley’s earliest pieces where he use</w:t>
      </w:r>
      <w:r w:rsidR="00E53A22">
        <w:t>s</w:t>
      </w:r>
      <w:r>
        <w:t xml:space="preserve"> casts from his own body (Manchester, 2000). </w:t>
      </w:r>
      <w:r w:rsidR="003F0BB1">
        <w:t>He took inspiration from Carl Ander</w:t>
      </w:r>
      <w:r w:rsidR="008B3671">
        <w:t>’s</w:t>
      </w:r>
      <w:r w:rsidR="003F0BB1">
        <w:t xml:space="preserve"> and Donald Judd’s use of found objects and industrial materials in their art </w:t>
      </w:r>
      <w:r w:rsidR="008B3671">
        <w:t xml:space="preserve">of </w:t>
      </w:r>
      <w:r w:rsidR="003F0BB1">
        <w:t xml:space="preserve">the Minimalism movement </w:t>
      </w:r>
      <w:r w:rsidR="008B3671">
        <w:t xml:space="preserve">which prompted Gormley to question if he could treat his body as a found object (Gormley, 2016). He then began to use it “as the tool, as the subject, as the material…” (Gormley, 2016) which relates </w:t>
      </w:r>
      <w:r w:rsidR="008B3671" w:rsidRPr="008C6AD7">
        <w:rPr>
          <w:color w:val="FF0000"/>
        </w:rPr>
        <w:t xml:space="preserve">to my personal work as my body and its experiences </w:t>
      </w:r>
      <w:r w:rsidR="00B468B5" w:rsidRPr="008C6AD7">
        <w:rPr>
          <w:color w:val="FF0000"/>
        </w:rPr>
        <w:t>are a key part of my inspiration</w:t>
      </w:r>
      <w:r w:rsidR="00B468B5">
        <w:t>. In this piece he created casts from his body with plaster covered sheets and then the bodies were cast in lead and soldered together (Macpherson</w:t>
      </w:r>
      <w:r w:rsidR="0048456B">
        <w:t xml:space="preserve">, 2019). This piece depended on the connection between </w:t>
      </w:r>
      <w:r w:rsidR="00D25E75">
        <w:t>Gormley and the plaster and Gormley participating as the critical material.</w:t>
      </w:r>
    </w:p>
    <w:p w14:paraId="54D30EDA" w14:textId="0BB5BA7E" w:rsidR="008A2EA3" w:rsidRDefault="00E60429" w:rsidP="002933BE">
      <w:pPr>
        <w:spacing w:line="360" w:lineRule="auto"/>
      </w:pPr>
      <w:r>
        <w:t>Word count MATERIAL</w:t>
      </w:r>
      <w:r w:rsidR="007B727C">
        <w:t xml:space="preserve"> –</w:t>
      </w:r>
      <w:r>
        <w:t xml:space="preserve"> 614</w:t>
      </w:r>
    </w:p>
    <w:p w14:paraId="55C03D21" w14:textId="4AF5EE29" w:rsidR="007C2C1C" w:rsidRDefault="007C2C1C" w:rsidP="002933BE">
      <w:pPr>
        <w:spacing w:line="360" w:lineRule="auto"/>
      </w:pPr>
    </w:p>
    <w:p w14:paraId="57BE6632" w14:textId="3E637B0F" w:rsidR="007C2C1C" w:rsidRDefault="007C2C1C" w:rsidP="002933BE">
      <w:pPr>
        <w:spacing w:line="360" w:lineRule="auto"/>
      </w:pPr>
    </w:p>
    <w:p w14:paraId="0974C1B3" w14:textId="77777777" w:rsidR="007C2C1C" w:rsidRDefault="007C2C1C" w:rsidP="002933BE">
      <w:pPr>
        <w:spacing w:line="360" w:lineRule="auto"/>
      </w:pPr>
    </w:p>
    <w:p w14:paraId="055C0C78" w14:textId="1A1A7012"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Pr>
          <w:rStyle w:val="normaltextrun"/>
          <w:rFonts w:ascii="Calibri" w:hAnsi="Calibri" w:cs="Calibri"/>
          <w:lang w:val="en-US"/>
        </w:rPr>
        <w:lastRenderedPageBreak/>
        <w:t>Analysis of the research areas you have defined around each keyword and art/design work selected.</w:t>
      </w:r>
      <w:r>
        <w:rPr>
          <w:rStyle w:val="eop"/>
          <w:rFonts w:ascii="Calibri" w:hAnsi="Calibri" w:cs="Calibri"/>
        </w:rPr>
        <w:t> </w:t>
      </w:r>
    </w:p>
    <w:p w14:paraId="034A1798" w14:textId="1A921103" w:rsidR="007B727C" w:rsidRDefault="005F521F"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I’ve explained the history and the developments of the word within an art/craft context</w:t>
      </w:r>
      <w:r w:rsidR="002E5751">
        <w:rPr>
          <w:rStyle w:val="eop"/>
          <w:rFonts w:ascii="Calibri" w:hAnsi="Calibri" w:cs="Calibri"/>
          <w:color w:val="FF0000"/>
        </w:rPr>
        <w:t xml:space="preserve"> and my personal practice</w:t>
      </w:r>
    </w:p>
    <w:p w14:paraId="3756F9FD" w14:textId="5E56BEAC"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Pr>
          <w:rStyle w:val="normaltextrun"/>
          <w:rFonts w:ascii="Calibri" w:hAnsi="Calibri" w:cs="Calibri"/>
          <w:lang w:val="en-US"/>
        </w:rPr>
        <w:t>How are keywords different from each other? What distinguishes them? </w:t>
      </w:r>
      <w:r>
        <w:rPr>
          <w:rStyle w:val="eop"/>
          <w:rFonts w:ascii="Calibri" w:hAnsi="Calibri" w:cs="Calibri"/>
        </w:rPr>
        <w:t> </w:t>
      </w:r>
    </w:p>
    <w:p w14:paraId="40DDBA7B" w14:textId="514F5407" w:rsidR="005F521F" w:rsidRDefault="005F521F"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 xml:space="preserve">Differences: </w:t>
      </w:r>
      <w:r w:rsidR="002E5751">
        <w:rPr>
          <w:rStyle w:val="eop"/>
          <w:rFonts w:ascii="Calibri" w:hAnsi="Calibri" w:cs="Calibri"/>
          <w:color w:val="FF0000"/>
        </w:rPr>
        <w:t>they all differently affect my work while all being important</w:t>
      </w:r>
      <w:r w:rsidR="007C2C1C">
        <w:rPr>
          <w:rStyle w:val="eop"/>
          <w:rFonts w:ascii="Calibri" w:hAnsi="Calibri" w:cs="Calibri"/>
          <w:color w:val="FF0000"/>
        </w:rPr>
        <w:t xml:space="preserve">, the ‘body’ impacts my work in a conceptual way rather than a physical way, touch and material are both very physical </w:t>
      </w:r>
    </w:p>
    <w:p w14:paraId="1EC120B3" w14:textId="69F37B43"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Pr>
          <w:rStyle w:val="normaltextrun"/>
          <w:rFonts w:ascii="Calibri" w:hAnsi="Calibri" w:cs="Calibri"/>
          <w:lang w:val="en-US"/>
        </w:rPr>
        <w:t>Synthesis of the research areas you have defined around each keyword and art/design work selected.</w:t>
      </w:r>
      <w:r>
        <w:rPr>
          <w:rStyle w:val="eop"/>
          <w:rFonts w:ascii="Calibri" w:hAnsi="Calibri" w:cs="Calibri"/>
        </w:rPr>
        <w:t> </w:t>
      </w:r>
    </w:p>
    <w:p w14:paraId="3CCCA4CA" w14:textId="693164C0" w:rsidR="005F521F" w:rsidRDefault="005F521F"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The art works that I have chosen</w:t>
      </w:r>
      <w:r w:rsidR="007C2C1C">
        <w:rPr>
          <w:rStyle w:val="eop"/>
          <w:rFonts w:ascii="Calibri" w:hAnsi="Calibri" w:cs="Calibri"/>
          <w:color w:val="FF0000"/>
        </w:rPr>
        <w:t xml:space="preserve"> </w:t>
      </w:r>
      <w:proofErr w:type="gramStart"/>
      <w:r w:rsidR="007C2C1C">
        <w:rPr>
          <w:rStyle w:val="eop"/>
          <w:rFonts w:ascii="Calibri" w:hAnsi="Calibri" w:cs="Calibri"/>
          <w:color w:val="FF0000"/>
        </w:rPr>
        <w:t>reflect</w:t>
      </w:r>
      <w:proofErr w:type="gramEnd"/>
      <w:r>
        <w:rPr>
          <w:rStyle w:val="eop"/>
          <w:rFonts w:ascii="Calibri" w:hAnsi="Calibri" w:cs="Calibri"/>
          <w:color w:val="FF0000"/>
        </w:rPr>
        <w:t xml:space="preserve"> the context of the word </w:t>
      </w:r>
      <w:r w:rsidR="007C2C1C">
        <w:rPr>
          <w:rStyle w:val="eop"/>
          <w:rFonts w:ascii="Calibri" w:hAnsi="Calibri" w:cs="Calibri"/>
          <w:color w:val="FF0000"/>
        </w:rPr>
        <w:t xml:space="preserve">within history </w:t>
      </w:r>
      <w:r>
        <w:rPr>
          <w:rStyle w:val="eop"/>
          <w:rFonts w:ascii="Calibri" w:hAnsi="Calibri" w:cs="Calibri"/>
          <w:color w:val="FF0000"/>
        </w:rPr>
        <w:t xml:space="preserve"> </w:t>
      </w:r>
    </w:p>
    <w:p w14:paraId="62292D83" w14:textId="7D1BF3CF"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Pr>
          <w:rStyle w:val="normaltextrun"/>
          <w:rFonts w:ascii="Calibri" w:hAnsi="Calibri" w:cs="Calibri"/>
          <w:lang w:val="en-US"/>
        </w:rPr>
        <w:t>How do they link together?</w:t>
      </w:r>
      <w:r>
        <w:rPr>
          <w:rStyle w:val="eop"/>
          <w:rFonts w:ascii="Calibri" w:hAnsi="Calibri" w:cs="Calibri"/>
        </w:rPr>
        <w:t> </w:t>
      </w:r>
    </w:p>
    <w:p w14:paraId="34654A74" w14:textId="14F3306D" w:rsidR="002E5751" w:rsidRDefault="002E5751"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 xml:space="preserve">All valuable words within the context of craft and my personal work - </w:t>
      </w:r>
    </w:p>
    <w:p w14:paraId="736514B8" w14:textId="26F2FDDB"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sidRPr="007B727C">
        <w:rPr>
          <w:rStyle w:val="normaltextrun"/>
          <w:rFonts w:ascii="Calibri" w:hAnsi="Calibri" w:cs="Calibri"/>
          <w:lang w:val="en-US"/>
        </w:rPr>
        <w:t>What happens to each keyword research area (as you have defined it in your writing) when they are placed together and considered in terms of relationships? </w:t>
      </w:r>
      <w:r w:rsidRPr="007B727C">
        <w:rPr>
          <w:rStyle w:val="eop"/>
          <w:rFonts w:ascii="Calibri" w:hAnsi="Calibri" w:cs="Calibri"/>
        </w:rPr>
        <w:t> </w:t>
      </w:r>
    </w:p>
    <w:p w14:paraId="530187CF" w14:textId="48E3F693" w:rsidR="007C2C1C" w:rsidRPr="007B727C" w:rsidRDefault="007C2C1C"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 xml:space="preserve">Touch and material are very similar, the tactility of the </w:t>
      </w:r>
      <w:proofErr w:type="spellStart"/>
      <w:r>
        <w:rPr>
          <w:rStyle w:val="eop"/>
          <w:rFonts w:ascii="Calibri" w:hAnsi="Calibri" w:cs="Calibri"/>
          <w:color w:val="FF0000"/>
        </w:rPr>
        <w:t>picee</w:t>
      </w:r>
      <w:proofErr w:type="spellEnd"/>
      <w:r>
        <w:rPr>
          <w:rStyle w:val="eop"/>
          <w:rFonts w:ascii="Calibri" w:hAnsi="Calibri" w:cs="Calibri"/>
          <w:color w:val="FF0000"/>
        </w:rPr>
        <w:t xml:space="preserve"> is dependent on the material and finish. Body can be used as a material. Touching the body…</w:t>
      </w:r>
    </w:p>
    <w:p w14:paraId="07D8C644" w14:textId="6DD385B9" w:rsidR="007B727C" w:rsidRDefault="007B727C" w:rsidP="007B727C">
      <w:pPr>
        <w:pStyle w:val="paragraph"/>
        <w:numPr>
          <w:ilvl w:val="0"/>
          <w:numId w:val="10"/>
        </w:numPr>
        <w:spacing w:before="0" w:beforeAutospacing="0" w:after="0" w:afterAutospacing="0"/>
        <w:textAlignment w:val="baseline"/>
        <w:rPr>
          <w:rFonts w:ascii="Calibri" w:hAnsi="Calibri" w:cs="Calibri"/>
        </w:rPr>
      </w:pPr>
      <w:r>
        <w:rPr>
          <w:rStyle w:val="normaltextrun"/>
          <w:rFonts w:ascii="Calibri" w:hAnsi="Calibri" w:cs="Calibri"/>
          <w:lang w:val="en-US"/>
        </w:rPr>
        <w:t>Leading to a possible area(s) of study for next year</w:t>
      </w:r>
      <w:r>
        <w:rPr>
          <w:rStyle w:val="eop"/>
          <w:rFonts w:ascii="Calibri" w:hAnsi="Calibri" w:cs="Calibri"/>
        </w:rPr>
        <w:t> </w:t>
      </w:r>
    </w:p>
    <w:p w14:paraId="223AD614" w14:textId="64CF8903" w:rsidR="007B727C" w:rsidRDefault="007B727C" w:rsidP="007B727C">
      <w:pPr>
        <w:pStyle w:val="paragraph"/>
        <w:numPr>
          <w:ilvl w:val="0"/>
          <w:numId w:val="10"/>
        </w:numPr>
        <w:spacing w:before="0" w:beforeAutospacing="0" w:after="0" w:afterAutospacing="0"/>
        <w:textAlignment w:val="baseline"/>
        <w:rPr>
          <w:rStyle w:val="eop"/>
          <w:rFonts w:ascii="Calibri" w:hAnsi="Calibri" w:cs="Calibri"/>
        </w:rPr>
      </w:pPr>
      <w:r>
        <w:rPr>
          <w:rStyle w:val="normaltextrun"/>
          <w:rFonts w:ascii="Calibri" w:hAnsi="Calibri" w:cs="Calibri"/>
          <w:lang w:val="en-US"/>
        </w:rPr>
        <w:t xml:space="preserve">Outline a research question (This is a question which will keep you focused when you are doing your reading over the summer. This will </w:t>
      </w:r>
      <w:r>
        <w:rPr>
          <w:rStyle w:val="normaltextrun"/>
          <w:rFonts w:ascii="Calibri" w:hAnsi="Calibri" w:cs="Calibri"/>
          <w:b/>
          <w:bCs/>
          <w:lang w:val="en-US"/>
        </w:rPr>
        <w:t>NOT</w:t>
      </w:r>
      <w:r>
        <w:rPr>
          <w:rStyle w:val="normaltextrun"/>
          <w:rFonts w:ascii="Calibri" w:hAnsi="Calibri" w:cs="Calibri"/>
          <w:lang w:val="en-US"/>
        </w:rPr>
        <w:t xml:space="preserve"> be the title of your Level 6 Independent Project, rather it is aimed at helping you to guide your own research) </w:t>
      </w:r>
      <w:r>
        <w:rPr>
          <w:rStyle w:val="eop"/>
          <w:rFonts w:ascii="Calibri" w:hAnsi="Calibri" w:cs="Calibri"/>
        </w:rPr>
        <w:t> </w:t>
      </w:r>
    </w:p>
    <w:p w14:paraId="08C81B26" w14:textId="44139E03" w:rsidR="002E5751" w:rsidRPr="002E5751" w:rsidRDefault="002E5751" w:rsidP="007B727C">
      <w:pPr>
        <w:pStyle w:val="paragraph"/>
        <w:numPr>
          <w:ilvl w:val="0"/>
          <w:numId w:val="10"/>
        </w:numPr>
        <w:spacing w:before="0" w:beforeAutospacing="0" w:after="0" w:afterAutospacing="0"/>
        <w:textAlignment w:val="baseline"/>
        <w:rPr>
          <w:rStyle w:val="eop"/>
          <w:rFonts w:ascii="Calibri" w:hAnsi="Calibri" w:cs="Calibri"/>
        </w:rPr>
      </w:pPr>
      <w:r>
        <w:rPr>
          <w:rStyle w:val="eop"/>
          <w:rFonts w:ascii="Calibri" w:hAnsi="Calibri" w:cs="Calibri"/>
          <w:color w:val="FF0000"/>
        </w:rPr>
        <w:t>How materials can change the meaning of a piece</w:t>
      </w:r>
    </w:p>
    <w:p w14:paraId="3FA1AE49" w14:textId="1F6971DA" w:rsidR="002E5751" w:rsidRPr="002E5751" w:rsidRDefault="002E5751" w:rsidP="007B727C">
      <w:pPr>
        <w:pStyle w:val="paragraph"/>
        <w:numPr>
          <w:ilvl w:val="0"/>
          <w:numId w:val="10"/>
        </w:numPr>
        <w:spacing w:before="0" w:beforeAutospacing="0" w:after="0" w:afterAutospacing="0"/>
        <w:textAlignment w:val="baseline"/>
        <w:rPr>
          <w:rStyle w:val="eop"/>
          <w:rFonts w:ascii="Calibri" w:hAnsi="Calibri" w:cs="Calibri"/>
        </w:rPr>
      </w:pPr>
      <w:r>
        <w:rPr>
          <w:rStyle w:val="eop"/>
          <w:rFonts w:ascii="Calibri" w:hAnsi="Calibri" w:cs="Calibri"/>
          <w:color w:val="FF0000"/>
        </w:rPr>
        <w:t>Materials and different processes</w:t>
      </w:r>
    </w:p>
    <w:p w14:paraId="61CDA293" w14:textId="39AD9E9D" w:rsidR="002E5751" w:rsidRDefault="002E5751" w:rsidP="007B727C">
      <w:pPr>
        <w:pStyle w:val="paragraph"/>
        <w:numPr>
          <w:ilvl w:val="0"/>
          <w:numId w:val="10"/>
        </w:numPr>
        <w:spacing w:before="0" w:beforeAutospacing="0" w:after="0" w:afterAutospacing="0"/>
        <w:textAlignment w:val="baseline"/>
        <w:rPr>
          <w:rFonts w:ascii="Calibri" w:hAnsi="Calibri" w:cs="Calibri"/>
        </w:rPr>
      </w:pPr>
      <w:r>
        <w:rPr>
          <w:rStyle w:val="eop"/>
          <w:rFonts w:ascii="Calibri" w:hAnsi="Calibri" w:cs="Calibri"/>
          <w:color w:val="FF0000"/>
        </w:rPr>
        <w:t xml:space="preserve">More in depth look at how materials </w:t>
      </w:r>
      <w:r w:rsidR="007C2C1C">
        <w:rPr>
          <w:rStyle w:val="eop"/>
          <w:rFonts w:ascii="Calibri" w:hAnsi="Calibri" w:cs="Calibri"/>
          <w:color w:val="FF0000"/>
        </w:rPr>
        <w:t xml:space="preserve">use </w:t>
      </w:r>
      <w:proofErr w:type="gramStart"/>
      <w:r w:rsidR="007C2C1C">
        <w:rPr>
          <w:rStyle w:val="eop"/>
          <w:rFonts w:ascii="Calibri" w:hAnsi="Calibri" w:cs="Calibri"/>
          <w:color w:val="FF0000"/>
        </w:rPr>
        <w:t>have</w:t>
      </w:r>
      <w:proofErr w:type="gramEnd"/>
      <w:r w:rsidR="007C2C1C">
        <w:rPr>
          <w:rStyle w:val="eop"/>
          <w:rFonts w:ascii="Calibri" w:hAnsi="Calibri" w:cs="Calibri"/>
          <w:color w:val="FF0000"/>
        </w:rPr>
        <w:t xml:space="preserve"> changed during the 20</w:t>
      </w:r>
      <w:r w:rsidR="007C2C1C" w:rsidRPr="007C2C1C">
        <w:rPr>
          <w:rStyle w:val="eop"/>
          <w:rFonts w:ascii="Calibri" w:hAnsi="Calibri" w:cs="Calibri"/>
          <w:color w:val="FF0000"/>
          <w:vertAlign w:val="superscript"/>
        </w:rPr>
        <w:t>th</w:t>
      </w:r>
      <w:r w:rsidR="007C2C1C">
        <w:rPr>
          <w:rStyle w:val="eop"/>
          <w:rFonts w:ascii="Calibri" w:hAnsi="Calibri" w:cs="Calibri"/>
          <w:color w:val="FF0000"/>
        </w:rPr>
        <w:t xml:space="preserve"> and 21</w:t>
      </w:r>
      <w:r w:rsidR="007C2C1C" w:rsidRPr="007C2C1C">
        <w:rPr>
          <w:rStyle w:val="eop"/>
          <w:rFonts w:ascii="Calibri" w:hAnsi="Calibri" w:cs="Calibri"/>
          <w:color w:val="FF0000"/>
          <w:vertAlign w:val="superscript"/>
        </w:rPr>
        <w:t>st</w:t>
      </w:r>
      <w:r w:rsidR="007C2C1C">
        <w:rPr>
          <w:rStyle w:val="eop"/>
          <w:rFonts w:ascii="Calibri" w:hAnsi="Calibri" w:cs="Calibri"/>
          <w:color w:val="FF0000"/>
        </w:rPr>
        <w:t xml:space="preserve"> century – people now use sound as a material…, into of plastic, 3D printing</w:t>
      </w:r>
    </w:p>
    <w:p w14:paraId="047D5C96" w14:textId="58559C37" w:rsidR="008A2EA3" w:rsidRDefault="008A2EA3" w:rsidP="002933BE">
      <w:pPr>
        <w:spacing w:line="360" w:lineRule="auto"/>
      </w:pPr>
    </w:p>
    <w:p w14:paraId="6756CCE2" w14:textId="07FEF151" w:rsidR="008A2EA3" w:rsidRDefault="008A2EA3" w:rsidP="002933BE">
      <w:pPr>
        <w:spacing w:line="360" w:lineRule="auto"/>
      </w:pPr>
    </w:p>
    <w:p w14:paraId="249A7A0E" w14:textId="77777777" w:rsidR="007B727C" w:rsidRDefault="007B727C" w:rsidP="002933BE">
      <w:pPr>
        <w:spacing w:line="360" w:lineRule="auto"/>
      </w:pPr>
    </w:p>
    <w:p w14:paraId="663D5E5C" w14:textId="487DFE88" w:rsidR="00304D0A" w:rsidRPr="008A2EA3" w:rsidRDefault="008A2EA3" w:rsidP="002933BE">
      <w:pPr>
        <w:spacing w:line="360" w:lineRule="auto"/>
        <w:rPr>
          <w:u w:val="single"/>
        </w:rPr>
      </w:pPr>
      <w:r w:rsidRPr="008A2EA3">
        <w:rPr>
          <w:u w:val="single"/>
        </w:rPr>
        <w:t>Bibliography</w:t>
      </w:r>
    </w:p>
    <w:p w14:paraId="218A5E7C" w14:textId="2D3E95B2" w:rsidR="00304D0A" w:rsidRPr="002246E8" w:rsidRDefault="002246E8" w:rsidP="008A2EA3">
      <w:pPr>
        <w:spacing w:after="240" w:line="240" w:lineRule="auto"/>
        <w:rPr>
          <w:rFonts w:eastAsia="Times New Roman" w:cstheme="minorHAnsi"/>
          <w:lang w:eastAsia="en-GB"/>
        </w:rPr>
      </w:pPr>
      <w:r w:rsidRPr="002F642A">
        <w:rPr>
          <w:rFonts w:cstheme="minorHAnsi"/>
          <w:shd w:val="clear" w:color="auto" w:fill="FFFFFF"/>
        </w:rPr>
        <w:t>Ashby, M.F., Johnson, K. (2013). </w:t>
      </w:r>
      <w:r w:rsidRPr="002F642A">
        <w:rPr>
          <w:rFonts w:cstheme="minorHAnsi"/>
          <w:i/>
          <w:iCs/>
          <w:shd w:val="clear" w:color="auto" w:fill="FFFFFF"/>
        </w:rPr>
        <w:t>Materials and design: the art and science of material selection in product design</w:t>
      </w:r>
      <w:r w:rsidRPr="002F642A">
        <w:rPr>
          <w:rFonts w:cstheme="minorHAnsi"/>
          <w:shd w:val="clear" w:color="auto" w:fill="FFFFFF"/>
        </w:rPr>
        <w:t>. Butterworth-Heinemann.</w:t>
      </w:r>
    </w:p>
    <w:p w14:paraId="3AFB280C" w14:textId="0072FE33" w:rsidR="00304D0A" w:rsidRPr="00304D0A" w:rsidRDefault="00304D0A" w:rsidP="008A2EA3">
      <w:pPr>
        <w:spacing w:line="240" w:lineRule="auto"/>
        <w:rPr>
          <w:rFonts w:cstheme="minorHAnsi"/>
        </w:rPr>
      </w:pPr>
      <w:proofErr w:type="spellStart"/>
      <w:r w:rsidRPr="002F642A">
        <w:rPr>
          <w:rFonts w:cstheme="minorHAnsi"/>
          <w:color w:val="333333"/>
          <w:shd w:val="clear" w:color="auto" w:fill="FFFFFF"/>
        </w:rPr>
        <w:t>Barassi</w:t>
      </w:r>
      <w:proofErr w:type="spellEnd"/>
      <w:r w:rsidRPr="002F642A">
        <w:rPr>
          <w:rFonts w:cstheme="minorHAnsi"/>
          <w:color w:val="333333"/>
          <w:shd w:val="clear" w:color="auto" w:fill="FFFFFF"/>
        </w:rPr>
        <w:t xml:space="preserve">, S. (2016) ‘The sculpture is a blind man: Constantin Brancusi’s </w:t>
      </w:r>
      <w:r w:rsidRPr="002F642A">
        <w:rPr>
          <w:rFonts w:cstheme="minorHAnsi"/>
          <w:i/>
          <w:iCs/>
          <w:color w:val="333333"/>
          <w:shd w:val="clear" w:color="auto" w:fill="FFFFFF"/>
        </w:rPr>
        <w:t>Sculpture for the Blind’</w:t>
      </w:r>
      <w:r w:rsidRPr="002F642A">
        <w:rPr>
          <w:rFonts w:cstheme="minorHAnsi"/>
          <w:color w:val="333333"/>
          <w:shd w:val="clear" w:color="auto" w:fill="FFFFFF"/>
        </w:rPr>
        <w:t>,</w:t>
      </w:r>
      <w:r w:rsidRPr="002F642A">
        <w:rPr>
          <w:rFonts w:cstheme="minorHAnsi"/>
        </w:rPr>
        <w:t xml:space="preserve"> in Dent, P. (ed.) </w:t>
      </w:r>
      <w:r w:rsidRPr="002F642A">
        <w:rPr>
          <w:rFonts w:cstheme="minorHAnsi"/>
          <w:i/>
          <w:iCs/>
        </w:rPr>
        <w:t>Sculpture and Touch.</w:t>
      </w:r>
      <w:r w:rsidRPr="002F642A">
        <w:rPr>
          <w:rFonts w:cstheme="minorHAnsi"/>
        </w:rPr>
        <w:t xml:space="preserve"> New York: Taylor &amp; Francis</w:t>
      </w:r>
    </w:p>
    <w:p w14:paraId="0F642521" w14:textId="478F066D" w:rsidR="002933BE" w:rsidRDefault="00304D0A" w:rsidP="008A2EA3">
      <w:pPr>
        <w:spacing w:line="240" w:lineRule="auto"/>
        <w:rPr>
          <w:rFonts w:cstheme="minorHAnsi"/>
        </w:rPr>
      </w:pPr>
      <w:proofErr w:type="spellStart"/>
      <w:r w:rsidRPr="002F642A">
        <w:rPr>
          <w:rFonts w:cstheme="minorHAnsi"/>
        </w:rPr>
        <w:t>Barocchi</w:t>
      </w:r>
      <w:proofErr w:type="spellEnd"/>
      <w:r w:rsidRPr="002F642A">
        <w:rPr>
          <w:rFonts w:cstheme="minorHAnsi"/>
        </w:rPr>
        <w:t xml:space="preserve">, P. (ed.) (1971) </w:t>
      </w:r>
      <w:proofErr w:type="spellStart"/>
      <w:r w:rsidRPr="002F642A">
        <w:rPr>
          <w:rFonts w:cstheme="minorHAnsi"/>
          <w:i/>
          <w:iCs/>
        </w:rPr>
        <w:t>Scritti</w:t>
      </w:r>
      <w:proofErr w:type="spellEnd"/>
      <w:r w:rsidRPr="002F642A">
        <w:rPr>
          <w:rFonts w:cstheme="minorHAnsi"/>
          <w:i/>
          <w:iCs/>
        </w:rPr>
        <w:t xml:space="preserve"> </w:t>
      </w:r>
      <w:proofErr w:type="spellStart"/>
      <w:r w:rsidRPr="002F642A">
        <w:rPr>
          <w:rFonts w:cstheme="minorHAnsi"/>
          <w:i/>
          <w:iCs/>
        </w:rPr>
        <w:t>d’Arte</w:t>
      </w:r>
      <w:proofErr w:type="spellEnd"/>
      <w:r w:rsidRPr="002F642A">
        <w:rPr>
          <w:rFonts w:cstheme="minorHAnsi"/>
          <w:i/>
          <w:iCs/>
        </w:rPr>
        <w:t xml:space="preserve"> del Cinquecento.</w:t>
      </w:r>
      <w:r w:rsidRPr="002F642A">
        <w:rPr>
          <w:rFonts w:cstheme="minorHAnsi"/>
        </w:rPr>
        <w:t xml:space="preserve"> R. Ricciardi</w:t>
      </w:r>
    </w:p>
    <w:p w14:paraId="54F66E25" w14:textId="7328D4D5" w:rsidR="00304D0A" w:rsidRDefault="00304D0A" w:rsidP="008A2EA3">
      <w:pPr>
        <w:spacing w:after="240" w:line="240" w:lineRule="auto"/>
        <w:rPr>
          <w:rFonts w:cstheme="minorHAnsi"/>
          <w:i/>
          <w:iCs/>
          <w:shd w:val="clear" w:color="auto" w:fill="FFFFFF"/>
        </w:rPr>
      </w:pPr>
      <w:proofErr w:type="spellStart"/>
      <w:r w:rsidRPr="002F642A">
        <w:rPr>
          <w:rFonts w:cstheme="minorHAnsi"/>
          <w:shd w:val="clear" w:color="auto" w:fill="FFFFFF"/>
        </w:rPr>
        <w:t>Bonafini</w:t>
      </w:r>
      <w:proofErr w:type="spellEnd"/>
      <w:r w:rsidRPr="002F642A">
        <w:rPr>
          <w:rFonts w:cstheme="minorHAnsi"/>
          <w:shd w:val="clear" w:color="auto" w:fill="FFFFFF"/>
        </w:rPr>
        <w:t xml:space="preserve">, B., </w:t>
      </w:r>
      <w:proofErr w:type="spellStart"/>
      <w:r w:rsidRPr="002F642A">
        <w:rPr>
          <w:rFonts w:cstheme="minorHAnsi"/>
          <w:shd w:val="clear" w:color="auto" w:fill="FFFFFF"/>
        </w:rPr>
        <w:t>Pozzilli</w:t>
      </w:r>
      <w:proofErr w:type="spellEnd"/>
      <w:r w:rsidRPr="002F642A">
        <w:rPr>
          <w:rFonts w:cstheme="minorHAnsi"/>
          <w:shd w:val="clear" w:color="auto" w:fill="FFFFFF"/>
        </w:rPr>
        <w:t>, P. (2011) ‘</w:t>
      </w:r>
      <w:r w:rsidRPr="002F642A">
        <w:rPr>
          <w:rFonts w:cstheme="minorHAnsi"/>
          <w:i/>
          <w:iCs/>
          <w:shd w:val="clear" w:color="auto" w:fill="FFFFFF"/>
        </w:rPr>
        <w:t>Body weight and beauty: the changing face of the ideal female body weight’, Obesity Reviews, 12 (1), pp. 62-65</w:t>
      </w:r>
    </w:p>
    <w:p w14:paraId="0079E65F" w14:textId="4EA3F5EF" w:rsidR="007B727C" w:rsidRPr="007B727C" w:rsidRDefault="007B727C" w:rsidP="007B727C">
      <w:pPr>
        <w:spacing w:after="240" w:line="240" w:lineRule="auto"/>
        <w:rPr>
          <w:rFonts w:cstheme="minorHAnsi"/>
          <w:shd w:val="clear" w:color="auto" w:fill="FFFFFF"/>
        </w:rPr>
      </w:pPr>
      <w:r>
        <w:rPr>
          <w:rFonts w:cstheme="minorHAnsi"/>
          <w:shd w:val="clear" w:color="auto" w:fill="FFFFFF"/>
        </w:rPr>
        <w:t xml:space="preserve">Cronje, K (2001) </w:t>
      </w:r>
      <w:r w:rsidRPr="007B727C">
        <w:rPr>
          <w:rFonts w:cstheme="minorHAnsi"/>
          <w:shd w:val="clear" w:color="auto" w:fill="FFFFFF"/>
        </w:rPr>
        <w:t>The Female Body as Spectacle in Nineteenth and</w:t>
      </w:r>
      <w:r>
        <w:rPr>
          <w:rFonts w:cstheme="minorHAnsi"/>
          <w:shd w:val="clear" w:color="auto" w:fill="FFFFFF"/>
        </w:rPr>
        <w:t xml:space="preserve"> </w:t>
      </w:r>
      <w:r w:rsidRPr="007B727C">
        <w:rPr>
          <w:rFonts w:cstheme="minorHAnsi"/>
          <w:shd w:val="clear" w:color="auto" w:fill="FFFFFF"/>
        </w:rPr>
        <w:t>Twentieth-Century Western Art</w:t>
      </w:r>
      <w:r>
        <w:rPr>
          <w:rFonts w:cstheme="minorHAnsi"/>
          <w:shd w:val="clear" w:color="auto" w:fill="FFFFFF"/>
        </w:rPr>
        <w:t xml:space="preserve"> </w:t>
      </w:r>
      <w:r w:rsidRPr="007B727C">
        <w:rPr>
          <w:rFonts w:cstheme="minorHAnsi"/>
          <w:shd w:val="clear" w:color="auto" w:fill="FFFFFF"/>
        </w:rPr>
        <w:cr/>
      </w:r>
      <w:r>
        <w:rPr>
          <w:rFonts w:cstheme="minorHAnsi"/>
          <w:shd w:val="clear" w:color="auto" w:fill="FFFFFF"/>
        </w:rPr>
        <w:t xml:space="preserve">[paper] Available at: </w:t>
      </w:r>
      <w:hyperlink r:id="rId17" w:history="1">
        <w:r w:rsidRPr="00631674">
          <w:rPr>
            <w:rStyle w:val="Hyperlink"/>
            <w:rFonts w:cstheme="minorHAnsi"/>
            <w:shd w:val="clear" w:color="auto" w:fill="FFFFFF"/>
          </w:rPr>
          <w:t>https://core.ac.uk/download/pdf/37374962.pdf</w:t>
        </w:r>
      </w:hyperlink>
      <w:r>
        <w:rPr>
          <w:rFonts w:cstheme="minorHAnsi"/>
          <w:shd w:val="clear" w:color="auto" w:fill="FFFFFF"/>
        </w:rPr>
        <w:t xml:space="preserve"> (Accessed on: 2</w:t>
      </w:r>
      <w:r w:rsidRPr="007B727C">
        <w:rPr>
          <w:rFonts w:cstheme="minorHAnsi"/>
          <w:shd w:val="clear" w:color="auto" w:fill="FFFFFF"/>
          <w:vertAlign w:val="superscript"/>
        </w:rPr>
        <w:t>nd</w:t>
      </w:r>
      <w:r>
        <w:rPr>
          <w:rFonts w:cstheme="minorHAnsi"/>
          <w:shd w:val="clear" w:color="auto" w:fill="FFFFFF"/>
        </w:rPr>
        <w:t xml:space="preserve"> April 2022)</w:t>
      </w:r>
    </w:p>
    <w:p w14:paraId="6D956149" w14:textId="23617B08" w:rsidR="00304D0A" w:rsidRPr="00304D0A" w:rsidRDefault="00304D0A" w:rsidP="008A2EA3">
      <w:pPr>
        <w:spacing w:after="240" w:line="240" w:lineRule="auto"/>
        <w:rPr>
          <w:rFonts w:eastAsia="Times New Roman" w:cstheme="minorHAnsi"/>
          <w:color w:val="000000"/>
          <w:lang w:eastAsia="en-GB"/>
        </w:rPr>
      </w:pPr>
      <w:r w:rsidRPr="002F642A">
        <w:rPr>
          <w:rFonts w:eastAsia="Times New Roman" w:cstheme="minorHAnsi"/>
          <w:color w:val="000000"/>
          <w:lang w:eastAsia="en-GB"/>
        </w:rPr>
        <w:t>Clayton (2017). </w:t>
      </w:r>
      <w:r w:rsidRPr="002F642A">
        <w:rPr>
          <w:rFonts w:eastAsia="Times New Roman" w:cstheme="minorHAnsi"/>
          <w:i/>
          <w:iCs/>
          <w:color w:val="000000"/>
          <w:lang w:eastAsia="en-GB"/>
        </w:rPr>
        <w:t>Lenka Clayton</w:t>
      </w:r>
      <w:r w:rsidRPr="002F642A">
        <w:rPr>
          <w:rFonts w:eastAsia="Times New Roman" w:cstheme="minorHAnsi"/>
          <w:color w:val="000000"/>
          <w:lang w:eastAsia="en-GB"/>
        </w:rPr>
        <w:t xml:space="preserve">. [online] Available at: </w:t>
      </w:r>
      <w:hyperlink r:id="rId18" w:history="1">
        <w:r w:rsidRPr="002F642A">
          <w:rPr>
            <w:rStyle w:val="Hyperlink"/>
            <w:rFonts w:eastAsia="Times New Roman" w:cstheme="minorHAnsi"/>
            <w:lang w:eastAsia="en-GB"/>
          </w:rPr>
          <w:t>http://www.lenkaclayton.com/sculpture-for-the-blind-by-the-blind</w:t>
        </w:r>
      </w:hyperlink>
      <w:r w:rsidRPr="002F642A">
        <w:rPr>
          <w:rFonts w:eastAsia="Times New Roman" w:cstheme="minorHAnsi"/>
          <w:color w:val="000000"/>
          <w:lang w:eastAsia="en-GB"/>
        </w:rPr>
        <w:t xml:space="preserve"> [Accessed 27 March 2022]</w:t>
      </w:r>
    </w:p>
    <w:p w14:paraId="5A3C01A4" w14:textId="7795D8DA" w:rsidR="00304D0A" w:rsidRDefault="00304D0A" w:rsidP="008A2EA3">
      <w:pPr>
        <w:spacing w:line="240" w:lineRule="auto"/>
        <w:rPr>
          <w:rFonts w:cstheme="minorHAnsi"/>
          <w:i/>
          <w:iCs/>
          <w:shd w:val="clear" w:color="auto" w:fill="FFFFFF"/>
        </w:rPr>
      </w:pPr>
      <w:r w:rsidRPr="00304D0A">
        <w:rPr>
          <w:rFonts w:cstheme="minorHAnsi"/>
        </w:rPr>
        <w:lastRenderedPageBreak/>
        <w:t xml:space="preserve">Davis, Petrella &amp; Rovers (2018) ‘What is Touch’, in Rovers, M, Malette, J., Guirguis-Younger, M. (ed.) </w:t>
      </w:r>
      <w:r w:rsidRPr="00304D0A">
        <w:rPr>
          <w:rFonts w:cstheme="minorHAnsi"/>
          <w:i/>
          <w:iCs/>
        </w:rPr>
        <w:t xml:space="preserve">Touch in the Helping Professions: Research, Practice and Ethics. </w:t>
      </w:r>
      <w:r w:rsidRPr="00304D0A">
        <w:rPr>
          <w:rFonts w:cstheme="minorHAnsi"/>
          <w:shd w:val="clear" w:color="auto" w:fill="FFFFFF"/>
        </w:rPr>
        <w:t xml:space="preserve">University of Ottawa Press / Les Presses de </w:t>
      </w:r>
      <w:proofErr w:type="spellStart"/>
      <w:r w:rsidRPr="00304D0A">
        <w:rPr>
          <w:rFonts w:cstheme="minorHAnsi"/>
          <w:shd w:val="clear" w:color="auto" w:fill="FFFFFF"/>
        </w:rPr>
        <w:t>l’Université</w:t>
      </w:r>
      <w:proofErr w:type="spellEnd"/>
      <w:r w:rsidRPr="00304D0A">
        <w:rPr>
          <w:rFonts w:cstheme="minorHAnsi"/>
          <w:shd w:val="clear" w:color="auto" w:fill="FFFFFF"/>
        </w:rPr>
        <w:t xml:space="preserve"> </w:t>
      </w:r>
      <w:proofErr w:type="spellStart"/>
      <w:r w:rsidRPr="00304D0A">
        <w:rPr>
          <w:rFonts w:cstheme="minorHAnsi"/>
          <w:shd w:val="clear" w:color="auto" w:fill="FFFFFF"/>
        </w:rPr>
        <w:t>d’Ottawa</w:t>
      </w:r>
      <w:proofErr w:type="spellEnd"/>
      <w:r w:rsidRPr="00304D0A">
        <w:rPr>
          <w:rFonts w:cstheme="minorHAnsi"/>
          <w:shd w:val="clear" w:color="auto" w:fill="FFFFFF"/>
        </w:rPr>
        <w:t>.</w:t>
      </w:r>
      <w:r w:rsidRPr="00304D0A">
        <w:rPr>
          <w:rFonts w:cstheme="minorHAnsi"/>
          <w:i/>
          <w:iCs/>
          <w:shd w:val="clear" w:color="auto" w:fill="FFFFFF"/>
        </w:rPr>
        <w:t xml:space="preserve"> </w:t>
      </w:r>
    </w:p>
    <w:p w14:paraId="4AAD25DF" w14:textId="02914A63" w:rsidR="002246E8" w:rsidRPr="002246E8" w:rsidRDefault="002246E8" w:rsidP="008A2EA3">
      <w:pPr>
        <w:spacing w:line="240" w:lineRule="auto"/>
        <w:rPr>
          <w:rFonts w:cstheme="minorHAnsi"/>
          <w:i/>
          <w:iCs/>
        </w:rPr>
      </w:pPr>
      <w:r w:rsidRPr="002F642A">
        <w:rPr>
          <w:rFonts w:cstheme="minorHAnsi"/>
          <w:shd w:val="clear" w:color="auto" w:fill="FFFFFF"/>
        </w:rPr>
        <w:t>Edwards, S (2004) ‘</w:t>
      </w:r>
      <w:r w:rsidRPr="002F642A">
        <w:rPr>
          <w:rFonts w:cstheme="minorHAnsi"/>
          <w:i/>
          <w:iCs/>
          <w:shd w:val="clear" w:color="auto" w:fill="FFFFFF"/>
        </w:rPr>
        <w:t xml:space="preserve">Cubist collage’, in </w:t>
      </w:r>
      <w:r w:rsidRPr="002F642A">
        <w:rPr>
          <w:rFonts w:cstheme="minorHAnsi"/>
          <w:shd w:val="clear" w:color="auto" w:fill="FFFFFF"/>
        </w:rPr>
        <w:t xml:space="preserve">Edwards, S. and Wood, P. (eds) </w:t>
      </w:r>
      <w:r w:rsidRPr="002F642A">
        <w:rPr>
          <w:rFonts w:cstheme="minorHAnsi"/>
          <w:i/>
          <w:iCs/>
          <w:shd w:val="clear" w:color="auto" w:fill="FFFFFF"/>
        </w:rPr>
        <w:t>Art of the avant-gardes</w:t>
      </w:r>
      <w:r w:rsidRPr="002F642A">
        <w:rPr>
          <w:rFonts w:cstheme="minorHAnsi"/>
          <w:shd w:val="clear" w:color="auto" w:fill="FFFFFF"/>
        </w:rPr>
        <w:t xml:space="preserve"> (Vol. 2). Yale University Press. </w:t>
      </w:r>
    </w:p>
    <w:p w14:paraId="4E154799" w14:textId="0A95794C" w:rsidR="002246E8" w:rsidRPr="002246E8" w:rsidRDefault="002246E8" w:rsidP="008A2EA3">
      <w:pPr>
        <w:spacing w:before="100" w:beforeAutospacing="1" w:after="100" w:afterAutospacing="1" w:line="240" w:lineRule="auto"/>
        <w:rPr>
          <w:rFonts w:cstheme="minorHAnsi"/>
        </w:rPr>
      </w:pPr>
      <w:r w:rsidRPr="002F642A">
        <w:rPr>
          <w:rFonts w:cstheme="minorHAnsi"/>
          <w:shd w:val="clear" w:color="auto" w:fill="FFFFFF"/>
        </w:rPr>
        <w:t xml:space="preserve">Finley, K (1988) </w:t>
      </w:r>
      <w:r w:rsidRPr="002F642A">
        <w:rPr>
          <w:rFonts w:cstheme="minorHAnsi"/>
          <w:i/>
          <w:iCs/>
        </w:rPr>
        <w:t>The Constant State of Desire.</w:t>
      </w:r>
      <w:r w:rsidRPr="002F642A">
        <w:rPr>
          <w:rFonts w:cstheme="minorHAnsi"/>
        </w:rPr>
        <w:t xml:space="preserve"> [Text from performance] Available at: </w:t>
      </w:r>
      <w:hyperlink r:id="rId19" w:history="1">
        <w:r w:rsidRPr="002F642A">
          <w:rPr>
            <w:rStyle w:val="Hyperlink"/>
            <w:rFonts w:cstheme="minorHAnsi"/>
            <w:color w:val="auto"/>
          </w:rPr>
          <w:t>https://www.jstor.org/stable/pdf/1145875.pdf?casa_token=DKms4Jr5c6gAAAAA:ogvfaeXa2u6zSKeH9ZSFbgdnH_aOz-_k7srOEDHnrcXrWk4chWK5M1fy_wd3kIfMhne1rlq3U24ZInwAuvNQhtaPHrBwaebnCB7wQZoVLnL0-Tcqtg</w:t>
        </w:r>
      </w:hyperlink>
      <w:r w:rsidRPr="002F642A">
        <w:rPr>
          <w:rFonts w:cstheme="minorHAnsi"/>
        </w:rPr>
        <w:t xml:space="preserve"> (Accessed on: 10</w:t>
      </w:r>
      <w:r w:rsidRPr="002F642A">
        <w:rPr>
          <w:rFonts w:cstheme="minorHAnsi"/>
          <w:vertAlign w:val="superscript"/>
        </w:rPr>
        <w:t>th</w:t>
      </w:r>
      <w:r w:rsidRPr="002F642A">
        <w:rPr>
          <w:rFonts w:cstheme="minorHAnsi"/>
        </w:rPr>
        <w:t xml:space="preserve"> April 2022)</w:t>
      </w:r>
    </w:p>
    <w:p w14:paraId="222D6ECB" w14:textId="090CB583" w:rsidR="00304D0A" w:rsidRDefault="00304D0A" w:rsidP="008A2EA3">
      <w:pPr>
        <w:spacing w:line="240" w:lineRule="auto"/>
        <w:rPr>
          <w:rFonts w:cstheme="minorHAnsi"/>
        </w:rPr>
      </w:pPr>
      <w:proofErr w:type="spellStart"/>
      <w:r w:rsidRPr="00304D0A">
        <w:rPr>
          <w:rFonts w:cstheme="minorHAnsi"/>
        </w:rPr>
        <w:t>Gallace</w:t>
      </w:r>
      <w:proofErr w:type="spellEnd"/>
      <w:r w:rsidRPr="00304D0A">
        <w:rPr>
          <w:rFonts w:cstheme="minorHAnsi"/>
        </w:rPr>
        <w:t xml:space="preserve">, A., Spence, C. (2016) ‘The neglected power of touch: what the cognitive neurosciences can tell us about the importance of touch in artistic communication’, in Dent, P. (ed.) </w:t>
      </w:r>
      <w:r w:rsidRPr="00304D0A">
        <w:rPr>
          <w:rFonts w:cstheme="minorHAnsi"/>
          <w:i/>
          <w:iCs/>
        </w:rPr>
        <w:t xml:space="preserve">Sculpture and Touch. </w:t>
      </w:r>
      <w:r w:rsidRPr="00304D0A">
        <w:rPr>
          <w:rFonts w:cstheme="minorHAnsi"/>
        </w:rPr>
        <w:t>New York: Taylor &amp; Francis</w:t>
      </w:r>
    </w:p>
    <w:p w14:paraId="479C19F6" w14:textId="3EDC0AE2" w:rsidR="002246E8" w:rsidRDefault="002246E8" w:rsidP="008A2EA3">
      <w:pPr>
        <w:spacing w:line="240" w:lineRule="auto"/>
        <w:rPr>
          <w:rFonts w:cstheme="minorHAnsi"/>
        </w:rPr>
      </w:pPr>
      <w:r w:rsidRPr="002F642A">
        <w:rPr>
          <w:rFonts w:cstheme="minorHAnsi"/>
        </w:rPr>
        <w:t>Google Arts &amp; Culture. (</w:t>
      </w:r>
      <w:proofErr w:type="spellStart"/>
      <w:r w:rsidRPr="002F642A">
        <w:rPr>
          <w:rFonts w:cstheme="minorHAnsi"/>
        </w:rPr>
        <w:t>n.d</w:t>
      </w:r>
      <w:proofErr w:type="spellEnd"/>
      <w:r w:rsidRPr="002F642A">
        <w:rPr>
          <w:rFonts w:cstheme="minorHAnsi"/>
        </w:rPr>
        <w:t>). </w:t>
      </w:r>
      <w:r w:rsidRPr="002F642A">
        <w:rPr>
          <w:rFonts w:cstheme="minorHAnsi"/>
          <w:i/>
          <w:iCs/>
        </w:rPr>
        <w:t>The birth of Venus - Sandro Botticelli - Google Arts &amp; Culture</w:t>
      </w:r>
      <w:r w:rsidRPr="002F642A">
        <w:rPr>
          <w:rFonts w:cstheme="minorHAnsi"/>
        </w:rPr>
        <w:t xml:space="preserve">. [online] Available at: </w:t>
      </w:r>
      <w:hyperlink r:id="rId20" w:history="1">
        <w:r w:rsidR="008A2EA3" w:rsidRPr="001B470D">
          <w:rPr>
            <w:rStyle w:val="Hyperlink"/>
            <w:rFonts w:cstheme="minorHAnsi"/>
          </w:rPr>
          <w:t>https://artsandculture.google.com/asset/the-birth-of-venus/MQEeq50LABEBVg?hl=en-GB</w:t>
        </w:r>
      </w:hyperlink>
      <w:r w:rsidR="008A2EA3">
        <w:rPr>
          <w:rFonts w:cstheme="minorHAnsi"/>
        </w:rPr>
        <w:t xml:space="preserve"> </w:t>
      </w:r>
      <w:r w:rsidRPr="002F642A">
        <w:rPr>
          <w:rFonts w:cstheme="minorHAnsi"/>
        </w:rPr>
        <w:t>[Accessed 10 Apr. 2022].</w:t>
      </w:r>
    </w:p>
    <w:p w14:paraId="63D946B6" w14:textId="1A9A688E" w:rsidR="002246E8" w:rsidRPr="008A2EA3" w:rsidRDefault="002246E8" w:rsidP="008A2EA3">
      <w:pPr>
        <w:spacing w:after="240" w:line="240" w:lineRule="auto"/>
        <w:rPr>
          <w:rFonts w:eastAsia="Times New Roman" w:cstheme="minorHAnsi"/>
          <w:lang w:eastAsia="en-GB"/>
        </w:rPr>
      </w:pPr>
      <w:r w:rsidRPr="002F642A">
        <w:rPr>
          <w:rFonts w:eastAsia="Times New Roman" w:cstheme="minorHAnsi"/>
          <w:lang w:eastAsia="en-GB"/>
        </w:rPr>
        <w:t xml:space="preserve">Gormley, A in </w:t>
      </w:r>
      <w:r w:rsidRPr="00983A66">
        <w:rPr>
          <w:rFonts w:eastAsia="Times New Roman" w:cstheme="minorHAnsi"/>
          <w:lang w:eastAsia="en-GB"/>
        </w:rPr>
        <w:t xml:space="preserve">Bloomberg </w:t>
      </w:r>
      <w:proofErr w:type="spellStart"/>
      <w:r w:rsidRPr="00983A66">
        <w:rPr>
          <w:rFonts w:eastAsia="Times New Roman" w:cstheme="minorHAnsi"/>
          <w:lang w:eastAsia="en-GB"/>
        </w:rPr>
        <w:t>Quicktake</w:t>
      </w:r>
      <w:proofErr w:type="spellEnd"/>
      <w:r w:rsidRPr="00983A66">
        <w:rPr>
          <w:rFonts w:eastAsia="Times New Roman" w:cstheme="minorHAnsi"/>
          <w:lang w:eastAsia="en-GB"/>
        </w:rPr>
        <w:t>: Originals (2016). </w:t>
      </w:r>
      <w:r w:rsidRPr="00983A66">
        <w:rPr>
          <w:rFonts w:eastAsia="Times New Roman" w:cstheme="minorHAnsi"/>
          <w:i/>
          <w:iCs/>
          <w:lang w:eastAsia="en-GB"/>
        </w:rPr>
        <w:t>The Body as a Found Object: Antony Gormley | Brilliant Ideas Ep. 40</w:t>
      </w:r>
      <w:r w:rsidRPr="00983A66">
        <w:rPr>
          <w:rFonts w:eastAsia="Times New Roman" w:cstheme="minorHAnsi"/>
          <w:lang w:eastAsia="en-GB"/>
        </w:rPr>
        <w:t>. </w:t>
      </w:r>
      <w:r w:rsidRPr="002F642A">
        <w:rPr>
          <w:rFonts w:eastAsia="Times New Roman" w:cstheme="minorHAnsi"/>
          <w:lang w:eastAsia="en-GB"/>
        </w:rPr>
        <w:t xml:space="preserve">(Video) </w:t>
      </w:r>
      <w:r w:rsidRPr="00983A66">
        <w:rPr>
          <w:rFonts w:eastAsia="Times New Roman" w:cstheme="minorHAnsi"/>
          <w:lang w:eastAsia="en-GB"/>
        </w:rPr>
        <w:t xml:space="preserve">Available at: </w:t>
      </w:r>
      <w:hyperlink r:id="rId21" w:history="1">
        <w:r w:rsidR="008A2EA3" w:rsidRPr="00983A66">
          <w:rPr>
            <w:rStyle w:val="Hyperlink"/>
            <w:rFonts w:eastAsia="Times New Roman" w:cstheme="minorHAnsi"/>
            <w:lang w:eastAsia="en-GB"/>
          </w:rPr>
          <w:t>https://www.youtube.com/watch?v=yBK4RBRj1U8</w:t>
        </w:r>
      </w:hyperlink>
      <w:r w:rsidR="008A2EA3">
        <w:rPr>
          <w:rFonts w:eastAsia="Times New Roman" w:cstheme="minorHAnsi"/>
          <w:lang w:eastAsia="en-GB"/>
        </w:rPr>
        <w:t xml:space="preserve"> </w:t>
      </w:r>
      <w:r w:rsidRPr="00983A66">
        <w:rPr>
          <w:rFonts w:eastAsia="Times New Roman" w:cstheme="minorHAnsi"/>
          <w:lang w:eastAsia="en-GB"/>
        </w:rPr>
        <w:t>[Accessed 18 Apr. 2022].‌</w:t>
      </w:r>
    </w:p>
    <w:p w14:paraId="62B7CFD4" w14:textId="7D5CE081" w:rsidR="00304D0A" w:rsidRPr="00304D0A" w:rsidRDefault="00304D0A" w:rsidP="008A2EA3">
      <w:pPr>
        <w:spacing w:line="240" w:lineRule="auto"/>
        <w:rPr>
          <w:rFonts w:cstheme="minorHAnsi"/>
        </w:rPr>
      </w:pPr>
      <w:r w:rsidRPr="002F642A">
        <w:rPr>
          <w:rFonts w:cstheme="minorHAnsi"/>
        </w:rPr>
        <w:t xml:space="preserve">Johson, G. (2016) ‘A taxonomy of touch: tactile encounters in Renaissance Italy’, in Dent, P. (ed.) </w:t>
      </w:r>
      <w:r w:rsidRPr="002F642A">
        <w:rPr>
          <w:rFonts w:cstheme="minorHAnsi"/>
          <w:i/>
          <w:iCs/>
        </w:rPr>
        <w:t>Sculpture and Touch</w:t>
      </w:r>
      <w:r w:rsidRPr="002F642A">
        <w:rPr>
          <w:rFonts w:cstheme="minorHAnsi"/>
        </w:rPr>
        <w:t>. New York: Taylor &amp; Francis</w:t>
      </w:r>
    </w:p>
    <w:p w14:paraId="708A9E45" w14:textId="1728C366" w:rsidR="00304D0A" w:rsidRDefault="00304D0A" w:rsidP="008A2EA3">
      <w:pPr>
        <w:spacing w:line="240" w:lineRule="auto"/>
        <w:rPr>
          <w:rFonts w:cstheme="minorHAnsi"/>
          <w:shd w:val="clear" w:color="auto" w:fill="FFFFFF"/>
        </w:rPr>
      </w:pPr>
      <w:r w:rsidRPr="00304D0A">
        <w:rPr>
          <w:rFonts w:cstheme="minorHAnsi"/>
          <w:shd w:val="clear" w:color="auto" w:fill="FFFFFF"/>
        </w:rPr>
        <w:t xml:space="preserve">Johnson, G (2002) ‘Touch, Tactility, and the Reception of Sculpture in Early Modern Italy’, in Smith, P., Wilde, C. (ed.) </w:t>
      </w:r>
      <w:r w:rsidRPr="00304D0A">
        <w:rPr>
          <w:rFonts w:cstheme="minorHAnsi"/>
          <w:i/>
          <w:iCs/>
          <w:shd w:val="clear" w:color="auto" w:fill="FFFFFF"/>
        </w:rPr>
        <w:t xml:space="preserve">A Companion to Art Theory. </w:t>
      </w:r>
      <w:r w:rsidRPr="00304D0A">
        <w:rPr>
          <w:rFonts w:cstheme="minorHAnsi"/>
          <w:shd w:val="clear" w:color="auto" w:fill="FFFFFF"/>
        </w:rPr>
        <w:t>Black Publishers Ltd</w:t>
      </w:r>
    </w:p>
    <w:p w14:paraId="11DCEF68" w14:textId="5A781578" w:rsidR="002246E8" w:rsidRPr="008A2EA3" w:rsidRDefault="002246E8" w:rsidP="008A2EA3">
      <w:pPr>
        <w:pStyle w:val="breadcrumbitem"/>
        <w:shd w:val="clear" w:color="auto" w:fill="FFFFFF"/>
        <w:textAlignment w:val="center"/>
        <w:rPr>
          <w:rFonts w:asciiTheme="minorHAnsi" w:hAnsiTheme="minorHAnsi" w:cstheme="minorHAnsi"/>
          <w:spacing w:val="2"/>
          <w:sz w:val="22"/>
          <w:szCs w:val="22"/>
        </w:rPr>
      </w:pPr>
      <w:r w:rsidRPr="002F642A">
        <w:rPr>
          <w:rFonts w:asciiTheme="minorHAnsi" w:hAnsiTheme="minorHAnsi" w:cstheme="minorHAnsi"/>
          <w:sz w:val="22"/>
          <w:szCs w:val="22"/>
        </w:rPr>
        <w:t xml:space="preserve">Kear, J (2016) </w:t>
      </w:r>
      <w:r w:rsidRPr="002F642A">
        <w:rPr>
          <w:rFonts w:asciiTheme="minorHAnsi" w:hAnsiTheme="minorHAnsi" w:cstheme="minorHAnsi"/>
          <w:i/>
          <w:iCs/>
          <w:spacing w:val="2"/>
          <w:sz w:val="22"/>
          <w:szCs w:val="22"/>
        </w:rPr>
        <w:t xml:space="preserve">Bottle of Vieux Marc, Glass, Guitar and Newspaper </w:t>
      </w:r>
      <w:r w:rsidRPr="002F642A">
        <w:rPr>
          <w:rFonts w:asciiTheme="minorHAnsi" w:hAnsiTheme="minorHAnsi" w:cstheme="minorHAnsi"/>
          <w:spacing w:val="2"/>
          <w:sz w:val="22"/>
          <w:szCs w:val="22"/>
        </w:rPr>
        <w:t xml:space="preserve">[online] Available at: </w:t>
      </w:r>
      <w:hyperlink r:id="rId22" w:history="1">
        <w:r w:rsidRPr="002F642A">
          <w:rPr>
            <w:rStyle w:val="Hyperlink"/>
            <w:rFonts w:asciiTheme="minorHAnsi" w:hAnsiTheme="minorHAnsi" w:cstheme="minorHAnsi"/>
            <w:color w:val="auto"/>
            <w:spacing w:val="2"/>
            <w:sz w:val="22"/>
            <w:szCs w:val="22"/>
          </w:rPr>
          <w:t>https://www.tate.org.uk/art/artworks/picasso-bottle-of-vieux-marc-glass-guitar-and-newspaper-t00414</w:t>
        </w:r>
      </w:hyperlink>
      <w:r w:rsidRPr="002F642A">
        <w:rPr>
          <w:rFonts w:asciiTheme="minorHAnsi" w:hAnsiTheme="minorHAnsi" w:cstheme="minorHAnsi"/>
          <w:spacing w:val="2"/>
          <w:sz w:val="22"/>
          <w:szCs w:val="22"/>
        </w:rPr>
        <w:t xml:space="preserve"> [Accessed on: 16</w:t>
      </w:r>
      <w:r w:rsidRPr="002F642A">
        <w:rPr>
          <w:rFonts w:asciiTheme="minorHAnsi" w:hAnsiTheme="minorHAnsi" w:cstheme="minorHAnsi"/>
          <w:spacing w:val="2"/>
          <w:sz w:val="22"/>
          <w:szCs w:val="22"/>
          <w:vertAlign w:val="superscript"/>
        </w:rPr>
        <w:t>th</w:t>
      </w:r>
      <w:r w:rsidRPr="002F642A">
        <w:rPr>
          <w:rFonts w:asciiTheme="minorHAnsi" w:hAnsiTheme="minorHAnsi" w:cstheme="minorHAnsi"/>
          <w:spacing w:val="2"/>
          <w:sz w:val="22"/>
          <w:szCs w:val="22"/>
        </w:rPr>
        <w:t xml:space="preserve"> April 2022]</w:t>
      </w:r>
    </w:p>
    <w:p w14:paraId="1D597054" w14:textId="164CC078" w:rsidR="00304D0A" w:rsidRPr="00304D0A" w:rsidRDefault="00304D0A" w:rsidP="008A2EA3">
      <w:pPr>
        <w:spacing w:line="240" w:lineRule="auto"/>
        <w:rPr>
          <w:rFonts w:cstheme="minorHAnsi"/>
        </w:rPr>
      </w:pPr>
      <w:r w:rsidRPr="002F642A">
        <w:rPr>
          <w:rFonts w:cstheme="minorHAnsi"/>
        </w:rPr>
        <w:t xml:space="preserve">Keenan, H. (2016) ‘Touching sculpture’, in Dent, P. (ed.) </w:t>
      </w:r>
      <w:r w:rsidRPr="002F642A">
        <w:rPr>
          <w:rFonts w:cstheme="minorHAnsi"/>
          <w:i/>
          <w:iCs/>
        </w:rPr>
        <w:t>Sculpture and Touch.</w:t>
      </w:r>
      <w:r w:rsidRPr="002F642A">
        <w:rPr>
          <w:rFonts w:cstheme="minorHAnsi"/>
        </w:rPr>
        <w:t xml:space="preserve"> New York: Taylor &amp; Francis</w:t>
      </w:r>
    </w:p>
    <w:p w14:paraId="51726EF4" w14:textId="3D24ED14" w:rsidR="00304D0A" w:rsidRDefault="00304D0A" w:rsidP="008A2EA3">
      <w:pPr>
        <w:spacing w:after="240" w:line="240" w:lineRule="auto"/>
        <w:rPr>
          <w:rFonts w:eastAsia="Times New Roman" w:cstheme="minorHAnsi"/>
          <w:color w:val="000000"/>
          <w:lang w:eastAsia="en-GB"/>
        </w:rPr>
      </w:pPr>
      <w:r w:rsidRPr="002F642A">
        <w:rPr>
          <w:rFonts w:eastAsia="Times New Roman" w:cstheme="minorHAnsi"/>
          <w:color w:val="000000"/>
          <w:lang w:eastAsia="en-GB"/>
        </w:rPr>
        <w:t>Knepp, R. (2017).</w:t>
      </w:r>
      <w:r w:rsidRPr="002F642A">
        <w:rPr>
          <w:rFonts w:eastAsia="Times New Roman" w:cstheme="minorHAnsi"/>
          <w:i/>
          <w:iCs/>
          <w:color w:val="000000"/>
          <w:lang w:eastAsia="en-GB"/>
        </w:rPr>
        <w:t xml:space="preserve"> Male Gaze in Contemporary Art </w:t>
      </w:r>
      <w:r w:rsidRPr="002F642A">
        <w:rPr>
          <w:rFonts w:eastAsia="Times New Roman" w:cstheme="minorHAnsi"/>
          <w:color w:val="000000"/>
          <w:lang w:eastAsia="en-GB"/>
        </w:rPr>
        <w:t xml:space="preserve">[online] Available at: </w:t>
      </w:r>
      <w:hyperlink r:id="rId23" w:history="1">
        <w:r w:rsidRPr="002F642A">
          <w:rPr>
            <w:rStyle w:val="Hyperlink"/>
            <w:rFonts w:eastAsia="Times New Roman" w:cstheme="minorHAnsi"/>
            <w:lang w:eastAsia="en-GB"/>
          </w:rPr>
          <w:t>http://artulens.com/ph-692/2017/9/13/male-gaze-in-contemporary-art</w:t>
        </w:r>
      </w:hyperlink>
      <w:r w:rsidRPr="002F642A">
        <w:rPr>
          <w:rFonts w:eastAsia="Times New Roman" w:cstheme="minorHAnsi"/>
          <w:color w:val="000000"/>
          <w:lang w:eastAsia="en-GB"/>
        </w:rPr>
        <w:t xml:space="preserve"> [Accessed 26 March 2022]</w:t>
      </w:r>
    </w:p>
    <w:p w14:paraId="4CA7EF42" w14:textId="5B05766F" w:rsidR="002246E8" w:rsidRPr="002246E8" w:rsidRDefault="002246E8" w:rsidP="008A2EA3">
      <w:pPr>
        <w:spacing w:line="240" w:lineRule="auto"/>
        <w:rPr>
          <w:rFonts w:cstheme="minorHAnsi"/>
          <w:i/>
          <w:iCs/>
        </w:rPr>
      </w:pPr>
      <w:r w:rsidRPr="002F642A">
        <w:rPr>
          <w:rFonts w:cstheme="minorHAnsi"/>
          <w:shd w:val="clear" w:color="auto" w:fill="FFFFFF"/>
        </w:rPr>
        <w:t xml:space="preserve">Lehmann, A. (2012). </w:t>
      </w:r>
      <w:r w:rsidRPr="002F642A">
        <w:rPr>
          <w:rFonts w:cstheme="minorHAnsi"/>
          <w:i/>
          <w:iCs/>
          <w:shd w:val="clear" w:color="auto" w:fill="FFFFFF"/>
        </w:rPr>
        <w:t>‘How materials make meaning’</w:t>
      </w:r>
      <w:r w:rsidRPr="002F642A">
        <w:rPr>
          <w:rFonts w:cstheme="minorHAnsi"/>
          <w:shd w:val="clear" w:color="auto" w:fill="FFFFFF"/>
        </w:rPr>
        <w:t>, </w:t>
      </w:r>
      <w:r w:rsidRPr="002F642A">
        <w:rPr>
          <w:rStyle w:val="Emphasis"/>
          <w:rFonts w:cstheme="minorHAnsi"/>
          <w:shd w:val="clear" w:color="auto" w:fill="FFFFFF"/>
        </w:rPr>
        <w:t xml:space="preserve">Netherlands Yearbook for History of Art / </w:t>
      </w:r>
      <w:proofErr w:type="spellStart"/>
      <w:r w:rsidRPr="002F642A">
        <w:rPr>
          <w:rStyle w:val="Emphasis"/>
          <w:rFonts w:cstheme="minorHAnsi"/>
          <w:shd w:val="clear" w:color="auto" w:fill="FFFFFF"/>
        </w:rPr>
        <w:t>Nederlands</w:t>
      </w:r>
      <w:proofErr w:type="spellEnd"/>
      <w:r w:rsidRPr="002F642A">
        <w:rPr>
          <w:rStyle w:val="Emphasis"/>
          <w:rFonts w:cstheme="minorHAnsi"/>
          <w:shd w:val="clear" w:color="auto" w:fill="FFFFFF"/>
        </w:rPr>
        <w:t xml:space="preserve"> </w:t>
      </w:r>
      <w:proofErr w:type="spellStart"/>
      <w:r w:rsidRPr="002F642A">
        <w:rPr>
          <w:rStyle w:val="Emphasis"/>
          <w:rFonts w:cstheme="minorHAnsi"/>
          <w:shd w:val="clear" w:color="auto" w:fill="FFFFFF"/>
        </w:rPr>
        <w:t>Kunsthistorisch</w:t>
      </w:r>
      <w:proofErr w:type="spellEnd"/>
      <w:r w:rsidRPr="002F642A">
        <w:rPr>
          <w:rStyle w:val="Emphasis"/>
          <w:rFonts w:cstheme="minorHAnsi"/>
          <w:shd w:val="clear" w:color="auto" w:fill="FFFFFF"/>
        </w:rPr>
        <w:t xml:space="preserve"> </w:t>
      </w:r>
      <w:proofErr w:type="spellStart"/>
      <w:r w:rsidRPr="002F642A">
        <w:rPr>
          <w:rStyle w:val="Emphasis"/>
          <w:rFonts w:cstheme="minorHAnsi"/>
          <w:shd w:val="clear" w:color="auto" w:fill="FFFFFF"/>
        </w:rPr>
        <w:t>Jaarboek</w:t>
      </w:r>
      <w:proofErr w:type="spellEnd"/>
      <w:r w:rsidRPr="002F642A">
        <w:rPr>
          <w:rStyle w:val="Emphasis"/>
          <w:rFonts w:cstheme="minorHAnsi"/>
          <w:shd w:val="clear" w:color="auto" w:fill="FFFFFF"/>
        </w:rPr>
        <w:t xml:space="preserve"> Online</w:t>
      </w:r>
      <w:r w:rsidRPr="002F642A">
        <w:rPr>
          <w:rFonts w:cstheme="minorHAnsi"/>
          <w:shd w:val="clear" w:color="auto" w:fill="FFFFFF"/>
        </w:rPr>
        <w:t>, </w:t>
      </w:r>
      <w:r w:rsidRPr="002F642A">
        <w:rPr>
          <w:rStyle w:val="Emphasis"/>
          <w:rFonts w:cstheme="minorHAnsi"/>
          <w:shd w:val="clear" w:color="auto" w:fill="FFFFFF"/>
        </w:rPr>
        <w:t>62</w:t>
      </w:r>
      <w:r w:rsidRPr="002F642A">
        <w:rPr>
          <w:rFonts w:cstheme="minorHAnsi"/>
          <w:shd w:val="clear" w:color="auto" w:fill="FFFFFF"/>
        </w:rPr>
        <w:t>(1), 6-27</w:t>
      </w:r>
    </w:p>
    <w:p w14:paraId="5202ACFD" w14:textId="37AFFCEC" w:rsidR="002246E8" w:rsidRPr="002246E8" w:rsidRDefault="002246E8" w:rsidP="008A2EA3">
      <w:pPr>
        <w:spacing w:after="240" w:line="240" w:lineRule="auto"/>
        <w:rPr>
          <w:rFonts w:eastAsia="Times New Roman" w:cstheme="minorHAnsi"/>
          <w:lang w:eastAsia="en-GB"/>
        </w:rPr>
      </w:pPr>
      <w:r w:rsidRPr="002F642A">
        <w:rPr>
          <w:rFonts w:eastAsia="Times New Roman" w:cstheme="minorHAnsi"/>
          <w:lang w:eastAsia="en-GB"/>
        </w:rPr>
        <w:t>Macpherson, A</w:t>
      </w:r>
      <w:r w:rsidRPr="001F2F0A">
        <w:rPr>
          <w:rFonts w:eastAsia="Times New Roman" w:cstheme="minorHAnsi"/>
          <w:lang w:eastAsia="en-GB"/>
        </w:rPr>
        <w:t xml:space="preserve"> (2019). </w:t>
      </w:r>
      <w:r w:rsidRPr="001F2F0A">
        <w:rPr>
          <w:rFonts w:eastAsia="Times New Roman" w:cstheme="minorHAnsi"/>
          <w:i/>
          <w:iCs/>
          <w:lang w:eastAsia="en-GB"/>
        </w:rPr>
        <w:t>Antony Gormley: 10 works to know</w:t>
      </w:r>
      <w:r w:rsidRPr="001F2F0A">
        <w:rPr>
          <w:rFonts w:eastAsia="Times New Roman" w:cstheme="minorHAnsi"/>
          <w:lang w:eastAsia="en-GB"/>
        </w:rPr>
        <w:t xml:space="preserve"> [online] Available at: </w:t>
      </w:r>
      <w:hyperlink r:id="rId24" w:history="1">
        <w:r w:rsidR="008A2EA3" w:rsidRPr="001F2F0A">
          <w:rPr>
            <w:rStyle w:val="Hyperlink"/>
            <w:rFonts w:eastAsia="Times New Roman" w:cstheme="minorHAnsi"/>
            <w:lang w:eastAsia="en-GB"/>
          </w:rPr>
          <w:t>https://www.royalacademy.org.uk/article/antony-gormley-10-works-to-know</w:t>
        </w:r>
      </w:hyperlink>
      <w:r w:rsidR="008A2EA3">
        <w:rPr>
          <w:rFonts w:eastAsia="Times New Roman" w:cstheme="minorHAnsi"/>
          <w:lang w:eastAsia="en-GB"/>
        </w:rPr>
        <w:t xml:space="preserve"> </w:t>
      </w:r>
      <w:r w:rsidRPr="001F2F0A">
        <w:rPr>
          <w:rFonts w:eastAsia="Times New Roman" w:cstheme="minorHAnsi"/>
          <w:lang w:eastAsia="en-GB"/>
        </w:rPr>
        <w:t>[Accessed 1</w:t>
      </w:r>
      <w:r w:rsidRPr="002F642A">
        <w:rPr>
          <w:rFonts w:eastAsia="Times New Roman" w:cstheme="minorHAnsi"/>
          <w:lang w:eastAsia="en-GB"/>
        </w:rPr>
        <w:t xml:space="preserve">7 </w:t>
      </w:r>
      <w:r w:rsidRPr="001F2F0A">
        <w:rPr>
          <w:rFonts w:eastAsia="Times New Roman" w:cstheme="minorHAnsi"/>
          <w:lang w:eastAsia="en-GB"/>
        </w:rPr>
        <w:t>Apr. 2022].</w:t>
      </w:r>
    </w:p>
    <w:p w14:paraId="3AAE6092" w14:textId="6D3617CF" w:rsidR="002246E8" w:rsidRPr="002246E8" w:rsidRDefault="002246E8" w:rsidP="008A2EA3">
      <w:pPr>
        <w:spacing w:after="240" w:line="240" w:lineRule="auto"/>
        <w:rPr>
          <w:rFonts w:eastAsia="Times New Roman" w:cstheme="minorHAnsi"/>
          <w:lang w:eastAsia="en-GB"/>
        </w:rPr>
      </w:pPr>
      <w:bookmarkStart w:id="4" w:name="_Hlk101179854"/>
      <w:r w:rsidRPr="002F642A">
        <w:rPr>
          <w:rFonts w:eastAsia="Times New Roman" w:cstheme="minorHAnsi"/>
          <w:lang w:eastAsia="en-GB"/>
        </w:rPr>
        <w:t>Manchester, E</w:t>
      </w:r>
      <w:r w:rsidRPr="00573E08">
        <w:rPr>
          <w:rFonts w:eastAsia="Times New Roman" w:cstheme="minorHAnsi"/>
          <w:lang w:eastAsia="en-GB"/>
        </w:rPr>
        <w:t xml:space="preserve"> (20</w:t>
      </w:r>
      <w:r w:rsidRPr="002F642A">
        <w:rPr>
          <w:rFonts w:eastAsia="Times New Roman" w:cstheme="minorHAnsi"/>
          <w:lang w:eastAsia="en-GB"/>
        </w:rPr>
        <w:t>00</w:t>
      </w:r>
      <w:r w:rsidRPr="00573E08">
        <w:rPr>
          <w:rFonts w:eastAsia="Times New Roman" w:cstheme="minorHAnsi"/>
          <w:lang w:eastAsia="en-GB"/>
        </w:rPr>
        <w:t>). </w:t>
      </w:r>
      <w:r w:rsidRPr="00573E08">
        <w:rPr>
          <w:rFonts w:eastAsia="Times New Roman" w:cstheme="minorHAnsi"/>
          <w:i/>
          <w:iCs/>
          <w:lang w:eastAsia="en-GB"/>
        </w:rPr>
        <w:t>‘Three Ways: Mould, Hole and Passage’, Antony Gormley, 1981–2 | Tate</w:t>
      </w:r>
      <w:r w:rsidRPr="00573E08">
        <w:rPr>
          <w:rFonts w:eastAsia="Times New Roman" w:cstheme="minorHAnsi"/>
          <w:lang w:eastAsia="en-GB"/>
        </w:rPr>
        <w:t xml:space="preserve">. [online] Tate. Available at: </w:t>
      </w:r>
      <w:hyperlink r:id="rId25" w:anchor=":~:text=Summary-,Summary,simplified%20figure%2C%20cast%20in%20lead" w:history="1">
        <w:r w:rsidR="008A2EA3" w:rsidRPr="00573E08">
          <w:rPr>
            <w:rStyle w:val="Hyperlink"/>
            <w:rFonts w:eastAsia="Times New Roman" w:cstheme="minorHAnsi"/>
            <w:lang w:eastAsia="en-GB"/>
          </w:rPr>
          <w:t>https://www.tate.org.uk/art/artworks/gormley-three-ways-mould-hole-and-passage-t07015#:~:text=Summary-,Summary,simplified%20figure%2C%20cast%20in%20lead</w:t>
        </w:r>
      </w:hyperlink>
      <w:r w:rsidR="008A2EA3">
        <w:rPr>
          <w:rFonts w:eastAsia="Times New Roman" w:cstheme="minorHAnsi"/>
          <w:lang w:eastAsia="en-GB"/>
        </w:rPr>
        <w:t xml:space="preserve"> </w:t>
      </w:r>
      <w:r w:rsidRPr="00573E08">
        <w:rPr>
          <w:rFonts w:eastAsia="Times New Roman" w:cstheme="minorHAnsi"/>
          <w:lang w:eastAsia="en-GB"/>
        </w:rPr>
        <w:t>[Accessed 18 Apr. 2022].</w:t>
      </w:r>
      <w:bookmarkEnd w:id="4"/>
    </w:p>
    <w:p w14:paraId="26091EDD" w14:textId="5F720D10" w:rsidR="00304D0A" w:rsidRDefault="00304D0A" w:rsidP="008A2EA3">
      <w:pPr>
        <w:spacing w:after="240" w:line="240" w:lineRule="auto"/>
        <w:rPr>
          <w:rFonts w:eastAsia="Times New Roman" w:cstheme="minorHAnsi"/>
          <w:color w:val="FF0000"/>
          <w:lang w:eastAsia="en-GB"/>
        </w:rPr>
      </w:pPr>
      <w:r w:rsidRPr="003F3B59">
        <w:rPr>
          <w:rFonts w:eastAsia="Times New Roman" w:cstheme="minorHAnsi"/>
          <w:color w:val="000000"/>
          <w:lang w:eastAsia="en-GB"/>
        </w:rPr>
        <w:lastRenderedPageBreak/>
        <w:t>M</w:t>
      </w:r>
      <w:r>
        <w:rPr>
          <w:rFonts w:eastAsia="Times New Roman" w:cstheme="minorHAnsi"/>
          <w:color w:val="000000"/>
          <w:lang w:eastAsia="en-GB"/>
        </w:rPr>
        <w:t>OMA</w:t>
      </w:r>
      <w:r w:rsidRPr="003F3B59">
        <w:rPr>
          <w:rFonts w:eastAsia="Times New Roman" w:cstheme="minorHAnsi"/>
          <w:color w:val="000000"/>
          <w:lang w:eastAsia="en-GB"/>
        </w:rPr>
        <w:t xml:space="preserve"> (2022)</w:t>
      </w:r>
      <w:r w:rsidRPr="003F3B59">
        <w:rPr>
          <w:rFonts w:eastAsia="Times New Roman" w:cstheme="minorHAnsi"/>
          <w:i/>
          <w:iCs/>
          <w:color w:val="000000"/>
          <w:lang w:eastAsia="en-GB"/>
        </w:rPr>
        <w:t xml:space="preserve"> The Body in Art</w:t>
      </w:r>
      <w:r w:rsidRPr="003F3B59">
        <w:rPr>
          <w:rFonts w:eastAsia="Times New Roman" w:cstheme="minorHAnsi"/>
          <w:color w:val="000000"/>
          <w:lang w:eastAsia="en-GB"/>
        </w:rPr>
        <w:t xml:space="preserve">. [online] Available at: https://www.moma.org/learn/moma_learning/themes/investigating-identity/the-body-in-art/ </w:t>
      </w:r>
      <w:r w:rsidRPr="003F3B59">
        <w:rPr>
          <w:rFonts w:eastAsia="Times New Roman" w:cstheme="minorHAnsi"/>
          <w:color w:val="FF0000"/>
          <w:lang w:eastAsia="en-GB"/>
        </w:rPr>
        <w:t>[Accessed 18 Apr. 2022].</w:t>
      </w:r>
    </w:p>
    <w:p w14:paraId="356C0BAF" w14:textId="2A3A824E" w:rsidR="008A2EA3" w:rsidRPr="008A2EA3" w:rsidRDefault="008A2EA3" w:rsidP="008A2EA3">
      <w:pPr>
        <w:pStyle w:val="NormalWeb"/>
        <w:spacing w:before="0" w:beforeAutospacing="0" w:after="240" w:afterAutospacing="0"/>
        <w:rPr>
          <w:color w:val="000000"/>
        </w:rPr>
      </w:pPr>
      <w:r>
        <w:rPr>
          <w:color w:val="000000"/>
        </w:rPr>
        <w:t xml:space="preserve">MOMA (2022) </w:t>
      </w:r>
      <w:r>
        <w:rPr>
          <w:i/>
          <w:iCs/>
          <w:color w:val="000000"/>
        </w:rPr>
        <w:t>The Materials of Minimalism</w:t>
      </w:r>
      <w:r>
        <w:rPr>
          <w:color w:val="000000"/>
        </w:rPr>
        <w:t xml:space="preserve">. [online] Available at: </w:t>
      </w:r>
      <w:hyperlink r:id="rId26" w:history="1">
        <w:r w:rsidRPr="001B470D">
          <w:rPr>
            <w:rStyle w:val="Hyperlink"/>
          </w:rPr>
          <w:t>https://www.moma.org/learn/moma_learning/themes/minimalism/the-materials-of-minimalism/</w:t>
        </w:r>
      </w:hyperlink>
      <w:r>
        <w:rPr>
          <w:color w:val="000000"/>
        </w:rPr>
        <w:t xml:space="preserve"> [Accessed 18 Apr. 2022].</w:t>
      </w:r>
    </w:p>
    <w:p w14:paraId="402C1AF1" w14:textId="7381CB8F" w:rsidR="00304D0A" w:rsidRDefault="00304D0A" w:rsidP="008A2EA3">
      <w:pPr>
        <w:spacing w:line="240" w:lineRule="auto"/>
        <w:rPr>
          <w:rFonts w:cstheme="minorHAnsi"/>
          <w:color w:val="FF0000"/>
        </w:rPr>
      </w:pPr>
      <w:r w:rsidRPr="002F642A">
        <w:rPr>
          <w:rFonts w:cstheme="minorHAnsi"/>
          <w:color w:val="FF0000"/>
        </w:rPr>
        <w:t xml:space="preserve">Montagu, A (1978) </w:t>
      </w:r>
      <w:r w:rsidRPr="002F642A">
        <w:rPr>
          <w:rFonts w:cstheme="minorHAnsi"/>
          <w:i/>
          <w:iCs/>
          <w:color w:val="FF0000"/>
        </w:rPr>
        <w:t xml:space="preserve">Touching: The Human Significance of the Skin. </w:t>
      </w:r>
      <w:r w:rsidRPr="002F642A">
        <w:rPr>
          <w:rFonts w:cstheme="minorHAnsi"/>
          <w:color w:val="FF0000"/>
        </w:rPr>
        <w:t>2</w:t>
      </w:r>
      <w:r w:rsidRPr="002F642A">
        <w:rPr>
          <w:rFonts w:cstheme="minorHAnsi"/>
          <w:color w:val="FF0000"/>
          <w:vertAlign w:val="superscript"/>
        </w:rPr>
        <w:t>nd</w:t>
      </w:r>
      <w:r w:rsidRPr="002F642A">
        <w:rPr>
          <w:rFonts w:cstheme="minorHAnsi"/>
          <w:color w:val="FF0000"/>
        </w:rPr>
        <w:t xml:space="preserve"> </w:t>
      </w:r>
      <w:proofErr w:type="spellStart"/>
      <w:r w:rsidRPr="002F642A">
        <w:rPr>
          <w:rFonts w:cstheme="minorHAnsi"/>
          <w:color w:val="FF0000"/>
        </w:rPr>
        <w:t>edn</w:t>
      </w:r>
      <w:proofErr w:type="spellEnd"/>
      <w:r w:rsidRPr="002F642A">
        <w:rPr>
          <w:rFonts w:cstheme="minorHAnsi"/>
          <w:color w:val="FF0000"/>
        </w:rPr>
        <w:t>. United Stated of America</w:t>
      </w:r>
    </w:p>
    <w:p w14:paraId="556B2C7A" w14:textId="21A5C201" w:rsidR="00304D0A" w:rsidRPr="008A2EA3" w:rsidRDefault="00304D0A" w:rsidP="008A2EA3">
      <w:pPr>
        <w:spacing w:before="100" w:beforeAutospacing="1" w:after="100" w:afterAutospacing="1" w:line="240" w:lineRule="auto"/>
        <w:rPr>
          <w:rFonts w:cstheme="minorHAnsi"/>
          <w:shd w:val="clear" w:color="auto" w:fill="FFFFFF"/>
        </w:rPr>
      </w:pPr>
      <w:r w:rsidRPr="002F642A">
        <w:rPr>
          <w:rFonts w:cstheme="minorHAnsi"/>
          <w:shd w:val="clear" w:color="auto" w:fill="FFFFFF"/>
        </w:rPr>
        <w:t>Mulvey, L., 1989. </w:t>
      </w:r>
      <w:r w:rsidRPr="002F642A">
        <w:rPr>
          <w:rFonts w:cstheme="minorHAnsi"/>
          <w:i/>
          <w:iCs/>
          <w:shd w:val="clear" w:color="auto" w:fill="FFFFFF"/>
        </w:rPr>
        <w:t>Visual and other pleasures</w:t>
      </w:r>
      <w:r w:rsidRPr="002F642A">
        <w:rPr>
          <w:rFonts w:cstheme="minorHAnsi"/>
          <w:shd w:val="clear" w:color="auto" w:fill="FFFFFF"/>
        </w:rPr>
        <w:t>. Springer.</w:t>
      </w:r>
    </w:p>
    <w:p w14:paraId="0380CA4C" w14:textId="3E7CB6F7" w:rsidR="00304D0A" w:rsidRPr="002F642A" w:rsidRDefault="00304D0A" w:rsidP="008A2EA3">
      <w:pPr>
        <w:spacing w:after="240" w:line="240" w:lineRule="auto"/>
        <w:rPr>
          <w:rFonts w:eastAsia="Times New Roman" w:cstheme="minorHAnsi"/>
          <w:color w:val="FF0000"/>
          <w:lang w:eastAsia="en-GB"/>
        </w:rPr>
      </w:pPr>
      <w:r w:rsidRPr="003F3B59">
        <w:rPr>
          <w:rFonts w:eastAsia="Times New Roman" w:cstheme="minorHAnsi"/>
          <w:color w:val="000000"/>
          <w:lang w:eastAsia="en-GB"/>
        </w:rPr>
        <w:t>Oxford</w:t>
      </w:r>
      <w:r w:rsidRPr="002F642A">
        <w:rPr>
          <w:rFonts w:eastAsia="Times New Roman" w:cstheme="minorHAnsi"/>
          <w:color w:val="000000"/>
          <w:lang w:eastAsia="en-GB"/>
        </w:rPr>
        <w:t xml:space="preserve"> L</w:t>
      </w:r>
      <w:r w:rsidRPr="003F3B59">
        <w:rPr>
          <w:rFonts w:eastAsia="Times New Roman" w:cstheme="minorHAnsi"/>
          <w:color w:val="000000"/>
          <w:lang w:eastAsia="en-GB"/>
        </w:rPr>
        <w:t>earner</w:t>
      </w:r>
      <w:r w:rsidRPr="002F642A">
        <w:rPr>
          <w:rFonts w:eastAsia="Times New Roman" w:cstheme="minorHAnsi"/>
          <w:color w:val="000000"/>
          <w:lang w:eastAsia="en-GB"/>
        </w:rPr>
        <w:t>’s D</w:t>
      </w:r>
      <w:r w:rsidRPr="003F3B59">
        <w:rPr>
          <w:rFonts w:eastAsia="Times New Roman" w:cstheme="minorHAnsi"/>
          <w:color w:val="000000"/>
          <w:lang w:eastAsia="en-GB"/>
        </w:rPr>
        <w:t>ictionaries (2022). </w:t>
      </w:r>
      <w:r w:rsidRPr="002F642A">
        <w:rPr>
          <w:rFonts w:eastAsia="Times New Roman" w:cstheme="minorHAnsi"/>
          <w:i/>
          <w:iCs/>
          <w:color w:val="000000"/>
          <w:lang w:eastAsia="en-GB"/>
        </w:rPr>
        <w:t>Body definition</w:t>
      </w:r>
      <w:r w:rsidRPr="003F3B59">
        <w:rPr>
          <w:rFonts w:eastAsia="Times New Roman" w:cstheme="minorHAnsi"/>
          <w:color w:val="000000"/>
          <w:lang w:eastAsia="en-GB"/>
        </w:rPr>
        <w:t xml:space="preserve">. [online] Available at: https://www.oxfordlearnersdictionaries.com/definition/english/body </w:t>
      </w:r>
      <w:r w:rsidRPr="003F3B59">
        <w:rPr>
          <w:rFonts w:eastAsia="Times New Roman" w:cstheme="minorHAnsi"/>
          <w:color w:val="FF0000"/>
          <w:lang w:eastAsia="en-GB"/>
        </w:rPr>
        <w:t xml:space="preserve">[Accessed </w:t>
      </w:r>
      <w:r>
        <w:rPr>
          <w:rFonts w:eastAsia="Times New Roman" w:cstheme="minorHAnsi"/>
          <w:color w:val="FF0000"/>
          <w:lang w:eastAsia="en-GB"/>
        </w:rPr>
        <w:t>5th</w:t>
      </w:r>
      <w:r w:rsidRPr="003F3B59">
        <w:rPr>
          <w:rFonts w:eastAsia="Times New Roman" w:cstheme="minorHAnsi"/>
          <w:color w:val="FF0000"/>
          <w:lang w:eastAsia="en-GB"/>
        </w:rPr>
        <w:t xml:space="preserve"> Apr. 2022].</w:t>
      </w:r>
    </w:p>
    <w:p w14:paraId="34A42AE9" w14:textId="7BE1C316" w:rsidR="002246E8" w:rsidRDefault="002246E8" w:rsidP="008A2EA3">
      <w:pPr>
        <w:spacing w:before="100" w:beforeAutospacing="1" w:after="100" w:afterAutospacing="1" w:line="240" w:lineRule="auto"/>
        <w:rPr>
          <w:rFonts w:cstheme="minorHAnsi"/>
          <w:shd w:val="clear" w:color="auto" w:fill="FFFFFF"/>
        </w:rPr>
      </w:pPr>
      <w:r w:rsidRPr="002F642A">
        <w:rPr>
          <w:rFonts w:cstheme="minorHAnsi"/>
          <w:shd w:val="clear" w:color="auto" w:fill="FFFFFF"/>
        </w:rPr>
        <w:t>Pellegrini, A. (2007) ‘Art, Activism and Social Change: ‘A Hell of a lot of hard work’—An interview with Karen Finley’’ </w:t>
      </w:r>
      <w:r w:rsidRPr="002F642A">
        <w:rPr>
          <w:rFonts w:cstheme="minorHAnsi"/>
          <w:i/>
          <w:iCs/>
          <w:shd w:val="clear" w:color="auto" w:fill="FFFFFF"/>
        </w:rPr>
        <w:t>Women &amp; Performance: a journal of feminist theory</w:t>
      </w:r>
      <w:r w:rsidRPr="002F642A">
        <w:rPr>
          <w:rFonts w:cstheme="minorHAnsi"/>
          <w:shd w:val="clear" w:color="auto" w:fill="FFFFFF"/>
        </w:rPr>
        <w:t>, </w:t>
      </w:r>
      <w:r w:rsidRPr="002F642A">
        <w:rPr>
          <w:rFonts w:cstheme="minorHAnsi"/>
          <w:i/>
          <w:iCs/>
          <w:shd w:val="clear" w:color="auto" w:fill="FFFFFF"/>
        </w:rPr>
        <w:t>17</w:t>
      </w:r>
      <w:r w:rsidRPr="002F642A">
        <w:rPr>
          <w:rFonts w:cstheme="minorHAnsi"/>
          <w:shd w:val="clear" w:color="auto" w:fill="FFFFFF"/>
        </w:rPr>
        <w:t>(3), pp.331-337.</w:t>
      </w:r>
    </w:p>
    <w:p w14:paraId="78417DB7" w14:textId="6F1067C4" w:rsidR="00304D0A" w:rsidRPr="008A2EA3" w:rsidRDefault="002246E8" w:rsidP="008A2EA3">
      <w:pPr>
        <w:spacing w:after="240" w:line="240" w:lineRule="auto"/>
        <w:rPr>
          <w:rFonts w:cstheme="minorHAnsi"/>
        </w:rPr>
      </w:pPr>
      <w:proofErr w:type="spellStart"/>
      <w:r w:rsidRPr="002F642A">
        <w:rPr>
          <w:rFonts w:cstheme="minorHAnsi"/>
        </w:rPr>
        <w:t>Ruhrberg</w:t>
      </w:r>
      <w:proofErr w:type="spellEnd"/>
      <w:r w:rsidRPr="002F642A">
        <w:rPr>
          <w:rFonts w:cstheme="minorHAnsi"/>
        </w:rPr>
        <w:t xml:space="preserve">, K. et al, (2000). </w:t>
      </w:r>
      <w:r w:rsidRPr="002F642A">
        <w:rPr>
          <w:rFonts w:cstheme="minorHAnsi"/>
          <w:i/>
          <w:iCs/>
        </w:rPr>
        <w:t>Art of the 20th Century</w:t>
      </w:r>
      <w:r w:rsidRPr="002F642A">
        <w:rPr>
          <w:rFonts w:cstheme="minorHAnsi"/>
        </w:rPr>
        <w:t>. Taschen.</w:t>
      </w:r>
    </w:p>
    <w:p w14:paraId="2E176D12" w14:textId="5157A0FF" w:rsidR="00304D0A" w:rsidRDefault="00304D0A" w:rsidP="008A2EA3">
      <w:pPr>
        <w:pStyle w:val="NormalWeb"/>
        <w:spacing w:before="0" w:beforeAutospacing="0" w:after="240" w:afterAutospacing="0"/>
        <w:rPr>
          <w:rFonts w:asciiTheme="minorHAnsi" w:hAnsiTheme="minorHAnsi" w:cstheme="minorHAnsi"/>
          <w:color w:val="000000"/>
          <w:sz w:val="22"/>
          <w:szCs w:val="22"/>
        </w:rPr>
      </w:pPr>
      <w:r w:rsidRPr="002F642A">
        <w:rPr>
          <w:rFonts w:asciiTheme="minorHAnsi" w:hAnsiTheme="minorHAnsi" w:cstheme="minorHAnsi"/>
          <w:color w:val="000000"/>
          <w:sz w:val="22"/>
          <w:szCs w:val="22"/>
        </w:rPr>
        <w:t>Sessions College For Professional Design (2022). </w:t>
      </w:r>
      <w:r w:rsidRPr="002F642A">
        <w:rPr>
          <w:rFonts w:asciiTheme="minorHAnsi" w:hAnsiTheme="minorHAnsi" w:cstheme="minorHAnsi"/>
          <w:i/>
          <w:iCs/>
          <w:color w:val="000000"/>
          <w:sz w:val="22"/>
          <w:szCs w:val="22"/>
        </w:rPr>
        <w:t>History of Art | Art and the Human Body</w:t>
      </w:r>
      <w:r w:rsidRPr="002F642A">
        <w:rPr>
          <w:rFonts w:asciiTheme="minorHAnsi" w:hAnsiTheme="minorHAnsi" w:cstheme="minorHAnsi"/>
          <w:color w:val="000000"/>
          <w:sz w:val="22"/>
          <w:szCs w:val="22"/>
        </w:rPr>
        <w:t xml:space="preserve">. [online] Available at: </w:t>
      </w:r>
      <w:hyperlink r:id="rId27" w:anchor=":~:text=For%20artists%2C%20representing%20the%20human,%2C%20pity%2C%20or%20even%20adoration" w:history="1">
        <w:r w:rsidRPr="002F642A">
          <w:rPr>
            <w:rStyle w:val="Hyperlink"/>
            <w:rFonts w:asciiTheme="minorHAnsi" w:hAnsiTheme="minorHAnsi" w:cstheme="minorHAnsi"/>
            <w:sz w:val="22"/>
            <w:szCs w:val="22"/>
          </w:rPr>
          <w:t>https://documents.sessions.edu/eforms/courseware/coursedocuments/history_of_art/lesson3.html#:~:text=For%20artists%2C%20representing%20the%20human,%2C%20pity%2C%20or%20even%20adoration</w:t>
        </w:r>
      </w:hyperlink>
      <w:r w:rsidRPr="002F642A">
        <w:rPr>
          <w:rFonts w:asciiTheme="minorHAnsi" w:hAnsiTheme="minorHAnsi" w:cstheme="minorHAnsi"/>
          <w:color w:val="000000"/>
          <w:sz w:val="22"/>
          <w:szCs w:val="22"/>
        </w:rPr>
        <w:t xml:space="preserve"> [Accessed 24 March 2022]</w:t>
      </w:r>
    </w:p>
    <w:p w14:paraId="29C83832" w14:textId="5BD6B7DC" w:rsidR="002246E8" w:rsidRPr="008A2EA3" w:rsidRDefault="002246E8" w:rsidP="008A2EA3">
      <w:pPr>
        <w:spacing w:before="100" w:beforeAutospacing="1" w:after="100" w:afterAutospacing="1" w:line="240" w:lineRule="auto"/>
        <w:rPr>
          <w:rFonts w:cstheme="minorHAnsi"/>
          <w:i/>
          <w:iCs/>
        </w:rPr>
      </w:pPr>
      <w:proofErr w:type="spellStart"/>
      <w:r w:rsidRPr="002F642A">
        <w:rPr>
          <w:rFonts w:cstheme="minorHAnsi"/>
          <w:shd w:val="clear" w:color="auto" w:fill="FFFFFF"/>
        </w:rPr>
        <w:t>Striff</w:t>
      </w:r>
      <w:proofErr w:type="spellEnd"/>
      <w:r w:rsidRPr="002F642A">
        <w:rPr>
          <w:rFonts w:cstheme="minorHAnsi"/>
          <w:shd w:val="clear" w:color="auto" w:fill="FFFFFF"/>
        </w:rPr>
        <w:t>, E. (1997) ‘</w:t>
      </w:r>
      <w:r w:rsidRPr="002F642A">
        <w:rPr>
          <w:rFonts w:cstheme="minorHAnsi"/>
          <w:i/>
          <w:iCs/>
        </w:rPr>
        <w:t>Bodies of Evidence: Feminist Performance Art’, Critical Survey, 9</w:t>
      </w:r>
      <w:r w:rsidRPr="002F642A">
        <w:rPr>
          <w:rFonts w:cstheme="minorHAnsi"/>
        </w:rPr>
        <w:t>(1),</w:t>
      </w:r>
      <w:r w:rsidRPr="002F642A">
        <w:rPr>
          <w:rFonts w:cstheme="minorHAnsi"/>
          <w:i/>
          <w:iCs/>
        </w:rPr>
        <w:t xml:space="preserve"> pp. 1-18</w:t>
      </w:r>
    </w:p>
    <w:p w14:paraId="006FAA97" w14:textId="6369CE60" w:rsidR="00304D0A" w:rsidRPr="008A2EA3" w:rsidRDefault="00304D0A" w:rsidP="008A2EA3">
      <w:pPr>
        <w:spacing w:after="240" w:line="240" w:lineRule="auto"/>
        <w:rPr>
          <w:rFonts w:cstheme="minorHAnsi"/>
          <w:shd w:val="clear" w:color="auto" w:fill="FFFFFF"/>
        </w:rPr>
      </w:pPr>
      <w:r w:rsidRPr="002F642A">
        <w:rPr>
          <w:rFonts w:cstheme="minorHAnsi"/>
          <w:shd w:val="clear" w:color="auto" w:fill="FFFFFF"/>
        </w:rPr>
        <w:t>Suleiman, S.R. ed., (1986) </w:t>
      </w:r>
      <w:r w:rsidRPr="002F642A">
        <w:rPr>
          <w:rFonts w:cstheme="minorHAnsi"/>
          <w:i/>
          <w:iCs/>
          <w:shd w:val="clear" w:color="auto" w:fill="FFFFFF"/>
        </w:rPr>
        <w:t>The female body in Western culture: Contemporary perspectives</w:t>
      </w:r>
      <w:r w:rsidRPr="002F642A">
        <w:rPr>
          <w:rFonts w:cstheme="minorHAnsi"/>
          <w:shd w:val="clear" w:color="auto" w:fill="FFFFFF"/>
        </w:rPr>
        <w:t> (Vol. 6, No. 1-2). Harvard University Press.</w:t>
      </w:r>
    </w:p>
    <w:p w14:paraId="3342B75F" w14:textId="1B3E7494" w:rsidR="00304D0A" w:rsidRDefault="00304D0A" w:rsidP="008A2EA3">
      <w:pPr>
        <w:spacing w:line="240" w:lineRule="auto"/>
        <w:rPr>
          <w:rStyle w:val="serialtitle"/>
          <w:rFonts w:cstheme="minorHAnsi"/>
          <w:shd w:val="clear" w:color="auto" w:fill="FFFFFF"/>
        </w:rPr>
      </w:pPr>
      <w:r w:rsidRPr="00C24320">
        <w:rPr>
          <w:rStyle w:val="authors"/>
          <w:rFonts w:cstheme="minorHAnsi"/>
          <w:shd w:val="clear" w:color="auto" w:fill="FFFFFF"/>
        </w:rPr>
        <w:t>Tacha, A.</w:t>
      </w:r>
      <w:r w:rsidRPr="00C24320">
        <w:rPr>
          <w:rFonts w:cstheme="minorHAnsi"/>
          <w:shd w:val="clear" w:color="auto" w:fill="FFFFFF"/>
        </w:rPr>
        <w:t> </w:t>
      </w:r>
      <w:r w:rsidRPr="00C24320">
        <w:rPr>
          <w:rStyle w:val="Date1"/>
          <w:rFonts w:cstheme="minorHAnsi"/>
          <w:shd w:val="clear" w:color="auto" w:fill="FFFFFF"/>
        </w:rPr>
        <w:t>(1963)</w:t>
      </w:r>
      <w:r w:rsidRPr="00C24320">
        <w:rPr>
          <w:rFonts w:cstheme="minorHAnsi"/>
          <w:shd w:val="clear" w:color="auto" w:fill="FFFFFF"/>
        </w:rPr>
        <w:t> </w:t>
      </w:r>
      <w:r w:rsidRPr="00C24320">
        <w:rPr>
          <w:rStyle w:val="arttitle"/>
          <w:rFonts w:cstheme="minorHAnsi"/>
          <w:i/>
          <w:iCs/>
          <w:shd w:val="clear" w:color="auto" w:fill="FFFFFF"/>
        </w:rPr>
        <w:t xml:space="preserve">Brancusi: Legend, </w:t>
      </w:r>
      <w:proofErr w:type="gramStart"/>
      <w:r w:rsidRPr="00C24320">
        <w:rPr>
          <w:rStyle w:val="arttitle"/>
          <w:rFonts w:cstheme="minorHAnsi"/>
          <w:i/>
          <w:iCs/>
          <w:shd w:val="clear" w:color="auto" w:fill="FFFFFF"/>
        </w:rPr>
        <w:t>Reality</w:t>
      </w:r>
      <w:proofErr w:type="gramEnd"/>
      <w:r w:rsidRPr="00C24320">
        <w:rPr>
          <w:rStyle w:val="arttitle"/>
          <w:rFonts w:cstheme="minorHAnsi"/>
          <w:i/>
          <w:iCs/>
          <w:shd w:val="clear" w:color="auto" w:fill="FFFFFF"/>
        </w:rPr>
        <w:t xml:space="preserve"> and Impact</w:t>
      </w:r>
      <w:r w:rsidRPr="00C24320">
        <w:rPr>
          <w:rStyle w:val="arttitle"/>
          <w:rFonts w:cstheme="minorHAnsi"/>
          <w:shd w:val="clear" w:color="auto" w:fill="FFFFFF"/>
        </w:rPr>
        <w:t>,</w:t>
      </w:r>
      <w:r w:rsidRPr="00C24320">
        <w:rPr>
          <w:rFonts w:cstheme="minorHAnsi"/>
          <w:shd w:val="clear" w:color="auto" w:fill="FFFFFF"/>
        </w:rPr>
        <w:t xml:space="preserve"> in </w:t>
      </w:r>
      <w:r w:rsidRPr="00C24320">
        <w:rPr>
          <w:rStyle w:val="serialtitle"/>
          <w:rFonts w:cstheme="minorHAnsi"/>
          <w:shd w:val="clear" w:color="auto" w:fill="FFFFFF"/>
        </w:rPr>
        <w:t>Art Journal, 22</w:t>
      </w:r>
    </w:p>
    <w:p w14:paraId="3255F05B" w14:textId="77777777" w:rsidR="002246E8" w:rsidRPr="002F642A" w:rsidRDefault="002246E8" w:rsidP="008A2EA3">
      <w:pPr>
        <w:spacing w:after="240" w:line="240" w:lineRule="auto"/>
        <w:rPr>
          <w:rFonts w:eastAsia="Times New Roman" w:cstheme="minorHAnsi"/>
          <w:lang w:eastAsia="en-GB"/>
        </w:rPr>
      </w:pPr>
      <w:r w:rsidRPr="002F642A">
        <w:rPr>
          <w:rFonts w:eastAsia="Times New Roman" w:cstheme="minorHAnsi"/>
          <w:lang w:eastAsia="en-GB"/>
        </w:rPr>
        <w:t>Tate (2022). </w:t>
      </w:r>
      <w:proofErr w:type="spellStart"/>
      <w:r w:rsidRPr="002F642A">
        <w:rPr>
          <w:rFonts w:eastAsia="Times New Roman" w:cstheme="minorHAnsi"/>
          <w:i/>
          <w:iCs/>
          <w:lang w:eastAsia="en-GB"/>
        </w:rPr>
        <w:t>Arte</w:t>
      </w:r>
      <w:proofErr w:type="spellEnd"/>
      <w:r w:rsidRPr="002F642A">
        <w:rPr>
          <w:rFonts w:eastAsia="Times New Roman" w:cstheme="minorHAnsi"/>
          <w:i/>
          <w:iCs/>
          <w:lang w:eastAsia="en-GB"/>
        </w:rPr>
        <w:t xml:space="preserve"> povera </w:t>
      </w:r>
      <w:r w:rsidRPr="002F642A">
        <w:rPr>
          <w:rFonts w:eastAsia="Times New Roman" w:cstheme="minorHAnsi"/>
          <w:lang w:eastAsia="en-GB"/>
        </w:rPr>
        <w:t>[online] Tate. Available at: https://www.tate.org.uk/art/art-terms/a/arte-povera [Accessed 17 Apr. 2022].</w:t>
      </w:r>
    </w:p>
    <w:p w14:paraId="5940DE8D" w14:textId="77777777" w:rsidR="002246E8" w:rsidRPr="002F642A" w:rsidRDefault="002246E8" w:rsidP="008A2EA3">
      <w:pPr>
        <w:spacing w:after="240" w:line="240" w:lineRule="auto"/>
        <w:rPr>
          <w:rFonts w:eastAsia="Times New Roman" w:cstheme="minorHAnsi"/>
          <w:lang w:eastAsia="en-GB"/>
        </w:rPr>
      </w:pPr>
      <w:r w:rsidRPr="002F642A">
        <w:rPr>
          <w:rFonts w:eastAsia="Times New Roman" w:cstheme="minorHAnsi"/>
          <w:lang w:eastAsia="en-GB"/>
        </w:rPr>
        <w:t>Tate (2022). </w:t>
      </w:r>
      <w:r w:rsidRPr="002F642A">
        <w:rPr>
          <w:rFonts w:eastAsia="Times New Roman" w:cstheme="minorHAnsi"/>
          <w:i/>
          <w:iCs/>
          <w:lang w:eastAsia="en-GB"/>
        </w:rPr>
        <w:t>Materials Coursework Guide</w:t>
      </w:r>
      <w:r w:rsidRPr="002F642A">
        <w:rPr>
          <w:rFonts w:eastAsia="Times New Roman" w:cstheme="minorHAnsi"/>
          <w:lang w:eastAsia="en-GB"/>
        </w:rPr>
        <w:t xml:space="preserve"> [online] Tate. Available at: https://www.tate.org.uk/art/student-resource/exam-help/materials [Accessed 12 Apr. 2022].</w:t>
      </w:r>
    </w:p>
    <w:p w14:paraId="460B15F3" w14:textId="6D1F2299" w:rsidR="002246E8" w:rsidRPr="008A2EA3" w:rsidRDefault="002246E8" w:rsidP="008A2EA3">
      <w:pPr>
        <w:pStyle w:val="NormalWeb"/>
        <w:spacing w:before="0" w:beforeAutospacing="0" w:after="240" w:afterAutospacing="0"/>
        <w:rPr>
          <w:rStyle w:val="serialtitle"/>
          <w:rFonts w:asciiTheme="minorHAnsi" w:hAnsiTheme="minorHAnsi" w:cstheme="minorHAnsi"/>
          <w:sz w:val="22"/>
          <w:szCs w:val="22"/>
        </w:rPr>
      </w:pPr>
      <w:r w:rsidRPr="002F642A">
        <w:rPr>
          <w:rFonts w:asciiTheme="minorHAnsi" w:hAnsiTheme="minorHAnsi" w:cstheme="minorHAnsi"/>
          <w:sz w:val="22"/>
          <w:szCs w:val="22"/>
        </w:rPr>
        <w:t>Tate (2017). </w:t>
      </w:r>
      <w:r w:rsidRPr="002F642A">
        <w:rPr>
          <w:rFonts w:asciiTheme="minorHAnsi" w:hAnsiTheme="minorHAnsi" w:cstheme="minorHAnsi"/>
          <w:i/>
          <w:iCs/>
          <w:sz w:val="22"/>
          <w:szCs w:val="22"/>
        </w:rPr>
        <w:t xml:space="preserve">Minimalism </w:t>
      </w:r>
      <w:r w:rsidRPr="002F642A">
        <w:rPr>
          <w:rFonts w:asciiTheme="minorHAnsi" w:hAnsiTheme="minorHAnsi" w:cstheme="minorHAnsi"/>
          <w:sz w:val="22"/>
          <w:szCs w:val="22"/>
        </w:rPr>
        <w:t>[online] Tate. Available at: https://www.tate.org.uk/art/art-terms/m/minimalism [Accessed 18 Apr. 2022].</w:t>
      </w:r>
    </w:p>
    <w:p w14:paraId="53C00AA1" w14:textId="77777777" w:rsidR="00304D0A" w:rsidRPr="002F642A" w:rsidRDefault="00304D0A" w:rsidP="008A2EA3">
      <w:pPr>
        <w:pStyle w:val="NormalWeb"/>
        <w:rPr>
          <w:rFonts w:asciiTheme="minorHAnsi" w:hAnsiTheme="minorHAnsi" w:cstheme="minorHAnsi"/>
          <w:color w:val="000000"/>
          <w:sz w:val="22"/>
          <w:szCs w:val="22"/>
        </w:rPr>
      </w:pPr>
      <w:r w:rsidRPr="002F642A">
        <w:rPr>
          <w:rFonts w:asciiTheme="minorHAnsi" w:hAnsiTheme="minorHAnsi" w:cstheme="minorHAnsi"/>
          <w:color w:val="000000"/>
          <w:sz w:val="22"/>
          <w:szCs w:val="22"/>
        </w:rPr>
        <w:t xml:space="preserve">The Art Story. (2022). Body Art Movement Overview. [online] Available at: </w:t>
      </w:r>
      <w:hyperlink r:id="rId28" w:history="1">
        <w:r w:rsidRPr="002F642A">
          <w:rPr>
            <w:rStyle w:val="Hyperlink"/>
            <w:rFonts w:asciiTheme="minorHAnsi" w:hAnsiTheme="minorHAnsi" w:cstheme="minorHAnsi"/>
            <w:sz w:val="22"/>
            <w:szCs w:val="22"/>
          </w:rPr>
          <w:t>https://www.theartstory.org/movement/body-art/</w:t>
        </w:r>
      </w:hyperlink>
      <w:r w:rsidRPr="002F642A">
        <w:rPr>
          <w:rFonts w:asciiTheme="minorHAnsi" w:hAnsiTheme="minorHAnsi" w:cstheme="minorHAnsi"/>
          <w:color w:val="000000"/>
          <w:sz w:val="22"/>
          <w:szCs w:val="22"/>
        </w:rPr>
        <w:t xml:space="preserve"> [Accessed 23 March 2022]</w:t>
      </w:r>
    </w:p>
    <w:p w14:paraId="7C7C8E77" w14:textId="4A8AB4A5" w:rsidR="00304D0A" w:rsidRDefault="00304D0A" w:rsidP="008A2EA3">
      <w:pPr>
        <w:spacing w:line="240" w:lineRule="auto"/>
      </w:pPr>
      <w:r w:rsidRPr="002F642A">
        <w:rPr>
          <w:rFonts w:cstheme="minorHAnsi"/>
        </w:rPr>
        <w:t>Zygmont, B</w:t>
      </w:r>
      <w:r w:rsidRPr="002F642A">
        <w:rPr>
          <w:rFonts w:eastAsia="Times New Roman" w:cstheme="minorHAnsi"/>
          <w:lang w:eastAsia="en-GB"/>
        </w:rPr>
        <w:t xml:space="preserve"> (2022). Venus of Willendorf [online] Available at: https://www.khanacademy.org/humanities/prehistoric-art/paleolithic/paleolithic-objects/a/venus-of-willendorf [Accessed 18 Apr. 2022].</w:t>
      </w:r>
    </w:p>
    <w:p w14:paraId="7BE1B27C" w14:textId="437C3C74" w:rsidR="002933BE" w:rsidRDefault="002933BE" w:rsidP="002933BE">
      <w:pPr>
        <w:spacing w:line="360" w:lineRule="auto"/>
      </w:pPr>
    </w:p>
    <w:p w14:paraId="102810AD" w14:textId="23DDFD47" w:rsidR="002933BE" w:rsidRDefault="008A2EA3" w:rsidP="002933BE">
      <w:pPr>
        <w:spacing w:line="360" w:lineRule="auto"/>
      </w:pPr>
      <w:r>
        <w:t>Figures:</w:t>
      </w:r>
    </w:p>
    <w:p w14:paraId="164A3FF9" w14:textId="77777777" w:rsidR="008A2EA3" w:rsidRDefault="008A2EA3" w:rsidP="002933BE">
      <w:pPr>
        <w:spacing w:line="360" w:lineRule="auto"/>
      </w:pPr>
    </w:p>
    <w:p w14:paraId="71FD464A" w14:textId="41ED5C51" w:rsidR="002933BE" w:rsidRDefault="002933BE" w:rsidP="002933BE">
      <w:pPr>
        <w:spacing w:line="360" w:lineRule="auto"/>
      </w:pPr>
    </w:p>
    <w:p w14:paraId="49FB5EA0" w14:textId="510AED22" w:rsidR="002933BE" w:rsidRDefault="002933BE" w:rsidP="002933BE">
      <w:pPr>
        <w:spacing w:line="360" w:lineRule="auto"/>
      </w:pPr>
    </w:p>
    <w:p w14:paraId="225E8A36" w14:textId="5CA55CCC" w:rsidR="002F74F5" w:rsidRDefault="002F74F5" w:rsidP="00761CE1"/>
    <w:p w14:paraId="49C4D663" w14:textId="1F615EAC" w:rsidR="002F74F5" w:rsidRDefault="002F74F5" w:rsidP="00761CE1"/>
    <w:p w14:paraId="7579A3A1" w14:textId="56874BB3" w:rsidR="002F74F5" w:rsidRDefault="002F74F5" w:rsidP="00761CE1"/>
    <w:p w14:paraId="1F7007BE" w14:textId="27E5C536" w:rsidR="002F74F5" w:rsidRDefault="002F74F5" w:rsidP="00761CE1"/>
    <w:p w14:paraId="34CB8382" w14:textId="7E80D25D" w:rsidR="002F74F5" w:rsidRDefault="002F74F5" w:rsidP="00761CE1"/>
    <w:p w14:paraId="7F6FCAB4" w14:textId="77777777" w:rsidR="00BE5AE1" w:rsidRPr="00BE5AE1" w:rsidRDefault="00BE5AE1" w:rsidP="00BE5A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E5AE1">
        <w:rPr>
          <w:rFonts w:ascii="Times New Roman" w:eastAsia="Times New Roman" w:hAnsi="Times New Roman" w:cs="Times New Roman"/>
          <w:color w:val="000000"/>
          <w:sz w:val="24"/>
          <w:szCs w:val="24"/>
          <w:lang w:eastAsia="en-GB"/>
        </w:rPr>
        <w:t>‌</w:t>
      </w:r>
    </w:p>
    <w:p w14:paraId="3D5F8861" w14:textId="77777777" w:rsidR="00BE5AE1" w:rsidRDefault="00BE5AE1" w:rsidP="00A956BC"/>
    <w:p w14:paraId="22EE171E" w14:textId="77777777" w:rsidR="00BE5844" w:rsidRDefault="00BE5844" w:rsidP="00761CE1"/>
    <w:p w14:paraId="5A94AED7" w14:textId="77777777" w:rsidR="00BE5844" w:rsidRDefault="00BE5844" w:rsidP="00761CE1"/>
    <w:p w14:paraId="60A4DC72" w14:textId="77777777" w:rsidR="00BE5844" w:rsidRDefault="00BE5844" w:rsidP="00761CE1"/>
    <w:p w14:paraId="2577B9D1" w14:textId="77777777" w:rsidR="00BE5844" w:rsidRDefault="00BE5844" w:rsidP="00761CE1"/>
    <w:p w14:paraId="5C6CA50C" w14:textId="77777777" w:rsidR="00BE5844" w:rsidRDefault="00BE5844" w:rsidP="00761CE1"/>
    <w:p w14:paraId="0770F435" w14:textId="77777777" w:rsidR="00403D6E" w:rsidRPr="006C55AC" w:rsidRDefault="00403D6E"/>
    <w:sectPr w:rsidR="00403D6E" w:rsidRPr="006C5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212A0"/>
    <w:multiLevelType w:val="multilevel"/>
    <w:tmpl w:val="84DEA0E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BB4296"/>
    <w:multiLevelType w:val="hybridMultilevel"/>
    <w:tmpl w:val="1B8E8970"/>
    <w:lvl w:ilvl="0" w:tplc="6F941A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751AA"/>
    <w:multiLevelType w:val="multilevel"/>
    <w:tmpl w:val="70BE8ECC"/>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3C84687"/>
    <w:multiLevelType w:val="hybridMultilevel"/>
    <w:tmpl w:val="41249844"/>
    <w:lvl w:ilvl="0" w:tplc="0C207C7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11395F"/>
    <w:multiLevelType w:val="multilevel"/>
    <w:tmpl w:val="6338C52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2F2780"/>
    <w:multiLevelType w:val="hybridMultilevel"/>
    <w:tmpl w:val="653AE6D0"/>
    <w:lvl w:ilvl="0" w:tplc="02D869E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41F80"/>
    <w:multiLevelType w:val="multilevel"/>
    <w:tmpl w:val="3F9C90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8644DE"/>
    <w:multiLevelType w:val="hybridMultilevel"/>
    <w:tmpl w:val="EC728CEC"/>
    <w:lvl w:ilvl="0" w:tplc="846A37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A31CF"/>
    <w:multiLevelType w:val="multilevel"/>
    <w:tmpl w:val="30660226"/>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B94294D"/>
    <w:multiLevelType w:val="multilevel"/>
    <w:tmpl w:val="600635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361714714">
    <w:abstractNumId w:val="7"/>
  </w:num>
  <w:num w:numId="2" w16cid:durableId="1823695299">
    <w:abstractNumId w:val="1"/>
  </w:num>
  <w:num w:numId="3" w16cid:durableId="1473674765">
    <w:abstractNumId w:val="3"/>
  </w:num>
  <w:num w:numId="4" w16cid:durableId="108551032">
    <w:abstractNumId w:val="4"/>
  </w:num>
  <w:num w:numId="5" w16cid:durableId="1093941238">
    <w:abstractNumId w:val="2"/>
  </w:num>
  <w:num w:numId="6" w16cid:durableId="403799328">
    <w:abstractNumId w:val="0"/>
  </w:num>
  <w:num w:numId="7" w16cid:durableId="60956552">
    <w:abstractNumId w:val="8"/>
  </w:num>
  <w:num w:numId="8" w16cid:durableId="1410037667">
    <w:abstractNumId w:val="6"/>
  </w:num>
  <w:num w:numId="9" w16cid:durableId="1750422256">
    <w:abstractNumId w:val="9"/>
  </w:num>
  <w:num w:numId="10" w16cid:durableId="1749034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E3B"/>
    <w:rsid w:val="00000D1F"/>
    <w:rsid w:val="0000200A"/>
    <w:rsid w:val="00003E46"/>
    <w:rsid w:val="00014785"/>
    <w:rsid w:val="0002093B"/>
    <w:rsid w:val="00046EDD"/>
    <w:rsid w:val="000531CF"/>
    <w:rsid w:val="00080F8E"/>
    <w:rsid w:val="00091FD2"/>
    <w:rsid w:val="0009218D"/>
    <w:rsid w:val="00095629"/>
    <w:rsid w:val="000B56B6"/>
    <w:rsid w:val="000B6D6D"/>
    <w:rsid w:val="000C614B"/>
    <w:rsid w:val="000D5555"/>
    <w:rsid w:val="000D7D44"/>
    <w:rsid w:val="000E3079"/>
    <w:rsid w:val="000E34FB"/>
    <w:rsid w:val="000F210B"/>
    <w:rsid w:val="000F3B08"/>
    <w:rsid w:val="001057AE"/>
    <w:rsid w:val="001140C0"/>
    <w:rsid w:val="001141EC"/>
    <w:rsid w:val="00133C87"/>
    <w:rsid w:val="001500FE"/>
    <w:rsid w:val="00150D26"/>
    <w:rsid w:val="00160216"/>
    <w:rsid w:val="00173359"/>
    <w:rsid w:val="001773C6"/>
    <w:rsid w:val="00186E3B"/>
    <w:rsid w:val="00193CE5"/>
    <w:rsid w:val="001A330C"/>
    <w:rsid w:val="001B558A"/>
    <w:rsid w:val="001E096D"/>
    <w:rsid w:val="001E533C"/>
    <w:rsid w:val="002246E8"/>
    <w:rsid w:val="002273CF"/>
    <w:rsid w:val="00232377"/>
    <w:rsid w:val="00232AD2"/>
    <w:rsid w:val="0024392C"/>
    <w:rsid w:val="0025296B"/>
    <w:rsid w:val="00263F6F"/>
    <w:rsid w:val="00282F0E"/>
    <w:rsid w:val="002933BE"/>
    <w:rsid w:val="00297A34"/>
    <w:rsid w:val="002A2657"/>
    <w:rsid w:val="002B45C1"/>
    <w:rsid w:val="002C2F19"/>
    <w:rsid w:val="002E5751"/>
    <w:rsid w:val="002F4488"/>
    <w:rsid w:val="002F74F5"/>
    <w:rsid w:val="003031AD"/>
    <w:rsid w:val="00304731"/>
    <w:rsid w:val="00304D0A"/>
    <w:rsid w:val="00313800"/>
    <w:rsid w:val="00321C58"/>
    <w:rsid w:val="003451AD"/>
    <w:rsid w:val="00347101"/>
    <w:rsid w:val="00347700"/>
    <w:rsid w:val="00352110"/>
    <w:rsid w:val="0035223C"/>
    <w:rsid w:val="0036133E"/>
    <w:rsid w:val="00380E0F"/>
    <w:rsid w:val="00381941"/>
    <w:rsid w:val="00384516"/>
    <w:rsid w:val="00394FA8"/>
    <w:rsid w:val="003B6634"/>
    <w:rsid w:val="003C60BD"/>
    <w:rsid w:val="003D7939"/>
    <w:rsid w:val="003E014E"/>
    <w:rsid w:val="003F0BB1"/>
    <w:rsid w:val="003F47F6"/>
    <w:rsid w:val="00403D6E"/>
    <w:rsid w:val="004045A9"/>
    <w:rsid w:val="00404EE3"/>
    <w:rsid w:val="00406599"/>
    <w:rsid w:val="004156AD"/>
    <w:rsid w:val="00415D57"/>
    <w:rsid w:val="00432858"/>
    <w:rsid w:val="00433EBC"/>
    <w:rsid w:val="004430C2"/>
    <w:rsid w:val="00454F48"/>
    <w:rsid w:val="0046358B"/>
    <w:rsid w:val="00475698"/>
    <w:rsid w:val="0048456B"/>
    <w:rsid w:val="004C3A9D"/>
    <w:rsid w:val="004D188D"/>
    <w:rsid w:val="004D7481"/>
    <w:rsid w:val="004E21E7"/>
    <w:rsid w:val="004E2586"/>
    <w:rsid w:val="005143F3"/>
    <w:rsid w:val="00516A41"/>
    <w:rsid w:val="00522D75"/>
    <w:rsid w:val="005238A8"/>
    <w:rsid w:val="00527A8E"/>
    <w:rsid w:val="0053485E"/>
    <w:rsid w:val="005371CE"/>
    <w:rsid w:val="00544C47"/>
    <w:rsid w:val="00553E1F"/>
    <w:rsid w:val="00573E08"/>
    <w:rsid w:val="00574007"/>
    <w:rsid w:val="0058585F"/>
    <w:rsid w:val="005917E6"/>
    <w:rsid w:val="00594959"/>
    <w:rsid w:val="005B59A0"/>
    <w:rsid w:val="005C67C3"/>
    <w:rsid w:val="005C6B7A"/>
    <w:rsid w:val="005D07E7"/>
    <w:rsid w:val="005D1B35"/>
    <w:rsid w:val="005F0473"/>
    <w:rsid w:val="005F521F"/>
    <w:rsid w:val="00616E70"/>
    <w:rsid w:val="00636106"/>
    <w:rsid w:val="00643B52"/>
    <w:rsid w:val="00646B70"/>
    <w:rsid w:val="006614AF"/>
    <w:rsid w:val="00667ECA"/>
    <w:rsid w:val="00676B81"/>
    <w:rsid w:val="00685EB9"/>
    <w:rsid w:val="006922D1"/>
    <w:rsid w:val="006A6719"/>
    <w:rsid w:val="006A6D24"/>
    <w:rsid w:val="006C55AC"/>
    <w:rsid w:val="006F4C00"/>
    <w:rsid w:val="00700C7C"/>
    <w:rsid w:val="007045B1"/>
    <w:rsid w:val="00711887"/>
    <w:rsid w:val="007118E4"/>
    <w:rsid w:val="007153B9"/>
    <w:rsid w:val="00716A0B"/>
    <w:rsid w:val="00724D72"/>
    <w:rsid w:val="0073296F"/>
    <w:rsid w:val="00740996"/>
    <w:rsid w:val="00741B1F"/>
    <w:rsid w:val="00761CE1"/>
    <w:rsid w:val="0076767F"/>
    <w:rsid w:val="007740B8"/>
    <w:rsid w:val="007835BA"/>
    <w:rsid w:val="0079325C"/>
    <w:rsid w:val="00794AC5"/>
    <w:rsid w:val="007A44D8"/>
    <w:rsid w:val="007B53D9"/>
    <w:rsid w:val="007B6AAB"/>
    <w:rsid w:val="007B727C"/>
    <w:rsid w:val="007C0E67"/>
    <w:rsid w:val="007C2C1C"/>
    <w:rsid w:val="007C4590"/>
    <w:rsid w:val="007C627A"/>
    <w:rsid w:val="007E1A3F"/>
    <w:rsid w:val="007E3B18"/>
    <w:rsid w:val="007F6B67"/>
    <w:rsid w:val="007F791A"/>
    <w:rsid w:val="00823D84"/>
    <w:rsid w:val="008326B2"/>
    <w:rsid w:val="00832B3F"/>
    <w:rsid w:val="00840251"/>
    <w:rsid w:val="00851F3F"/>
    <w:rsid w:val="00876F67"/>
    <w:rsid w:val="00882830"/>
    <w:rsid w:val="00883ABE"/>
    <w:rsid w:val="0089428B"/>
    <w:rsid w:val="008A2EA3"/>
    <w:rsid w:val="008A6A67"/>
    <w:rsid w:val="008A6E26"/>
    <w:rsid w:val="008A73CE"/>
    <w:rsid w:val="008B3671"/>
    <w:rsid w:val="008B57FE"/>
    <w:rsid w:val="008C34F8"/>
    <w:rsid w:val="008C5606"/>
    <w:rsid w:val="008C6AD7"/>
    <w:rsid w:val="008F2844"/>
    <w:rsid w:val="00916C1B"/>
    <w:rsid w:val="009355C9"/>
    <w:rsid w:val="00955CB5"/>
    <w:rsid w:val="009573EB"/>
    <w:rsid w:val="0097656D"/>
    <w:rsid w:val="00983A66"/>
    <w:rsid w:val="009C279F"/>
    <w:rsid w:val="009C2ACA"/>
    <w:rsid w:val="009D655B"/>
    <w:rsid w:val="009E7D84"/>
    <w:rsid w:val="00A01D48"/>
    <w:rsid w:val="00A05ECB"/>
    <w:rsid w:val="00A10E88"/>
    <w:rsid w:val="00A23DA4"/>
    <w:rsid w:val="00A267E7"/>
    <w:rsid w:val="00A31D90"/>
    <w:rsid w:val="00A43503"/>
    <w:rsid w:val="00A516E1"/>
    <w:rsid w:val="00A55D91"/>
    <w:rsid w:val="00A956BC"/>
    <w:rsid w:val="00AB3FF5"/>
    <w:rsid w:val="00AB406A"/>
    <w:rsid w:val="00AC3212"/>
    <w:rsid w:val="00AC39DE"/>
    <w:rsid w:val="00AD6724"/>
    <w:rsid w:val="00AD768E"/>
    <w:rsid w:val="00AE1E9E"/>
    <w:rsid w:val="00AE79A0"/>
    <w:rsid w:val="00AF4B2F"/>
    <w:rsid w:val="00B04DBF"/>
    <w:rsid w:val="00B14F98"/>
    <w:rsid w:val="00B26C9B"/>
    <w:rsid w:val="00B3330B"/>
    <w:rsid w:val="00B468B5"/>
    <w:rsid w:val="00B47049"/>
    <w:rsid w:val="00B51091"/>
    <w:rsid w:val="00B51F2D"/>
    <w:rsid w:val="00B61933"/>
    <w:rsid w:val="00B6435D"/>
    <w:rsid w:val="00B71B8C"/>
    <w:rsid w:val="00B85BF1"/>
    <w:rsid w:val="00B86967"/>
    <w:rsid w:val="00BA20FF"/>
    <w:rsid w:val="00BA3689"/>
    <w:rsid w:val="00BC2394"/>
    <w:rsid w:val="00BC25CB"/>
    <w:rsid w:val="00BC5068"/>
    <w:rsid w:val="00BD34C2"/>
    <w:rsid w:val="00BD789A"/>
    <w:rsid w:val="00BE5844"/>
    <w:rsid w:val="00BE5AE1"/>
    <w:rsid w:val="00BE6982"/>
    <w:rsid w:val="00BF7B55"/>
    <w:rsid w:val="00C143A1"/>
    <w:rsid w:val="00C308A3"/>
    <w:rsid w:val="00C31138"/>
    <w:rsid w:val="00C3709C"/>
    <w:rsid w:val="00C426AD"/>
    <w:rsid w:val="00C666F6"/>
    <w:rsid w:val="00C77744"/>
    <w:rsid w:val="00C80D14"/>
    <w:rsid w:val="00C81536"/>
    <w:rsid w:val="00C81746"/>
    <w:rsid w:val="00C83C24"/>
    <w:rsid w:val="00C854ED"/>
    <w:rsid w:val="00C86313"/>
    <w:rsid w:val="00C90875"/>
    <w:rsid w:val="00C93E8B"/>
    <w:rsid w:val="00CA239F"/>
    <w:rsid w:val="00CC2BB7"/>
    <w:rsid w:val="00CD5D9B"/>
    <w:rsid w:val="00CE3A6E"/>
    <w:rsid w:val="00D0129B"/>
    <w:rsid w:val="00D1389B"/>
    <w:rsid w:val="00D143C1"/>
    <w:rsid w:val="00D25E75"/>
    <w:rsid w:val="00D52CC1"/>
    <w:rsid w:val="00D84678"/>
    <w:rsid w:val="00D93A46"/>
    <w:rsid w:val="00DA4471"/>
    <w:rsid w:val="00DB1496"/>
    <w:rsid w:val="00DB4685"/>
    <w:rsid w:val="00DB64DE"/>
    <w:rsid w:val="00DD3408"/>
    <w:rsid w:val="00DD54DA"/>
    <w:rsid w:val="00DE0E67"/>
    <w:rsid w:val="00E04C61"/>
    <w:rsid w:val="00E20EC7"/>
    <w:rsid w:val="00E30738"/>
    <w:rsid w:val="00E30AB5"/>
    <w:rsid w:val="00E53A22"/>
    <w:rsid w:val="00E5697A"/>
    <w:rsid w:val="00E60429"/>
    <w:rsid w:val="00E77123"/>
    <w:rsid w:val="00E94A21"/>
    <w:rsid w:val="00EB3577"/>
    <w:rsid w:val="00EB386C"/>
    <w:rsid w:val="00EB4978"/>
    <w:rsid w:val="00ED4F2D"/>
    <w:rsid w:val="00ED7E30"/>
    <w:rsid w:val="00EE7C13"/>
    <w:rsid w:val="00F07556"/>
    <w:rsid w:val="00F10ADE"/>
    <w:rsid w:val="00F13D3B"/>
    <w:rsid w:val="00F20E61"/>
    <w:rsid w:val="00F30025"/>
    <w:rsid w:val="00F31298"/>
    <w:rsid w:val="00F31ADE"/>
    <w:rsid w:val="00F33B2D"/>
    <w:rsid w:val="00F34C16"/>
    <w:rsid w:val="00F40C44"/>
    <w:rsid w:val="00F53EA9"/>
    <w:rsid w:val="00F54E09"/>
    <w:rsid w:val="00F62EF8"/>
    <w:rsid w:val="00F63AE9"/>
    <w:rsid w:val="00F7124D"/>
    <w:rsid w:val="00F72B65"/>
    <w:rsid w:val="00F840B1"/>
    <w:rsid w:val="00F938D1"/>
    <w:rsid w:val="00F9571B"/>
    <w:rsid w:val="00FB0CEC"/>
    <w:rsid w:val="00FC3C86"/>
    <w:rsid w:val="00FC48FB"/>
    <w:rsid w:val="00FD096B"/>
    <w:rsid w:val="00FD1D3E"/>
    <w:rsid w:val="00FD28A9"/>
    <w:rsid w:val="00FE1F84"/>
    <w:rsid w:val="00FE78C0"/>
    <w:rsid w:val="00FF3103"/>
    <w:rsid w:val="0106A8AA"/>
    <w:rsid w:val="0518E402"/>
    <w:rsid w:val="05B8C77C"/>
    <w:rsid w:val="06A0799C"/>
    <w:rsid w:val="06B4B463"/>
    <w:rsid w:val="085084C4"/>
    <w:rsid w:val="09EC5525"/>
    <w:rsid w:val="0C280900"/>
    <w:rsid w:val="0F74AED2"/>
    <w:rsid w:val="0FD5359B"/>
    <w:rsid w:val="16B69D66"/>
    <w:rsid w:val="178E0636"/>
    <w:rsid w:val="1AE2011B"/>
    <w:rsid w:val="1F7DBB12"/>
    <w:rsid w:val="20506822"/>
    <w:rsid w:val="247BCBD7"/>
    <w:rsid w:val="26BFA9A6"/>
    <w:rsid w:val="285756BA"/>
    <w:rsid w:val="2884B9DE"/>
    <w:rsid w:val="2C41B4F7"/>
    <w:rsid w:val="2D36D8B0"/>
    <w:rsid w:val="306E7972"/>
    <w:rsid w:val="320A49D3"/>
    <w:rsid w:val="360D4292"/>
    <w:rsid w:val="3881B54B"/>
    <w:rsid w:val="3CAD1900"/>
    <w:rsid w:val="3E48E961"/>
    <w:rsid w:val="4553EB12"/>
    <w:rsid w:val="47CE7956"/>
    <w:rsid w:val="4962F4A4"/>
    <w:rsid w:val="4B0F4126"/>
    <w:rsid w:val="4BD17215"/>
    <w:rsid w:val="50C13D5B"/>
    <w:rsid w:val="50EEA07F"/>
    <w:rsid w:val="530D08B0"/>
    <w:rsid w:val="54B52652"/>
    <w:rsid w:val="55B16D48"/>
    <w:rsid w:val="5648CCBF"/>
    <w:rsid w:val="597C4A34"/>
    <w:rsid w:val="5F272427"/>
    <w:rsid w:val="5FEB8BB8"/>
    <w:rsid w:val="604C1281"/>
    <w:rsid w:val="62A9E1FB"/>
    <w:rsid w:val="6366F479"/>
    <w:rsid w:val="6B6D18C8"/>
    <w:rsid w:val="6EC7C7AB"/>
    <w:rsid w:val="70F57275"/>
    <w:rsid w:val="711CEAE9"/>
    <w:rsid w:val="721DECA4"/>
    <w:rsid w:val="72A57D9D"/>
    <w:rsid w:val="742825A1"/>
    <w:rsid w:val="78FB96C4"/>
    <w:rsid w:val="7DC6DDF3"/>
    <w:rsid w:val="7F569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C80B8"/>
  <w15:chartTrackingRefBased/>
  <w15:docId w15:val="{75F794B2-B40B-4D1D-9FCF-7E0027DD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E9E"/>
    <w:rPr>
      <w:color w:val="0563C1" w:themeColor="hyperlink"/>
      <w:u w:val="single"/>
    </w:rPr>
  </w:style>
  <w:style w:type="character" w:styleId="UnresolvedMention">
    <w:name w:val="Unresolved Mention"/>
    <w:basedOn w:val="DefaultParagraphFont"/>
    <w:uiPriority w:val="99"/>
    <w:semiHidden/>
    <w:unhideWhenUsed/>
    <w:rsid w:val="00AE1E9E"/>
    <w:rPr>
      <w:color w:val="605E5C"/>
      <w:shd w:val="clear" w:color="auto" w:fill="E1DFDD"/>
    </w:rPr>
  </w:style>
  <w:style w:type="paragraph" w:styleId="ListParagraph">
    <w:name w:val="List Paragraph"/>
    <w:basedOn w:val="Normal"/>
    <w:uiPriority w:val="34"/>
    <w:qFormat/>
    <w:rsid w:val="00380E0F"/>
    <w:pPr>
      <w:ind w:left="720"/>
      <w:contextualSpacing/>
    </w:pPr>
  </w:style>
  <w:style w:type="paragraph" w:styleId="NormalWeb">
    <w:name w:val="Normal (Web)"/>
    <w:basedOn w:val="Normal"/>
    <w:uiPriority w:val="99"/>
    <w:unhideWhenUsed/>
    <w:rsid w:val="00193C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A239F"/>
    <w:rPr>
      <w:color w:val="954F72" w:themeColor="followedHyperlink"/>
      <w:u w:val="single"/>
    </w:rPr>
  </w:style>
  <w:style w:type="character" w:customStyle="1" w:styleId="authors">
    <w:name w:val="authors"/>
    <w:basedOn w:val="DefaultParagraphFont"/>
    <w:rsid w:val="00304D0A"/>
  </w:style>
  <w:style w:type="character" w:customStyle="1" w:styleId="Date1">
    <w:name w:val="Date1"/>
    <w:basedOn w:val="DefaultParagraphFont"/>
    <w:rsid w:val="00304D0A"/>
  </w:style>
  <w:style w:type="character" w:customStyle="1" w:styleId="arttitle">
    <w:name w:val="art_title"/>
    <w:basedOn w:val="DefaultParagraphFont"/>
    <w:rsid w:val="00304D0A"/>
  </w:style>
  <w:style w:type="character" w:customStyle="1" w:styleId="serialtitle">
    <w:name w:val="serial_title"/>
    <w:basedOn w:val="DefaultParagraphFont"/>
    <w:rsid w:val="00304D0A"/>
  </w:style>
  <w:style w:type="character" w:styleId="Emphasis">
    <w:name w:val="Emphasis"/>
    <w:basedOn w:val="DefaultParagraphFont"/>
    <w:uiPriority w:val="20"/>
    <w:qFormat/>
    <w:rsid w:val="002246E8"/>
    <w:rPr>
      <w:i/>
      <w:iCs/>
    </w:rPr>
  </w:style>
  <w:style w:type="paragraph" w:customStyle="1" w:styleId="breadcrumbitem">
    <w:name w:val="breadcrumb__item"/>
    <w:basedOn w:val="Normal"/>
    <w:rsid w:val="002246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2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27C"/>
  </w:style>
  <w:style w:type="character" w:customStyle="1" w:styleId="eop">
    <w:name w:val="eop"/>
    <w:basedOn w:val="DefaultParagraphFont"/>
    <w:rsid w:val="007B7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763914">
      <w:bodyDiv w:val="1"/>
      <w:marLeft w:val="0"/>
      <w:marRight w:val="0"/>
      <w:marTop w:val="0"/>
      <w:marBottom w:val="0"/>
      <w:divBdr>
        <w:top w:val="none" w:sz="0" w:space="0" w:color="auto"/>
        <w:left w:val="none" w:sz="0" w:space="0" w:color="auto"/>
        <w:bottom w:val="none" w:sz="0" w:space="0" w:color="auto"/>
        <w:right w:val="none" w:sz="0" w:space="0" w:color="auto"/>
      </w:divBdr>
    </w:div>
    <w:div w:id="566644444">
      <w:bodyDiv w:val="1"/>
      <w:marLeft w:val="0"/>
      <w:marRight w:val="0"/>
      <w:marTop w:val="0"/>
      <w:marBottom w:val="0"/>
      <w:divBdr>
        <w:top w:val="none" w:sz="0" w:space="0" w:color="auto"/>
        <w:left w:val="none" w:sz="0" w:space="0" w:color="auto"/>
        <w:bottom w:val="none" w:sz="0" w:space="0" w:color="auto"/>
        <w:right w:val="none" w:sz="0" w:space="0" w:color="auto"/>
      </w:divBdr>
      <w:divsChild>
        <w:div w:id="651257927">
          <w:marLeft w:val="0"/>
          <w:marRight w:val="0"/>
          <w:marTop w:val="0"/>
          <w:marBottom w:val="240"/>
          <w:divBdr>
            <w:top w:val="none" w:sz="0" w:space="0" w:color="auto"/>
            <w:left w:val="none" w:sz="0" w:space="0" w:color="auto"/>
            <w:bottom w:val="none" w:sz="0" w:space="0" w:color="auto"/>
            <w:right w:val="none" w:sz="0" w:space="0" w:color="auto"/>
          </w:divBdr>
        </w:div>
      </w:divsChild>
    </w:div>
    <w:div w:id="632751669">
      <w:bodyDiv w:val="1"/>
      <w:marLeft w:val="0"/>
      <w:marRight w:val="0"/>
      <w:marTop w:val="0"/>
      <w:marBottom w:val="0"/>
      <w:divBdr>
        <w:top w:val="none" w:sz="0" w:space="0" w:color="auto"/>
        <w:left w:val="none" w:sz="0" w:space="0" w:color="auto"/>
        <w:bottom w:val="none" w:sz="0" w:space="0" w:color="auto"/>
        <w:right w:val="none" w:sz="0" w:space="0" w:color="auto"/>
      </w:divBdr>
      <w:divsChild>
        <w:div w:id="1707680965">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722563541">
      <w:bodyDiv w:val="1"/>
      <w:marLeft w:val="0"/>
      <w:marRight w:val="0"/>
      <w:marTop w:val="0"/>
      <w:marBottom w:val="0"/>
      <w:divBdr>
        <w:top w:val="none" w:sz="0" w:space="0" w:color="auto"/>
        <w:left w:val="none" w:sz="0" w:space="0" w:color="auto"/>
        <w:bottom w:val="none" w:sz="0" w:space="0" w:color="auto"/>
        <w:right w:val="none" w:sz="0" w:space="0" w:color="auto"/>
      </w:divBdr>
    </w:div>
    <w:div w:id="1029648026">
      <w:bodyDiv w:val="1"/>
      <w:marLeft w:val="0"/>
      <w:marRight w:val="0"/>
      <w:marTop w:val="0"/>
      <w:marBottom w:val="0"/>
      <w:divBdr>
        <w:top w:val="none" w:sz="0" w:space="0" w:color="auto"/>
        <w:left w:val="none" w:sz="0" w:space="0" w:color="auto"/>
        <w:bottom w:val="none" w:sz="0" w:space="0" w:color="auto"/>
        <w:right w:val="none" w:sz="0" w:space="0" w:color="auto"/>
      </w:divBdr>
    </w:div>
    <w:div w:id="1096097445">
      <w:bodyDiv w:val="1"/>
      <w:marLeft w:val="0"/>
      <w:marRight w:val="0"/>
      <w:marTop w:val="0"/>
      <w:marBottom w:val="0"/>
      <w:divBdr>
        <w:top w:val="none" w:sz="0" w:space="0" w:color="auto"/>
        <w:left w:val="none" w:sz="0" w:space="0" w:color="auto"/>
        <w:bottom w:val="none" w:sz="0" w:space="0" w:color="auto"/>
        <w:right w:val="none" w:sz="0" w:space="0" w:color="auto"/>
      </w:divBdr>
    </w:div>
    <w:div w:id="1126316126">
      <w:bodyDiv w:val="1"/>
      <w:marLeft w:val="0"/>
      <w:marRight w:val="0"/>
      <w:marTop w:val="0"/>
      <w:marBottom w:val="0"/>
      <w:divBdr>
        <w:top w:val="none" w:sz="0" w:space="0" w:color="auto"/>
        <w:left w:val="none" w:sz="0" w:space="0" w:color="auto"/>
        <w:bottom w:val="none" w:sz="0" w:space="0" w:color="auto"/>
        <w:right w:val="none" w:sz="0" w:space="0" w:color="auto"/>
      </w:divBdr>
    </w:div>
    <w:div w:id="1185367822">
      <w:bodyDiv w:val="1"/>
      <w:marLeft w:val="0"/>
      <w:marRight w:val="0"/>
      <w:marTop w:val="0"/>
      <w:marBottom w:val="0"/>
      <w:divBdr>
        <w:top w:val="none" w:sz="0" w:space="0" w:color="auto"/>
        <w:left w:val="none" w:sz="0" w:space="0" w:color="auto"/>
        <w:bottom w:val="none" w:sz="0" w:space="0" w:color="auto"/>
        <w:right w:val="none" w:sz="0" w:space="0" w:color="auto"/>
      </w:divBdr>
      <w:divsChild>
        <w:div w:id="2093508249">
          <w:marLeft w:val="0"/>
          <w:marRight w:val="0"/>
          <w:marTop w:val="0"/>
          <w:marBottom w:val="0"/>
          <w:divBdr>
            <w:top w:val="none" w:sz="0" w:space="0" w:color="auto"/>
            <w:left w:val="none" w:sz="0" w:space="0" w:color="auto"/>
            <w:bottom w:val="none" w:sz="0" w:space="0" w:color="auto"/>
            <w:right w:val="none" w:sz="0" w:space="0" w:color="auto"/>
          </w:divBdr>
        </w:div>
        <w:div w:id="1544051625">
          <w:marLeft w:val="0"/>
          <w:marRight w:val="0"/>
          <w:marTop w:val="0"/>
          <w:marBottom w:val="0"/>
          <w:divBdr>
            <w:top w:val="none" w:sz="0" w:space="0" w:color="auto"/>
            <w:left w:val="none" w:sz="0" w:space="0" w:color="auto"/>
            <w:bottom w:val="none" w:sz="0" w:space="0" w:color="auto"/>
            <w:right w:val="none" w:sz="0" w:space="0" w:color="auto"/>
          </w:divBdr>
        </w:div>
        <w:div w:id="486484241">
          <w:marLeft w:val="0"/>
          <w:marRight w:val="0"/>
          <w:marTop w:val="0"/>
          <w:marBottom w:val="0"/>
          <w:divBdr>
            <w:top w:val="none" w:sz="0" w:space="0" w:color="auto"/>
            <w:left w:val="none" w:sz="0" w:space="0" w:color="auto"/>
            <w:bottom w:val="none" w:sz="0" w:space="0" w:color="auto"/>
            <w:right w:val="none" w:sz="0" w:space="0" w:color="auto"/>
          </w:divBdr>
        </w:div>
        <w:div w:id="954217191">
          <w:marLeft w:val="0"/>
          <w:marRight w:val="0"/>
          <w:marTop w:val="0"/>
          <w:marBottom w:val="0"/>
          <w:divBdr>
            <w:top w:val="none" w:sz="0" w:space="0" w:color="auto"/>
            <w:left w:val="none" w:sz="0" w:space="0" w:color="auto"/>
            <w:bottom w:val="none" w:sz="0" w:space="0" w:color="auto"/>
            <w:right w:val="none" w:sz="0" w:space="0" w:color="auto"/>
          </w:divBdr>
        </w:div>
        <w:div w:id="1520049834">
          <w:marLeft w:val="0"/>
          <w:marRight w:val="0"/>
          <w:marTop w:val="0"/>
          <w:marBottom w:val="0"/>
          <w:divBdr>
            <w:top w:val="none" w:sz="0" w:space="0" w:color="auto"/>
            <w:left w:val="none" w:sz="0" w:space="0" w:color="auto"/>
            <w:bottom w:val="none" w:sz="0" w:space="0" w:color="auto"/>
            <w:right w:val="none" w:sz="0" w:space="0" w:color="auto"/>
          </w:divBdr>
        </w:div>
        <w:div w:id="2130120900">
          <w:marLeft w:val="0"/>
          <w:marRight w:val="0"/>
          <w:marTop w:val="0"/>
          <w:marBottom w:val="0"/>
          <w:divBdr>
            <w:top w:val="none" w:sz="0" w:space="0" w:color="auto"/>
            <w:left w:val="none" w:sz="0" w:space="0" w:color="auto"/>
            <w:bottom w:val="none" w:sz="0" w:space="0" w:color="auto"/>
            <w:right w:val="none" w:sz="0" w:space="0" w:color="auto"/>
          </w:divBdr>
        </w:div>
      </w:divsChild>
    </w:div>
    <w:div w:id="1274901543">
      <w:bodyDiv w:val="1"/>
      <w:marLeft w:val="0"/>
      <w:marRight w:val="0"/>
      <w:marTop w:val="0"/>
      <w:marBottom w:val="0"/>
      <w:divBdr>
        <w:top w:val="none" w:sz="0" w:space="0" w:color="auto"/>
        <w:left w:val="none" w:sz="0" w:space="0" w:color="auto"/>
        <w:bottom w:val="none" w:sz="0" w:space="0" w:color="auto"/>
        <w:right w:val="none" w:sz="0" w:space="0" w:color="auto"/>
      </w:divBdr>
    </w:div>
    <w:div w:id="1796022481">
      <w:bodyDiv w:val="1"/>
      <w:marLeft w:val="0"/>
      <w:marRight w:val="0"/>
      <w:marTop w:val="0"/>
      <w:marBottom w:val="0"/>
      <w:divBdr>
        <w:top w:val="none" w:sz="0" w:space="0" w:color="auto"/>
        <w:left w:val="none" w:sz="0" w:space="0" w:color="auto"/>
        <w:bottom w:val="none" w:sz="0" w:space="0" w:color="auto"/>
        <w:right w:val="none" w:sz="0" w:space="0" w:color="auto"/>
      </w:divBdr>
    </w:div>
    <w:div w:id="1985312838">
      <w:bodyDiv w:val="1"/>
      <w:marLeft w:val="0"/>
      <w:marRight w:val="0"/>
      <w:marTop w:val="0"/>
      <w:marBottom w:val="0"/>
      <w:divBdr>
        <w:top w:val="none" w:sz="0" w:space="0" w:color="auto"/>
        <w:left w:val="none" w:sz="0" w:space="0" w:color="auto"/>
        <w:bottom w:val="none" w:sz="0" w:space="0" w:color="auto"/>
        <w:right w:val="none" w:sz="0" w:space="0" w:color="auto"/>
      </w:divBdr>
    </w:div>
    <w:div w:id="202717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lenkaclayton.com/sculpture-for-the-blind-by-the-blind" TargetMode="External"/><Relationship Id="rId26" Type="http://schemas.openxmlformats.org/officeDocument/2006/relationships/hyperlink" Target="https://www.moma.org/learn/moma_learning/themes/minimalism/the-materials-of-minimalism/" TargetMode="External"/><Relationship Id="rId3" Type="http://schemas.openxmlformats.org/officeDocument/2006/relationships/customXml" Target="../customXml/item3.xml"/><Relationship Id="rId21" Type="http://schemas.openxmlformats.org/officeDocument/2006/relationships/hyperlink" Target="https://www.youtube.com/watch?v=yBK4RBRj1U8"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core.ac.uk/download/pdf/37374962.pdf" TargetMode="External"/><Relationship Id="rId25" Type="http://schemas.openxmlformats.org/officeDocument/2006/relationships/hyperlink" Target="https://www.tate.org.uk/art/artworks/gormley-three-ways-mould-hole-and-passage-t07015"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s://artsandculture.google.com/asset/the-birth-of-venus/MQEeq50LABEBVg?hl=en-G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royalacademy.org.uk/article/antony-gormley-10-works-to-know"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artulens.com/ph-692/2017/9/13/male-gaze-in-contemporary-art" TargetMode="External"/><Relationship Id="rId28" Type="http://schemas.openxmlformats.org/officeDocument/2006/relationships/hyperlink" Target="https://www.theartstory.org/movement/body-art/" TargetMode="External"/><Relationship Id="rId10" Type="http://schemas.openxmlformats.org/officeDocument/2006/relationships/image" Target="media/image3.png"/><Relationship Id="rId19" Type="http://schemas.openxmlformats.org/officeDocument/2006/relationships/hyperlink" Target="https://www.jstor.org/stable/pdf/1145875.pdf?casa_token=DKms4Jr5c6gAAAAA:ogvfaeXa2u6zSKeH9ZSFbgdnH_aOz-_k7srOEDHnrcXrWk4chWK5M1fy_wd3kIfMhne1rlq3U24ZInwAuvNQhtaPHrBwaebnCB7wQZoVLnL0-Tcqtg"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tate.org.uk/art/artworks/picasso-bottle-of-vieux-marc-glass-guitar-and-newspaper-t00414" TargetMode="External"/><Relationship Id="rId27" Type="http://schemas.openxmlformats.org/officeDocument/2006/relationships/hyperlink" Target="https://documents.sessions.edu/eforms/courseware/coursedocuments/history_of_art/lesson3.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18F5163A30074CA94BF41AC5F190F6" ma:contentTypeVersion="11" ma:contentTypeDescription="Create a new document." ma:contentTypeScope="" ma:versionID="0eb852730006a316e6fd894b8aeee617">
  <xsd:schema xmlns:xsd="http://www.w3.org/2001/XMLSchema" xmlns:xs="http://www.w3.org/2001/XMLSchema" xmlns:p="http://schemas.microsoft.com/office/2006/metadata/properties" xmlns:ns2="7e51655d-9474-45a7-8b92-74d04c94f4f6" xmlns:ns3="e49ab340-49a3-4b01-8903-8cab4f4e03c8" targetNamespace="http://schemas.microsoft.com/office/2006/metadata/properties" ma:root="true" ma:fieldsID="17e1d0cbb6f87a04da36280ec0a73ff6" ns2:_="" ns3:_="">
    <xsd:import namespace="7e51655d-9474-45a7-8b92-74d04c94f4f6"/>
    <xsd:import namespace="e49ab340-49a3-4b01-8903-8cab4f4e03c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51655d-9474-45a7-8b92-74d04c94f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49ab340-49a3-4b01-8903-8cab4f4e03c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dd46281-f281-40d8-9295-0eba04f0d401}" ma:internalName="TaxCatchAll" ma:showField="CatchAllData" ma:web="e49ab340-49a3-4b01-8903-8cab4f4e0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49ab340-49a3-4b01-8903-8cab4f4e03c8" xsi:nil="true"/>
    <lcf76f155ced4ddcb4097134ff3c332f xmlns="7e51655d-9474-45a7-8b92-74d04c94f4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CA56C7-C501-4A30-9839-03FBF08915DD}">
  <ds:schemaRefs>
    <ds:schemaRef ds:uri="http://schemas.microsoft.com/sharepoint/v3/contenttype/forms"/>
  </ds:schemaRefs>
</ds:datastoreItem>
</file>

<file path=customXml/itemProps2.xml><?xml version="1.0" encoding="utf-8"?>
<ds:datastoreItem xmlns:ds="http://schemas.openxmlformats.org/officeDocument/2006/customXml" ds:itemID="{1CBA6C40-FFA1-4769-A6F3-D2BD6D2C5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51655d-9474-45a7-8b92-74d04c94f4f6"/>
    <ds:schemaRef ds:uri="e49ab340-49a3-4b01-8903-8cab4f4e0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71FD23-9700-48AB-8878-3E23294ADAD0}">
  <ds:schemaRefs>
    <ds:schemaRef ds:uri="http://schemas.microsoft.com/office/2006/metadata/properties"/>
    <ds:schemaRef ds:uri="http://schemas.microsoft.com/office/infopath/2007/PartnerControls"/>
    <ds:schemaRef ds:uri="e49ab340-49a3-4b01-8903-8cab4f4e03c8"/>
    <ds:schemaRef ds:uri="7e51655d-9474-45a7-8b92-74d04c94f4f6"/>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12</Pages>
  <Words>3475</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15</cp:revision>
  <dcterms:created xsi:type="dcterms:W3CDTF">2022-04-15T23:16:00Z</dcterms:created>
  <dcterms:modified xsi:type="dcterms:W3CDTF">2022-04-19T11:36:00Z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0x0101004818F5163A30074CA94BF41AC5F190F6</vt:lpwstr>
  </property>
  <property fmtid="{D5CDD505-2E9C-101B-9397-08002B2CF9AE}" pid="3" name="MediaServiceImageTags">
    <vt:lpwstr/>
  </property>
</Properties>
</file>