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2F5274F" w:rsidP="12F5274F" w:rsidRDefault="12F5274F" w14:paraId="288D5876" w14:textId="0A2D3BAF">
      <w:pPr>
        <w:jc w:val="center"/>
        <w:rPr>
          <w:rFonts w:ascii="Cambria" w:hAnsi="Cambria" w:eastAsia="Cambria" w:cs="Cambria"/>
          <w:b w:val="1"/>
          <w:bCs w:val="1"/>
          <w:i w:val="1"/>
          <w:iCs w:val="1"/>
          <w:sz w:val="72"/>
          <w:szCs w:val="72"/>
        </w:rPr>
      </w:pPr>
    </w:p>
    <w:p xmlns:wp14="http://schemas.microsoft.com/office/word/2010/wordml" w:rsidP="12F5274F" w14:paraId="5E5787A5" wp14:textId="30438221">
      <w:pPr>
        <w:jc w:val="center"/>
      </w:pPr>
      <w:bookmarkStart w:name="_GoBack" w:id="0"/>
      <w:bookmarkEnd w:id="0"/>
      <w:r w:rsidRPr="12F5274F" w:rsidR="12F5274F">
        <w:rPr>
          <w:rFonts w:ascii="Cambria" w:hAnsi="Cambria" w:eastAsia="Cambria" w:cs="Cambria"/>
          <w:b w:val="1"/>
          <w:bCs w:val="1"/>
          <w:i w:val="1"/>
          <w:iCs w:val="1"/>
          <w:sz w:val="72"/>
          <w:szCs w:val="72"/>
        </w:rPr>
        <w:t>MANAGING PEOPLE</w:t>
      </w:r>
    </w:p>
    <w:p w:rsidR="12F5274F" w:rsidP="12F5274F" w:rsidRDefault="12F5274F" w14:paraId="2B30E63E" w14:textId="571F2055">
      <w:pPr>
        <w:pStyle w:val="Normal"/>
        <w:jc w:val="center"/>
        <w:rPr>
          <w:rFonts w:ascii="Cambria" w:hAnsi="Cambria" w:eastAsia="Cambria" w:cs="Cambria"/>
          <w:b w:val="1"/>
          <w:bCs w:val="1"/>
          <w:i w:val="1"/>
          <w:iCs w:val="1"/>
          <w:sz w:val="72"/>
          <w:szCs w:val="72"/>
        </w:rPr>
      </w:pPr>
      <w:r w:rsidRPr="12F5274F" w:rsidR="12F5274F">
        <w:rPr>
          <w:rFonts w:ascii="Cambria" w:hAnsi="Cambria" w:eastAsia="Cambria" w:cs="Cambria"/>
          <w:b w:val="1"/>
          <w:bCs w:val="1"/>
          <w:i w:val="1"/>
          <w:iCs w:val="1"/>
          <w:sz w:val="72"/>
          <w:szCs w:val="72"/>
        </w:rPr>
        <w:t>LCBB5004</w:t>
      </w:r>
    </w:p>
    <w:p w:rsidR="12F5274F" w:rsidP="12F5274F" w:rsidRDefault="12F5274F" w14:paraId="1B4804E2" w14:textId="175094E5">
      <w:pPr>
        <w:pStyle w:val="Normal"/>
        <w:jc w:val="center"/>
        <w:rPr>
          <w:rFonts w:ascii="Cambria" w:hAnsi="Cambria" w:eastAsia="Cambria" w:cs="Cambria"/>
          <w:b w:val="1"/>
          <w:bCs w:val="1"/>
          <w:i w:val="1"/>
          <w:iCs w:val="1"/>
          <w:sz w:val="72"/>
          <w:szCs w:val="72"/>
        </w:rPr>
      </w:pPr>
      <w:r w:rsidRPr="12F5274F" w:rsidR="12F5274F">
        <w:rPr>
          <w:rFonts w:ascii="Cambria" w:hAnsi="Cambria" w:eastAsia="Cambria" w:cs="Cambria"/>
          <w:b w:val="1"/>
          <w:bCs w:val="1"/>
          <w:i w:val="1"/>
          <w:iCs w:val="1"/>
          <w:sz w:val="72"/>
          <w:szCs w:val="72"/>
        </w:rPr>
        <w:t>Assessment 1</w:t>
      </w:r>
    </w:p>
    <w:p w:rsidR="12F5274F" w:rsidP="12F5274F" w:rsidRDefault="12F5274F" w14:paraId="092C031D" w14:textId="2CA3F28D">
      <w:pPr>
        <w:pStyle w:val="Normal"/>
        <w:jc w:val="center"/>
        <w:rPr>
          <w:rFonts w:ascii="Cambria" w:hAnsi="Cambria" w:eastAsia="Cambria" w:cs="Cambria"/>
          <w:b w:val="1"/>
          <w:bCs w:val="1"/>
          <w:i w:val="1"/>
          <w:iCs w:val="1"/>
          <w:sz w:val="72"/>
          <w:szCs w:val="72"/>
        </w:rPr>
      </w:pPr>
    </w:p>
    <w:p w:rsidR="12F5274F" w:rsidP="12F5274F" w:rsidRDefault="12F5274F" w14:paraId="61702DD2" w14:textId="73A0CEB7">
      <w:pPr>
        <w:pStyle w:val="Normal"/>
        <w:jc w:val="center"/>
        <w:rPr>
          <w:rFonts w:ascii="Cambria" w:hAnsi="Cambria" w:eastAsia="Cambria" w:cs="Cambria"/>
          <w:b w:val="1"/>
          <w:bCs w:val="1"/>
          <w:i w:val="1"/>
          <w:iCs w:val="1"/>
          <w:sz w:val="72"/>
          <w:szCs w:val="72"/>
        </w:rPr>
      </w:pPr>
    </w:p>
    <w:p w:rsidR="12F5274F" w:rsidP="12F5274F" w:rsidRDefault="12F5274F" w14:paraId="192411E3" w14:textId="413BF0DE">
      <w:pPr>
        <w:pStyle w:val="Normal"/>
        <w:jc w:val="center"/>
        <w:rPr>
          <w:rFonts w:ascii="Cambria" w:hAnsi="Cambria" w:eastAsia="Cambria" w:cs="Cambria"/>
          <w:b w:val="1"/>
          <w:bCs w:val="1"/>
          <w:i w:val="1"/>
          <w:iCs w:val="1"/>
          <w:sz w:val="72"/>
          <w:szCs w:val="72"/>
        </w:rPr>
      </w:pPr>
    </w:p>
    <w:p w:rsidR="12F5274F" w:rsidP="12F5274F" w:rsidRDefault="12F5274F" w14:paraId="08E5C24B" w14:textId="36F1663D">
      <w:pPr>
        <w:pStyle w:val="Normal"/>
        <w:jc w:val="left"/>
        <w:rPr>
          <w:rFonts w:ascii="Cambria" w:hAnsi="Cambria" w:eastAsia="Cambria" w:cs="Cambria"/>
          <w:b w:val="1"/>
          <w:bCs w:val="1"/>
          <w:i w:val="1"/>
          <w:iCs w:val="1"/>
          <w:sz w:val="72"/>
          <w:szCs w:val="72"/>
        </w:rPr>
      </w:pPr>
      <w:r w:rsidRPr="12F5274F" w:rsidR="12F5274F">
        <w:rPr>
          <w:rFonts w:ascii="Cambria" w:hAnsi="Cambria" w:eastAsia="Cambria" w:cs="Cambria"/>
          <w:b w:val="1"/>
          <w:bCs w:val="1"/>
          <w:i w:val="1"/>
          <w:iCs w:val="1"/>
          <w:sz w:val="52"/>
          <w:szCs w:val="52"/>
        </w:rPr>
        <w:t>Lecturer</w:t>
      </w:r>
    </w:p>
    <w:p w:rsidR="12F5274F" w:rsidP="12F5274F" w:rsidRDefault="12F5274F" w14:paraId="71D77624" w14:textId="45511E1C">
      <w:pPr>
        <w:pStyle w:val="Normal"/>
        <w:jc w:val="left"/>
        <w:rPr>
          <w:rFonts w:ascii="Cambria" w:hAnsi="Cambria" w:eastAsia="Cambria" w:cs="Cambria"/>
          <w:b w:val="1"/>
          <w:bCs w:val="1"/>
          <w:i w:val="1"/>
          <w:iCs w:val="1"/>
          <w:sz w:val="52"/>
          <w:szCs w:val="52"/>
        </w:rPr>
      </w:pPr>
      <w:r w:rsidRPr="12F5274F" w:rsidR="12F5274F">
        <w:rPr>
          <w:rFonts w:ascii="Cambria" w:hAnsi="Cambria" w:eastAsia="Cambria" w:cs="Cambria"/>
          <w:b w:val="1"/>
          <w:bCs w:val="1"/>
          <w:i w:val="1"/>
          <w:iCs w:val="1"/>
          <w:sz w:val="52"/>
          <w:szCs w:val="52"/>
        </w:rPr>
        <w:t xml:space="preserve">Charles Oham </w:t>
      </w:r>
    </w:p>
    <w:p w:rsidR="12F5274F" w:rsidP="12F5274F" w:rsidRDefault="12F5274F" w14:paraId="3EC942C4" w14:textId="0344FC40">
      <w:pPr>
        <w:pStyle w:val="Normal"/>
        <w:jc w:val="right"/>
        <w:rPr>
          <w:rFonts w:ascii="Cambria" w:hAnsi="Cambria" w:eastAsia="Cambria" w:cs="Cambria"/>
          <w:b w:val="1"/>
          <w:bCs w:val="1"/>
          <w:i w:val="1"/>
          <w:iCs w:val="1"/>
          <w:sz w:val="52"/>
          <w:szCs w:val="52"/>
        </w:rPr>
      </w:pPr>
      <w:r w:rsidRPr="12F5274F" w:rsidR="12F5274F">
        <w:rPr>
          <w:rFonts w:ascii="Cambria" w:hAnsi="Cambria" w:eastAsia="Cambria" w:cs="Cambria"/>
          <w:b w:val="1"/>
          <w:bCs w:val="1"/>
          <w:i w:val="1"/>
          <w:iCs w:val="1"/>
          <w:sz w:val="52"/>
          <w:szCs w:val="52"/>
        </w:rPr>
        <w:t>Student</w:t>
      </w:r>
    </w:p>
    <w:p w:rsidR="12F5274F" w:rsidP="12F5274F" w:rsidRDefault="12F5274F" w14:paraId="35869D0F" w14:textId="6BDA5714">
      <w:pPr>
        <w:pStyle w:val="Normal"/>
        <w:jc w:val="right"/>
        <w:rPr>
          <w:rFonts w:ascii="Cambria" w:hAnsi="Cambria" w:eastAsia="Cambria" w:cs="Cambria"/>
          <w:b w:val="1"/>
          <w:bCs w:val="1"/>
          <w:i w:val="1"/>
          <w:iCs w:val="1"/>
          <w:sz w:val="52"/>
          <w:szCs w:val="52"/>
        </w:rPr>
      </w:pPr>
      <w:r w:rsidRPr="12F5274F" w:rsidR="12F5274F">
        <w:rPr>
          <w:rFonts w:ascii="Cambria" w:hAnsi="Cambria" w:eastAsia="Cambria" w:cs="Cambria"/>
          <w:b w:val="1"/>
          <w:bCs w:val="1"/>
          <w:i w:val="1"/>
          <w:iCs w:val="1"/>
          <w:sz w:val="52"/>
          <w:szCs w:val="52"/>
        </w:rPr>
        <w:t xml:space="preserve">Loredana Lenuta </w:t>
      </w:r>
      <w:proofErr w:type="spellStart"/>
      <w:r w:rsidRPr="12F5274F" w:rsidR="12F5274F">
        <w:rPr>
          <w:rFonts w:ascii="Cambria" w:hAnsi="Cambria" w:eastAsia="Cambria" w:cs="Cambria"/>
          <w:b w:val="1"/>
          <w:bCs w:val="1"/>
          <w:i w:val="1"/>
          <w:iCs w:val="1"/>
          <w:sz w:val="52"/>
          <w:szCs w:val="52"/>
        </w:rPr>
        <w:t>Tintar</w:t>
      </w:r>
      <w:proofErr w:type="spellEnd"/>
    </w:p>
    <w:p w:rsidR="12F5274F" w:rsidP="12F5274F" w:rsidRDefault="12F5274F" w14:paraId="23A3AC5C" w14:textId="72DDF081">
      <w:pPr>
        <w:pStyle w:val="Normal"/>
        <w:jc w:val="right"/>
        <w:rPr>
          <w:rFonts w:ascii="Cambria" w:hAnsi="Cambria" w:eastAsia="Cambria" w:cs="Cambria"/>
          <w:b w:val="1"/>
          <w:bCs w:val="1"/>
          <w:i w:val="1"/>
          <w:iCs w:val="1"/>
          <w:sz w:val="52"/>
          <w:szCs w:val="52"/>
        </w:rPr>
      </w:pPr>
    </w:p>
    <w:p w:rsidR="12F5274F" w:rsidP="12F5274F" w:rsidRDefault="12F5274F" w14:paraId="16D09089" w14:textId="6140B4B7">
      <w:pPr>
        <w:pStyle w:val="Normal"/>
        <w:jc w:val="right"/>
        <w:rPr>
          <w:rFonts w:ascii="Cambria" w:hAnsi="Cambria" w:eastAsia="Cambria" w:cs="Cambria"/>
          <w:b w:val="1"/>
          <w:bCs w:val="1"/>
          <w:i w:val="1"/>
          <w:iCs w:val="1"/>
          <w:sz w:val="52"/>
          <w:szCs w:val="52"/>
        </w:rPr>
      </w:pPr>
    </w:p>
    <w:p w:rsidR="12F5274F" w:rsidP="12F5274F" w:rsidRDefault="12F5274F" w14:paraId="77A9A853" w14:textId="45F3CAAF">
      <w:pPr>
        <w:pStyle w:val="Normal"/>
        <w:jc w:val="right"/>
        <w:rPr>
          <w:rFonts w:ascii="Cambria" w:hAnsi="Cambria" w:eastAsia="Cambria" w:cs="Cambria"/>
          <w:b w:val="1"/>
          <w:bCs w:val="1"/>
          <w:i w:val="1"/>
          <w:iCs w:val="1"/>
          <w:sz w:val="52"/>
          <w:szCs w:val="52"/>
        </w:rPr>
      </w:pPr>
    </w:p>
    <w:p w:rsidR="12F5274F" w:rsidP="12F5274F" w:rsidRDefault="12F5274F" w14:paraId="67FE086C" w14:textId="622115C1">
      <w:pPr>
        <w:pStyle w:val="Normal"/>
        <w:jc w:val="left"/>
        <w:rPr>
          <w:rFonts w:ascii="Cambria" w:hAnsi="Cambria" w:eastAsia="Cambria" w:cs="Cambria"/>
          <w:b w:val="1"/>
          <w:bCs w:val="1"/>
          <w:i w:val="1"/>
          <w:iCs w:val="1"/>
          <w:sz w:val="52"/>
          <w:szCs w:val="52"/>
        </w:rPr>
      </w:pPr>
    </w:p>
    <w:p w:rsidR="12F5274F" w:rsidP="12F5274F" w:rsidRDefault="12F5274F" w14:paraId="4BCE7393" w14:textId="6819647C">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Introduction</w:t>
      </w:r>
    </w:p>
    <w:p w:rsidR="12F5274F" w:rsidP="12F5274F" w:rsidRDefault="12F5274F" w14:paraId="633288F7" w14:textId="6F3E4DF1">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HRM plays a significant role in the organisation. The HRM helps bridge the specific gap between the performance of employees and the strategic objectives of the organisation (Asino and Giacumo, 2019). Furthermore, an effective HRM provides the firm with an edge over its competition in the market. This report defines the strategies of HRM for a retail organisation in the UK that majorly employs 1000 staff members at several locations (headquarters and retail stores) and the company is now considering adopting the flexible practices of working wherever possible. The report consists of two different cases, the first case is favouring the adoption of flexible working including the role of Human resources in the promotion of diversity and factor of inclusion via flexible working. The second case is against in favouring of flexible working, it includes the role of Human resources in the process of addressing the concerns of the factor of inequality that might arise from the structure of flexible working. </w:t>
      </w:r>
    </w:p>
    <w:p w:rsidR="12F5274F" w:rsidP="12F5274F" w:rsidRDefault="12F5274F" w14:paraId="7EAD6098" w14:textId="359FE51A">
      <w:pPr>
        <w:pStyle w:val="Normal"/>
        <w:jc w:val="left"/>
        <w:rPr>
          <w:rFonts w:ascii="Cambria" w:hAnsi="Cambria" w:eastAsia="Cambria" w:cs="Cambria"/>
          <w:b w:val="1"/>
          <w:bCs w:val="1"/>
          <w:i w:val="1"/>
          <w:iCs w:val="1"/>
          <w:sz w:val="32"/>
          <w:szCs w:val="32"/>
        </w:rPr>
      </w:pPr>
    </w:p>
    <w:p w:rsidR="12F5274F" w:rsidP="12F5274F" w:rsidRDefault="12F5274F" w14:paraId="404BB2A6" w14:textId="0E82F78E">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Case-1 (In Favour of flexible working)</w:t>
      </w:r>
    </w:p>
    <w:p w:rsidR="12F5274F" w:rsidP="12F5274F" w:rsidRDefault="12F5274F" w14:paraId="1D494C0A" w14:textId="60B569F8">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days of the tradition of 9-5 working are getting over, whether that means allowing the employees for working from their comfort space, it could be either home or any other comfortable place or </w:t>
      </w:r>
      <w:r w:rsidRPr="12F5274F" w:rsidR="12F5274F">
        <w:rPr>
          <w:rFonts w:ascii="Cambria" w:hAnsi="Cambria" w:eastAsia="Cambria" w:cs="Cambria"/>
          <w:b w:val="0"/>
          <w:bCs w:val="0"/>
          <w:i w:val="0"/>
          <w:iCs w:val="0"/>
          <w:sz w:val="32"/>
          <w:szCs w:val="32"/>
        </w:rPr>
        <w:t>establishing</w:t>
      </w:r>
      <w:r w:rsidRPr="12F5274F" w:rsidR="12F5274F">
        <w:rPr>
          <w:rFonts w:ascii="Cambria" w:hAnsi="Cambria" w:eastAsia="Cambria" w:cs="Cambria"/>
          <w:b w:val="0"/>
          <w:bCs w:val="0"/>
          <w:i w:val="0"/>
          <w:iCs w:val="0"/>
          <w:sz w:val="32"/>
          <w:szCs w:val="32"/>
        </w:rPr>
        <w:t xml:space="preserve"> the 4 </w:t>
      </w:r>
      <w:bookmarkStart w:name="_Int_ZntllOO4" w:id="1114047064"/>
      <w:r w:rsidRPr="12F5274F" w:rsidR="12F5274F">
        <w:rPr>
          <w:rFonts w:ascii="Cambria" w:hAnsi="Cambria" w:eastAsia="Cambria" w:cs="Cambria"/>
          <w:b w:val="0"/>
          <w:bCs w:val="0"/>
          <w:i w:val="0"/>
          <w:iCs w:val="0"/>
          <w:sz w:val="32"/>
          <w:szCs w:val="32"/>
        </w:rPr>
        <w:t>days</w:t>
      </w:r>
      <w:bookmarkEnd w:id="1114047064"/>
      <w:r w:rsidRPr="12F5274F" w:rsidR="12F5274F">
        <w:rPr>
          <w:rFonts w:ascii="Cambria" w:hAnsi="Cambria" w:eastAsia="Cambria" w:cs="Cambria"/>
          <w:b w:val="0"/>
          <w:bCs w:val="0"/>
          <w:i w:val="0"/>
          <w:iCs w:val="0"/>
          <w:sz w:val="32"/>
          <w:szCs w:val="32"/>
        </w:rPr>
        <w:t xml:space="preserve"> work scenario (Bal and Izak, 2021). While the employees are looking happy for saving money and time on commuting, the available data and information suggest that the offer of flexible work watches an advantage (competitive), too. </w:t>
      </w:r>
    </w:p>
    <w:p w:rsidR="12F5274F" w:rsidP="12F5274F" w:rsidRDefault="12F5274F" w14:paraId="4EDA460D" w14:textId="66B5A23F">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In the recent studies done by the group of the international workplace, 84 per cent of businesses in the region of Australia are properly using flexible working for improving talent retention. What is more, 88% of the respondents in the region of Mexico majorly believe that flexible working could help businesses for employing a more diverse range of certain workers, the additional findings majorly show that productivity gains all across the board. </w:t>
      </w:r>
    </w:p>
    <w:p w:rsidR="12F5274F" w:rsidP="12F5274F" w:rsidRDefault="12F5274F" w14:paraId="61CA54DE" w14:textId="65752A2D">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Brain science </w:t>
      </w:r>
      <w:r w:rsidRPr="12F5274F" w:rsidR="12F5274F">
        <w:rPr>
          <w:rFonts w:ascii="Cambria" w:hAnsi="Cambria" w:eastAsia="Cambria" w:cs="Cambria"/>
          <w:b w:val="0"/>
          <w:bCs w:val="0"/>
          <w:i w:val="0"/>
          <w:iCs w:val="0"/>
          <w:sz w:val="32"/>
          <w:szCs w:val="32"/>
        </w:rPr>
        <w:t>provides</w:t>
      </w:r>
      <w:r w:rsidRPr="12F5274F" w:rsidR="12F5274F">
        <w:rPr>
          <w:rFonts w:ascii="Cambria" w:hAnsi="Cambria" w:eastAsia="Cambria" w:cs="Cambria"/>
          <w:b w:val="0"/>
          <w:bCs w:val="0"/>
          <w:i w:val="0"/>
          <w:iCs w:val="0"/>
          <w:sz w:val="32"/>
          <w:szCs w:val="32"/>
        </w:rPr>
        <w:t xml:space="preserve"> its support to the consensus (</w:t>
      </w:r>
      <w:bookmarkStart w:name="_Int_kEpam3Ys" w:id="1879952691"/>
      <w:r w:rsidRPr="12F5274F" w:rsidR="12F5274F">
        <w:rPr>
          <w:rFonts w:ascii="Cambria" w:hAnsi="Cambria" w:eastAsia="Cambria" w:cs="Cambria"/>
          <w:b w:val="0"/>
          <w:bCs w:val="0"/>
          <w:i w:val="0"/>
          <w:iCs w:val="0"/>
          <w:sz w:val="32"/>
          <w:szCs w:val="32"/>
        </w:rPr>
        <w:t>near-global</w:t>
      </w:r>
      <w:bookmarkEnd w:id="1879952691"/>
      <w:r w:rsidRPr="12F5274F" w:rsidR="12F5274F">
        <w:rPr>
          <w:rFonts w:ascii="Cambria" w:hAnsi="Cambria" w:eastAsia="Cambria" w:cs="Cambria"/>
          <w:b w:val="0"/>
          <w:bCs w:val="0"/>
          <w:i w:val="0"/>
          <w:iCs w:val="0"/>
          <w:sz w:val="32"/>
          <w:szCs w:val="32"/>
        </w:rPr>
        <w:t xml:space="preserve">). When the organisations allow for the structure of flexible working, the research suggests that it really maximises their major chances of getting reaped the different benefits of the creation of a diverse pool of workers and employees, </w:t>
      </w:r>
      <w:proofErr w:type="gramStart"/>
      <w:r w:rsidRPr="12F5274F" w:rsidR="12F5274F">
        <w:rPr>
          <w:rFonts w:ascii="Cambria" w:hAnsi="Cambria" w:eastAsia="Cambria" w:cs="Cambria"/>
          <w:b w:val="0"/>
          <w:bCs w:val="0"/>
          <w:i w:val="0"/>
          <w:iCs w:val="0"/>
          <w:sz w:val="32"/>
          <w:szCs w:val="32"/>
        </w:rPr>
        <w:t>and also</w:t>
      </w:r>
      <w:proofErr w:type="gramEnd"/>
      <w:r w:rsidRPr="12F5274F" w:rsidR="12F5274F">
        <w:rPr>
          <w:rFonts w:ascii="Cambria" w:hAnsi="Cambria" w:eastAsia="Cambria" w:cs="Cambria"/>
          <w:b w:val="0"/>
          <w:bCs w:val="0"/>
          <w:i w:val="0"/>
          <w:iCs w:val="0"/>
          <w:sz w:val="32"/>
          <w:szCs w:val="32"/>
        </w:rPr>
        <w:t xml:space="preserve"> </w:t>
      </w:r>
      <w:r w:rsidRPr="12F5274F" w:rsidR="12F5274F">
        <w:rPr>
          <w:rFonts w:ascii="Cambria" w:hAnsi="Cambria" w:eastAsia="Cambria" w:cs="Cambria"/>
          <w:b w:val="0"/>
          <w:bCs w:val="0"/>
          <w:i w:val="0"/>
          <w:iCs w:val="0"/>
          <w:sz w:val="32"/>
          <w:szCs w:val="32"/>
        </w:rPr>
        <w:t>provides</w:t>
      </w:r>
      <w:r w:rsidRPr="12F5274F" w:rsidR="12F5274F">
        <w:rPr>
          <w:rFonts w:ascii="Cambria" w:hAnsi="Cambria" w:eastAsia="Cambria" w:cs="Cambria"/>
          <w:b w:val="0"/>
          <w:bCs w:val="0"/>
          <w:i w:val="0"/>
          <w:iCs w:val="0"/>
          <w:sz w:val="32"/>
          <w:szCs w:val="32"/>
        </w:rPr>
        <w:t xml:space="preserve"> help to everyone for feel seen, heard, </w:t>
      </w:r>
      <w:proofErr w:type="gramStart"/>
      <w:r w:rsidRPr="12F5274F" w:rsidR="12F5274F">
        <w:rPr>
          <w:rFonts w:ascii="Cambria" w:hAnsi="Cambria" w:eastAsia="Cambria" w:cs="Cambria"/>
          <w:b w:val="0"/>
          <w:bCs w:val="0"/>
          <w:i w:val="0"/>
          <w:iCs w:val="0"/>
          <w:sz w:val="32"/>
          <w:szCs w:val="32"/>
        </w:rPr>
        <w:t>and also</w:t>
      </w:r>
      <w:proofErr w:type="gramEnd"/>
      <w:r w:rsidRPr="12F5274F" w:rsidR="12F5274F">
        <w:rPr>
          <w:rFonts w:ascii="Cambria" w:hAnsi="Cambria" w:eastAsia="Cambria" w:cs="Cambria"/>
          <w:b w:val="0"/>
          <w:bCs w:val="0"/>
          <w:i w:val="0"/>
          <w:iCs w:val="0"/>
          <w:sz w:val="32"/>
          <w:szCs w:val="32"/>
        </w:rPr>
        <w:t xml:space="preserve"> getting valued (</w:t>
      </w:r>
      <w:proofErr w:type="spellStart"/>
      <w:r w:rsidRPr="12F5274F" w:rsidR="12F5274F">
        <w:rPr>
          <w:rFonts w:ascii="Cambria" w:hAnsi="Cambria" w:eastAsia="Cambria" w:cs="Cambria"/>
          <w:b w:val="0"/>
          <w:bCs w:val="0"/>
          <w:i w:val="0"/>
          <w:iCs w:val="0"/>
          <w:sz w:val="32"/>
          <w:szCs w:val="32"/>
        </w:rPr>
        <w:t>Biczkowski</w:t>
      </w:r>
      <w:proofErr w:type="spellEnd"/>
      <w:r w:rsidRPr="12F5274F" w:rsidR="12F5274F">
        <w:rPr>
          <w:rFonts w:ascii="Cambria" w:hAnsi="Cambria" w:eastAsia="Cambria" w:cs="Cambria"/>
          <w:b w:val="0"/>
          <w:bCs w:val="0"/>
          <w:i w:val="0"/>
          <w:iCs w:val="0"/>
          <w:sz w:val="32"/>
          <w:szCs w:val="32"/>
        </w:rPr>
        <w:t xml:space="preserve"> et al., 2021). </w:t>
      </w:r>
    </w:p>
    <w:p w:rsidR="12F5274F" w:rsidP="12F5274F" w:rsidRDefault="12F5274F" w14:paraId="36A4F330" w14:textId="55044E5A">
      <w:pPr>
        <w:pStyle w:val="Normal"/>
        <w:jc w:val="left"/>
        <w:rPr>
          <w:rFonts w:ascii="Cambria" w:hAnsi="Cambria" w:eastAsia="Cambria" w:cs="Cambria"/>
          <w:b w:val="1"/>
          <w:bCs w:val="1"/>
          <w:i w:val="1"/>
          <w:iCs w:val="1"/>
          <w:sz w:val="32"/>
          <w:szCs w:val="32"/>
        </w:rPr>
      </w:pPr>
    </w:p>
    <w:p w:rsidR="12F5274F" w:rsidP="12F5274F" w:rsidRDefault="12F5274F" w14:paraId="4E140EA0" w14:textId="5906F95B">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Diverse teams are smarter</w:t>
      </w:r>
    </w:p>
    <w:p w:rsidR="12F5274F" w:rsidP="12F5274F" w:rsidRDefault="12F5274F" w14:paraId="4BE13F91" w14:textId="04B1CEBB">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research done by NLI says that when the teams are prepared up to getting the functioning and education of diversification and similar backgrounds, then not only do they become smarter, but the factor of bit discomfort could also help the team in terms of performing better and staying away from the groupthink (possible). Indeed, homogeneity is the major enemy of creativity. </w:t>
      </w:r>
    </w:p>
    <w:p w:rsidR="12F5274F" w:rsidP="12F5274F" w:rsidRDefault="12F5274F" w14:paraId="31141B0B" w14:textId="31FB3CBE">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organisation could introduce the concept of diversity to the teams, with the help of bias in hiring. It could be preceded by the help of the SEEDS model, the SEEDS stands for similarity, experience, experience, distance, and safety. These 5 factors are called broad categories of conscious biases (Chung 2020). </w:t>
      </w:r>
    </w:p>
    <w:p w:rsidR="12F5274F" w:rsidP="12F5274F" w:rsidRDefault="12F5274F" w14:paraId="40ACF427" w14:textId="2891667E">
      <w:pPr>
        <w:pStyle w:val="Normal"/>
        <w:jc w:val="left"/>
        <w:rPr>
          <w:rFonts w:ascii="Cambria" w:hAnsi="Cambria" w:eastAsia="Cambria" w:cs="Cambria"/>
          <w:b w:val="1"/>
          <w:bCs w:val="1"/>
          <w:i w:val="1"/>
          <w:iCs w:val="1"/>
          <w:sz w:val="36"/>
          <w:szCs w:val="36"/>
        </w:rPr>
      </w:pPr>
    </w:p>
    <w:p w:rsidR="12F5274F" w:rsidP="12F5274F" w:rsidRDefault="12F5274F" w14:paraId="0F892E4D" w14:textId="2BAE4F49">
      <w:pPr>
        <w:pStyle w:val="Normal"/>
        <w:jc w:val="left"/>
        <w:rPr>
          <w:rFonts w:ascii="Cambria" w:hAnsi="Cambria" w:eastAsia="Cambria" w:cs="Cambria"/>
          <w:b w:val="1"/>
          <w:bCs w:val="1"/>
          <w:i w:val="1"/>
          <w:iCs w:val="1"/>
          <w:sz w:val="36"/>
          <w:szCs w:val="36"/>
        </w:rPr>
      </w:pPr>
      <w:r w:rsidRPr="12F5274F" w:rsidR="12F5274F">
        <w:rPr>
          <w:rFonts w:ascii="Cambria" w:hAnsi="Cambria" w:eastAsia="Cambria" w:cs="Cambria"/>
          <w:b w:val="1"/>
          <w:bCs w:val="1"/>
          <w:i w:val="1"/>
          <w:iCs w:val="1"/>
          <w:sz w:val="36"/>
          <w:szCs w:val="36"/>
        </w:rPr>
        <w:t>SEEDS model</w:t>
      </w:r>
    </w:p>
    <w:p w:rsidR="12F5274F" w:rsidP="12F5274F" w:rsidRDefault="12F5274F" w14:paraId="1D48F34E" w14:textId="44C713AC">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Similarity Bias</w:t>
      </w:r>
    </w:p>
    <w:p w:rsidR="12F5274F" w:rsidP="12F5274F" w:rsidRDefault="12F5274F" w14:paraId="4E5AD035" w14:textId="413A32FF">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similarity Bias is major crops up in the decisions of people, such as who to hire, who to assign the projects, who to promote, etc. It happens since humans are majorly motivated for watching themselves and those who are majorly similar in a favourable light. </w:t>
      </w:r>
    </w:p>
    <w:p w:rsidR="12F5274F" w:rsidP="12F5274F" w:rsidRDefault="12F5274F" w14:paraId="57C72CDD" w14:textId="39A73C01">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Expedience Bias</w:t>
      </w:r>
    </w:p>
    <w:p w:rsidR="12F5274F" w:rsidP="12F5274F" w:rsidRDefault="12F5274F" w14:paraId="1ECBBF28" w14:textId="38C2427B">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Humans have a factor in building the requirement for certainty. It proceeds to know what is going on (Holm and Østergaard, 2018). A factor downside of that requirement is the major tendency for rushing to the part of judgement without completely considering all the important facts. </w:t>
      </w:r>
    </w:p>
    <w:p w:rsidR="12F5274F" w:rsidP="12F5274F" w:rsidRDefault="12F5274F" w14:paraId="3DA6C3EA" w14:textId="6B9521B5">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Distance Bias</w:t>
      </w:r>
    </w:p>
    <w:p w:rsidR="12F5274F" w:rsidP="12F5274F" w:rsidRDefault="12F5274F" w14:paraId="7F3D6904" w14:textId="2EDBDE52">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Distance bias has majorly become very common in the current globalised conditions. They generally emerge in the process of meeting, when the factor of folks in the room proceeds for failing to gather the required input from their colleagues, who are working remotely, who might be dialling in on a line of the conference. </w:t>
      </w:r>
    </w:p>
    <w:p w:rsidR="12F5274F" w:rsidP="12F5274F" w:rsidRDefault="12F5274F" w14:paraId="6BE05C4E" w14:textId="42753731">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Safety Bias</w:t>
      </w:r>
    </w:p>
    <w:p w:rsidR="12F5274F" w:rsidP="12F5274F" w:rsidRDefault="12F5274F" w14:paraId="01ACF644" w14:textId="1CA4EA7C">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factor of safety bias majorly refers to the 'all too human tendency for avoiding the loss. Major studies have shown that people prefer not losing money and even more they would like to prefer for gaining money. In other simple words, it could be defined as the bad being stronger than the good. </w:t>
      </w:r>
    </w:p>
    <w:p w:rsidR="12F5274F" w:rsidP="12F5274F" w:rsidRDefault="12F5274F" w14:paraId="2628329C" w14:textId="045F5A03">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safety bias makes the decision-making process slow and also holds the forms back health of taking the risk (Hou et al., 2021). One method that we could mitigate the bias is by proceeding to get some major distance between the people and their decision, like imagining a past self already having prepared the choice completely- for weakening the perception loss. </w:t>
      </w:r>
    </w:p>
    <w:p w:rsidR="12F5274F" w:rsidP="12F5274F" w:rsidRDefault="12F5274F" w14:paraId="3AD8A0F0" w14:textId="4BCE70CB">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One of the significant biases of the brain of a human is the distance bias, the person unconsciously starts to trust that things are losing in the </w:t>
      </w:r>
      <w:r w:rsidRPr="12F5274F" w:rsidR="12F5274F">
        <w:rPr>
          <w:rFonts w:ascii="Cambria" w:hAnsi="Cambria" w:eastAsia="Cambria" w:cs="Cambria"/>
          <w:b w:val="0"/>
          <w:bCs w:val="0"/>
          <w:i w:val="0"/>
          <w:iCs w:val="0"/>
          <w:sz w:val="32"/>
          <w:szCs w:val="32"/>
        </w:rPr>
        <w:t xml:space="preserve">particular </w:t>
      </w:r>
      <w:bookmarkStart w:name="_Int_rMzlp4q0" w:id="1004380455"/>
      <w:r w:rsidRPr="12F5274F" w:rsidR="12F5274F">
        <w:rPr>
          <w:rFonts w:ascii="Cambria" w:hAnsi="Cambria" w:eastAsia="Cambria" w:cs="Cambria"/>
          <w:b w:val="0"/>
          <w:bCs w:val="0"/>
          <w:i w:val="0"/>
          <w:iCs w:val="0"/>
          <w:sz w:val="32"/>
          <w:szCs w:val="32"/>
        </w:rPr>
        <w:t>space</w:t>
      </w:r>
      <w:bookmarkEnd w:id="1004380455"/>
      <w:r w:rsidRPr="12F5274F" w:rsidR="12F5274F">
        <w:rPr>
          <w:rFonts w:ascii="Cambria" w:hAnsi="Cambria" w:eastAsia="Cambria" w:cs="Cambria"/>
          <w:b w:val="0"/>
          <w:bCs w:val="0"/>
          <w:i w:val="0"/>
          <w:iCs w:val="0"/>
          <w:sz w:val="32"/>
          <w:szCs w:val="32"/>
        </w:rPr>
        <w:t xml:space="preserve"> or the time is getting better than expected further away. While the thought or idea of making an employee hired that is further away might appear threatening (little) at the first time, considering how the background (diverse) could also add a perspective (fresh) to the team (Hu et al., 2019). </w:t>
      </w:r>
      <w:r w:rsidRPr="12F5274F" w:rsidR="12F5274F">
        <w:rPr>
          <w:rFonts w:ascii="Cambria" w:hAnsi="Cambria" w:eastAsia="Cambria" w:cs="Cambria"/>
          <w:b w:val="0"/>
          <w:bCs w:val="0"/>
          <w:i w:val="0"/>
          <w:iCs w:val="0"/>
          <w:sz w:val="32"/>
          <w:szCs w:val="32"/>
        </w:rPr>
        <w:t>Ultimately, what</w:t>
      </w:r>
      <w:r w:rsidRPr="12F5274F" w:rsidR="12F5274F">
        <w:rPr>
          <w:rFonts w:ascii="Cambria" w:hAnsi="Cambria" w:eastAsia="Cambria" w:cs="Cambria"/>
          <w:b w:val="0"/>
          <w:bCs w:val="0"/>
          <w:i w:val="0"/>
          <w:iCs w:val="0"/>
          <w:sz w:val="32"/>
          <w:szCs w:val="32"/>
        </w:rPr>
        <w:t xml:space="preserve"> are the major chances that the ideal talent just happens for living within 20 mile of radius the organisation? The flexibility makes enough room for the concept of diversification. </w:t>
      </w:r>
    </w:p>
    <w:p w:rsidR="12F5274F" w:rsidP="12F5274F" w:rsidRDefault="12F5274F" w14:paraId="79C72CFA" w14:textId="686CF875">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Flexible work is inclusive</w:t>
      </w:r>
    </w:p>
    <w:p w:rsidR="12F5274F" w:rsidP="12F5274F" w:rsidRDefault="12F5274F" w14:paraId="4B9A4DC6" w14:textId="7B4E5CE7">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Not only proceeding for the flexible arrangements of the working open up the pool of the different applicants. They also provide help to the employees for feeling more heard and seen and therefore involved. It is not shocking that the balance of work-life has become significant and rising required for the applicant, specifically for the generation (younger), parents, adults furthering their education, or even the employee that does not want for spending a specific hour commuting. When the organisations propose the offer, they also acknowledge their major workers' and employees' individual lives outside the range of the work. And that type of inclusive thinking is quite attractive to the different applicants. Over 80 per cent of the survey IWG, the participant has said that while deciding between two similar kinds of offer of employment, they majorly would turn down the one that did not offer the work with the flexibility (Jenčo et al., 2018). In the other words, the major candidates have come up with the expectation of a degree (open-mindedness) and the factor of inclusion from the employers (potential). </w:t>
      </w:r>
    </w:p>
    <w:p w:rsidR="12F5274F" w:rsidP="12F5274F" w:rsidRDefault="12F5274F" w14:paraId="3C03EB20" w14:textId="4C3DCD98">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Role of Human Resources in promoting diversity and inclusion through flexible working</w:t>
      </w:r>
    </w:p>
    <w:p w:rsidR="12F5274F" w:rsidP="12F5274F" w:rsidRDefault="12F5274F" w14:paraId="76898DF6" w14:textId="3ED8D9F7">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According to the recent survey of PwC on the way of breaking all the barriers to the factor of diversity, more than 80% of the millennials trust the policy of the employer on the factor of equality, diversity and inclusion play a significant role in whether for working for them. </w:t>
      </w:r>
    </w:p>
    <w:p w:rsidR="12F5274F" w:rsidP="12F5274F" w:rsidRDefault="12F5274F" w14:paraId="6042FA94" w14:textId="0BEA9B3E">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This shift has majorly occurred because of the positive influence of the D&amp;I, which has proven for having on the factor of brand, innovation and performance. The views of the Millennials on the diversity of the work as the combing of the several backgrounds, perspectives and experiences, and they also believe in taking the different advantages of these variations that what leads to the factor of innovation. The major feeling of 'oneness' in the employees certainly motivates them for working harder from every perspective in the organisation (Kim et al., 2020). Apart from here the feeling of motivation also leads to their financial growth as well helps the financial growth of the company too. Alongside, one of the major contributions of HR is creating an empowering culture in the organisation that promotes the policies of employee engagement. </w:t>
      </w:r>
    </w:p>
    <w:p w:rsidR="12F5274F" w:rsidP="12F5274F" w:rsidRDefault="12F5274F" w14:paraId="4B8BBDAE" w14:textId="4FAD5D59">
      <w:pPr>
        <w:pStyle w:val="Normal"/>
        <w:jc w:val="left"/>
        <w:rPr>
          <w:rFonts w:ascii="Cambria" w:hAnsi="Cambria" w:eastAsia="Cambria" w:cs="Cambria"/>
          <w:b w:val="1"/>
          <w:bCs w:val="1"/>
          <w:i w:val="1"/>
          <w:iCs w:val="1"/>
          <w:sz w:val="36"/>
          <w:szCs w:val="36"/>
        </w:rPr>
      </w:pPr>
    </w:p>
    <w:p w:rsidR="12F5274F" w:rsidP="12F5274F" w:rsidRDefault="12F5274F" w14:paraId="25A9E3EF" w14:textId="517F674E">
      <w:pPr>
        <w:pStyle w:val="Normal"/>
        <w:jc w:val="left"/>
        <w:rPr>
          <w:rFonts w:ascii="Cambria" w:hAnsi="Cambria" w:eastAsia="Cambria" w:cs="Cambria"/>
          <w:b w:val="1"/>
          <w:bCs w:val="1"/>
          <w:i w:val="1"/>
          <w:iCs w:val="1"/>
          <w:sz w:val="36"/>
          <w:szCs w:val="36"/>
        </w:rPr>
      </w:pPr>
      <w:r w:rsidRPr="12F5274F" w:rsidR="12F5274F">
        <w:rPr>
          <w:rFonts w:ascii="Cambria" w:hAnsi="Cambria" w:eastAsia="Cambria" w:cs="Cambria"/>
          <w:b w:val="1"/>
          <w:bCs w:val="1"/>
          <w:i w:val="1"/>
          <w:iCs w:val="1"/>
          <w:sz w:val="36"/>
          <w:szCs w:val="36"/>
        </w:rPr>
        <w:t>Case-2 (Against Favour of flexible working)</w:t>
      </w:r>
    </w:p>
    <w:p w:rsidR="12F5274F" w:rsidP="12F5274F" w:rsidRDefault="12F5274F" w14:paraId="395FE72E" w14:textId="38C548E3">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Following are the different disadvantages of flexible working about the inequality at work</w:t>
      </w:r>
    </w:p>
    <w:p w:rsidR="12F5274F" w:rsidP="12F5274F" w:rsidRDefault="12F5274F" w14:paraId="2A43BB07" w14:textId="131D7BCB">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A decrement in the relation and interaction of human</w:t>
      </w:r>
    </w:p>
    <w:p w:rsidR="12F5274F" w:rsidP="12F5274F" w:rsidRDefault="12F5274F" w14:paraId="34A8011E" w14:textId="794F28D0">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flexibility in the workplace could lead to a rift getting created among the employees of the specific organisation. This is for saying that since the employees would be able for working from </w:t>
      </w:r>
      <w:bookmarkStart w:name="_Int_S4AyXYKr" w:id="127795351"/>
      <w:r w:rsidRPr="12F5274F" w:rsidR="12F5274F">
        <w:rPr>
          <w:rFonts w:ascii="Cambria" w:hAnsi="Cambria" w:eastAsia="Cambria" w:cs="Cambria"/>
          <w:b w:val="0"/>
          <w:bCs w:val="0"/>
          <w:i w:val="0"/>
          <w:iCs w:val="0"/>
          <w:sz w:val="32"/>
          <w:szCs w:val="32"/>
        </w:rPr>
        <w:t>anywhere</w:t>
      </w:r>
      <w:bookmarkEnd w:id="127795351"/>
      <w:r w:rsidRPr="12F5274F" w:rsidR="12F5274F">
        <w:rPr>
          <w:rFonts w:ascii="Cambria" w:hAnsi="Cambria" w:eastAsia="Cambria" w:cs="Cambria"/>
          <w:b w:val="0"/>
          <w:bCs w:val="0"/>
          <w:i w:val="0"/>
          <w:iCs w:val="0"/>
          <w:sz w:val="32"/>
          <w:szCs w:val="32"/>
        </w:rPr>
        <w:t xml:space="preserve"> they want to be involved from the comfort of their homes, there would be a factor of the absence of interaction of human between the people who are the co-employees in the organisation. </w:t>
      </w:r>
    </w:p>
    <w:p w:rsidR="12F5274F" w:rsidP="12F5274F" w:rsidRDefault="12F5274F" w14:paraId="4F024A95" w14:textId="7EEBE9C4">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It could engender the dissatisfaction</w:t>
      </w:r>
    </w:p>
    <w:p w:rsidR="12F5274F" w:rsidP="12F5274F" w:rsidRDefault="12F5274F" w14:paraId="220D90B7" w14:textId="60619B3A">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In the situation whereby some of the employees get for having flexible hours whereas, some will not get this, feelings of dissatisfaction may arise where those who do not get the facility of the flexibility in the hours (Malerba, 2020). This could create a feeling of inequality and unfairness among the employees. </w:t>
      </w:r>
    </w:p>
    <w:p w:rsidR="12F5274F" w:rsidP="12F5274F" w:rsidRDefault="12F5274F" w14:paraId="0EB0FF36" w14:textId="4A184DC7">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Untrustworthy and unreliable employees</w:t>
      </w:r>
    </w:p>
    <w:p w:rsidR="12F5274F" w:rsidP="12F5274F" w:rsidRDefault="12F5274F" w14:paraId="0E868E80" w14:textId="786B3A1A">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One of the major problems one might face is encountering when people adopt workplace flexibility is the certain fact that not every staff member could be relied on and trusted completely in the context of work done with accountability and responsibility. While some people use this major opportunity for bettering what they could improve, others would certainly see it as a major means of being lazy and doing nothing. Since one will not know what exactly the employees of the company would be doing away from the location of the office. </w:t>
      </w:r>
    </w:p>
    <w:p w:rsidR="12F5274F" w:rsidP="12F5274F" w:rsidRDefault="12F5274F" w14:paraId="034D26DF" w14:textId="0B6D9F09">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Requirement of the structure for some employees</w:t>
      </w:r>
    </w:p>
    <w:p w:rsidR="12F5274F" w:rsidP="12F5274F" w:rsidRDefault="12F5274F" w14:paraId="671C7851" w14:textId="5015F0BF">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While some employees exist in the organisation that are just purely unreliable and properly use the opportunity of the flexibility of the workplace to being lazy and unproductive, some other people need a structure for accomplishing all the requirements of the task (Moore and Nash, 2021). It makes it compulsory that even with the benefits in the technological department and the factor of adoption of the flexibility of the workplace in the different countries of the world, it is still very significant and necessary of having a traditional workplace. </w:t>
      </w:r>
    </w:p>
    <w:p w:rsidR="12F5274F" w:rsidP="12F5274F" w:rsidRDefault="12F5274F" w14:paraId="2041FE05" w14:textId="072BFD4B">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The inability of separating at home and being at the workplace</w:t>
      </w:r>
    </w:p>
    <w:p w:rsidR="12F5274F" w:rsidP="12F5274F" w:rsidRDefault="12F5274F" w14:paraId="7C4C2E8D" w14:textId="723904B6">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People who have majorly tapped into the flexibility of the workplace may find it a bit complex for making the aspect of the distinction between getting at home and being at the workplace. This is because, one is naturally programmed for relaxing at home, as such, one may find it a bit difficult for motivating himself for doing better and improve himself. </w:t>
      </w:r>
    </w:p>
    <w:p w:rsidR="12F5274F" w:rsidP="12F5274F" w:rsidRDefault="12F5274F" w14:paraId="2429A464" w14:textId="2DDB5AD1">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Handling the customers and clients</w:t>
      </w:r>
    </w:p>
    <w:p w:rsidR="12F5274F" w:rsidP="12F5274F" w:rsidRDefault="12F5274F" w14:paraId="753D7F9F" w14:textId="5722DACA">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This is again, one of the major disadvantages that come out with the flexibility of the workplace, that it makes the action and procedures (ideal) of handling the clients difficult and complex (O’Connor and Cech, 2018). This applies to that kind of scenario where the employees are majorly allowed for coming to the workplace at any specific time of their choosing for completing the task. </w:t>
      </w:r>
    </w:p>
    <w:p w:rsidR="12F5274F" w:rsidP="12F5274F" w:rsidRDefault="12F5274F" w14:paraId="122BB9F5" w14:textId="0BC5CDFD">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Unsuitability</w:t>
      </w:r>
    </w:p>
    <w:p w:rsidR="12F5274F" w:rsidP="12F5274F" w:rsidRDefault="12F5274F" w14:paraId="528E4D98" w14:textId="3B7AE5CC">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The process of adopting the flexibility of the workplace may be a bit of a stretch factor for some roles of the employees, such as those who are working in teams. This is because it may easily mess up how the factors of teams work and coordinate. Imagine a major scenario, where every member of the team selects a specific time of the working, how would anything take place then? In such kinds of conditions, it is very significant to consider that the specific ground rules should be set for these kinds of occurrences that they would be sorted, before getting threatened the peace and cohesion of the organisation.</w:t>
      </w:r>
    </w:p>
    <w:p w:rsidR="12F5274F" w:rsidP="12F5274F" w:rsidRDefault="12F5274F" w14:paraId="2807B765" w14:textId="3E4BA9F2">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Security</w:t>
      </w:r>
    </w:p>
    <w:p w:rsidR="12F5274F" w:rsidP="12F5274F" w:rsidRDefault="12F5274F" w14:paraId="1DDC6EA2" w14:textId="2BBC0C2D">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There are different kinds of forms of flexibility in the workplace and one of them is the opportunity for the employees for going out and work whenever they want to (Persson and Rossin-Slater, 2019). This could cause issues of security specifically for those who majorly prefer for working late into the night. As such, getting such kind of flexibility in the workplace may prove the different challenging in complex areas less than the security (premium). </w:t>
      </w:r>
    </w:p>
    <w:p w:rsidR="12F5274F" w:rsidP="12F5274F" w:rsidRDefault="12F5274F" w14:paraId="671AD200" w14:textId="64D92BBC">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Costs of overtime</w:t>
      </w:r>
    </w:p>
    <w:p w:rsidR="12F5274F" w:rsidP="12F5274F" w:rsidRDefault="12F5274F" w14:paraId="34FF57B5" w14:textId="7102A6D7">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One of the major disadvantages of the flexibility of the workplace is the fact that it could generate outcomes in the working of employees beyond their scheduled period which means that the employer would have to pay them for the factor of overtime that has been spent on the work. </w:t>
      </w:r>
    </w:p>
    <w:p w:rsidR="12F5274F" w:rsidP="12F5274F" w:rsidRDefault="12F5274F" w14:paraId="23A2BE12" w14:textId="4BCC2739">
      <w:pPr>
        <w:pStyle w:val="ListParagraph"/>
        <w:numPr>
          <w:ilvl w:val="0"/>
          <w:numId w:val="1"/>
        </w:numPr>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Technology costs</w:t>
      </w:r>
    </w:p>
    <w:p w:rsidR="12F5274F" w:rsidP="12F5274F" w:rsidRDefault="12F5274F" w14:paraId="2B923EC2" w14:textId="14756499">
      <w:pPr>
        <w:pStyle w:val="Normal"/>
        <w:ind w:left="0"/>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In situations whereby the workers and the employees could just as easily complete their tasks from any point in the world as in the workplace, there would be no requirement of providing the employees with technical gadgets like computers, smartphones, laptops and similar gadgets that would provide him help for accomplishing their tasks (</w:t>
      </w:r>
      <w:proofErr w:type="spellStart"/>
      <w:r w:rsidRPr="12F5274F" w:rsidR="12F5274F">
        <w:rPr>
          <w:rFonts w:ascii="Cambria" w:hAnsi="Cambria" w:eastAsia="Cambria" w:cs="Cambria"/>
          <w:b w:val="0"/>
          <w:bCs w:val="0"/>
          <w:i w:val="0"/>
          <w:iCs w:val="0"/>
          <w:sz w:val="32"/>
          <w:szCs w:val="32"/>
        </w:rPr>
        <w:t>Sabuhari</w:t>
      </w:r>
      <w:proofErr w:type="spellEnd"/>
      <w:r w:rsidRPr="12F5274F" w:rsidR="12F5274F">
        <w:rPr>
          <w:rFonts w:ascii="Cambria" w:hAnsi="Cambria" w:eastAsia="Cambria" w:cs="Cambria"/>
          <w:b w:val="0"/>
          <w:bCs w:val="0"/>
          <w:i w:val="0"/>
          <w:iCs w:val="0"/>
          <w:sz w:val="32"/>
          <w:szCs w:val="32"/>
        </w:rPr>
        <w:t xml:space="preserve"> and </w:t>
      </w:r>
      <w:proofErr w:type="spellStart"/>
      <w:r w:rsidRPr="12F5274F" w:rsidR="12F5274F">
        <w:rPr>
          <w:rFonts w:ascii="Cambria" w:hAnsi="Cambria" w:eastAsia="Cambria" w:cs="Cambria"/>
          <w:b w:val="0"/>
          <w:bCs w:val="0"/>
          <w:i w:val="0"/>
          <w:iCs w:val="0"/>
          <w:sz w:val="32"/>
          <w:szCs w:val="32"/>
        </w:rPr>
        <w:t>Irawanto</w:t>
      </w:r>
      <w:proofErr w:type="spellEnd"/>
      <w:r w:rsidRPr="12F5274F" w:rsidR="12F5274F">
        <w:rPr>
          <w:rFonts w:ascii="Cambria" w:hAnsi="Cambria" w:eastAsia="Cambria" w:cs="Cambria"/>
          <w:b w:val="0"/>
          <w:bCs w:val="0"/>
          <w:i w:val="0"/>
          <w:iCs w:val="0"/>
          <w:sz w:val="32"/>
          <w:szCs w:val="32"/>
        </w:rPr>
        <w:t xml:space="preserve">, 2020). This may proceed in constituting an additional cost to the company and is thus a specific disadvantage. </w:t>
      </w:r>
    </w:p>
    <w:p w:rsidR="12F5274F" w:rsidP="12F5274F" w:rsidRDefault="12F5274F" w14:paraId="49D655D7" w14:textId="04788B42">
      <w:pPr>
        <w:pStyle w:val="Normal"/>
        <w:jc w:val="left"/>
        <w:rPr>
          <w:rFonts w:ascii="Cambria" w:hAnsi="Cambria" w:eastAsia="Cambria" w:cs="Cambria"/>
          <w:b w:val="1"/>
          <w:bCs w:val="1"/>
          <w:i w:val="1"/>
          <w:iCs w:val="1"/>
          <w:sz w:val="36"/>
          <w:szCs w:val="36"/>
        </w:rPr>
      </w:pPr>
      <w:r w:rsidRPr="12F5274F" w:rsidR="12F5274F">
        <w:rPr>
          <w:rFonts w:ascii="Cambria" w:hAnsi="Cambria" w:eastAsia="Cambria" w:cs="Cambria"/>
          <w:b w:val="1"/>
          <w:bCs w:val="1"/>
          <w:i w:val="1"/>
          <w:iCs w:val="1"/>
          <w:sz w:val="36"/>
          <w:szCs w:val="36"/>
        </w:rPr>
        <w:t>Role of Human Resources in addressing the concerns of inequality that may arise from flexible working</w:t>
      </w:r>
    </w:p>
    <w:p w:rsidR="12F5274F" w:rsidP="12F5274F" w:rsidRDefault="12F5274F" w14:paraId="1FA0EA19" w14:textId="4E558224">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The organisation could take the step to mitigate the discrimination in the policies of Human Resources. As the first example, How an organisation could develop within the system of Human resource, initiatives (diversity) aimed at changing the particular composition of the workforce involves the policies for recruiting, developing and retaining the employees from the groups (underrepresented), the initiatives of diversity could operate like action programs for affirmation in that particular organisation monitor and track, the number of candidates (qualified) from the significant groups in the pool, and the number of those candidates from different group promoted or hired (Shaw et al., 2020). </w:t>
      </w:r>
    </w:p>
    <w:p w:rsidR="12F5274F" w:rsidP="12F5274F" w:rsidRDefault="12F5274F" w14:paraId="3206E85D" w14:textId="0C4DBBF1">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When the proportion of the candidates from the group successfully get selected varies majorly from their proportion in the pool (qualified) then the action like efforts for targeted recruitment, requires to be taken. Significantly, such kinds of efforts for increasing diversity could strengthen by the other policies of Human resource that rewards the manager, who majorly select different diverse (personnel), with bonuses. The organisations that proceed for incorporating the criteria (diversity based) into the factor of performance and policies of the Human resource proceed for rewarding the Manager, who majorly selects the personnel (diverse), with bonuses (Ter Hoeven and Van Zoonen, 2020). The companies that proceed for incorporating the diversity-based criteria into their specific performance policies of promotion and offer the significant aspect of meaningful incentives on the part of managers for identifying and developing successful candidates (female) for the factor of promotion are more likely for getting success in the process of promoting and retaining the diverse talent. </w:t>
      </w:r>
    </w:p>
    <w:p w:rsidR="12F5274F" w:rsidP="12F5274F" w:rsidRDefault="12F5274F" w14:paraId="1A42627A" w14:textId="4546E5A9">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Although, proceeding to focus on the very short term and narrowly defined criteria, like increasing the number of women candidates hiring, without proceeding to focus on the part of their merit and providing a climate (adequate) or the required support for the women are more unlikely for bringing about any specific long term change the diversity, and could have detrimental consequences for its beneficiaries (intended) (Ueno et al., 2020). Instead of being successful policies of Human resources for diversity are required for being supported by the other specific organisational processes, structures, practices strategies, climate and leadership (Turesky and Warner, 2020). </w:t>
      </w:r>
    </w:p>
    <w:p w:rsidR="12F5274F" w:rsidP="12F5274F" w:rsidRDefault="12F5274F" w14:paraId="5B2BB71F" w14:textId="6ACE311C">
      <w:pPr>
        <w:pStyle w:val="Normal"/>
        <w:jc w:val="left"/>
        <w:rPr>
          <w:rFonts w:ascii="Cambria" w:hAnsi="Cambria" w:eastAsia="Cambria" w:cs="Cambria"/>
          <w:b w:val="1"/>
          <w:bCs w:val="1"/>
          <w:i w:val="1"/>
          <w:iCs w:val="1"/>
          <w:sz w:val="32"/>
          <w:szCs w:val="32"/>
        </w:rPr>
      </w:pPr>
    </w:p>
    <w:p w:rsidR="12F5274F" w:rsidP="12F5274F" w:rsidRDefault="12F5274F" w14:paraId="5022CC90" w14:textId="1710B344">
      <w:pPr>
        <w:pStyle w:val="Normal"/>
        <w:jc w:val="left"/>
        <w:rPr>
          <w:rFonts w:ascii="Cambria" w:hAnsi="Cambria" w:eastAsia="Cambria" w:cs="Cambria"/>
          <w:b w:val="1"/>
          <w:bCs w:val="1"/>
          <w:i w:val="1"/>
          <w:iCs w:val="1"/>
          <w:sz w:val="32"/>
          <w:szCs w:val="32"/>
        </w:rPr>
      </w:pPr>
      <w:r w:rsidRPr="12F5274F" w:rsidR="12F5274F">
        <w:rPr>
          <w:rFonts w:ascii="Cambria" w:hAnsi="Cambria" w:eastAsia="Cambria" w:cs="Cambria"/>
          <w:b w:val="1"/>
          <w:bCs w:val="1"/>
          <w:i w:val="1"/>
          <w:iCs w:val="1"/>
          <w:sz w:val="32"/>
          <w:szCs w:val="32"/>
        </w:rPr>
        <w:t>Conclusion</w:t>
      </w:r>
    </w:p>
    <w:p w:rsidR="12F5274F" w:rsidP="12F5274F" w:rsidRDefault="12F5274F" w14:paraId="612E35AF" w14:textId="21877BCA">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As per the analysis of both the cases present in the report, it could be concluded that flexible working has significance in the structure of the organisation. The policies of Human resource management significantly play a major role in favouring flexibility and diversity in the environment of the company, whether the Human resource management has to promote diversity and inclusion through flexibility in the working or addressing the problems of inequality that could be generated by the factor of flexible working. Both of these factors have their benefits and consequences on the environment of the company. The organisation must understand the requirement of flexibility in its environment and should implement it by taking care not to promote inequality and biases in the company. </w:t>
      </w:r>
    </w:p>
    <w:p w:rsidR="12F5274F" w:rsidP="12F5274F" w:rsidRDefault="12F5274F" w14:paraId="4D0B4D98" w14:textId="52DFB643">
      <w:pPr>
        <w:pStyle w:val="Normal"/>
        <w:jc w:val="left"/>
        <w:rPr>
          <w:rFonts w:ascii="Cambria" w:hAnsi="Cambria" w:eastAsia="Cambria" w:cs="Cambria"/>
          <w:b w:val="1"/>
          <w:bCs w:val="1"/>
          <w:i w:val="1"/>
          <w:iCs w:val="1"/>
          <w:sz w:val="36"/>
          <w:szCs w:val="36"/>
        </w:rPr>
      </w:pPr>
    </w:p>
    <w:p w:rsidR="12F5274F" w:rsidP="12F5274F" w:rsidRDefault="12F5274F" w14:paraId="76B979B4" w14:textId="3CF15292">
      <w:pPr>
        <w:pStyle w:val="Normal"/>
        <w:jc w:val="left"/>
        <w:rPr>
          <w:rFonts w:ascii="Cambria" w:hAnsi="Cambria" w:eastAsia="Cambria" w:cs="Cambria"/>
          <w:b w:val="1"/>
          <w:bCs w:val="1"/>
          <w:i w:val="1"/>
          <w:iCs w:val="1"/>
          <w:sz w:val="36"/>
          <w:szCs w:val="36"/>
        </w:rPr>
      </w:pPr>
    </w:p>
    <w:p w:rsidR="12F5274F" w:rsidP="12F5274F" w:rsidRDefault="12F5274F" w14:paraId="20F5A348" w14:textId="370C8C9A">
      <w:pPr>
        <w:pStyle w:val="Normal"/>
        <w:jc w:val="left"/>
        <w:rPr>
          <w:rFonts w:ascii="Cambria" w:hAnsi="Cambria" w:eastAsia="Cambria" w:cs="Cambria"/>
          <w:b w:val="1"/>
          <w:bCs w:val="1"/>
          <w:i w:val="1"/>
          <w:iCs w:val="1"/>
          <w:sz w:val="36"/>
          <w:szCs w:val="36"/>
        </w:rPr>
      </w:pPr>
      <w:r w:rsidRPr="12F5274F" w:rsidR="12F5274F">
        <w:rPr>
          <w:rFonts w:ascii="Cambria" w:hAnsi="Cambria" w:eastAsia="Cambria" w:cs="Cambria"/>
          <w:b w:val="1"/>
          <w:bCs w:val="1"/>
          <w:i w:val="1"/>
          <w:iCs w:val="1"/>
          <w:sz w:val="36"/>
          <w:szCs w:val="36"/>
        </w:rPr>
        <w:t>References</w:t>
      </w:r>
    </w:p>
    <w:p w:rsidR="12F5274F" w:rsidP="12F5274F" w:rsidRDefault="12F5274F" w14:paraId="25BBA90F" w14:textId="4CEDD0E7">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Asino, T.I. and Giacumo, L. (2019). Culture and global workplace learning: Foundations of cross‐cultural design theories and models. The Wiley Handbook of Global Workplace Learning, pp.395-412.</w:t>
      </w:r>
    </w:p>
    <w:p w:rsidR="12F5274F" w:rsidP="12F5274F" w:rsidRDefault="12F5274F" w14:paraId="5C7480A4" w14:textId="1C6A8279">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Bal, P.M. and Izak, M. (2021). Paradigms of flexibility: a systematic review of research on workplace flexibility. European Management Review, 18(1), pp.37-50.</w:t>
      </w:r>
    </w:p>
    <w:p w:rsidR="12F5274F" w:rsidP="12F5274F" w:rsidRDefault="12F5274F" w14:paraId="7A9A1C7E" w14:textId="3E2F474A">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Biczkowski, M., Jezierska-Thöle, A. and Rudnicki, R. (2021). The impact of RDP measures on the diversification of agriculture and rural development—Seeking additional livelihoods: The case of Poland. Agriculture, 11(3), p.253.</w:t>
      </w:r>
    </w:p>
    <w:p w:rsidR="12F5274F" w:rsidP="12F5274F" w:rsidRDefault="12F5274F" w14:paraId="08287B02" w14:textId="2B8D6B48">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Chung, H. (2020). Gender, flexibility stigma and the perceived negative consequences of flexible working in the UK. Social Indicators Research, 151(2), pp.521-545.</w:t>
      </w:r>
    </w:p>
    <w:p w:rsidR="12F5274F" w:rsidP="12F5274F" w:rsidRDefault="12F5274F" w14:paraId="4C1CFC6A" w14:textId="2FAE96A6">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Holm, J.R. and Østergaard, C.R. (2018). The high importance of de-industrialization and job polarization for regional diversification. Papers in evolutionary economic geography 1821.</w:t>
      </w:r>
    </w:p>
    <w:p w:rsidR="12F5274F" w:rsidP="12F5274F" w:rsidRDefault="12F5274F" w14:paraId="497A4A13" w14:textId="1C18E17B">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Hou, J., Liang, C., Chen, P.Y. and Gu, B. (2021). Workplace flexibility and worker resilience: the role of teleworkability in the COVID-19 pandemic.</w:t>
      </w:r>
    </w:p>
    <w:p w:rsidR="12F5274F" w:rsidP="12F5274F" w:rsidRDefault="12F5274F" w14:paraId="46C7E63E" w14:textId="36BEE55D">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Hu, X., Santuzzi, A.M. and Barber, L.K. (2019). Disconnecting to detach: The role of impaired recovery in negative consequences of workplace telepressure. Journal of Work and Organizational Psychology, 35(1), pp.9-15.</w:t>
      </w:r>
    </w:p>
    <w:p w:rsidR="12F5274F" w:rsidP="12F5274F" w:rsidRDefault="12F5274F" w14:paraId="18C801EE" w14:textId="6C6D61C7">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Jenčo, M., Droppa, M., Lysá, Ľ. and Križo, P. (2018). Assessing the Quality of Employees in Terms of their Resistance. Calitatea, 19(167), pp.48-53.</w:t>
      </w:r>
    </w:p>
    <w:p w:rsidR="12F5274F" w:rsidP="12F5274F" w:rsidRDefault="12F5274F" w14:paraId="54AAD02A" w14:textId="4D756101">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Kim, J., Henly, J.R., Golden, L.M. and Lambert, S.J. (2020). Workplace flexibility and worker well‐being by gender. Journal of Marriage and Family, 82(3), pp.892-910.</w:t>
      </w:r>
    </w:p>
    <w:p w:rsidR="12F5274F" w:rsidP="12F5274F" w:rsidRDefault="12F5274F" w14:paraId="335781F8" w14:textId="3954A72F">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Malerba, A. (2020). Gender Difference in White-Collar Crime and the Importance of Gender Diversity.</w:t>
      </w:r>
    </w:p>
    <w:p w:rsidR="12F5274F" w:rsidP="12F5274F" w:rsidRDefault="12F5274F" w14:paraId="45FB9352" w14:textId="3450FA04">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Moore, R. and Nash, M. (2021). Women’s experiences of racial microaggressions in STEMM workplaces and the importance of white allyship. International Journal of Gender, Science and Technology, 13(1), pp.3-22.</w:t>
      </w:r>
    </w:p>
    <w:p w:rsidR="12F5274F" w:rsidP="12F5274F" w:rsidRDefault="12F5274F" w14:paraId="2D128E5C" w14:textId="1AAED1F0">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O’Connor, L.T. and Cech, E.A. (2018). Not just a mothers’ problem: The consequences of perceived workplace flexibility bias for all workers. Sociological Perspectives, 61(5), pp.808-829.</w:t>
      </w:r>
    </w:p>
    <w:p w:rsidR="12F5274F" w:rsidP="12F5274F" w:rsidRDefault="12F5274F" w14:paraId="405138FC" w14:textId="55B624E0">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Persson, P. and Rossin-Slater, M. (2019). When dad can stay home: fathers' workplace flexibility and maternal health (No. w25902). National Bureau of Economic Research.</w:t>
      </w:r>
    </w:p>
    <w:p w:rsidR="12F5274F" w:rsidP="12F5274F" w:rsidRDefault="12F5274F" w14:paraId="2C548CB9" w14:textId="2A1BF960">
      <w:pPr>
        <w:pStyle w:val="Normal"/>
        <w:jc w:val="left"/>
        <w:rPr>
          <w:rFonts w:ascii="Cambria" w:hAnsi="Cambria" w:eastAsia="Cambria" w:cs="Cambria"/>
          <w:b w:val="0"/>
          <w:bCs w:val="0"/>
          <w:i w:val="0"/>
          <w:iCs w:val="0"/>
          <w:sz w:val="32"/>
          <w:szCs w:val="32"/>
        </w:rPr>
      </w:pPr>
      <w:proofErr w:type="spellStart"/>
      <w:r w:rsidRPr="12F5274F" w:rsidR="12F5274F">
        <w:rPr>
          <w:rFonts w:ascii="Cambria" w:hAnsi="Cambria" w:eastAsia="Cambria" w:cs="Cambria"/>
          <w:b w:val="0"/>
          <w:bCs w:val="0"/>
          <w:i w:val="0"/>
          <w:iCs w:val="0"/>
          <w:sz w:val="32"/>
          <w:szCs w:val="32"/>
        </w:rPr>
        <w:t>Sabuhari</w:t>
      </w:r>
      <w:proofErr w:type="spellEnd"/>
      <w:r w:rsidRPr="12F5274F" w:rsidR="12F5274F">
        <w:rPr>
          <w:rFonts w:ascii="Cambria" w:hAnsi="Cambria" w:eastAsia="Cambria" w:cs="Cambria"/>
          <w:b w:val="0"/>
          <w:bCs w:val="0"/>
          <w:i w:val="0"/>
          <w:iCs w:val="0"/>
          <w:sz w:val="32"/>
          <w:szCs w:val="32"/>
        </w:rPr>
        <w:t xml:space="preserve">, R. and </w:t>
      </w:r>
      <w:proofErr w:type="spellStart"/>
      <w:r w:rsidRPr="12F5274F" w:rsidR="12F5274F">
        <w:rPr>
          <w:rFonts w:ascii="Cambria" w:hAnsi="Cambria" w:eastAsia="Cambria" w:cs="Cambria"/>
          <w:b w:val="0"/>
          <w:bCs w:val="0"/>
          <w:i w:val="0"/>
          <w:iCs w:val="0"/>
          <w:sz w:val="32"/>
          <w:szCs w:val="32"/>
        </w:rPr>
        <w:t>Irawanto</w:t>
      </w:r>
      <w:proofErr w:type="spellEnd"/>
      <w:r w:rsidRPr="12F5274F" w:rsidR="12F5274F">
        <w:rPr>
          <w:rFonts w:ascii="Cambria" w:hAnsi="Cambria" w:eastAsia="Cambria" w:cs="Cambria"/>
          <w:b w:val="0"/>
          <w:bCs w:val="0"/>
          <w:i w:val="0"/>
          <w:iCs w:val="0"/>
          <w:sz w:val="32"/>
          <w:szCs w:val="32"/>
        </w:rPr>
        <w:t xml:space="preserve">, D.W. (2020), June. The Importance of Flexibility of Human Resources and Employee Performance on Logistic Industry in the Eastern part of Indonesian Region: </w:t>
      </w:r>
      <w:r w:rsidRPr="12F5274F" w:rsidR="12F5274F">
        <w:rPr>
          <w:rFonts w:ascii="Cambria" w:hAnsi="Cambria" w:eastAsia="Cambria" w:cs="Cambria"/>
          <w:b w:val="0"/>
          <w:bCs w:val="0"/>
          <w:i w:val="0"/>
          <w:iCs w:val="0"/>
          <w:sz w:val="32"/>
          <w:szCs w:val="32"/>
        </w:rPr>
        <w:t>A</w:t>
      </w:r>
      <w:r w:rsidRPr="12F5274F" w:rsidR="12F5274F">
        <w:rPr>
          <w:rFonts w:ascii="Cambria" w:hAnsi="Cambria" w:eastAsia="Cambria" w:cs="Cambria"/>
          <w:b w:val="0"/>
          <w:bCs w:val="0"/>
          <w:i w:val="0"/>
          <w:iCs w:val="0"/>
          <w:sz w:val="32"/>
          <w:szCs w:val="32"/>
        </w:rPr>
        <w:t xml:space="preserve"> Literature Review. In 23rd Asian Forum of Business Education (AFBE 2019) (pp. 205-210). Atlantis Press.</w:t>
      </w:r>
    </w:p>
    <w:p w:rsidR="12F5274F" w:rsidP="12F5274F" w:rsidRDefault="12F5274F" w14:paraId="0A37E715" w14:textId="5860E797">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 xml:space="preserve">Shaw, W.S., Main, C.J., Findley, P.A., Collie, A., Kristman, V.L. and Gross, D.P. (2020). Opening the workplace after COVID-19: what lessons can be learned from return-to-work </w:t>
      </w:r>
      <w:bookmarkStart w:name="_Int_gsGCLa3U" w:id="106907532"/>
      <w:r w:rsidRPr="12F5274F" w:rsidR="12F5274F">
        <w:rPr>
          <w:rFonts w:ascii="Cambria" w:hAnsi="Cambria" w:eastAsia="Cambria" w:cs="Cambria"/>
          <w:b w:val="0"/>
          <w:bCs w:val="0"/>
          <w:i w:val="0"/>
          <w:iCs w:val="0"/>
          <w:sz w:val="32"/>
          <w:szCs w:val="32"/>
        </w:rPr>
        <w:t>research?.</w:t>
      </w:r>
      <w:bookmarkEnd w:id="106907532"/>
      <w:r w:rsidRPr="12F5274F" w:rsidR="12F5274F">
        <w:rPr>
          <w:rFonts w:ascii="Cambria" w:hAnsi="Cambria" w:eastAsia="Cambria" w:cs="Cambria"/>
          <w:b w:val="0"/>
          <w:bCs w:val="0"/>
          <w:i w:val="0"/>
          <w:iCs w:val="0"/>
          <w:sz w:val="32"/>
          <w:szCs w:val="32"/>
        </w:rPr>
        <w:t xml:space="preserve"> Journal of Occupational Rehabilitation, 30(3), pp.299-302.</w:t>
      </w:r>
    </w:p>
    <w:p w:rsidR="12F5274F" w:rsidP="12F5274F" w:rsidRDefault="12F5274F" w14:paraId="3AAFF2DF" w14:textId="5EC3D512">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Ter Hoeven, C.L. and Van Zoonen, W. (2020). Helping others and feeling engaged in the context of workplace flexibility: The importance of communication control. International journal of business communication, p.2329488419898799.</w:t>
      </w:r>
    </w:p>
    <w:p w:rsidR="12F5274F" w:rsidP="12F5274F" w:rsidRDefault="12F5274F" w14:paraId="2B62552D" w14:textId="740C153A">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Ter Hoeven, C.L. and Van Zoonen, W., 2020. Helping others and feeling engaged in the context of workplace flexibility: The importance of communication control. International journal of business communication, p.2329488419898799.</w:t>
      </w:r>
    </w:p>
    <w:p w:rsidR="12F5274F" w:rsidP="12F5274F" w:rsidRDefault="12F5274F" w14:paraId="4DE53DD5" w14:textId="080E144C">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Turesky, M. and Warner, M.E. (2020). Gender dynamics in the planning workplace: The importance of women in management. Journal of the American Planning Association, 86(2), pp.157-170.</w:t>
      </w:r>
    </w:p>
    <w:p w:rsidR="12F5274F" w:rsidP="12F5274F" w:rsidRDefault="12F5274F" w14:paraId="48F8E155" w14:textId="5B246A4C">
      <w:pPr>
        <w:pStyle w:val="Normal"/>
        <w:jc w:val="left"/>
        <w:rPr>
          <w:rFonts w:ascii="Cambria" w:hAnsi="Cambria" w:eastAsia="Cambria" w:cs="Cambria"/>
          <w:b w:val="0"/>
          <w:bCs w:val="0"/>
          <w:i w:val="0"/>
          <w:iCs w:val="0"/>
          <w:sz w:val="32"/>
          <w:szCs w:val="32"/>
        </w:rPr>
      </w:pPr>
      <w:r w:rsidRPr="12F5274F" w:rsidR="12F5274F">
        <w:rPr>
          <w:rFonts w:ascii="Cambria" w:hAnsi="Cambria" w:eastAsia="Cambria" w:cs="Cambria"/>
          <w:b w:val="0"/>
          <w:bCs w:val="0"/>
          <w:i w:val="0"/>
          <w:iCs w:val="0"/>
          <w:sz w:val="32"/>
          <w:szCs w:val="32"/>
        </w:rPr>
        <w:t>Ueno, K., Jackson, T.M., Ingram, R., Grace, J. and Šaras, E.D. (2020). Sexual minority young adults’ construction of workplace acceptance in the era of diversity and inclusion. Social Currents, 7(2), pp.91-108.</w:t>
      </w:r>
    </w:p>
    <w:p w:rsidR="12F5274F" w:rsidP="12F5274F" w:rsidRDefault="12F5274F" w14:paraId="59C574EB" w14:textId="553920B4">
      <w:pPr>
        <w:pStyle w:val="Normal"/>
        <w:jc w:val="left"/>
        <w:rPr>
          <w:rFonts w:ascii="Cambria" w:hAnsi="Cambria" w:eastAsia="Cambria" w:cs="Cambria"/>
          <w:b w:val="0"/>
          <w:bCs w:val="0"/>
          <w:i w:val="0"/>
          <w:iCs w:val="0"/>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KhfVi67IzrShZ" int2:id="4gg1T6Xh">
      <int2:state int2:type="AugLoop_Text_Critique" int2:value="Rejected"/>
    </int2:textHash>
    <int2:textHash int2:hashCode="JDApRBkw5Cpk9S" int2:id="9uyaV0O1">
      <int2:state int2:type="AugLoop_Text_Critique" int2:value="Rejected"/>
    </int2:textHash>
    <int2:textHash int2:hashCode="m+FQm6Ftq95L4g" int2:id="FFp0loQP">
      <int2:state int2:type="AugLoop_Text_Critique" int2:value="Rejected"/>
    </int2:textHash>
    <int2:textHash int2:hashCode="1QO8OceWke6llq" int2:id="mGG7HiUd">
      <int2:state int2:type="AugLoop_Text_Critique" int2:value="Rejected"/>
    </int2:textHash>
    <int2:textHash int2:hashCode="o+PFLeAiTyZznl" int2:id="9Rnrbtkc">
      <int2:state int2:type="AugLoop_Text_Critique" int2:value="Rejected"/>
    </int2:textHash>
    <int2:textHash int2:hashCode="nXzLkEoenP/8PK" int2:id="hXUKneF2">
      <int2:state int2:type="AugLoop_Text_Critique" int2:value="Rejected"/>
    </int2:textHash>
    <int2:textHash int2:hashCode="gLHF8W6eflWgKS" int2:id="4kpXsdqC">
      <int2:state int2:type="AugLoop_Text_Critique" int2:value="Rejected"/>
    </int2:textHash>
    <int2:textHash int2:hashCode="pljuTCRWMcIJhp" int2:id="Evhi94Qf">
      <int2:state int2:type="AugLoop_Text_Critique" int2:value="Rejected"/>
    </int2:textHash>
    <int2:textHash int2:hashCode="sjaxnnPvIemuyN" int2:id="56CMwTFH">
      <int2:state int2:type="AugLoop_Text_Critique" int2:value="Rejected"/>
    </int2:textHash>
    <int2:textHash int2:hashCode="8wsdaysYyTGQnX" int2:id="obevqcOS">
      <int2:state int2:type="AugLoop_Text_Critique" int2:value="Rejected"/>
    </int2:textHash>
    <int2:textHash int2:hashCode="SAPLuevD9Wo2vu" int2:id="j3bBNdXR">
      <int2:state int2:type="AugLoop_Text_Critique" int2:value="Rejected"/>
    </int2:textHash>
    <int2:textHash int2:hashCode="oDKeFME1Nby2NZ" int2:id="isuxUhP6">
      <int2:state int2:type="AugLoop_Text_Critique" int2:value="Rejected"/>
    </int2:textHash>
    <int2:textHash int2:hashCode="rjTGSvr9DnCure" int2:id="I1AJ2mX7">
      <int2:state int2:type="AugLoop_Text_Critique" int2:value="Rejected"/>
    </int2:textHash>
    <int2:textHash int2:hashCode="VDH845VzZEe7Hq" int2:id="ntE11idX">
      <int2:state int2:type="AugLoop_Text_Critique" int2:value="Rejected"/>
    </int2:textHash>
    <int2:textHash int2:hashCode="FtKmvXqsPlW8Nr" int2:id="AmZezHhf">
      <int2:state int2:type="AugLoop_Text_Critique" int2:value="Rejected"/>
    </int2:textHash>
    <int2:textHash int2:hashCode="3aKsP3YcWmO9eC" int2:id="AmO6jj4N">
      <int2:state int2:type="AugLoop_Text_Critique" int2:value="Rejected"/>
    </int2:textHash>
    <int2:textHash int2:hashCode="ZmYGfWHwx59OcR" int2:id="1ywdglso">
      <int2:state int2:type="AugLoop_Text_Critique" int2:value="Rejected"/>
    </int2:textHash>
    <int2:textHash int2:hashCode="VMJdGPnuSdV7yA" int2:id="3ejtlvY3">
      <int2:state int2:type="LegacyProofing" int2:value="Rejected"/>
    </int2:textHash>
    <int2:textHash int2:hashCode="tgCBFfckbvyJ4M" int2:id="QdDjXYW0">
      <int2:state int2:type="LegacyProofing" int2:value="Rejected"/>
    </int2:textHash>
    <int2:textHash int2:hashCode="52ZiPfzAFPD8wM" int2:id="a64wwO3P">
      <int2:state int2:type="LegacyProofing" int2:value="Rejected"/>
    </int2:textHash>
    <int2:textHash int2:hashCode="N5VWTLpvdTfQnH" int2:id="SOKPv0LA">
      <int2:state int2:type="LegacyProofing" int2:value="Rejected"/>
    </int2:textHash>
    <int2:textHash int2:hashCode="z/XHqVCvInfrIV" int2:id="TYaUXX8P">
      <int2:state int2:type="LegacyProofing" int2:value="Rejected"/>
    </int2:textHash>
    <int2:textHash int2:hashCode="lH6PLpkwiUtcO1" int2:id="OngGGeiG">
      <int2:state int2:type="LegacyProofing" int2:value="Rejected"/>
    </int2:textHash>
    <int2:textHash int2:hashCode="zKTGEhnHBGzvP9" int2:id="BFT2CGx8">
      <int2:state int2:type="LegacyProofing" int2:value="Rejected"/>
    </int2:textHash>
    <int2:textHash int2:hashCode="eZRQ/MwAgXZm32" int2:id="UzaDDW89">
      <int2:state int2:type="LegacyProofing" int2:value="Rejected"/>
    </int2:textHash>
    <int2:textHash int2:hashCode="TzBqKjSYucbNBi" int2:id="lRirKa0M">
      <int2:state int2:type="LegacyProofing" int2:value="Rejected"/>
    </int2:textHash>
    <int2:textHash int2:hashCode="MPbnO/APdRoKyI" int2:id="kRUc5qdv">
      <int2:state int2:type="LegacyProofing" int2:value="Rejected"/>
    </int2:textHash>
    <int2:textHash int2:hashCode="acsblgRNzNnSAb" int2:id="a9MDbdK6">
      <int2:state int2:type="LegacyProofing" int2:value="Rejected"/>
    </int2:textHash>
    <int2:textHash int2:hashCode="xL+hQ3GeaMWnWs" int2:id="GFvLnpkQ">
      <int2:state int2:type="LegacyProofing" int2:value="Rejected"/>
    </int2:textHash>
    <int2:textHash int2:hashCode="fllB6b8Uma4sfH" int2:id="Dt0E1QfK">
      <int2:state int2:type="LegacyProofing" int2:value="Rejected"/>
    </int2:textHash>
    <int2:textHash int2:hashCode="45RSvMfZrZCSZD" int2:id="rChvt6AI">
      <int2:state int2:type="LegacyProofing" int2:value="Rejected"/>
    </int2:textHash>
    <int2:textHash int2:hashCode="wyuVJtixrs4ADL" int2:id="4e3OFYot">
      <int2:state int2:type="LegacyProofing" int2:value="Rejected"/>
    </int2:textHash>
    <int2:textHash int2:hashCode="H5Aj9i6euC+xzT" int2:id="iIrq9Vrv">
      <int2:state int2:type="LegacyProofing" int2:value="Rejected"/>
    </int2:textHash>
    <int2:textHash int2:hashCode="P9CTUtplfRT6Wu" int2:id="ds469eoO">
      <int2:state int2:type="LegacyProofing" int2:value="Rejected"/>
    </int2:textHash>
    <int2:textHash int2:hashCode="L8PSxHFNBbREAH" int2:id="59Xa4M3I">
      <int2:state int2:type="LegacyProofing" int2:value="Rejected"/>
    </int2:textHash>
    <int2:bookmark int2:bookmarkName="_Int_gsGCLa3U" int2:invalidationBookmarkName="" int2:hashCode="GgcPKlWGlniC8p" int2:id="9hZZaffK">
      <int2:state int2:type="LegacyProofing" int2:value="Rejected"/>
    </int2:bookmark>
    <int2:bookmark int2:bookmarkName="_Int_S4AyXYKr" int2:invalidationBookmarkName="" int2:hashCode="ESwqBjoPbz+boA" int2:id="FZMnYEnt">
      <int2:state int2:type="LegacyProofing" int2:value="Rejected"/>
    </int2:bookmark>
    <int2:bookmark int2:bookmarkName="_Int_rMzlp4q0" int2:invalidationBookmarkName="" int2:hashCode="CAPfT/FlCTPS/+" int2:id="GPAk69AD">
      <int2:state int2:type="LegacyProofing" int2:value="Rejected"/>
    </int2:bookmark>
    <int2:bookmark int2:bookmarkName="_Int_kEpam3Ys" int2:invalidationBookmarkName="" int2:hashCode="9W2DCC6nAgIyRK" int2:id="CzVZr1zu">
      <int2:state int2:type="LegacyProofing" int2:value="Rejected"/>
    </int2:bookmark>
    <int2:bookmark int2:bookmarkName="_Int_ZntllOO4" int2:invalidationBookmarkName="" int2:hashCode="VUiuTzTLtuMEFF" int2:id="D97Enua7">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09953A"/>
    <w:rsid w:val="02F82BE2"/>
    <w:rsid w:val="06C69F3B"/>
    <w:rsid w:val="08626F9C"/>
    <w:rsid w:val="09FE3FFD"/>
    <w:rsid w:val="0ED1B120"/>
    <w:rsid w:val="115956EE"/>
    <w:rsid w:val="115956EE"/>
    <w:rsid w:val="12F5274F"/>
    <w:rsid w:val="16DCC305"/>
    <w:rsid w:val="296951C6"/>
    <w:rsid w:val="39876316"/>
    <w:rsid w:val="39876316"/>
    <w:rsid w:val="541F03BC"/>
    <w:rsid w:val="58F274DF"/>
    <w:rsid w:val="58F274DF"/>
    <w:rsid w:val="7309953A"/>
    <w:rsid w:val="738A1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9953A"/>
  <w15:chartTrackingRefBased/>
  <w15:docId w15:val="{221808C9-AE5D-400E-9389-6D690E6ACE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655995750384bcf" /><Relationship Type="http://schemas.openxmlformats.org/officeDocument/2006/relationships/numbering" Target="/word/numbering.xml" Id="R05bbc5df6fad43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2022-04-20T16:40:12.4616968Z</dcterms:created>
  <dcterms:modified xsi:type="dcterms:W3CDTF">2022-04-20T16:48:58.5352594Z</dcterms:modified>
</coreProperties>
</file>