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1D7187" w14:textId="77777777" w:rsidR="00781450" w:rsidRDefault="00781450" w:rsidP="00F2669F">
      <w:pPr>
        <w:jc w:val="center"/>
        <w:rPr>
          <w:rFonts w:ascii="Arial" w:hAnsi="Arial" w:cs="Arial"/>
          <w:b/>
          <w:bCs/>
          <w:sz w:val="32"/>
          <w:szCs w:val="32"/>
        </w:rPr>
      </w:pPr>
    </w:p>
    <w:p w14:paraId="65AA844F" w14:textId="77777777" w:rsidR="00781450" w:rsidRDefault="00781450" w:rsidP="00F2669F">
      <w:pPr>
        <w:jc w:val="center"/>
        <w:rPr>
          <w:rFonts w:ascii="Arial" w:hAnsi="Arial" w:cs="Arial"/>
          <w:b/>
          <w:bCs/>
          <w:sz w:val="32"/>
          <w:szCs w:val="32"/>
        </w:rPr>
      </w:pPr>
    </w:p>
    <w:p w14:paraId="52A8701C" w14:textId="77777777" w:rsidR="00781450" w:rsidRDefault="00781450" w:rsidP="00F2669F">
      <w:pPr>
        <w:jc w:val="center"/>
        <w:rPr>
          <w:rFonts w:ascii="Arial" w:hAnsi="Arial" w:cs="Arial"/>
          <w:b/>
          <w:bCs/>
          <w:sz w:val="32"/>
          <w:szCs w:val="32"/>
        </w:rPr>
      </w:pPr>
    </w:p>
    <w:p w14:paraId="4AEABA42" w14:textId="77777777" w:rsidR="00781450" w:rsidRDefault="00781450" w:rsidP="00F2669F">
      <w:pPr>
        <w:jc w:val="center"/>
        <w:rPr>
          <w:rFonts w:ascii="Arial" w:hAnsi="Arial" w:cs="Arial"/>
          <w:b/>
          <w:bCs/>
          <w:sz w:val="32"/>
          <w:szCs w:val="32"/>
        </w:rPr>
      </w:pPr>
    </w:p>
    <w:p w14:paraId="37CFC2F1" w14:textId="77777777" w:rsidR="00781450" w:rsidRDefault="00781450" w:rsidP="00F2669F">
      <w:pPr>
        <w:jc w:val="center"/>
        <w:rPr>
          <w:rFonts w:ascii="Arial" w:hAnsi="Arial" w:cs="Arial"/>
          <w:b/>
          <w:bCs/>
          <w:sz w:val="32"/>
          <w:szCs w:val="32"/>
        </w:rPr>
      </w:pPr>
    </w:p>
    <w:p w14:paraId="30F4B181" w14:textId="77777777" w:rsidR="00781450" w:rsidRDefault="00781450" w:rsidP="00F2669F">
      <w:pPr>
        <w:jc w:val="center"/>
        <w:rPr>
          <w:rFonts w:ascii="Arial" w:hAnsi="Arial" w:cs="Arial"/>
          <w:b/>
          <w:bCs/>
          <w:sz w:val="32"/>
          <w:szCs w:val="32"/>
        </w:rPr>
      </w:pPr>
    </w:p>
    <w:p w14:paraId="60A10F45" w14:textId="77777777" w:rsidR="00781450" w:rsidRDefault="00781450" w:rsidP="00F2669F">
      <w:pPr>
        <w:jc w:val="center"/>
        <w:rPr>
          <w:rFonts w:ascii="Arial" w:hAnsi="Arial" w:cs="Arial"/>
          <w:b/>
          <w:bCs/>
          <w:sz w:val="32"/>
          <w:szCs w:val="32"/>
        </w:rPr>
      </w:pPr>
    </w:p>
    <w:p w14:paraId="27AA6669" w14:textId="364A6F6A" w:rsidR="00AB6584" w:rsidRPr="00F2669F" w:rsidRDefault="00F2669F" w:rsidP="00F2669F">
      <w:pPr>
        <w:jc w:val="center"/>
        <w:rPr>
          <w:rFonts w:ascii="Arial" w:hAnsi="Arial" w:cs="Arial"/>
          <w:b/>
          <w:bCs/>
          <w:sz w:val="32"/>
          <w:szCs w:val="32"/>
        </w:rPr>
      </w:pPr>
      <w:r w:rsidRPr="00F2669F">
        <w:rPr>
          <w:rFonts w:ascii="Arial" w:hAnsi="Arial" w:cs="Arial"/>
          <w:b/>
          <w:bCs/>
          <w:sz w:val="32"/>
          <w:szCs w:val="32"/>
        </w:rPr>
        <w:t>Case Study Report</w:t>
      </w:r>
    </w:p>
    <w:p w14:paraId="5A64920A" w14:textId="77777777" w:rsidR="00F2669F" w:rsidRDefault="00F2669F" w:rsidP="00F2669F">
      <w:pPr>
        <w:jc w:val="center"/>
        <w:rPr>
          <w:rFonts w:ascii="Arial" w:hAnsi="Arial" w:cs="Arial"/>
          <w:sz w:val="22"/>
          <w:szCs w:val="22"/>
        </w:rPr>
      </w:pPr>
    </w:p>
    <w:p w14:paraId="15B6723D" w14:textId="5FEB212D" w:rsidR="00F2669F" w:rsidRDefault="00F2669F" w:rsidP="00F2669F">
      <w:pPr>
        <w:jc w:val="center"/>
        <w:rPr>
          <w:rFonts w:ascii="Arial" w:hAnsi="Arial" w:cs="Arial"/>
          <w:sz w:val="22"/>
          <w:szCs w:val="22"/>
        </w:rPr>
      </w:pPr>
      <w:r>
        <w:rPr>
          <w:rFonts w:ascii="Arial" w:hAnsi="Arial" w:cs="Arial"/>
          <w:sz w:val="22"/>
          <w:szCs w:val="22"/>
        </w:rPr>
        <w:t>Student name: Aya Janagap</w:t>
      </w:r>
    </w:p>
    <w:p w14:paraId="3C774E83" w14:textId="0012484D" w:rsidR="00F2669F" w:rsidRDefault="00F2669F" w:rsidP="00F2669F">
      <w:pPr>
        <w:jc w:val="center"/>
        <w:rPr>
          <w:rFonts w:ascii="Arial" w:hAnsi="Arial" w:cs="Arial"/>
          <w:sz w:val="22"/>
          <w:szCs w:val="22"/>
        </w:rPr>
      </w:pPr>
      <w:r>
        <w:rPr>
          <w:rFonts w:ascii="Arial" w:hAnsi="Arial" w:cs="Arial"/>
          <w:sz w:val="22"/>
          <w:szCs w:val="22"/>
        </w:rPr>
        <w:t>Student ID: 2020123</w:t>
      </w:r>
    </w:p>
    <w:p w14:paraId="514A06E7" w14:textId="586C70C3" w:rsidR="00F2669F" w:rsidRDefault="00F2669F" w:rsidP="00F2669F">
      <w:pPr>
        <w:jc w:val="center"/>
        <w:rPr>
          <w:rFonts w:ascii="Arial" w:hAnsi="Arial" w:cs="Arial"/>
          <w:sz w:val="22"/>
          <w:szCs w:val="22"/>
        </w:rPr>
      </w:pPr>
      <w:r>
        <w:rPr>
          <w:rFonts w:ascii="Arial" w:hAnsi="Arial" w:cs="Arial"/>
          <w:sz w:val="22"/>
          <w:szCs w:val="22"/>
        </w:rPr>
        <w:t>Module code: BMHP4019_BIRM</w:t>
      </w:r>
    </w:p>
    <w:p w14:paraId="532ECAEC" w14:textId="14DF91DA" w:rsidR="00F2669F" w:rsidRDefault="00F2669F" w:rsidP="00F2669F">
      <w:pPr>
        <w:jc w:val="center"/>
        <w:rPr>
          <w:rFonts w:ascii="Arial" w:hAnsi="Arial" w:cs="Arial"/>
          <w:sz w:val="22"/>
          <w:szCs w:val="22"/>
        </w:rPr>
      </w:pPr>
      <w:r>
        <w:rPr>
          <w:rFonts w:ascii="Arial" w:hAnsi="Arial" w:cs="Arial"/>
          <w:sz w:val="22"/>
          <w:szCs w:val="22"/>
        </w:rPr>
        <w:t>Lecturer: Rebecca Kavanagh</w:t>
      </w:r>
    </w:p>
    <w:p w14:paraId="2A3B24CE" w14:textId="39FFC87B" w:rsidR="00F2669F" w:rsidRDefault="00F2669F">
      <w:pPr>
        <w:rPr>
          <w:rFonts w:ascii="Arial" w:hAnsi="Arial" w:cs="Arial"/>
          <w:sz w:val="22"/>
          <w:szCs w:val="22"/>
        </w:rPr>
      </w:pPr>
    </w:p>
    <w:p w14:paraId="24BAE1C4" w14:textId="3073CFD4" w:rsidR="00F2669F" w:rsidRDefault="00F2669F">
      <w:pPr>
        <w:rPr>
          <w:rFonts w:ascii="Arial" w:hAnsi="Arial" w:cs="Arial"/>
          <w:sz w:val="22"/>
          <w:szCs w:val="22"/>
        </w:rPr>
      </w:pPr>
    </w:p>
    <w:p w14:paraId="65F8D79F" w14:textId="1674E646" w:rsidR="00F2669F" w:rsidRDefault="00F2669F">
      <w:pPr>
        <w:rPr>
          <w:rFonts w:ascii="Arial" w:hAnsi="Arial" w:cs="Arial"/>
          <w:sz w:val="22"/>
          <w:szCs w:val="22"/>
        </w:rPr>
      </w:pPr>
    </w:p>
    <w:p w14:paraId="1DB2DA68" w14:textId="71718C7D" w:rsidR="00F2669F" w:rsidRDefault="00F2669F">
      <w:pPr>
        <w:rPr>
          <w:rFonts w:ascii="Arial" w:hAnsi="Arial" w:cs="Arial"/>
          <w:sz w:val="22"/>
          <w:szCs w:val="22"/>
        </w:rPr>
      </w:pPr>
    </w:p>
    <w:p w14:paraId="2C2786E8" w14:textId="036F308D" w:rsidR="00F2669F" w:rsidRDefault="00F2669F">
      <w:pPr>
        <w:rPr>
          <w:rFonts w:ascii="Arial" w:hAnsi="Arial" w:cs="Arial"/>
          <w:sz w:val="22"/>
          <w:szCs w:val="22"/>
        </w:rPr>
      </w:pPr>
    </w:p>
    <w:p w14:paraId="5BA64286" w14:textId="1452FC74" w:rsidR="00F2669F" w:rsidRDefault="00F2669F">
      <w:pPr>
        <w:rPr>
          <w:rFonts w:ascii="Arial" w:hAnsi="Arial" w:cs="Arial"/>
          <w:sz w:val="22"/>
          <w:szCs w:val="22"/>
        </w:rPr>
      </w:pPr>
    </w:p>
    <w:p w14:paraId="4EABA596" w14:textId="29FC5538" w:rsidR="00F2669F" w:rsidRDefault="00F2669F">
      <w:pPr>
        <w:rPr>
          <w:rFonts w:ascii="Arial" w:hAnsi="Arial" w:cs="Arial"/>
          <w:sz w:val="22"/>
          <w:szCs w:val="22"/>
        </w:rPr>
      </w:pPr>
    </w:p>
    <w:p w14:paraId="505E0422" w14:textId="41D16E6F" w:rsidR="00F2669F" w:rsidRDefault="00F2669F">
      <w:pPr>
        <w:rPr>
          <w:rFonts w:ascii="Arial" w:hAnsi="Arial" w:cs="Arial"/>
          <w:sz w:val="22"/>
          <w:szCs w:val="22"/>
        </w:rPr>
      </w:pPr>
    </w:p>
    <w:p w14:paraId="1A866940" w14:textId="31807652" w:rsidR="00F2669F" w:rsidRDefault="00F2669F">
      <w:pPr>
        <w:rPr>
          <w:rFonts w:ascii="Arial" w:hAnsi="Arial" w:cs="Arial"/>
          <w:sz w:val="22"/>
          <w:szCs w:val="22"/>
        </w:rPr>
      </w:pPr>
    </w:p>
    <w:p w14:paraId="2847F8DD" w14:textId="6C22FE4A" w:rsidR="00F2669F" w:rsidRDefault="00F2669F">
      <w:pPr>
        <w:rPr>
          <w:rFonts w:ascii="Arial" w:hAnsi="Arial" w:cs="Arial"/>
          <w:sz w:val="22"/>
          <w:szCs w:val="22"/>
        </w:rPr>
      </w:pPr>
    </w:p>
    <w:p w14:paraId="15824C14" w14:textId="42AD6405" w:rsidR="00F2669F" w:rsidRDefault="00F2669F">
      <w:pPr>
        <w:rPr>
          <w:rFonts w:ascii="Arial" w:hAnsi="Arial" w:cs="Arial"/>
          <w:sz w:val="22"/>
          <w:szCs w:val="22"/>
        </w:rPr>
      </w:pPr>
    </w:p>
    <w:p w14:paraId="10E2FBF8" w14:textId="6EE91F00" w:rsidR="00F2669F" w:rsidRDefault="00F2669F">
      <w:pPr>
        <w:rPr>
          <w:rFonts w:ascii="Arial" w:hAnsi="Arial" w:cs="Arial"/>
          <w:sz w:val="22"/>
          <w:szCs w:val="22"/>
        </w:rPr>
      </w:pPr>
    </w:p>
    <w:p w14:paraId="00572EE7" w14:textId="2BAEF69D" w:rsidR="00F2669F" w:rsidRDefault="00F2669F">
      <w:pPr>
        <w:rPr>
          <w:rFonts w:ascii="Arial" w:hAnsi="Arial" w:cs="Arial"/>
          <w:sz w:val="22"/>
          <w:szCs w:val="22"/>
        </w:rPr>
      </w:pPr>
    </w:p>
    <w:p w14:paraId="72379C55" w14:textId="5A75530D" w:rsidR="00F2669F" w:rsidRDefault="00F2669F">
      <w:pPr>
        <w:rPr>
          <w:rFonts w:ascii="Arial" w:hAnsi="Arial" w:cs="Arial"/>
          <w:sz w:val="22"/>
          <w:szCs w:val="22"/>
        </w:rPr>
      </w:pPr>
    </w:p>
    <w:p w14:paraId="62000265" w14:textId="3568D361" w:rsidR="00F2669F" w:rsidRDefault="00F2669F">
      <w:pPr>
        <w:rPr>
          <w:rFonts w:ascii="Arial" w:hAnsi="Arial" w:cs="Arial"/>
          <w:sz w:val="22"/>
          <w:szCs w:val="22"/>
        </w:rPr>
      </w:pPr>
    </w:p>
    <w:p w14:paraId="1181FF4A" w14:textId="432B858F" w:rsidR="00F2669F" w:rsidRDefault="00F2669F">
      <w:pPr>
        <w:rPr>
          <w:rFonts w:ascii="Arial" w:hAnsi="Arial" w:cs="Arial"/>
          <w:sz w:val="22"/>
          <w:szCs w:val="22"/>
        </w:rPr>
      </w:pPr>
    </w:p>
    <w:p w14:paraId="77AFAA52" w14:textId="2925F0CB" w:rsidR="00F2669F" w:rsidRDefault="00F2669F">
      <w:pPr>
        <w:rPr>
          <w:rFonts w:ascii="Arial" w:hAnsi="Arial" w:cs="Arial"/>
          <w:sz w:val="22"/>
          <w:szCs w:val="22"/>
        </w:rPr>
      </w:pPr>
    </w:p>
    <w:p w14:paraId="2F936FE4" w14:textId="463856FE" w:rsidR="00F2669F" w:rsidRDefault="00F2669F">
      <w:pPr>
        <w:rPr>
          <w:rFonts w:ascii="Arial" w:hAnsi="Arial" w:cs="Arial"/>
          <w:sz w:val="22"/>
          <w:szCs w:val="22"/>
        </w:rPr>
      </w:pPr>
    </w:p>
    <w:p w14:paraId="7A6E2DF4" w14:textId="6FE5E81E" w:rsidR="00F2669F" w:rsidRDefault="00F2669F">
      <w:pPr>
        <w:rPr>
          <w:rFonts w:ascii="Arial" w:hAnsi="Arial" w:cs="Arial"/>
          <w:sz w:val="22"/>
          <w:szCs w:val="22"/>
        </w:rPr>
      </w:pPr>
    </w:p>
    <w:p w14:paraId="6206B81D" w14:textId="36D21C0F" w:rsidR="00F2669F" w:rsidRDefault="00F2669F">
      <w:pPr>
        <w:rPr>
          <w:rFonts w:ascii="Arial" w:hAnsi="Arial" w:cs="Arial"/>
          <w:sz w:val="22"/>
          <w:szCs w:val="22"/>
        </w:rPr>
      </w:pPr>
    </w:p>
    <w:p w14:paraId="358B3807" w14:textId="38F13072" w:rsidR="00F2669F" w:rsidRDefault="00F2669F">
      <w:pPr>
        <w:rPr>
          <w:rFonts w:ascii="Arial" w:hAnsi="Arial" w:cs="Arial"/>
          <w:sz w:val="22"/>
          <w:szCs w:val="22"/>
        </w:rPr>
      </w:pPr>
    </w:p>
    <w:p w14:paraId="17DC5F55" w14:textId="7C41F227" w:rsidR="00F2669F" w:rsidRDefault="00F2669F">
      <w:pPr>
        <w:rPr>
          <w:rFonts w:ascii="Arial" w:hAnsi="Arial" w:cs="Arial"/>
          <w:sz w:val="22"/>
          <w:szCs w:val="22"/>
        </w:rPr>
      </w:pPr>
    </w:p>
    <w:p w14:paraId="08F3BDCE" w14:textId="09C5303A" w:rsidR="00F2669F" w:rsidRDefault="00F2669F">
      <w:pPr>
        <w:rPr>
          <w:rFonts w:ascii="Arial" w:hAnsi="Arial" w:cs="Arial"/>
          <w:sz w:val="22"/>
          <w:szCs w:val="22"/>
        </w:rPr>
      </w:pPr>
    </w:p>
    <w:p w14:paraId="6CD7D0DF" w14:textId="2E74F6DF" w:rsidR="00F2669F" w:rsidRDefault="00F2669F">
      <w:pPr>
        <w:rPr>
          <w:rFonts w:ascii="Arial" w:hAnsi="Arial" w:cs="Arial"/>
          <w:sz w:val="22"/>
          <w:szCs w:val="22"/>
        </w:rPr>
      </w:pPr>
    </w:p>
    <w:p w14:paraId="582F863A" w14:textId="323D4845" w:rsidR="00F2669F" w:rsidRDefault="00F2669F">
      <w:pPr>
        <w:rPr>
          <w:rFonts w:ascii="Arial" w:hAnsi="Arial" w:cs="Arial"/>
          <w:sz w:val="22"/>
          <w:szCs w:val="22"/>
        </w:rPr>
      </w:pPr>
    </w:p>
    <w:p w14:paraId="740A59CD" w14:textId="4C240C67" w:rsidR="00F2669F" w:rsidRDefault="00F2669F">
      <w:pPr>
        <w:rPr>
          <w:rFonts w:ascii="Arial" w:hAnsi="Arial" w:cs="Arial"/>
          <w:sz w:val="22"/>
          <w:szCs w:val="22"/>
        </w:rPr>
      </w:pPr>
    </w:p>
    <w:p w14:paraId="1DFC99DF" w14:textId="7EA7BA4D" w:rsidR="00F2669F" w:rsidRDefault="00F2669F">
      <w:pPr>
        <w:rPr>
          <w:rFonts w:ascii="Arial" w:hAnsi="Arial" w:cs="Arial"/>
          <w:sz w:val="22"/>
          <w:szCs w:val="22"/>
        </w:rPr>
      </w:pPr>
    </w:p>
    <w:p w14:paraId="03A32851" w14:textId="254E6725" w:rsidR="00F2669F" w:rsidRDefault="00F2669F">
      <w:pPr>
        <w:rPr>
          <w:rFonts w:ascii="Arial" w:hAnsi="Arial" w:cs="Arial"/>
          <w:sz w:val="22"/>
          <w:szCs w:val="22"/>
        </w:rPr>
      </w:pPr>
    </w:p>
    <w:p w14:paraId="4BD7C75D" w14:textId="30081B38" w:rsidR="00F2669F" w:rsidRDefault="00F2669F">
      <w:pPr>
        <w:rPr>
          <w:rFonts w:ascii="Arial" w:hAnsi="Arial" w:cs="Arial"/>
          <w:sz w:val="22"/>
          <w:szCs w:val="22"/>
        </w:rPr>
      </w:pPr>
    </w:p>
    <w:p w14:paraId="4209046B" w14:textId="6EFB44E0" w:rsidR="00F2669F" w:rsidRDefault="00F2669F">
      <w:pPr>
        <w:rPr>
          <w:rFonts w:ascii="Arial" w:hAnsi="Arial" w:cs="Arial"/>
          <w:sz w:val="22"/>
          <w:szCs w:val="22"/>
        </w:rPr>
      </w:pPr>
    </w:p>
    <w:p w14:paraId="388E3492" w14:textId="42838DCB" w:rsidR="00F2669F" w:rsidRDefault="00F2669F">
      <w:pPr>
        <w:rPr>
          <w:rFonts w:ascii="Arial" w:hAnsi="Arial" w:cs="Arial"/>
          <w:sz w:val="22"/>
          <w:szCs w:val="22"/>
        </w:rPr>
      </w:pPr>
    </w:p>
    <w:p w14:paraId="4BE38CE5" w14:textId="73A11976" w:rsidR="00F2669F" w:rsidRDefault="00F2669F">
      <w:pPr>
        <w:rPr>
          <w:rFonts w:ascii="Arial" w:hAnsi="Arial" w:cs="Arial"/>
          <w:sz w:val="22"/>
          <w:szCs w:val="22"/>
        </w:rPr>
      </w:pPr>
    </w:p>
    <w:p w14:paraId="065AAFC5" w14:textId="6015BB42" w:rsidR="00F2669F" w:rsidRDefault="00F2669F">
      <w:pPr>
        <w:rPr>
          <w:rFonts w:ascii="Arial" w:hAnsi="Arial" w:cs="Arial"/>
          <w:sz w:val="22"/>
          <w:szCs w:val="22"/>
        </w:rPr>
      </w:pPr>
    </w:p>
    <w:p w14:paraId="3CBDB0A3" w14:textId="542E3900" w:rsidR="00F2669F" w:rsidRDefault="00F2669F">
      <w:pPr>
        <w:rPr>
          <w:rFonts w:ascii="Arial" w:hAnsi="Arial" w:cs="Arial"/>
          <w:sz w:val="22"/>
          <w:szCs w:val="22"/>
        </w:rPr>
      </w:pPr>
    </w:p>
    <w:p w14:paraId="0C4DA266" w14:textId="195BDE07" w:rsidR="00F2669F" w:rsidRDefault="00F2669F">
      <w:pPr>
        <w:rPr>
          <w:rFonts w:ascii="Arial" w:hAnsi="Arial" w:cs="Arial"/>
          <w:sz w:val="22"/>
          <w:szCs w:val="22"/>
        </w:rPr>
      </w:pPr>
    </w:p>
    <w:p w14:paraId="74616425" w14:textId="574BC2B8" w:rsidR="00F2669F" w:rsidRDefault="00F2669F">
      <w:pPr>
        <w:rPr>
          <w:rFonts w:ascii="Arial" w:hAnsi="Arial" w:cs="Arial"/>
          <w:sz w:val="22"/>
          <w:szCs w:val="22"/>
        </w:rPr>
      </w:pPr>
    </w:p>
    <w:p w14:paraId="107A009C" w14:textId="33762C80" w:rsidR="00F2669F" w:rsidRDefault="00F2669F">
      <w:pPr>
        <w:rPr>
          <w:rFonts w:ascii="Arial" w:hAnsi="Arial" w:cs="Arial"/>
          <w:sz w:val="22"/>
          <w:szCs w:val="22"/>
        </w:rPr>
      </w:pPr>
    </w:p>
    <w:p w14:paraId="05F3522E" w14:textId="62A459A5" w:rsidR="00F2669F" w:rsidRDefault="00F2669F">
      <w:pPr>
        <w:rPr>
          <w:rFonts w:ascii="Arial" w:hAnsi="Arial" w:cs="Arial"/>
          <w:sz w:val="22"/>
          <w:szCs w:val="22"/>
        </w:rPr>
      </w:pPr>
    </w:p>
    <w:p w14:paraId="560FEBDA" w14:textId="3BD7ED07" w:rsidR="00F2669F" w:rsidRDefault="00F2669F">
      <w:pPr>
        <w:rPr>
          <w:rFonts w:ascii="Arial" w:hAnsi="Arial" w:cs="Arial"/>
          <w:sz w:val="22"/>
          <w:szCs w:val="22"/>
        </w:rPr>
      </w:pPr>
    </w:p>
    <w:p w14:paraId="65ACEF6C" w14:textId="3669DFD2" w:rsidR="00F2669F" w:rsidRDefault="00F2669F">
      <w:pPr>
        <w:rPr>
          <w:rFonts w:ascii="Arial" w:hAnsi="Arial" w:cs="Arial"/>
          <w:sz w:val="22"/>
          <w:szCs w:val="22"/>
        </w:rPr>
      </w:pPr>
    </w:p>
    <w:p w14:paraId="16BC501C" w14:textId="515A0D53" w:rsidR="00F2669F" w:rsidRDefault="00F2669F">
      <w:pPr>
        <w:rPr>
          <w:rFonts w:ascii="Arial" w:hAnsi="Arial" w:cs="Arial"/>
          <w:sz w:val="22"/>
          <w:szCs w:val="22"/>
        </w:rPr>
      </w:pPr>
    </w:p>
    <w:p w14:paraId="06BE0A1D" w14:textId="4396AFA9" w:rsidR="00F2669F" w:rsidRDefault="00F2669F">
      <w:pPr>
        <w:rPr>
          <w:rFonts w:ascii="Arial" w:hAnsi="Arial" w:cs="Arial"/>
          <w:sz w:val="22"/>
          <w:szCs w:val="22"/>
        </w:rPr>
      </w:pPr>
    </w:p>
    <w:p w14:paraId="06DDB7EC" w14:textId="02E57DD4" w:rsidR="00F2669F" w:rsidRDefault="00F2669F">
      <w:pPr>
        <w:rPr>
          <w:rFonts w:ascii="Arial" w:hAnsi="Arial" w:cs="Arial"/>
          <w:sz w:val="22"/>
          <w:szCs w:val="22"/>
        </w:rPr>
      </w:pPr>
    </w:p>
    <w:p w14:paraId="3918DE1F" w14:textId="77777777" w:rsidR="00F2669F" w:rsidRDefault="00F2669F">
      <w:pPr>
        <w:rPr>
          <w:rFonts w:ascii="Arial" w:hAnsi="Arial" w:cs="Arial"/>
          <w:sz w:val="22"/>
          <w:szCs w:val="22"/>
        </w:rPr>
      </w:pPr>
    </w:p>
    <w:p w14:paraId="27C73FE2" w14:textId="21EA81D7" w:rsidR="00F2669F" w:rsidRDefault="00F2669F">
      <w:pPr>
        <w:rPr>
          <w:rFonts w:ascii="Arial" w:hAnsi="Arial" w:cs="Arial"/>
          <w:sz w:val="22"/>
          <w:szCs w:val="22"/>
        </w:rPr>
      </w:pPr>
    </w:p>
    <w:sdt>
      <w:sdtPr>
        <w:rPr>
          <w:rFonts w:ascii="Arial" w:eastAsiaTheme="minorHAnsi" w:hAnsi="Arial" w:cs="Arial"/>
          <w:b w:val="0"/>
          <w:bCs w:val="0"/>
          <w:color w:val="000000" w:themeColor="text1"/>
          <w:sz w:val="22"/>
          <w:szCs w:val="22"/>
          <w:lang w:val="en-GB" w:bidi="bn-IN"/>
        </w:rPr>
        <w:id w:val="34296235"/>
        <w:docPartObj>
          <w:docPartGallery w:val="Table of Contents"/>
          <w:docPartUnique/>
        </w:docPartObj>
      </w:sdtPr>
      <w:sdtEndPr>
        <w:rPr>
          <w:lang w:bidi="ar-SA"/>
        </w:rPr>
      </w:sdtEndPr>
      <w:sdtContent>
        <w:p w14:paraId="2C168FBA" w14:textId="77777777" w:rsidR="00F2669F" w:rsidRPr="00376A2D" w:rsidRDefault="00F2669F" w:rsidP="00F2669F">
          <w:pPr>
            <w:pStyle w:val="TOCHeading"/>
            <w:spacing w:before="0" w:line="360" w:lineRule="auto"/>
            <w:jc w:val="center"/>
            <w:rPr>
              <w:rFonts w:ascii="Arial" w:hAnsi="Arial" w:cs="Arial"/>
              <w:color w:val="000000" w:themeColor="text1"/>
              <w:sz w:val="22"/>
              <w:szCs w:val="22"/>
            </w:rPr>
          </w:pPr>
          <w:r w:rsidRPr="00376A2D">
            <w:rPr>
              <w:rFonts w:ascii="Arial" w:hAnsi="Arial" w:cs="Arial"/>
              <w:color w:val="000000" w:themeColor="text1"/>
              <w:sz w:val="22"/>
              <w:szCs w:val="22"/>
            </w:rPr>
            <w:t>Table of Contents</w:t>
          </w:r>
        </w:p>
        <w:p w14:paraId="78949661" w14:textId="77777777" w:rsidR="00F2669F" w:rsidRPr="00376A2D" w:rsidRDefault="00F2669F" w:rsidP="00F2669F">
          <w:pPr>
            <w:pStyle w:val="TOC1"/>
            <w:tabs>
              <w:tab w:val="right" w:leader="dot" w:pos="9350"/>
            </w:tabs>
            <w:spacing w:line="360" w:lineRule="auto"/>
            <w:jc w:val="both"/>
            <w:rPr>
              <w:rFonts w:ascii="Arial" w:hAnsi="Arial" w:cs="Arial"/>
              <w:noProof/>
              <w:color w:val="000000" w:themeColor="text1"/>
              <w:szCs w:val="22"/>
            </w:rPr>
          </w:pPr>
          <w:r w:rsidRPr="00376A2D">
            <w:rPr>
              <w:rFonts w:ascii="Arial" w:hAnsi="Arial" w:cs="Arial"/>
              <w:color w:val="000000" w:themeColor="text1"/>
              <w:szCs w:val="22"/>
            </w:rPr>
            <w:fldChar w:fldCharType="begin"/>
          </w:r>
          <w:r w:rsidRPr="00376A2D">
            <w:rPr>
              <w:rFonts w:ascii="Arial" w:hAnsi="Arial" w:cs="Arial"/>
              <w:color w:val="000000" w:themeColor="text1"/>
              <w:szCs w:val="22"/>
            </w:rPr>
            <w:instrText xml:space="preserve"> TOC \o "1-3" \h \z \u </w:instrText>
          </w:r>
          <w:r w:rsidRPr="00376A2D">
            <w:rPr>
              <w:rFonts w:ascii="Arial" w:hAnsi="Arial" w:cs="Arial"/>
              <w:color w:val="000000" w:themeColor="text1"/>
              <w:szCs w:val="22"/>
            </w:rPr>
            <w:fldChar w:fldCharType="separate"/>
          </w:r>
          <w:hyperlink w:anchor="_Toc90484253" w:history="1">
            <w:r w:rsidRPr="00376A2D">
              <w:rPr>
                <w:rStyle w:val="Hyperlink"/>
                <w:rFonts w:ascii="Arial" w:hAnsi="Arial" w:cs="Arial"/>
                <w:noProof/>
                <w:color w:val="000000" w:themeColor="text1"/>
                <w:szCs w:val="22"/>
              </w:rPr>
              <w:t>Scenario overview</w:t>
            </w:r>
            <w:r w:rsidRPr="00376A2D">
              <w:rPr>
                <w:rFonts w:ascii="Arial" w:hAnsi="Arial" w:cs="Arial"/>
                <w:noProof/>
                <w:webHidden/>
                <w:color w:val="000000" w:themeColor="text1"/>
                <w:szCs w:val="22"/>
              </w:rPr>
              <w:tab/>
            </w:r>
            <w:r w:rsidRPr="00376A2D">
              <w:rPr>
                <w:rFonts w:ascii="Arial" w:hAnsi="Arial" w:cs="Arial"/>
                <w:noProof/>
                <w:webHidden/>
                <w:color w:val="000000" w:themeColor="text1"/>
                <w:szCs w:val="22"/>
              </w:rPr>
              <w:fldChar w:fldCharType="begin"/>
            </w:r>
            <w:r w:rsidRPr="00376A2D">
              <w:rPr>
                <w:rFonts w:ascii="Arial" w:hAnsi="Arial" w:cs="Arial"/>
                <w:noProof/>
                <w:webHidden/>
                <w:color w:val="000000" w:themeColor="text1"/>
                <w:szCs w:val="22"/>
              </w:rPr>
              <w:instrText xml:space="preserve"> PAGEREF _Toc90484253 \h </w:instrText>
            </w:r>
            <w:r w:rsidRPr="00376A2D">
              <w:rPr>
                <w:rFonts w:ascii="Arial" w:hAnsi="Arial" w:cs="Arial"/>
                <w:noProof/>
                <w:webHidden/>
                <w:color w:val="000000" w:themeColor="text1"/>
                <w:szCs w:val="22"/>
              </w:rPr>
            </w:r>
            <w:r w:rsidRPr="00376A2D">
              <w:rPr>
                <w:rFonts w:ascii="Arial" w:hAnsi="Arial" w:cs="Arial"/>
                <w:noProof/>
                <w:webHidden/>
                <w:color w:val="000000" w:themeColor="text1"/>
                <w:szCs w:val="22"/>
              </w:rPr>
              <w:fldChar w:fldCharType="separate"/>
            </w:r>
            <w:r w:rsidRPr="00376A2D">
              <w:rPr>
                <w:rFonts w:ascii="Arial" w:hAnsi="Arial" w:cs="Arial"/>
                <w:noProof/>
                <w:webHidden/>
                <w:color w:val="000000" w:themeColor="text1"/>
                <w:szCs w:val="22"/>
              </w:rPr>
              <w:t>3</w:t>
            </w:r>
            <w:r w:rsidRPr="00376A2D">
              <w:rPr>
                <w:rFonts w:ascii="Arial" w:hAnsi="Arial" w:cs="Arial"/>
                <w:noProof/>
                <w:webHidden/>
                <w:color w:val="000000" w:themeColor="text1"/>
                <w:szCs w:val="22"/>
              </w:rPr>
              <w:fldChar w:fldCharType="end"/>
            </w:r>
          </w:hyperlink>
        </w:p>
        <w:p w14:paraId="7759EFD6" w14:textId="77777777" w:rsidR="00F2669F" w:rsidRPr="00376A2D" w:rsidRDefault="00F2669F" w:rsidP="00F2669F">
          <w:pPr>
            <w:pStyle w:val="TOC1"/>
            <w:tabs>
              <w:tab w:val="right" w:leader="dot" w:pos="9350"/>
            </w:tabs>
            <w:spacing w:line="360" w:lineRule="auto"/>
            <w:jc w:val="both"/>
            <w:rPr>
              <w:rFonts w:ascii="Arial" w:hAnsi="Arial" w:cs="Arial"/>
              <w:noProof/>
              <w:color w:val="000000" w:themeColor="text1"/>
              <w:szCs w:val="22"/>
            </w:rPr>
          </w:pPr>
          <w:hyperlink w:anchor="_Toc90484254" w:history="1">
            <w:r w:rsidRPr="00376A2D">
              <w:rPr>
                <w:rStyle w:val="Hyperlink"/>
                <w:rFonts w:ascii="Arial" w:hAnsi="Arial" w:cs="Arial"/>
                <w:noProof/>
                <w:color w:val="000000" w:themeColor="text1"/>
                <w:szCs w:val="22"/>
              </w:rPr>
              <w:t>Potential causes of the identified behaviour in the staff member and the service user</w:t>
            </w:r>
            <w:r w:rsidRPr="00376A2D">
              <w:rPr>
                <w:rFonts w:ascii="Arial" w:hAnsi="Arial" w:cs="Arial"/>
                <w:noProof/>
                <w:webHidden/>
                <w:color w:val="000000" w:themeColor="text1"/>
                <w:szCs w:val="22"/>
              </w:rPr>
              <w:tab/>
            </w:r>
            <w:r w:rsidRPr="00376A2D">
              <w:rPr>
                <w:rFonts w:ascii="Arial" w:hAnsi="Arial" w:cs="Arial"/>
                <w:noProof/>
                <w:webHidden/>
                <w:color w:val="000000" w:themeColor="text1"/>
                <w:szCs w:val="22"/>
              </w:rPr>
              <w:fldChar w:fldCharType="begin"/>
            </w:r>
            <w:r w:rsidRPr="00376A2D">
              <w:rPr>
                <w:rFonts w:ascii="Arial" w:hAnsi="Arial" w:cs="Arial"/>
                <w:noProof/>
                <w:webHidden/>
                <w:color w:val="000000" w:themeColor="text1"/>
                <w:szCs w:val="22"/>
              </w:rPr>
              <w:instrText xml:space="preserve"> PAGEREF _Toc90484254 \h </w:instrText>
            </w:r>
            <w:r w:rsidRPr="00376A2D">
              <w:rPr>
                <w:rFonts w:ascii="Arial" w:hAnsi="Arial" w:cs="Arial"/>
                <w:noProof/>
                <w:webHidden/>
                <w:color w:val="000000" w:themeColor="text1"/>
                <w:szCs w:val="22"/>
              </w:rPr>
            </w:r>
            <w:r w:rsidRPr="00376A2D">
              <w:rPr>
                <w:rFonts w:ascii="Arial" w:hAnsi="Arial" w:cs="Arial"/>
                <w:noProof/>
                <w:webHidden/>
                <w:color w:val="000000" w:themeColor="text1"/>
                <w:szCs w:val="22"/>
              </w:rPr>
              <w:fldChar w:fldCharType="separate"/>
            </w:r>
            <w:r w:rsidRPr="00376A2D">
              <w:rPr>
                <w:rFonts w:ascii="Arial" w:hAnsi="Arial" w:cs="Arial"/>
                <w:noProof/>
                <w:webHidden/>
                <w:color w:val="000000" w:themeColor="text1"/>
                <w:szCs w:val="22"/>
              </w:rPr>
              <w:t>3</w:t>
            </w:r>
            <w:r w:rsidRPr="00376A2D">
              <w:rPr>
                <w:rFonts w:ascii="Arial" w:hAnsi="Arial" w:cs="Arial"/>
                <w:noProof/>
                <w:webHidden/>
                <w:color w:val="000000" w:themeColor="text1"/>
                <w:szCs w:val="22"/>
              </w:rPr>
              <w:fldChar w:fldCharType="end"/>
            </w:r>
          </w:hyperlink>
        </w:p>
        <w:p w14:paraId="5052D476" w14:textId="77777777" w:rsidR="00F2669F" w:rsidRPr="00376A2D" w:rsidRDefault="00F2669F" w:rsidP="00F2669F">
          <w:pPr>
            <w:pStyle w:val="TOC1"/>
            <w:tabs>
              <w:tab w:val="right" w:leader="dot" w:pos="9350"/>
            </w:tabs>
            <w:spacing w:line="360" w:lineRule="auto"/>
            <w:jc w:val="both"/>
            <w:rPr>
              <w:rFonts w:ascii="Arial" w:hAnsi="Arial" w:cs="Arial"/>
              <w:noProof/>
              <w:color w:val="000000" w:themeColor="text1"/>
              <w:szCs w:val="22"/>
            </w:rPr>
          </w:pPr>
          <w:hyperlink w:anchor="_Toc90484255" w:history="1">
            <w:r w:rsidRPr="00376A2D">
              <w:rPr>
                <w:rStyle w:val="Hyperlink"/>
                <w:rFonts w:ascii="Arial" w:hAnsi="Arial" w:cs="Arial"/>
                <w:noProof/>
                <w:color w:val="000000" w:themeColor="text1"/>
                <w:szCs w:val="22"/>
              </w:rPr>
              <w:t>Issues associated with the conditions of the service user and the staff member</w:t>
            </w:r>
            <w:r w:rsidRPr="00376A2D">
              <w:rPr>
                <w:rFonts w:ascii="Arial" w:hAnsi="Arial" w:cs="Arial"/>
                <w:noProof/>
                <w:webHidden/>
                <w:color w:val="000000" w:themeColor="text1"/>
                <w:szCs w:val="22"/>
              </w:rPr>
              <w:tab/>
            </w:r>
            <w:r w:rsidRPr="00376A2D">
              <w:rPr>
                <w:rFonts w:ascii="Arial" w:hAnsi="Arial" w:cs="Arial"/>
                <w:noProof/>
                <w:webHidden/>
                <w:color w:val="000000" w:themeColor="text1"/>
                <w:szCs w:val="22"/>
              </w:rPr>
              <w:fldChar w:fldCharType="begin"/>
            </w:r>
            <w:r w:rsidRPr="00376A2D">
              <w:rPr>
                <w:rFonts w:ascii="Arial" w:hAnsi="Arial" w:cs="Arial"/>
                <w:noProof/>
                <w:webHidden/>
                <w:color w:val="000000" w:themeColor="text1"/>
                <w:szCs w:val="22"/>
              </w:rPr>
              <w:instrText xml:space="preserve"> PAGEREF _Toc90484255 \h </w:instrText>
            </w:r>
            <w:r w:rsidRPr="00376A2D">
              <w:rPr>
                <w:rFonts w:ascii="Arial" w:hAnsi="Arial" w:cs="Arial"/>
                <w:noProof/>
                <w:webHidden/>
                <w:color w:val="000000" w:themeColor="text1"/>
                <w:szCs w:val="22"/>
              </w:rPr>
            </w:r>
            <w:r w:rsidRPr="00376A2D">
              <w:rPr>
                <w:rFonts w:ascii="Arial" w:hAnsi="Arial" w:cs="Arial"/>
                <w:noProof/>
                <w:webHidden/>
                <w:color w:val="000000" w:themeColor="text1"/>
                <w:szCs w:val="22"/>
              </w:rPr>
              <w:fldChar w:fldCharType="separate"/>
            </w:r>
            <w:r w:rsidRPr="00376A2D">
              <w:rPr>
                <w:rFonts w:ascii="Arial" w:hAnsi="Arial" w:cs="Arial"/>
                <w:noProof/>
                <w:webHidden/>
                <w:color w:val="000000" w:themeColor="text1"/>
                <w:szCs w:val="22"/>
              </w:rPr>
              <w:t>4</w:t>
            </w:r>
            <w:r w:rsidRPr="00376A2D">
              <w:rPr>
                <w:rFonts w:ascii="Arial" w:hAnsi="Arial" w:cs="Arial"/>
                <w:noProof/>
                <w:webHidden/>
                <w:color w:val="000000" w:themeColor="text1"/>
                <w:szCs w:val="22"/>
              </w:rPr>
              <w:fldChar w:fldCharType="end"/>
            </w:r>
          </w:hyperlink>
        </w:p>
        <w:p w14:paraId="14AD861E" w14:textId="77777777" w:rsidR="00F2669F" w:rsidRPr="00376A2D" w:rsidRDefault="00F2669F" w:rsidP="00F2669F">
          <w:pPr>
            <w:pStyle w:val="TOC1"/>
            <w:tabs>
              <w:tab w:val="right" w:leader="dot" w:pos="9350"/>
            </w:tabs>
            <w:spacing w:line="360" w:lineRule="auto"/>
            <w:jc w:val="both"/>
            <w:rPr>
              <w:rFonts w:ascii="Arial" w:hAnsi="Arial" w:cs="Arial"/>
              <w:noProof/>
              <w:color w:val="000000" w:themeColor="text1"/>
              <w:szCs w:val="22"/>
            </w:rPr>
          </w:pPr>
          <w:hyperlink w:anchor="_Toc90484256" w:history="1">
            <w:r w:rsidRPr="00376A2D">
              <w:rPr>
                <w:rStyle w:val="Hyperlink"/>
                <w:rFonts w:ascii="Arial" w:hAnsi="Arial" w:cs="Arial"/>
                <w:noProof/>
                <w:color w:val="000000" w:themeColor="text1"/>
                <w:szCs w:val="22"/>
              </w:rPr>
              <w:t>Recommendations</w:t>
            </w:r>
            <w:r w:rsidRPr="00376A2D">
              <w:rPr>
                <w:rFonts w:ascii="Arial" w:hAnsi="Arial" w:cs="Arial"/>
                <w:noProof/>
                <w:webHidden/>
                <w:color w:val="000000" w:themeColor="text1"/>
                <w:szCs w:val="22"/>
              </w:rPr>
              <w:tab/>
            </w:r>
            <w:r w:rsidRPr="00376A2D">
              <w:rPr>
                <w:rFonts w:ascii="Arial" w:hAnsi="Arial" w:cs="Arial"/>
                <w:noProof/>
                <w:webHidden/>
                <w:color w:val="000000" w:themeColor="text1"/>
                <w:szCs w:val="22"/>
              </w:rPr>
              <w:fldChar w:fldCharType="begin"/>
            </w:r>
            <w:r w:rsidRPr="00376A2D">
              <w:rPr>
                <w:rFonts w:ascii="Arial" w:hAnsi="Arial" w:cs="Arial"/>
                <w:noProof/>
                <w:webHidden/>
                <w:color w:val="000000" w:themeColor="text1"/>
                <w:szCs w:val="22"/>
              </w:rPr>
              <w:instrText xml:space="preserve"> PAGEREF _Toc90484256 \h </w:instrText>
            </w:r>
            <w:r w:rsidRPr="00376A2D">
              <w:rPr>
                <w:rFonts w:ascii="Arial" w:hAnsi="Arial" w:cs="Arial"/>
                <w:noProof/>
                <w:webHidden/>
                <w:color w:val="000000" w:themeColor="text1"/>
                <w:szCs w:val="22"/>
              </w:rPr>
            </w:r>
            <w:r w:rsidRPr="00376A2D">
              <w:rPr>
                <w:rFonts w:ascii="Arial" w:hAnsi="Arial" w:cs="Arial"/>
                <w:noProof/>
                <w:webHidden/>
                <w:color w:val="000000" w:themeColor="text1"/>
                <w:szCs w:val="22"/>
              </w:rPr>
              <w:fldChar w:fldCharType="separate"/>
            </w:r>
            <w:r w:rsidRPr="00376A2D">
              <w:rPr>
                <w:rFonts w:ascii="Arial" w:hAnsi="Arial" w:cs="Arial"/>
                <w:noProof/>
                <w:webHidden/>
                <w:color w:val="000000" w:themeColor="text1"/>
                <w:szCs w:val="22"/>
              </w:rPr>
              <w:t>5</w:t>
            </w:r>
            <w:r w:rsidRPr="00376A2D">
              <w:rPr>
                <w:rFonts w:ascii="Arial" w:hAnsi="Arial" w:cs="Arial"/>
                <w:noProof/>
                <w:webHidden/>
                <w:color w:val="000000" w:themeColor="text1"/>
                <w:szCs w:val="22"/>
              </w:rPr>
              <w:fldChar w:fldCharType="end"/>
            </w:r>
          </w:hyperlink>
        </w:p>
        <w:p w14:paraId="5FFED8CE" w14:textId="77777777" w:rsidR="00F2669F" w:rsidRPr="00376A2D" w:rsidRDefault="00F2669F" w:rsidP="00F2669F">
          <w:pPr>
            <w:pStyle w:val="TOC1"/>
            <w:tabs>
              <w:tab w:val="right" w:leader="dot" w:pos="9350"/>
            </w:tabs>
            <w:spacing w:line="360" w:lineRule="auto"/>
            <w:jc w:val="both"/>
            <w:rPr>
              <w:rFonts w:ascii="Arial" w:hAnsi="Arial" w:cs="Arial"/>
              <w:noProof/>
              <w:color w:val="000000" w:themeColor="text1"/>
              <w:szCs w:val="22"/>
            </w:rPr>
          </w:pPr>
          <w:hyperlink w:anchor="_Toc90484257" w:history="1">
            <w:r w:rsidRPr="00376A2D">
              <w:rPr>
                <w:rStyle w:val="Hyperlink"/>
                <w:rFonts w:ascii="Arial" w:hAnsi="Arial" w:cs="Arial"/>
                <w:noProof/>
                <w:color w:val="000000" w:themeColor="text1"/>
                <w:szCs w:val="22"/>
              </w:rPr>
              <w:t>Reference list</w:t>
            </w:r>
            <w:r w:rsidRPr="00376A2D">
              <w:rPr>
                <w:rFonts w:ascii="Arial" w:hAnsi="Arial" w:cs="Arial"/>
                <w:noProof/>
                <w:webHidden/>
                <w:color w:val="000000" w:themeColor="text1"/>
                <w:szCs w:val="22"/>
              </w:rPr>
              <w:tab/>
            </w:r>
            <w:r w:rsidRPr="00376A2D">
              <w:rPr>
                <w:rFonts w:ascii="Arial" w:hAnsi="Arial" w:cs="Arial"/>
                <w:noProof/>
                <w:webHidden/>
                <w:color w:val="000000" w:themeColor="text1"/>
                <w:szCs w:val="22"/>
              </w:rPr>
              <w:fldChar w:fldCharType="begin"/>
            </w:r>
            <w:r w:rsidRPr="00376A2D">
              <w:rPr>
                <w:rFonts w:ascii="Arial" w:hAnsi="Arial" w:cs="Arial"/>
                <w:noProof/>
                <w:webHidden/>
                <w:color w:val="000000" w:themeColor="text1"/>
                <w:szCs w:val="22"/>
              </w:rPr>
              <w:instrText xml:space="preserve"> PAGEREF _Toc90484257 \h </w:instrText>
            </w:r>
            <w:r w:rsidRPr="00376A2D">
              <w:rPr>
                <w:rFonts w:ascii="Arial" w:hAnsi="Arial" w:cs="Arial"/>
                <w:noProof/>
                <w:webHidden/>
                <w:color w:val="000000" w:themeColor="text1"/>
                <w:szCs w:val="22"/>
              </w:rPr>
            </w:r>
            <w:r w:rsidRPr="00376A2D">
              <w:rPr>
                <w:rFonts w:ascii="Arial" w:hAnsi="Arial" w:cs="Arial"/>
                <w:noProof/>
                <w:webHidden/>
                <w:color w:val="000000" w:themeColor="text1"/>
                <w:szCs w:val="22"/>
              </w:rPr>
              <w:fldChar w:fldCharType="separate"/>
            </w:r>
            <w:r w:rsidRPr="00376A2D">
              <w:rPr>
                <w:rFonts w:ascii="Arial" w:hAnsi="Arial" w:cs="Arial"/>
                <w:noProof/>
                <w:webHidden/>
                <w:color w:val="000000" w:themeColor="text1"/>
                <w:szCs w:val="22"/>
              </w:rPr>
              <w:t>7</w:t>
            </w:r>
            <w:r w:rsidRPr="00376A2D">
              <w:rPr>
                <w:rFonts w:ascii="Arial" w:hAnsi="Arial" w:cs="Arial"/>
                <w:noProof/>
                <w:webHidden/>
                <w:color w:val="000000" w:themeColor="text1"/>
                <w:szCs w:val="22"/>
              </w:rPr>
              <w:fldChar w:fldCharType="end"/>
            </w:r>
          </w:hyperlink>
        </w:p>
        <w:p w14:paraId="4ED0419C" w14:textId="77777777" w:rsidR="00F2669F" w:rsidRPr="00376A2D" w:rsidRDefault="00F2669F" w:rsidP="00F2669F">
          <w:pPr>
            <w:spacing w:line="360" w:lineRule="auto"/>
            <w:jc w:val="both"/>
            <w:rPr>
              <w:rFonts w:ascii="Arial" w:hAnsi="Arial" w:cs="Arial"/>
              <w:color w:val="000000" w:themeColor="text1"/>
              <w:sz w:val="22"/>
              <w:szCs w:val="22"/>
            </w:rPr>
          </w:pPr>
          <w:r w:rsidRPr="00376A2D">
            <w:rPr>
              <w:rFonts w:ascii="Arial" w:hAnsi="Arial" w:cs="Arial"/>
              <w:color w:val="000000" w:themeColor="text1"/>
              <w:sz w:val="22"/>
              <w:szCs w:val="22"/>
            </w:rPr>
            <w:fldChar w:fldCharType="end"/>
          </w:r>
        </w:p>
      </w:sdtContent>
    </w:sdt>
    <w:p w14:paraId="2671D14B" w14:textId="77777777" w:rsidR="00F2669F" w:rsidRPr="00376A2D" w:rsidRDefault="00F2669F" w:rsidP="00F2669F">
      <w:pPr>
        <w:rPr>
          <w:rFonts w:ascii="Arial" w:hAnsi="Arial" w:cs="Arial"/>
          <w:b/>
          <w:bCs/>
          <w:sz w:val="22"/>
          <w:szCs w:val="22"/>
          <w:lang w:val="en-US"/>
        </w:rPr>
      </w:pPr>
      <w:r w:rsidRPr="00376A2D">
        <w:rPr>
          <w:rFonts w:ascii="Arial" w:hAnsi="Arial" w:cs="Arial"/>
          <w:sz w:val="22"/>
          <w:szCs w:val="22"/>
        </w:rPr>
        <w:br w:type="page"/>
      </w:r>
    </w:p>
    <w:p w14:paraId="28E7BB25" w14:textId="77777777" w:rsidR="00F2669F" w:rsidRPr="00F2669F" w:rsidRDefault="00F2669F" w:rsidP="00781450">
      <w:pPr>
        <w:pStyle w:val="Heading1"/>
        <w:jc w:val="both"/>
        <w:rPr>
          <w:rFonts w:ascii="Arial" w:hAnsi="Arial" w:cs="Arial"/>
          <w:b/>
          <w:bCs/>
          <w:color w:val="000000" w:themeColor="text1"/>
          <w:sz w:val="22"/>
          <w:szCs w:val="22"/>
        </w:rPr>
      </w:pPr>
      <w:r w:rsidRPr="00F2669F">
        <w:rPr>
          <w:rFonts w:ascii="Arial" w:hAnsi="Arial" w:cs="Arial"/>
          <w:b/>
          <w:bCs/>
          <w:color w:val="000000" w:themeColor="text1"/>
          <w:sz w:val="22"/>
          <w:szCs w:val="22"/>
        </w:rPr>
        <w:lastRenderedPageBreak/>
        <w:t>Scenario overview</w:t>
      </w:r>
    </w:p>
    <w:p w14:paraId="03E5D0DB" w14:textId="77777777" w:rsidR="00F2669F" w:rsidRDefault="00F2669F" w:rsidP="00781450">
      <w:pPr>
        <w:spacing w:line="360" w:lineRule="auto"/>
        <w:jc w:val="both"/>
        <w:rPr>
          <w:rFonts w:ascii="Arial" w:hAnsi="Arial" w:cs="Arial"/>
          <w:bCs/>
          <w:sz w:val="22"/>
          <w:szCs w:val="22"/>
        </w:rPr>
      </w:pPr>
    </w:p>
    <w:p w14:paraId="5D033ACE" w14:textId="5FA10739" w:rsidR="00F2669F" w:rsidRPr="00376A2D" w:rsidRDefault="00F2669F" w:rsidP="00781450">
      <w:pPr>
        <w:spacing w:line="360" w:lineRule="auto"/>
        <w:jc w:val="both"/>
        <w:rPr>
          <w:rFonts w:ascii="Arial" w:hAnsi="Arial" w:cs="Arial"/>
          <w:bCs/>
          <w:sz w:val="22"/>
          <w:szCs w:val="22"/>
        </w:rPr>
      </w:pPr>
      <w:r w:rsidRPr="00376A2D">
        <w:rPr>
          <w:rFonts w:ascii="Arial" w:hAnsi="Arial" w:cs="Arial"/>
          <w:bCs/>
          <w:sz w:val="22"/>
          <w:szCs w:val="22"/>
        </w:rPr>
        <w:t xml:space="preserve">Health staffs are encouraged to behave politely with all service users while maintaining the Covid-19 guidance issued by the government. In the case study, the staff member is 58 years old with polite attitude. On the other hand, the service user is a </w:t>
      </w:r>
      <w:r w:rsidRPr="00376A2D">
        <w:rPr>
          <w:rFonts w:ascii="Arial" w:hAnsi="Arial" w:cs="Arial"/>
          <w:bCs/>
          <w:sz w:val="22"/>
          <w:szCs w:val="22"/>
        </w:rPr>
        <w:t>15-year-old</w:t>
      </w:r>
      <w:r w:rsidRPr="00376A2D">
        <w:rPr>
          <w:rFonts w:ascii="Arial" w:hAnsi="Arial" w:cs="Arial"/>
          <w:bCs/>
          <w:sz w:val="22"/>
          <w:szCs w:val="22"/>
        </w:rPr>
        <w:t xml:space="preserve"> boy suffering from Emery-Dreifuss Muscular Dystrophy, </w:t>
      </w:r>
      <w:r w:rsidR="00781450" w:rsidRPr="00376A2D">
        <w:rPr>
          <w:rFonts w:ascii="Arial" w:hAnsi="Arial" w:cs="Arial"/>
          <w:bCs/>
          <w:sz w:val="22"/>
          <w:szCs w:val="22"/>
        </w:rPr>
        <w:t>depression,</w:t>
      </w:r>
      <w:r w:rsidRPr="00376A2D">
        <w:rPr>
          <w:rFonts w:ascii="Arial" w:hAnsi="Arial" w:cs="Arial"/>
          <w:bCs/>
          <w:sz w:val="22"/>
          <w:szCs w:val="22"/>
        </w:rPr>
        <w:t xml:space="preserve"> and anxiety, and requires counselling after suicide attempt. He also faces physical discomforts upon sitting down and moving around too much. In the light of this condition, the staff member was sworn at several times leading to her raising voice at the service user regarding compliance of rules. Thus, a complaint against the staff had been issued. </w:t>
      </w:r>
    </w:p>
    <w:p w14:paraId="5FF3CBCC" w14:textId="657DE624" w:rsidR="00F2669F" w:rsidRPr="00F2669F" w:rsidRDefault="00F2669F" w:rsidP="00781450">
      <w:pPr>
        <w:pStyle w:val="Heading1"/>
        <w:jc w:val="both"/>
        <w:rPr>
          <w:rFonts w:ascii="Arial" w:hAnsi="Arial" w:cs="Arial"/>
          <w:b/>
          <w:bCs/>
          <w:color w:val="000000" w:themeColor="text1"/>
          <w:sz w:val="22"/>
          <w:szCs w:val="22"/>
        </w:rPr>
      </w:pPr>
      <w:bookmarkStart w:id="0" w:name="_Toc90484254"/>
      <w:r w:rsidRPr="00F2669F">
        <w:rPr>
          <w:rFonts w:ascii="Arial" w:hAnsi="Arial" w:cs="Arial"/>
          <w:b/>
          <w:bCs/>
          <w:color w:val="000000" w:themeColor="text1"/>
          <w:sz w:val="22"/>
          <w:szCs w:val="22"/>
        </w:rPr>
        <w:t>Potential causes of the identified behaviour in the staff member and the service user</w:t>
      </w:r>
      <w:bookmarkEnd w:id="0"/>
    </w:p>
    <w:p w14:paraId="29F2DDDA" w14:textId="77777777" w:rsidR="00F2669F" w:rsidRPr="00F2669F" w:rsidRDefault="00F2669F" w:rsidP="00781450">
      <w:pPr>
        <w:jc w:val="both"/>
      </w:pPr>
    </w:p>
    <w:p w14:paraId="26DE3E95" w14:textId="77777777" w:rsidR="00F2669F" w:rsidRPr="00376A2D" w:rsidRDefault="00F2669F" w:rsidP="00781450">
      <w:pPr>
        <w:spacing w:line="360" w:lineRule="auto"/>
        <w:jc w:val="both"/>
        <w:rPr>
          <w:rFonts w:ascii="Arial" w:hAnsi="Arial" w:cs="Arial"/>
          <w:bCs/>
          <w:sz w:val="22"/>
          <w:szCs w:val="22"/>
        </w:rPr>
      </w:pPr>
      <w:r w:rsidRPr="00376A2D">
        <w:rPr>
          <w:rFonts w:ascii="Arial" w:hAnsi="Arial" w:cs="Arial"/>
          <w:bCs/>
          <w:sz w:val="22"/>
          <w:szCs w:val="22"/>
        </w:rPr>
        <w:t>In consideration of this situation, it can be stated that the social identity of the staff member has caused her to act that way. On the other hand, the psychological conditions of the service user were also not healthy leading to his misbehaviour with the staff member. It can be described through the application of the Social Identity Theory. The theory denotes the fact that people often act based on their social standing that can cause them to alter their usual individual behaviour (</w:t>
      </w:r>
      <w:r w:rsidRPr="00376A2D">
        <w:rPr>
          <w:rFonts w:ascii="Arial" w:hAnsi="Arial" w:cs="Arial"/>
          <w:sz w:val="22"/>
          <w:szCs w:val="22"/>
        </w:rPr>
        <w:t xml:space="preserve">Costa </w:t>
      </w:r>
      <w:r w:rsidRPr="00376A2D">
        <w:rPr>
          <w:rFonts w:ascii="Arial" w:hAnsi="Arial" w:cs="Arial"/>
          <w:i/>
          <w:iCs/>
          <w:sz w:val="22"/>
          <w:szCs w:val="22"/>
        </w:rPr>
        <w:t>et al.</w:t>
      </w:r>
      <w:r w:rsidRPr="00376A2D">
        <w:rPr>
          <w:rFonts w:ascii="Arial" w:hAnsi="Arial" w:cs="Arial"/>
          <w:sz w:val="22"/>
          <w:szCs w:val="22"/>
        </w:rPr>
        <w:t xml:space="preserve"> 2019</w:t>
      </w:r>
      <w:r w:rsidRPr="00376A2D">
        <w:rPr>
          <w:rFonts w:ascii="Arial" w:hAnsi="Arial" w:cs="Arial"/>
          <w:bCs/>
          <w:sz w:val="22"/>
          <w:szCs w:val="22"/>
        </w:rPr>
        <w:t xml:space="preserve">). In the case scenario, the staff member has been noting the in-group and out-group classifications. The social categorisation of the staff member here is related to her being a healthcare worker with the responsibility to take care of patients while noting the Covid-19 regulations maintenance to a specified are. Her responsibilities enable her to consider social identification; while she compared her position in the situation, where she requires making service users follow her instructions to continue her assigned role. </w:t>
      </w:r>
    </w:p>
    <w:p w14:paraId="37139C11" w14:textId="77777777" w:rsidR="00F2669F" w:rsidRPr="00376A2D" w:rsidRDefault="00F2669F" w:rsidP="00781450">
      <w:pPr>
        <w:spacing w:line="360" w:lineRule="auto"/>
        <w:jc w:val="both"/>
        <w:rPr>
          <w:rFonts w:ascii="Arial" w:hAnsi="Arial" w:cs="Arial"/>
          <w:bCs/>
          <w:sz w:val="22"/>
          <w:szCs w:val="22"/>
        </w:rPr>
      </w:pPr>
      <w:r w:rsidRPr="00376A2D">
        <w:rPr>
          <w:rFonts w:ascii="Arial" w:hAnsi="Arial" w:cs="Arial"/>
          <w:bCs/>
          <w:sz w:val="22"/>
          <w:szCs w:val="22"/>
        </w:rPr>
        <w:t xml:space="preserve">On the other hand, the service user considered his age and current physical occurrences for his rude behaviour. According to </w:t>
      </w:r>
      <w:r w:rsidRPr="00376A2D">
        <w:rPr>
          <w:rFonts w:ascii="Arial" w:hAnsi="Arial" w:cs="Arial"/>
          <w:sz w:val="22"/>
          <w:szCs w:val="22"/>
        </w:rPr>
        <w:t>Hogg</w:t>
      </w:r>
      <w:r w:rsidRPr="00376A2D">
        <w:rPr>
          <w:rFonts w:ascii="Arial" w:hAnsi="Arial" w:cs="Arial"/>
          <w:bCs/>
          <w:sz w:val="22"/>
          <w:szCs w:val="22"/>
        </w:rPr>
        <w:t xml:space="preserve"> (2020), in some cases, individuals often consider them higher in rank than others. In this scenario, it is possible that the service user’s harsh behaviour is related to his superiority as a patient, who is prioritised in the healthcare sector, in the local counselling centre. He categorised himself as the patient while identified himself as a patient with diagnosis, and finally the superiority complex is noted through social comparison. </w:t>
      </w:r>
    </w:p>
    <w:p w14:paraId="06570C06" w14:textId="77777777" w:rsidR="00F2669F" w:rsidRPr="00376A2D" w:rsidRDefault="00F2669F" w:rsidP="00781450">
      <w:pPr>
        <w:spacing w:line="360" w:lineRule="auto"/>
        <w:jc w:val="both"/>
        <w:rPr>
          <w:rFonts w:ascii="Arial" w:hAnsi="Arial" w:cs="Arial"/>
          <w:bCs/>
          <w:sz w:val="22"/>
          <w:szCs w:val="22"/>
        </w:rPr>
      </w:pPr>
      <w:r w:rsidRPr="00376A2D">
        <w:rPr>
          <w:rFonts w:ascii="Arial" w:hAnsi="Arial" w:cs="Arial"/>
          <w:bCs/>
          <w:sz w:val="22"/>
          <w:szCs w:val="22"/>
        </w:rPr>
        <w:t>Another way of explaining the situation is the Attribution theory. It allows understanding one’s behaviour based on their internal and external forces that are defined as dispositional attribution and situational attribution respectively (</w:t>
      </w:r>
      <w:r w:rsidRPr="00376A2D">
        <w:rPr>
          <w:rFonts w:ascii="Arial" w:hAnsi="Arial" w:cs="Arial"/>
          <w:sz w:val="22"/>
          <w:szCs w:val="22"/>
        </w:rPr>
        <w:t>Zhou and Ki, 2018</w:t>
      </w:r>
      <w:r w:rsidRPr="00376A2D">
        <w:rPr>
          <w:rFonts w:ascii="Arial" w:hAnsi="Arial" w:cs="Arial"/>
          <w:bCs/>
          <w:sz w:val="22"/>
          <w:szCs w:val="22"/>
        </w:rPr>
        <w:t xml:space="preserve">). Considering the scenario, the staff member who is usually polite reacted that way due to constant verbal abuse from the service user. Thus, in this situation, it can be stated despite being a diligent and polite person, the external factor, which is the verbal abuse, made her raise her voice against the boy. This action is opposite her natural personality. On the contrary, the service user was troubled by his sudden diagnosis of Emery-Dreifuss Muscular Dystrophy, which caused </w:t>
      </w:r>
      <w:r w:rsidRPr="00376A2D">
        <w:rPr>
          <w:rFonts w:ascii="Arial" w:hAnsi="Arial" w:cs="Arial"/>
          <w:bCs/>
          <w:sz w:val="22"/>
          <w:szCs w:val="22"/>
        </w:rPr>
        <w:lastRenderedPageBreak/>
        <w:t xml:space="preserve">discontinuation of his place in a football academy. His suicide attempts at the age of 15 years states his mental breakdown, as he suffered from anxiety and depression. Therefore, it is clear that these factors caused a change in his personality. The action undertaken by him in the local counselling centre can be considered as a situational attribution, where his internal mental change caused his behaviour to occur. </w:t>
      </w:r>
    </w:p>
    <w:p w14:paraId="6159CAAD" w14:textId="77777777" w:rsidR="00F2669F" w:rsidRDefault="00F2669F" w:rsidP="00781450">
      <w:pPr>
        <w:spacing w:line="360" w:lineRule="auto"/>
        <w:jc w:val="both"/>
        <w:rPr>
          <w:rFonts w:ascii="Arial" w:hAnsi="Arial" w:cs="Arial"/>
          <w:bCs/>
          <w:sz w:val="22"/>
          <w:szCs w:val="22"/>
        </w:rPr>
      </w:pPr>
    </w:p>
    <w:p w14:paraId="5474FF78" w14:textId="146E2A4F" w:rsidR="00F2669F" w:rsidRPr="00376A2D" w:rsidRDefault="00F2669F" w:rsidP="00781450">
      <w:pPr>
        <w:spacing w:line="360" w:lineRule="auto"/>
        <w:jc w:val="both"/>
        <w:rPr>
          <w:rFonts w:ascii="Arial" w:hAnsi="Arial" w:cs="Arial"/>
          <w:bCs/>
          <w:sz w:val="22"/>
          <w:szCs w:val="22"/>
        </w:rPr>
      </w:pPr>
      <w:r w:rsidRPr="00376A2D">
        <w:rPr>
          <w:rFonts w:ascii="Arial" w:hAnsi="Arial" w:cs="Arial"/>
          <w:bCs/>
          <w:sz w:val="22"/>
          <w:szCs w:val="22"/>
        </w:rPr>
        <w:t xml:space="preserve">Apart from these, the situation of the two individuals can be acknowledged using the Frustration aggression hypothesis as well. </w:t>
      </w:r>
      <w:r w:rsidRPr="00376A2D">
        <w:rPr>
          <w:rFonts w:ascii="Arial" w:hAnsi="Arial" w:cs="Arial"/>
          <w:sz w:val="22"/>
          <w:szCs w:val="22"/>
        </w:rPr>
        <w:t>Groves and Anderson</w:t>
      </w:r>
      <w:r w:rsidRPr="00376A2D">
        <w:rPr>
          <w:rFonts w:ascii="Arial" w:hAnsi="Arial" w:cs="Arial"/>
          <w:bCs/>
          <w:sz w:val="22"/>
          <w:szCs w:val="22"/>
        </w:rPr>
        <w:t xml:space="preserve"> (2018) defined that this theory suggests two facts that are frustration always produces aggressive urge, and aggression is always the cause of prior frustration. Moreover, frustration can influence several kinds of actions; however, the urge to aggression remains dominant as thwarting continues. The service user’s mental condition was not good and required professional counselling. Analysing the situation of the boy, it is safe to state that he was willing to carry out a career in or loved playing football. However, the disease has constricted it from happening that caused a serious blow in his mental stability. The situation can be considered as a suppressed frustration that leads to aggressive urge. His abusive behaviour with the staff member can be observed as the outburst of his frustration with an aggressive behaviour. </w:t>
      </w:r>
    </w:p>
    <w:p w14:paraId="27798EC3" w14:textId="77777777" w:rsidR="00F2669F" w:rsidRPr="00376A2D" w:rsidRDefault="00F2669F" w:rsidP="00781450">
      <w:pPr>
        <w:spacing w:line="360" w:lineRule="auto"/>
        <w:jc w:val="both"/>
        <w:rPr>
          <w:rFonts w:ascii="Arial" w:hAnsi="Arial" w:cs="Arial"/>
          <w:bCs/>
          <w:sz w:val="22"/>
          <w:szCs w:val="22"/>
        </w:rPr>
      </w:pPr>
      <w:r w:rsidRPr="00376A2D">
        <w:rPr>
          <w:rFonts w:ascii="Arial" w:hAnsi="Arial" w:cs="Arial"/>
          <w:bCs/>
          <w:sz w:val="22"/>
          <w:szCs w:val="22"/>
        </w:rPr>
        <w:t>On the other hand, the continuous verbal abuse caused the staff member to act aggressively by raising her voice as she too suppressed her frustration. It demonstrates the fact that the outbursts of frustration can be different based on personalities of individuals (</w:t>
      </w:r>
      <w:r w:rsidRPr="00376A2D">
        <w:rPr>
          <w:rFonts w:ascii="Arial" w:hAnsi="Arial" w:cs="Arial"/>
          <w:sz w:val="22"/>
          <w:szCs w:val="22"/>
        </w:rPr>
        <w:t>Breuer and Elson, 2017</w:t>
      </w:r>
      <w:r w:rsidRPr="00376A2D">
        <w:rPr>
          <w:rFonts w:ascii="Arial" w:hAnsi="Arial" w:cs="Arial"/>
          <w:bCs/>
          <w:sz w:val="22"/>
          <w:szCs w:val="22"/>
        </w:rPr>
        <w:t xml:space="preserve">). The boy threw verbal abuse towards the lady while she raised her voice and threatened not to allow him inside the centre. It is thus evident that several factors can work at the same time leading to behavioural change among individuals. Both internal and external factors work in this scenario. </w:t>
      </w:r>
    </w:p>
    <w:p w14:paraId="7D66A574" w14:textId="77777777" w:rsidR="00F2669F" w:rsidRPr="00F2669F" w:rsidRDefault="00F2669F" w:rsidP="00781450">
      <w:pPr>
        <w:pStyle w:val="Heading1"/>
        <w:jc w:val="both"/>
        <w:rPr>
          <w:rFonts w:ascii="Arial" w:hAnsi="Arial" w:cs="Arial"/>
          <w:b/>
          <w:bCs/>
          <w:color w:val="000000" w:themeColor="text1"/>
          <w:sz w:val="22"/>
          <w:szCs w:val="22"/>
        </w:rPr>
      </w:pPr>
      <w:bookmarkStart w:id="1" w:name="_Toc90484255"/>
      <w:r w:rsidRPr="00F2669F">
        <w:rPr>
          <w:rFonts w:ascii="Arial" w:hAnsi="Arial" w:cs="Arial"/>
          <w:b/>
          <w:bCs/>
          <w:color w:val="000000" w:themeColor="text1"/>
          <w:sz w:val="22"/>
          <w:szCs w:val="22"/>
        </w:rPr>
        <w:t>Issues associated with the conditions of the service user and the staff member</w:t>
      </w:r>
      <w:bookmarkEnd w:id="1"/>
    </w:p>
    <w:p w14:paraId="5B3F6BAD" w14:textId="77777777" w:rsidR="00F2669F" w:rsidRPr="00F2669F" w:rsidRDefault="00F2669F" w:rsidP="00781450">
      <w:pPr>
        <w:spacing w:line="360" w:lineRule="auto"/>
        <w:jc w:val="both"/>
        <w:rPr>
          <w:rFonts w:ascii="Arial" w:hAnsi="Arial" w:cs="Arial"/>
          <w:b/>
          <w:bCs/>
          <w:sz w:val="22"/>
          <w:szCs w:val="22"/>
        </w:rPr>
      </w:pPr>
    </w:p>
    <w:p w14:paraId="65E65271" w14:textId="07921C6D" w:rsidR="00F2669F" w:rsidRDefault="00F2669F" w:rsidP="00781450">
      <w:pPr>
        <w:spacing w:line="360" w:lineRule="auto"/>
        <w:jc w:val="both"/>
        <w:rPr>
          <w:rFonts w:ascii="Arial" w:hAnsi="Arial" w:cs="Arial"/>
          <w:bCs/>
          <w:sz w:val="22"/>
          <w:szCs w:val="22"/>
        </w:rPr>
      </w:pPr>
      <w:r w:rsidRPr="00376A2D">
        <w:rPr>
          <w:rFonts w:ascii="Arial" w:hAnsi="Arial" w:cs="Arial"/>
          <w:bCs/>
          <w:sz w:val="22"/>
          <w:szCs w:val="22"/>
        </w:rPr>
        <w:t xml:space="preserve">Through an analysis of the provided scenario, it is evident that the staff member had to attend several service users at a time. In consideration of her age in the scenario, it can be stated that she might lose her patience in the situation. According to </w:t>
      </w:r>
      <w:r w:rsidRPr="00376A2D">
        <w:rPr>
          <w:rFonts w:ascii="Arial" w:hAnsi="Arial" w:cs="Arial"/>
          <w:sz w:val="22"/>
          <w:szCs w:val="22"/>
        </w:rPr>
        <w:t>Barber and Kim</w:t>
      </w:r>
      <w:r w:rsidRPr="00376A2D">
        <w:rPr>
          <w:rFonts w:ascii="Arial" w:hAnsi="Arial" w:cs="Arial"/>
          <w:bCs/>
          <w:sz w:val="22"/>
          <w:szCs w:val="22"/>
        </w:rPr>
        <w:t xml:space="preserve"> (2021), age differences can become a factor of consideration while a person behaves. For instance, an adult would try to adjust their behaviour while conversing with younger aged individuals. In the case study, it is noted that the staff member was an old lady of 58 years of age, while the service user is a </w:t>
      </w:r>
      <w:r w:rsidRPr="00376A2D">
        <w:rPr>
          <w:rFonts w:ascii="Arial" w:hAnsi="Arial" w:cs="Arial"/>
          <w:bCs/>
          <w:sz w:val="22"/>
          <w:szCs w:val="22"/>
        </w:rPr>
        <w:t>15-year-old</w:t>
      </w:r>
      <w:r w:rsidRPr="00376A2D">
        <w:rPr>
          <w:rFonts w:ascii="Arial" w:hAnsi="Arial" w:cs="Arial"/>
          <w:bCs/>
          <w:sz w:val="22"/>
          <w:szCs w:val="22"/>
        </w:rPr>
        <w:t xml:space="preserve"> boy. The differences in age and the lack of respect towards older people can be considered as a fact to note. However, her actions associated with other patients have never been pointed at making this assumption wrong. Thus, it can be stated that </w:t>
      </w:r>
      <w:r w:rsidRPr="00376A2D">
        <w:rPr>
          <w:rFonts w:ascii="Arial" w:hAnsi="Arial" w:cs="Arial"/>
          <w:bCs/>
          <w:sz w:val="22"/>
          <w:szCs w:val="22"/>
        </w:rPr>
        <w:lastRenderedPageBreak/>
        <w:t>her change in behaviour was caused entirely based on the misbehaviour of the service user (</w:t>
      </w:r>
      <w:r w:rsidRPr="00376A2D">
        <w:rPr>
          <w:rFonts w:ascii="Arial" w:hAnsi="Arial" w:cs="Arial"/>
          <w:sz w:val="22"/>
          <w:szCs w:val="22"/>
        </w:rPr>
        <w:t xml:space="preserve">Gili </w:t>
      </w:r>
      <w:r w:rsidRPr="00376A2D">
        <w:rPr>
          <w:rFonts w:ascii="Arial" w:hAnsi="Arial" w:cs="Arial"/>
          <w:i/>
          <w:iCs/>
          <w:sz w:val="22"/>
          <w:szCs w:val="22"/>
        </w:rPr>
        <w:t xml:space="preserve">et al. </w:t>
      </w:r>
      <w:r w:rsidRPr="00376A2D">
        <w:rPr>
          <w:rFonts w:ascii="Arial" w:hAnsi="Arial" w:cs="Arial"/>
          <w:sz w:val="22"/>
          <w:szCs w:val="22"/>
        </w:rPr>
        <w:t>2019</w:t>
      </w:r>
      <w:r w:rsidRPr="00376A2D">
        <w:rPr>
          <w:rFonts w:ascii="Arial" w:hAnsi="Arial" w:cs="Arial"/>
          <w:bCs/>
          <w:sz w:val="22"/>
          <w:szCs w:val="22"/>
        </w:rPr>
        <w:t xml:space="preserve">). </w:t>
      </w:r>
    </w:p>
    <w:p w14:paraId="0B59470F" w14:textId="77777777" w:rsidR="00F2669F" w:rsidRPr="00376A2D" w:rsidRDefault="00F2669F" w:rsidP="00781450">
      <w:pPr>
        <w:spacing w:line="360" w:lineRule="auto"/>
        <w:jc w:val="both"/>
        <w:rPr>
          <w:rFonts w:ascii="Arial" w:hAnsi="Arial" w:cs="Arial"/>
          <w:bCs/>
          <w:sz w:val="22"/>
          <w:szCs w:val="22"/>
        </w:rPr>
      </w:pPr>
    </w:p>
    <w:p w14:paraId="4FF5AA44" w14:textId="7B07CC88" w:rsidR="00F2669F" w:rsidRDefault="00F2669F" w:rsidP="00781450">
      <w:pPr>
        <w:spacing w:line="360" w:lineRule="auto"/>
        <w:jc w:val="both"/>
        <w:rPr>
          <w:rFonts w:ascii="Arial" w:hAnsi="Arial" w:cs="Arial"/>
          <w:bCs/>
          <w:sz w:val="22"/>
          <w:szCs w:val="22"/>
        </w:rPr>
      </w:pPr>
      <w:r w:rsidRPr="00376A2D">
        <w:rPr>
          <w:rFonts w:ascii="Arial" w:hAnsi="Arial" w:cs="Arial"/>
          <w:bCs/>
          <w:sz w:val="22"/>
          <w:szCs w:val="22"/>
        </w:rPr>
        <w:t xml:space="preserve">On the contrary, the service user’s mental condition is not healthy and requires counselling. The mental pressure regarding his inability to play football, along with his depression caused him to attempt suicide. Thus, it can be stated that the boy was not in his right mind when he reacted in the mentioned way. However, reports by </w:t>
      </w:r>
      <w:r w:rsidRPr="00376A2D">
        <w:rPr>
          <w:rFonts w:ascii="Arial" w:hAnsi="Arial" w:cs="Arial"/>
          <w:sz w:val="22"/>
          <w:szCs w:val="22"/>
          <w:lang w:val="en-US"/>
        </w:rPr>
        <w:t>Statista Research Department</w:t>
      </w:r>
      <w:r w:rsidRPr="00376A2D">
        <w:rPr>
          <w:rFonts w:ascii="Arial" w:hAnsi="Arial" w:cs="Arial"/>
          <w:bCs/>
          <w:sz w:val="22"/>
          <w:szCs w:val="22"/>
        </w:rPr>
        <w:t xml:space="preserve"> (2021), indicated that the there has been a rise in the suicide attempts of different age groups in the UK. It has been noted that individuals belonging to the age group above 90 years are the highest to attempt suicide, followed by the age groups of 45-49 years old (</w:t>
      </w:r>
      <w:r w:rsidRPr="00376A2D">
        <w:rPr>
          <w:rFonts w:ascii="Arial" w:hAnsi="Arial" w:cs="Arial"/>
          <w:sz w:val="22"/>
          <w:szCs w:val="22"/>
          <w:lang w:val="en-US"/>
        </w:rPr>
        <w:t>Statista Research Department, 2021</w:t>
      </w:r>
      <w:r w:rsidRPr="00376A2D">
        <w:rPr>
          <w:rFonts w:ascii="Arial" w:hAnsi="Arial" w:cs="Arial"/>
          <w:bCs/>
          <w:sz w:val="22"/>
          <w:szCs w:val="22"/>
        </w:rPr>
        <w:t xml:space="preserve">). On the other hand, </w:t>
      </w:r>
      <w:r w:rsidRPr="00376A2D">
        <w:rPr>
          <w:rFonts w:ascii="Arial" w:hAnsi="Arial" w:cs="Arial"/>
          <w:sz w:val="22"/>
          <w:szCs w:val="22"/>
          <w:lang w:val="en-US"/>
        </w:rPr>
        <w:t>Marsh</w:t>
      </w:r>
      <w:r w:rsidRPr="00376A2D">
        <w:rPr>
          <w:rFonts w:ascii="Arial" w:hAnsi="Arial" w:cs="Arial"/>
          <w:bCs/>
          <w:sz w:val="22"/>
          <w:szCs w:val="22"/>
        </w:rPr>
        <w:t xml:space="preserve"> (2021) stated that about 7% of the UK teenagers are attempting suicide before they turn 17 years of age. It has been analysed that the corona virus lockdown has caused an exceptionally negative impact on the mental health of all individuals, especially teenagers. </w:t>
      </w:r>
    </w:p>
    <w:p w14:paraId="753E858C" w14:textId="77777777" w:rsidR="00F2669F" w:rsidRPr="00376A2D" w:rsidRDefault="00F2669F" w:rsidP="00781450">
      <w:pPr>
        <w:spacing w:line="360" w:lineRule="auto"/>
        <w:jc w:val="both"/>
        <w:rPr>
          <w:rFonts w:ascii="Arial" w:hAnsi="Arial" w:cs="Arial"/>
          <w:bCs/>
          <w:sz w:val="22"/>
          <w:szCs w:val="22"/>
        </w:rPr>
      </w:pPr>
    </w:p>
    <w:p w14:paraId="1E91DE27" w14:textId="77777777" w:rsidR="00F2669F" w:rsidRPr="00376A2D" w:rsidRDefault="00F2669F" w:rsidP="00781450">
      <w:pPr>
        <w:spacing w:line="360" w:lineRule="auto"/>
        <w:jc w:val="both"/>
        <w:rPr>
          <w:rFonts w:ascii="Arial" w:hAnsi="Arial" w:cs="Arial"/>
          <w:bCs/>
          <w:sz w:val="22"/>
          <w:szCs w:val="22"/>
        </w:rPr>
      </w:pPr>
      <w:r w:rsidRPr="00376A2D">
        <w:rPr>
          <w:rFonts w:ascii="Arial" w:hAnsi="Arial" w:cs="Arial"/>
          <w:bCs/>
          <w:sz w:val="22"/>
          <w:szCs w:val="22"/>
        </w:rPr>
        <w:t xml:space="preserve">As the restrictions do not allow them to move freely and act in accordance of their will, the suppressed frustrations leads to aggressive behaviours or mental breakdowns that further cause rash decisions such as suicide. </w:t>
      </w:r>
      <w:r w:rsidRPr="00376A2D">
        <w:rPr>
          <w:rFonts w:ascii="Arial" w:hAnsi="Arial" w:cs="Arial"/>
          <w:sz w:val="22"/>
          <w:szCs w:val="22"/>
          <w:lang w:val="en-US"/>
        </w:rPr>
        <w:t>Marsh</w:t>
      </w:r>
      <w:r w:rsidRPr="00376A2D">
        <w:rPr>
          <w:rFonts w:ascii="Arial" w:hAnsi="Arial" w:cs="Arial"/>
          <w:bCs/>
          <w:sz w:val="22"/>
          <w:szCs w:val="22"/>
        </w:rPr>
        <w:t xml:space="preserve"> (2021) further stated that data from NHS Digital showed that 41% of all admissions in mental health hospitals were related to self-harm by teenagers. Thus, it demonstrates the weakened mental capability of teenagers that influence them to act in such negative manners. As Covid-19 is also a cause of depression and anxiety among teenagers, the service user’s reaction to staff member’s attempt making him to comply Covid-19 regulations is prominent. The overall frustration with the extreme restrictions in all places, his inability to play his best sport, and anxiety and depression had caused him to act aggressively without considering the situation of others. Through effective counselling and therapy, </w:t>
      </w:r>
      <w:r w:rsidRPr="00376A2D">
        <w:rPr>
          <w:rFonts w:ascii="Arial" w:hAnsi="Arial" w:cs="Arial"/>
          <w:sz w:val="22"/>
          <w:szCs w:val="22"/>
        </w:rPr>
        <w:t>Beirão</w:t>
      </w:r>
      <w:r w:rsidRPr="00376A2D">
        <w:rPr>
          <w:rFonts w:ascii="Arial" w:hAnsi="Arial" w:cs="Arial"/>
          <w:bCs/>
          <w:sz w:val="22"/>
          <w:szCs w:val="22"/>
        </w:rPr>
        <w:t xml:space="preserve"> </w:t>
      </w:r>
      <w:r w:rsidRPr="00376A2D">
        <w:rPr>
          <w:rFonts w:ascii="Arial" w:hAnsi="Arial" w:cs="Arial"/>
          <w:bCs/>
          <w:i/>
          <w:iCs/>
          <w:sz w:val="22"/>
          <w:szCs w:val="22"/>
        </w:rPr>
        <w:t>et al.</w:t>
      </w:r>
      <w:r w:rsidRPr="00376A2D">
        <w:rPr>
          <w:rFonts w:ascii="Arial" w:hAnsi="Arial" w:cs="Arial"/>
          <w:bCs/>
          <w:sz w:val="22"/>
          <w:szCs w:val="22"/>
        </w:rPr>
        <w:t xml:space="preserve"> (2020) noted, adolescents can be cured of depression and similar mental issues. It has been noted that depending on the severity of the situation, mental healthcare professionals can help adolescents to come out of their situation for a stable future. </w:t>
      </w:r>
    </w:p>
    <w:p w14:paraId="5D0443C6" w14:textId="5ED48A19" w:rsidR="00F2669F" w:rsidRDefault="00F2669F" w:rsidP="00781450">
      <w:pPr>
        <w:pStyle w:val="Heading1"/>
        <w:jc w:val="both"/>
        <w:rPr>
          <w:rFonts w:ascii="Arial" w:hAnsi="Arial" w:cs="Arial"/>
          <w:b/>
          <w:bCs/>
          <w:color w:val="000000" w:themeColor="text1"/>
          <w:sz w:val="22"/>
          <w:szCs w:val="22"/>
        </w:rPr>
      </w:pPr>
      <w:bookmarkStart w:id="2" w:name="_Toc90484256"/>
      <w:r w:rsidRPr="00F2669F">
        <w:rPr>
          <w:rFonts w:ascii="Arial" w:hAnsi="Arial" w:cs="Arial"/>
          <w:b/>
          <w:bCs/>
          <w:color w:val="000000" w:themeColor="text1"/>
          <w:sz w:val="22"/>
          <w:szCs w:val="22"/>
        </w:rPr>
        <w:t>Recommendations</w:t>
      </w:r>
      <w:bookmarkEnd w:id="2"/>
    </w:p>
    <w:p w14:paraId="1AC2BDB2" w14:textId="77777777" w:rsidR="00F2669F" w:rsidRPr="00F2669F" w:rsidRDefault="00F2669F" w:rsidP="00781450">
      <w:pPr>
        <w:jc w:val="both"/>
      </w:pPr>
    </w:p>
    <w:p w14:paraId="07A8F952" w14:textId="2CFCF801" w:rsidR="00F2669F" w:rsidRDefault="00F2669F" w:rsidP="00781450">
      <w:pPr>
        <w:spacing w:line="360" w:lineRule="auto"/>
        <w:jc w:val="both"/>
        <w:rPr>
          <w:rFonts w:ascii="Arial" w:hAnsi="Arial" w:cs="Arial"/>
          <w:bCs/>
          <w:sz w:val="22"/>
          <w:szCs w:val="22"/>
        </w:rPr>
      </w:pPr>
      <w:r w:rsidRPr="00376A2D">
        <w:rPr>
          <w:rFonts w:ascii="Arial" w:hAnsi="Arial" w:cs="Arial"/>
          <w:bCs/>
          <w:sz w:val="22"/>
          <w:szCs w:val="22"/>
        </w:rPr>
        <w:t xml:space="preserve">In the case of the staff </w:t>
      </w:r>
      <w:r w:rsidRPr="00376A2D">
        <w:rPr>
          <w:rFonts w:ascii="Arial" w:hAnsi="Arial" w:cs="Arial"/>
          <w:bCs/>
          <w:sz w:val="22"/>
          <w:szCs w:val="22"/>
        </w:rPr>
        <w:t>member,</w:t>
      </w:r>
      <w:r w:rsidRPr="00376A2D">
        <w:rPr>
          <w:rFonts w:ascii="Arial" w:hAnsi="Arial" w:cs="Arial"/>
          <w:bCs/>
          <w:sz w:val="22"/>
          <w:szCs w:val="22"/>
        </w:rPr>
        <w:t xml:space="preserve"> it was identified that the staff member was being continuously sworn at while she considered her duties to take note of the Covid-19 guidelines. As per the government guidelines, one can stay without wearing a mask in an enclosed space if they have any physical discomfort. It is known that the service provider abused her verbally; however, it is not clear why he was confronted by her. On the other hand, it is clear that she reacted based on his misbehaviour while again emphasising on him complying the rules. Thus, before taking any decisions, it is essential to have a proper understanding of the situation that </w:t>
      </w:r>
      <w:r w:rsidRPr="00376A2D">
        <w:rPr>
          <w:rFonts w:ascii="Arial" w:hAnsi="Arial" w:cs="Arial"/>
          <w:bCs/>
          <w:sz w:val="22"/>
          <w:szCs w:val="22"/>
        </w:rPr>
        <w:lastRenderedPageBreak/>
        <w:t>has occurred (</w:t>
      </w:r>
      <w:r w:rsidRPr="00376A2D">
        <w:rPr>
          <w:rFonts w:ascii="Arial" w:hAnsi="Arial" w:cs="Arial"/>
          <w:sz w:val="22"/>
          <w:szCs w:val="22"/>
        </w:rPr>
        <w:t xml:space="preserve">Hubley </w:t>
      </w:r>
      <w:r w:rsidRPr="00376A2D">
        <w:rPr>
          <w:rFonts w:ascii="Arial" w:hAnsi="Arial" w:cs="Arial"/>
          <w:i/>
          <w:iCs/>
          <w:sz w:val="22"/>
          <w:szCs w:val="22"/>
        </w:rPr>
        <w:t>et al</w:t>
      </w:r>
      <w:r w:rsidRPr="00376A2D">
        <w:rPr>
          <w:rFonts w:ascii="Arial" w:hAnsi="Arial" w:cs="Arial"/>
          <w:sz w:val="22"/>
          <w:szCs w:val="22"/>
        </w:rPr>
        <w:t>. 2021</w:t>
      </w:r>
      <w:r w:rsidRPr="00376A2D">
        <w:rPr>
          <w:rFonts w:ascii="Arial" w:hAnsi="Arial" w:cs="Arial"/>
          <w:bCs/>
          <w:sz w:val="22"/>
          <w:szCs w:val="22"/>
        </w:rPr>
        <w:t xml:space="preserve">). The regular performance of the staff is also taken under consideration while she faced only one issue during her work. The lack of cooperation from the service user’s side has caused her to act that way. On the other hand, the mental condition of the service user cannot be ignored as well. Therefore, it is recommended to provide a better counselling session to the service user, while the staff member should clear the issue as it </w:t>
      </w:r>
      <w:r w:rsidRPr="00376A2D">
        <w:rPr>
          <w:rFonts w:ascii="Arial" w:hAnsi="Arial" w:cs="Arial"/>
          <w:bCs/>
          <w:sz w:val="22"/>
          <w:szCs w:val="22"/>
        </w:rPr>
        <w:t>was and</w:t>
      </w:r>
      <w:r w:rsidRPr="00376A2D">
        <w:rPr>
          <w:rFonts w:ascii="Arial" w:hAnsi="Arial" w:cs="Arial"/>
          <w:bCs/>
          <w:sz w:val="22"/>
          <w:szCs w:val="22"/>
        </w:rPr>
        <w:t xml:space="preserve"> should not be upheld. </w:t>
      </w:r>
    </w:p>
    <w:p w14:paraId="7FC3167A" w14:textId="7A423789" w:rsidR="00F2669F" w:rsidRDefault="00F2669F" w:rsidP="00781450">
      <w:pPr>
        <w:spacing w:line="360" w:lineRule="auto"/>
        <w:jc w:val="both"/>
        <w:rPr>
          <w:rFonts w:ascii="Arial" w:hAnsi="Arial" w:cs="Arial"/>
          <w:bCs/>
          <w:sz w:val="22"/>
          <w:szCs w:val="22"/>
        </w:rPr>
      </w:pPr>
    </w:p>
    <w:p w14:paraId="59596E4A" w14:textId="56E8FFE6" w:rsidR="00F2669F" w:rsidRDefault="00F2669F" w:rsidP="00781450">
      <w:pPr>
        <w:spacing w:line="360" w:lineRule="auto"/>
        <w:jc w:val="both"/>
        <w:rPr>
          <w:rFonts w:ascii="Arial" w:hAnsi="Arial" w:cs="Arial"/>
          <w:bCs/>
          <w:sz w:val="22"/>
          <w:szCs w:val="22"/>
        </w:rPr>
      </w:pPr>
    </w:p>
    <w:p w14:paraId="43ADED6D" w14:textId="027A4465" w:rsidR="00F2669F" w:rsidRDefault="00F2669F" w:rsidP="00781450">
      <w:pPr>
        <w:spacing w:line="360" w:lineRule="auto"/>
        <w:jc w:val="both"/>
        <w:rPr>
          <w:rFonts w:ascii="Arial" w:hAnsi="Arial" w:cs="Arial"/>
          <w:bCs/>
          <w:sz w:val="22"/>
          <w:szCs w:val="22"/>
        </w:rPr>
      </w:pPr>
    </w:p>
    <w:p w14:paraId="279E8958" w14:textId="77777777" w:rsidR="00F2669F" w:rsidRPr="00376A2D" w:rsidRDefault="00F2669F" w:rsidP="00781450">
      <w:pPr>
        <w:spacing w:line="360" w:lineRule="auto"/>
        <w:jc w:val="both"/>
        <w:rPr>
          <w:rFonts w:ascii="Arial" w:hAnsi="Arial" w:cs="Arial"/>
          <w:bCs/>
          <w:sz w:val="22"/>
          <w:szCs w:val="22"/>
        </w:rPr>
      </w:pPr>
    </w:p>
    <w:p w14:paraId="787171F6" w14:textId="77777777" w:rsidR="00F2669F" w:rsidRPr="00376A2D" w:rsidRDefault="00F2669F" w:rsidP="00781450">
      <w:pPr>
        <w:jc w:val="both"/>
        <w:rPr>
          <w:rFonts w:ascii="Arial" w:hAnsi="Arial" w:cs="Arial"/>
          <w:bCs/>
          <w:sz w:val="22"/>
          <w:szCs w:val="22"/>
        </w:rPr>
      </w:pPr>
      <w:r w:rsidRPr="00376A2D">
        <w:rPr>
          <w:rFonts w:ascii="Arial" w:hAnsi="Arial" w:cs="Arial"/>
          <w:bCs/>
          <w:sz w:val="22"/>
          <w:szCs w:val="22"/>
        </w:rPr>
        <w:br w:type="page"/>
      </w:r>
    </w:p>
    <w:p w14:paraId="65C4B716" w14:textId="069E91C5" w:rsidR="00F2669F" w:rsidRDefault="00F2669F" w:rsidP="00781450">
      <w:pPr>
        <w:pStyle w:val="Heading1"/>
        <w:jc w:val="both"/>
        <w:rPr>
          <w:rFonts w:ascii="Arial" w:hAnsi="Arial" w:cs="Arial"/>
          <w:b/>
          <w:bCs/>
          <w:color w:val="000000" w:themeColor="text1"/>
          <w:sz w:val="22"/>
          <w:szCs w:val="22"/>
        </w:rPr>
      </w:pPr>
      <w:bookmarkStart w:id="3" w:name="_Toc90484257"/>
      <w:r w:rsidRPr="00F2669F">
        <w:rPr>
          <w:rFonts w:ascii="Arial" w:hAnsi="Arial" w:cs="Arial"/>
          <w:b/>
          <w:bCs/>
          <w:color w:val="000000" w:themeColor="text1"/>
          <w:sz w:val="22"/>
          <w:szCs w:val="22"/>
        </w:rPr>
        <w:lastRenderedPageBreak/>
        <w:t>Reference</w:t>
      </w:r>
      <w:bookmarkEnd w:id="3"/>
      <w:r>
        <w:rPr>
          <w:rFonts w:ascii="Arial" w:hAnsi="Arial" w:cs="Arial"/>
          <w:b/>
          <w:bCs/>
          <w:color w:val="000000" w:themeColor="text1"/>
          <w:sz w:val="22"/>
          <w:szCs w:val="22"/>
        </w:rPr>
        <w:t>s:</w:t>
      </w:r>
    </w:p>
    <w:p w14:paraId="66901EA7" w14:textId="77777777" w:rsidR="00F2669F" w:rsidRPr="00F2669F" w:rsidRDefault="00F2669F" w:rsidP="00781450">
      <w:pPr>
        <w:jc w:val="both"/>
      </w:pPr>
    </w:p>
    <w:p w14:paraId="46B0AC5F" w14:textId="337E22C2" w:rsidR="00F2669F" w:rsidRDefault="00F2669F" w:rsidP="00781450">
      <w:pPr>
        <w:spacing w:line="360" w:lineRule="auto"/>
        <w:jc w:val="both"/>
        <w:rPr>
          <w:rFonts w:ascii="Arial" w:hAnsi="Arial" w:cs="Arial"/>
          <w:sz w:val="22"/>
          <w:szCs w:val="22"/>
        </w:rPr>
      </w:pPr>
      <w:r w:rsidRPr="00376A2D">
        <w:rPr>
          <w:rFonts w:ascii="Arial" w:hAnsi="Arial" w:cs="Arial"/>
          <w:sz w:val="22"/>
          <w:szCs w:val="22"/>
        </w:rPr>
        <w:t>Barber, S.J. and Kim, H., 2021. COVID-19 worries and behavior changes in older and younger men and women. </w:t>
      </w:r>
      <w:r w:rsidRPr="00376A2D">
        <w:rPr>
          <w:rFonts w:ascii="Arial" w:hAnsi="Arial" w:cs="Arial"/>
          <w:i/>
          <w:iCs/>
          <w:sz w:val="22"/>
          <w:szCs w:val="22"/>
        </w:rPr>
        <w:t>The Journals of Gerontology: Series B</w:t>
      </w:r>
      <w:r w:rsidRPr="00376A2D">
        <w:rPr>
          <w:rFonts w:ascii="Arial" w:hAnsi="Arial" w:cs="Arial"/>
          <w:sz w:val="22"/>
          <w:szCs w:val="22"/>
        </w:rPr>
        <w:t>, </w:t>
      </w:r>
      <w:r w:rsidRPr="00376A2D">
        <w:rPr>
          <w:rFonts w:ascii="Arial" w:hAnsi="Arial" w:cs="Arial"/>
          <w:i/>
          <w:iCs/>
          <w:sz w:val="22"/>
          <w:szCs w:val="22"/>
        </w:rPr>
        <w:t>76</w:t>
      </w:r>
      <w:r w:rsidRPr="00376A2D">
        <w:rPr>
          <w:rFonts w:ascii="Arial" w:hAnsi="Arial" w:cs="Arial"/>
          <w:sz w:val="22"/>
          <w:szCs w:val="22"/>
        </w:rPr>
        <w:t>(2), pp.e17-e23.</w:t>
      </w:r>
      <w:r>
        <w:rPr>
          <w:rFonts w:ascii="Arial" w:hAnsi="Arial" w:cs="Arial"/>
          <w:sz w:val="22"/>
          <w:szCs w:val="22"/>
        </w:rPr>
        <w:t xml:space="preserve"> (Accessed December 2 2021)</w:t>
      </w:r>
    </w:p>
    <w:p w14:paraId="09084C04" w14:textId="77777777" w:rsidR="00F2669F" w:rsidRPr="00376A2D" w:rsidRDefault="00F2669F" w:rsidP="00781450">
      <w:pPr>
        <w:spacing w:line="360" w:lineRule="auto"/>
        <w:jc w:val="both"/>
        <w:rPr>
          <w:rFonts w:ascii="Arial" w:hAnsi="Arial" w:cs="Arial"/>
          <w:sz w:val="22"/>
          <w:szCs w:val="22"/>
        </w:rPr>
      </w:pPr>
    </w:p>
    <w:p w14:paraId="02D18923" w14:textId="197DA482" w:rsidR="00F2669F" w:rsidRDefault="00F2669F" w:rsidP="00781450">
      <w:pPr>
        <w:spacing w:line="360" w:lineRule="auto"/>
        <w:jc w:val="both"/>
        <w:rPr>
          <w:rFonts w:ascii="Arial" w:hAnsi="Arial" w:cs="Arial"/>
          <w:sz w:val="22"/>
          <w:szCs w:val="22"/>
        </w:rPr>
      </w:pPr>
      <w:r w:rsidRPr="00376A2D">
        <w:rPr>
          <w:rFonts w:ascii="Arial" w:hAnsi="Arial" w:cs="Arial"/>
          <w:sz w:val="22"/>
          <w:szCs w:val="22"/>
        </w:rPr>
        <w:t>Beirão, D., Monte, H., Amaral, M., Longras, A., Matos, C. and Villas-Boas, F., 2020. Depression in adolescence: a review. </w:t>
      </w:r>
      <w:r w:rsidRPr="00376A2D">
        <w:rPr>
          <w:rFonts w:ascii="Arial" w:hAnsi="Arial" w:cs="Arial"/>
          <w:i/>
          <w:iCs/>
          <w:sz w:val="22"/>
          <w:szCs w:val="22"/>
        </w:rPr>
        <w:t>Middle East current psychiatry</w:t>
      </w:r>
      <w:r w:rsidRPr="00376A2D">
        <w:rPr>
          <w:rFonts w:ascii="Arial" w:hAnsi="Arial" w:cs="Arial"/>
          <w:sz w:val="22"/>
          <w:szCs w:val="22"/>
        </w:rPr>
        <w:t>, </w:t>
      </w:r>
      <w:r w:rsidRPr="00376A2D">
        <w:rPr>
          <w:rFonts w:ascii="Arial" w:hAnsi="Arial" w:cs="Arial"/>
          <w:i/>
          <w:iCs/>
          <w:sz w:val="22"/>
          <w:szCs w:val="22"/>
        </w:rPr>
        <w:t>27</w:t>
      </w:r>
      <w:r w:rsidRPr="00376A2D">
        <w:rPr>
          <w:rFonts w:ascii="Arial" w:hAnsi="Arial" w:cs="Arial"/>
          <w:sz w:val="22"/>
          <w:szCs w:val="22"/>
        </w:rPr>
        <w:t>(1), pp.1-9.</w:t>
      </w:r>
      <w:r>
        <w:rPr>
          <w:rFonts w:ascii="Arial" w:hAnsi="Arial" w:cs="Arial"/>
          <w:sz w:val="22"/>
          <w:szCs w:val="22"/>
        </w:rPr>
        <w:t xml:space="preserve"> (Accessed December 3 2021)</w:t>
      </w:r>
    </w:p>
    <w:p w14:paraId="041CD583" w14:textId="77777777" w:rsidR="00F2669F" w:rsidRPr="00376A2D" w:rsidRDefault="00F2669F" w:rsidP="00781450">
      <w:pPr>
        <w:spacing w:line="360" w:lineRule="auto"/>
        <w:jc w:val="both"/>
        <w:rPr>
          <w:rFonts w:ascii="Arial" w:hAnsi="Arial" w:cs="Arial"/>
          <w:sz w:val="22"/>
          <w:szCs w:val="22"/>
          <w:lang w:val="en-US"/>
        </w:rPr>
      </w:pPr>
    </w:p>
    <w:p w14:paraId="3B86C846" w14:textId="0F029098" w:rsidR="00F2669F" w:rsidRPr="00376A2D" w:rsidRDefault="00F2669F" w:rsidP="00781450">
      <w:pPr>
        <w:spacing w:line="360" w:lineRule="auto"/>
        <w:jc w:val="both"/>
        <w:rPr>
          <w:rFonts w:ascii="Arial" w:hAnsi="Arial" w:cs="Arial"/>
          <w:sz w:val="22"/>
          <w:szCs w:val="22"/>
        </w:rPr>
      </w:pPr>
      <w:r w:rsidRPr="00376A2D">
        <w:rPr>
          <w:rFonts w:ascii="Arial" w:hAnsi="Arial" w:cs="Arial"/>
          <w:sz w:val="22"/>
          <w:szCs w:val="22"/>
        </w:rPr>
        <w:t>Breuer, J. and Elson, M., 2017. </w:t>
      </w:r>
      <w:r w:rsidRPr="00376A2D">
        <w:rPr>
          <w:rFonts w:ascii="Arial" w:hAnsi="Arial" w:cs="Arial"/>
          <w:i/>
          <w:iCs/>
          <w:sz w:val="22"/>
          <w:szCs w:val="22"/>
        </w:rPr>
        <w:t>Frustration-aggression theory</w:t>
      </w:r>
      <w:r w:rsidRPr="00376A2D">
        <w:rPr>
          <w:rFonts w:ascii="Arial" w:hAnsi="Arial" w:cs="Arial"/>
          <w:sz w:val="22"/>
          <w:szCs w:val="22"/>
        </w:rPr>
        <w:t> (pp. 1-12). Hoboken: Wiley Blackwell.</w:t>
      </w:r>
      <w:r>
        <w:rPr>
          <w:rFonts w:ascii="Arial" w:hAnsi="Arial" w:cs="Arial"/>
          <w:sz w:val="22"/>
          <w:szCs w:val="22"/>
        </w:rPr>
        <w:t xml:space="preserve"> (Accessed December 10 2021)</w:t>
      </w:r>
    </w:p>
    <w:p w14:paraId="5685B6D6" w14:textId="77777777" w:rsidR="00F2669F" w:rsidRDefault="00F2669F" w:rsidP="00781450">
      <w:pPr>
        <w:spacing w:line="360" w:lineRule="auto"/>
        <w:jc w:val="both"/>
        <w:rPr>
          <w:rFonts w:ascii="Arial" w:hAnsi="Arial" w:cs="Arial"/>
          <w:sz w:val="22"/>
          <w:szCs w:val="22"/>
        </w:rPr>
      </w:pPr>
    </w:p>
    <w:p w14:paraId="3CBE06FD" w14:textId="43781816" w:rsidR="00F2669F" w:rsidRDefault="00F2669F" w:rsidP="00781450">
      <w:pPr>
        <w:spacing w:line="360" w:lineRule="auto"/>
        <w:jc w:val="both"/>
        <w:rPr>
          <w:rFonts w:ascii="Arial" w:hAnsi="Arial" w:cs="Arial"/>
          <w:sz w:val="22"/>
          <w:szCs w:val="22"/>
        </w:rPr>
      </w:pPr>
      <w:r w:rsidRPr="00376A2D">
        <w:rPr>
          <w:rFonts w:ascii="Arial" w:hAnsi="Arial" w:cs="Arial"/>
          <w:sz w:val="22"/>
          <w:szCs w:val="22"/>
        </w:rPr>
        <w:t>Costa, D.S., Mercieca-Bebber, R., Tesson, S., Seidler, Z. and Lopez, A.L., 2019. Patient, client, consumer, survivor or other alternatives? A scoping review of preferred terms for labelling individuals who access healthcare across settings. </w:t>
      </w:r>
      <w:r w:rsidRPr="00376A2D">
        <w:rPr>
          <w:rFonts w:ascii="Arial" w:hAnsi="Arial" w:cs="Arial"/>
          <w:i/>
          <w:iCs/>
          <w:sz w:val="22"/>
          <w:szCs w:val="22"/>
        </w:rPr>
        <w:t>BMJ open</w:t>
      </w:r>
      <w:r w:rsidRPr="00376A2D">
        <w:rPr>
          <w:rFonts w:ascii="Arial" w:hAnsi="Arial" w:cs="Arial"/>
          <w:sz w:val="22"/>
          <w:szCs w:val="22"/>
        </w:rPr>
        <w:t>, </w:t>
      </w:r>
      <w:r w:rsidRPr="00376A2D">
        <w:rPr>
          <w:rFonts w:ascii="Arial" w:hAnsi="Arial" w:cs="Arial"/>
          <w:i/>
          <w:iCs/>
          <w:sz w:val="22"/>
          <w:szCs w:val="22"/>
        </w:rPr>
        <w:t>9</w:t>
      </w:r>
      <w:r w:rsidRPr="00376A2D">
        <w:rPr>
          <w:rFonts w:ascii="Arial" w:hAnsi="Arial" w:cs="Arial"/>
          <w:sz w:val="22"/>
          <w:szCs w:val="22"/>
        </w:rPr>
        <w:t>(3), p.e025166.</w:t>
      </w:r>
      <w:r>
        <w:rPr>
          <w:rFonts w:ascii="Arial" w:hAnsi="Arial" w:cs="Arial"/>
          <w:sz w:val="22"/>
          <w:szCs w:val="22"/>
        </w:rPr>
        <w:t xml:space="preserve"> (Accessed December 6 2021)</w:t>
      </w:r>
    </w:p>
    <w:p w14:paraId="7140D8E2" w14:textId="77777777" w:rsidR="00F2669F" w:rsidRPr="00376A2D" w:rsidRDefault="00F2669F" w:rsidP="00781450">
      <w:pPr>
        <w:spacing w:line="360" w:lineRule="auto"/>
        <w:jc w:val="both"/>
        <w:rPr>
          <w:rFonts w:ascii="Arial" w:hAnsi="Arial" w:cs="Arial"/>
          <w:sz w:val="22"/>
          <w:szCs w:val="22"/>
        </w:rPr>
      </w:pPr>
    </w:p>
    <w:p w14:paraId="611EF56B" w14:textId="516B6C5B" w:rsidR="00F2669F" w:rsidRDefault="00F2669F" w:rsidP="00781450">
      <w:pPr>
        <w:spacing w:line="360" w:lineRule="auto"/>
        <w:jc w:val="both"/>
        <w:rPr>
          <w:rFonts w:ascii="Arial" w:hAnsi="Arial" w:cs="Arial"/>
          <w:sz w:val="22"/>
          <w:szCs w:val="22"/>
        </w:rPr>
      </w:pPr>
      <w:r w:rsidRPr="00376A2D">
        <w:rPr>
          <w:rFonts w:ascii="Arial" w:hAnsi="Arial" w:cs="Arial"/>
          <w:sz w:val="22"/>
          <w:szCs w:val="22"/>
        </w:rPr>
        <w:t>Gili, M., Castellví, P., Vives, M., de la Torre-Luque, A., Almenara, J., Blasco, M.J., Cebrià, A.I., Gabilondo, A., Pérez-Ara, M.A., Miranda-Mendizabal, A. and Lagares, C., 2019. Mental disorders as risk factors for suicidal behavior in young people: A meta-analysis and systematic review of longitudinal studies. </w:t>
      </w:r>
      <w:r w:rsidRPr="00376A2D">
        <w:rPr>
          <w:rFonts w:ascii="Arial" w:hAnsi="Arial" w:cs="Arial"/>
          <w:i/>
          <w:iCs/>
          <w:sz w:val="22"/>
          <w:szCs w:val="22"/>
        </w:rPr>
        <w:t>Journal of affective disorders</w:t>
      </w:r>
      <w:r w:rsidRPr="00376A2D">
        <w:rPr>
          <w:rFonts w:ascii="Arial" w:hAnsi="Arial" w:cs="Arial"/>
          <w:sz w:val="22"/>
          <w:szCs w:val="22"/>
        </w:rPr>
        <w:t>, </w:t>
      </w:r>
      <w:r w:rsidRPr="00376A2D">
        <w:rPr>
          <w:rFonts w:ascii="Arial" w:hAnsi="Arial" w:cs="Arial"/>
          <w:i/>
          <w:iCs/>
          <w:sz w:val="22"/>
          <w:szCs w:val="22"/>
        </w:rPr>
        <w:t>245</w:t>
      </w:r>
      <w:r w:rsidRPr="00376A2D">
        <w:rPr>
          <w:rFonts w:ascii="Arial" w:hAnsi="Arial" w:cs="Arial"/>
          <w:sz w:val="22"/>
          <w:szCs w:val="22"/>
        </w:rPr>
        <w:t>, pp.152-162.</w:t>
      </w:r>
      <w:r>
        <w:rPr>
          <w:rFonts w:ascii="Arial" w:hAnsi="Arial" w:cs="Arial"/>
          <w:sz w:val="22"/>
          <w:szCs w:val="22"/>
        </w:rPr>
        <w:t xml:space="preserve"> (Accessed December 6 2021)</w:t>
      </w:r>
    </w:p>
    <w:p w14:paraId="2128B84D" w14:textId="77777777" w:rsidR="00F2669F" w:rsidRPr="00376A2D" w:rsidRDefault="00F2669F" w:rsidP="00781450">
      <w:pPr>
        <w:spacing w:line="360" w:lineRule="auto"/>
        <w:jc w:val="both"/>
        <w:rPr>
          <w:rFonts w:ascii="Arial" w:hAnsi="Arial" w:cs="Arial"/>
          <w:sz w:val="22"/>
          <w:szCs w:val="22"/>
        </w:rPr>
      </w:pPr>
    </w:p>
    <w:p w14:paraId="7BB9FE15" w14:textId="2284E85A" w:rsidR="00F2669F" w:rsidRDefault="00F2669F" w:rsidP="00781450">
      <w:pPr>
        <w:spacing w:line="360" w:lineRule="auto"/>
        <w:jc w:val="both"/>
        <w:rPr>
          <w:rFonts w:ascii="Arial" w:hAnsi="Arial" w:cs="Arial"/>
          <w:sz w:val="22"/>
          <w:szCs w:val="22"/>
        </w:rPr>
      </w:pPr>
      <w:r w:rsidRPr="00376A2D">
        <w:rPr>
          <w:rFonts w:ascii="Arial" w:hAnsi="Arial" w:cs="Arial"/>
          <w:sz w:val="22"/>
          <w:szCs w:val="22"/>
        </w:rPr>
        <w:t>Groves, C.L. and Anderson, C.A., 2018. Aversive events and aggression. </w:t>
      </w:r>
      <w:r w:rsidRPr="00376A2D">
        <w:rPr>
          <w:rFonts w:ascii="Arial" w:hAnsi="Arial" w:cs="Arial"/>
          <w:i/>
          <w:iCs/>
          <w:sz w:val="22"/>
          <w:szCs w:val="22"/>
        </w:rPr>
        <w:t>Current opinion in psychology</w:t>
      </w:r>
      <w:r w:rsidRPr="00376A2D">
        <w:rPr>
          <w:rFonts w:ascii="Arial" w:hAnsi="Arial" w:cs="Arial"/>
          <w:sz w:val="22"/>
          <w:szCs w:val="22"/>
        </w:rPr>
        <w:t>, </w:t>
      </w:r>
      <w:r w:rsidRPr="00376A2D">
        <w:rPr>
          <w:rFonts w:ascii="Arial" w:hAnsi="Arial" w:cs="Arial"/>
          <w:i/>
          <w:iCs/>
          <w:sz w:val="22"/>
          <w:szCs w:val="22"/>
        </w:rPr>
        <w:t>19</w:t>
      </w:r>
      <w:r w:rsidRPr="00376A2D">
        <w:rPr>
          <w:rFonts w:ascii="Arial" w:hAnsi="Arial" w:cs="Arial"/>
          <w:sz w:val="22"/>
          <w:szCs w:val="22"/>
        </w:rPr>
        <w:t>, pp.144-148.</w:t>
      </w:r>
      <w:r>
        <w:rPr>
          <w:rFonts w:ascii="Arial" w:hAnsi="Arial" w:cs="Arial"/>
          <w:sz w:val="22"/>
          <w:szCs w:val="22"/>
        </w:rPr>
        <w:t xml:space="preserve"> (Accessed December 4 2021)</w:t>
      </w:r>
    </w:p>
    <w:p w14:paraId="5FD28F53" w14:textId="77777777" w:rsidR="00F2669F" w:rsidRPr="00376A2D" w:rsidRDefault="00F2669F" w:rsidP="00781450">
      <w:pPr>
        <w:spacing w:line="360" w:lineRule="auto"/>
        <w:jc w:val="both"/>
        <w:rPr>
          <w:rFonts w:ascii="Arial" w:hAnsi="Arial" w:cs="Arial"/>
          <w:sz w:val="22"/>
          <w:szCs w:val="22"/>
        </w:rPr>
      </w:pPr>
    </w:p>
    <w:p w14:paraId="29556145" w14:textId="77777777" w:rsidR="00F2669F" w:rsidRPr="00376A2D" w:rsidRDefault="00F2669F" w:rsidP="00781450">
      <w:pPr>
        <w:spacing w:line="360" w:lineRule="auto"/>
        <w:jc w:val="both"/>
        <w:rPr>
          <w:rFonts w:ascii="Arial" w:hAnsi="Arial" w:cs="Arial"/>
          <w:sz w:val="22"/>
          <w:szCs w:val="22"/>
        </w:rPr>
      </w:pPr>
      <w:r w:rsidRPr="00376A2D">
        <w:rPr>
          <w:rFonts w:ascii="Arial" w:hAnsi="Arial" w:cs="Arial"/>
          <w:sz w:val="22"/>
          <w:szCs w:val="22"/>
        </w:rPr>
        <w:t>Hogg, M.A., 2020. </w:t>
      </w:r>
      <w:r w:rsidRPr="00376A2D">
        <w:rPr>
          <w:rFonts w:ascii="Arial" w:hAnsi="Arial" w:cs="Arial"/>
          <w:i/>
          <w:iCs/>
          <w:sz w:val="22"/>
          <w:szCs w:val="22"/>
        </w:rPr>
        <w:t>Social identity theory</w:t>
      </w:r>
      <w:r w:rsidRPr="00376A2D">
        <w:rPr>
          <w:rFonts w:ascii="Arial" w:hAnsi="Arial" w:cs="Arial"/>
          <w:sz w:val="22"/>
          <w:szCs w:val="22"/>
        </w:rPr>
        <w:t> (pp. 112-138). Stanford: Stanford University Press.</w:t>
      </w:r>
    </w:p>
    <w:p w14:paraId="4B814E6F" w14:textId="0A426A42" w:rsidR="00F2669F" w:rsidRDefault="00F2669F" w:rsidP="00781450">
      <w:pPr>
        <w:spacing w:line="360" w:lineRule="auto"/>
        <w:jc w:val="both"/>
        <w:rPr>
          <w:rFonts w:ascii="Arial" w:hAnsi="Arial" w:cs="Arial"/>
          <w:sz w:val="22"/>
          <w:szCs w:val="22"/>
        </w:rPr>
      </w:pPr>
      <w:r w:rsidRPr="00376A2D">
        <w:rPr>
          <w:rFonts w:ascii="Arial" w:hAnsi="Arial" w:cs="Arial"/>
          <w:sz w:val="22"/>
          <w:szCs w:val="22"/>
        </w:rPr>
        <w:t>Hubley, J., Copeman, J. and Woodall, J., 2021. </w:t>
      </w:r>
      <w:r w:rsidRPr="00376A2D">
        <w:rPr>
          <w:rFonts w:ascii="Arial" w:hAnsi="Arial" w:cs="Arial"/>
          <w:i/>
          <w:iCs/>
          <w:sz w:val="22"/>
          <w:szCs w:val="22"/>
        </w:rPr>
        <w:t>Practical health promotion</w:t>
      </w:r>
      <w:r w:rsidRPr="00376A2D">
        <w:rPr>
          <w:rFonts w:ascii="Arial" w:hAnsi="Arial" w:cs="Arial"/>
          <w:sz w:val="22"/>
          <w:szCs w:val="22"/>
        </w:rPr>
        <w:t>. Hoboken: John Wiley &amp; Sons.</w:t>
      </w:r>
      <w:r>
        <w:rPr>
          <w:rFonts w:ascii="Arial" w:hAnsi="Arial" w:cs="Arial"/>
          <w:sz w:val="22"/>
          <w:szCs w:val="22"/>
        </w:rPr>
        <w:t xml:space="preserve"> (Accessed December 4 2021)</w:t>
      </w:r>
    </w:p>
    <w:p w14:paraId="30F30D2A" w14:textId="77777777" w:rsidR="00F2669F" w:rsidRPr="00376A2D" w:rsidRDefault="00F2669F" w:rsidP="00781450">
      <w:pPr>
        <w:spacing w:line="360" w:lineRule="auto"/>
        <w:jc w:val="both"/>
        <w:rPr>
          <w:rFonts w:ascii="Arial" w:hAnsi="Arial" w:cs="Arial"/>
          <w:sz w:val="22"/>
          <w:szCs w:val="22"/>
          <w:lang w:val="en-US"/>
        </w:rPr>
      </w:pPr>
    </w:p>
    <w:p w14:paraId="3AAAE545" w14:textId="3C8E394D" w:rsidR="00F2669F" w:rsidRDefault="00F2669F" w:rsidP="00781450">
      <w:pPr>
        <w:spacing w:line="360" w:lineRule="auto"/>
        <w:jc w:val="both"/>
        <w:rPr>
          <w:rFonts w:ascii="Arial" w:hAnsi="Arial" w:cs="Arial"/>
          <w:sz w:val="22"/>
          <w:szCs w:val="22"/>
          <w:lang w:val="en-US"/>
        </w:rPr>
      </w:pPr>
      <w:r w:rsidRPr="00376A2D">
        <w:rPr>
          <w:rFonts w:ascii="Arial" w:hAnsi="Arial" w:cs="Arial"/>
          <w:sz w:val="22"/>
          <w:szCs w:val="22"/>
          <w:lang w:val="en-US"/>
        </w:rPr>
        <w:t xml:space="preserve">Marsh, S., 2021. About 7% of UK children have attempted suicide by age of 17 – study. [online]. </w:t>
      </w:r>
      <w:r w:rsidRPr="00376A2D">
        <w:rPr>
          <w:rFonts w:ascii="Arial" w:hAnsi="Arial" w:cs="Arial"/>
          <w:i/>
          <w:iCs/>
          <w:sz w:val="22"/>
          <w:szCs w:val="22"/>
          <w:lang w:val="en-US"/>
        </w:rPr>
        <w:t xml:space="preserve">The Guardian. </w:t>
      </w:r>
      <w:r w:rsidRPr="00376A2D">
        <w:rPr>
          <w:rFonts w:ascii="Arial" w:hAnsi="Arial" w:cs="Arial"/>
          <w:sz w:val="22"/>
          <w:szCs w:val="22"/>
          <w:lang w:val="en-US"/>
        </w:rPr>
        <w:t xml:space="preserve">Available at: https://www.theguardian.com/society/2021/feb/21/uk-17-year-olds-mental-health-crisis </w:t>
      </w:r>
      <w:r>
        <w:rPr>
          <w:rFonts w:ascii="Arial" w:hAnsi="Arial" w:cs="Arial"/>
          <w:sz w:val="22"/>
          <w:szCs w:val="22"/>
          <w:lang w:val="en-US"/>
        </w:rPr>
        <w:t>(</w:t>
      </w:r>
      <w:r w:rsidRPr="00376A2D">
        <w:rPr>
          <w:rFonts w:ascii="Arial" w:hAnsi="Arial" w:cs="Arial"/>
          <w:sz w:val="22"/>
          <w:szCs w:val="22"/>
          <w:lang w:val="en-US"/>
        </w:rPr>
        <w:t>Accessed December</w:t>
      </w:r>
      <w:r>
        <w:rPr>
          <w:rFonts w:ascii="Arial" w:hAnsi="Arial" w:cs="Arial"/>
          <w:sz w:val="22"/>
          <w:szCs w:val="22"/>
          <w:lang w:val="en-US"/>
        </w:rPr>
        <w:t xml:space="preserve"> 5</w:t>
      </w:r>
      <w:r w:rsidRPr="00376A2D">
        <w:rPr>
          <w:rFonts w:ascii="Arial" w:hAnsi="Arial" w:cs="Arial"/>
          <w:sz w:val="22"/>
          <w:szCs w:val="22"/>
          <w:lang w:val="en-US"/>
        </w:rPr>
        <w:t xml:space="preserve"> 202</w:t>
      </w:r>
      <w:r>
        <w:rPr>
          <w:rFonts w:ascii="Arial" w:hAnsi="Arial" w:cs="Arial"/>
          <w:sz w:val="22"/>
          <w:szCs w:val="22"/>
          <w:lang w:val="en-US"/>
        </w:rPr>
        <w:t>1)</w:t>
      </w:r>
    </w:p>
    <w:p w14:paraId="37390CF9" w14:textId="77777777" w:rsidR="00F2669F" w:rsidRPr="00376A2D" w:rsidRDefault="00F2669F" w:rsidP="00781450">
      <w:pPr>
        <w:spacing w:line="360" w:lineRule="auto"/>
        <w:jc w:val="both"/>
        <w:rPr>
          <w:rFonts w:ascii="Arial" w:hAnsi="Arial" w:cs="Arial"/>
          <w:sz w:val="22"/>
          <w:szCs w:val="22"/>
          <w:lang w:val="en-US"/>
        </w:rPr>
      </w:pPr>
    </w:p>
    <w:p w14:paraId="492A65F4" w14:textId="56C03DDF" w:rsidR="00F2669F" w:rsidRDefault="00F2669F" w:rsidP="00781450">
      <w:pPr>
        <w:spacing w:line="360" w:lineRule="auto"/>
        <w:jc w:val="both"/>
        <w:rPr>
          <w:rFonts w:ascii="Arial" w:hAnsi="Arial" w:cs="Arial"/>
          <w:sz w:val="22"/>
          <w:szCs w:val="22"/>
          <w:lang w:val="en-US"/>
        </w:rPr>
      </w:pPr>
      <w:r w:rsidRPr="00376A2D">
        <w:rPr>
          <w:rFonts w:ascii="Arial" w:hAnsi="Arial" w:cs="Arial"/>
          <w:sz w:val="22"/>
          <w:szCs w:val="22"/>
          <w:lang w:val="en-US"/>
        </w:rPr>
        <w:lastRenderedPageBreak/>
        <w:t xml:space="preserve">Statista Research Department, 2021. </w:t>
      </w:r>
      <w:r w:rsidRPr="00376A2D">
        <w:rPr>
          <w:rFonts w:ascii="Arial" w:hAnsi="Arial" w:cs="Arial"/>
          <w:i/>
          <w:iCs/>
          <w:sz w:val="22"/>
          <w:szCs w:val="22"/>
          <w:lang w:val="en-US"/>
        </w:rPr>
        <w:t>Suicide rate in the United Kingdom (UK) 2020, by age.</w:t>
      </w:r>
      <w:r w:rsidRPr="00376A2D">
        <w:rPr>
          <w:rFonts w:ascii="Arial" w:hAnsi="Arial" w:cs="Arial"/>
          <w:sz w:val="22"/>
          <w:szCs w:val="22"/>
          <w:lang w:val="en-US"/>
        </w:rPr>
        <w:t xml:space="preserve"> [online]. Available</w:t>
      </w:r>
      <w:r>
        <w:rPr>
          <w:rFonts w:ascii="Arial" w:hAnsi="Arial" w:cs="Arial"/>
          <w:sz w:val="22"/>
          <w:szCs w:val="22"/>
          <w:lang w:val="en-US"/>
        </w:rPr>
        <w:t xml:space="preserve"> </w:t>
      </w:r>
      <w:r w:rsidRPr="00376A2D">
        <w:rPr>
          <w:rFonts w:ascii="Arial" w:hAnsi="Arial" w:cs="Arial"/>
          <w:sz w:val="22"/>
          <w:szCs w:val="22"/>
          <w:lang w:val="en-US"/>
        </w:rPr>
        <w:t xml:space="preserve">at: https://www.statista.com/statistics/289102/suicide-rate-in-the-united-kingdom-uk-by-age/ </w:t>
      </w:r>
      <w:r>
        <w:rPr>
          <w:rFonts w:ascii="Arial" w:hAnsi="Arial" w:cs="Arial"/>
          <w:sz w:val="22"/>
          <w:szCs w:val="22"/>
          <w:lang w:val="en-US"/>
        </w:rPr>
        <w:t>(</w:t>
      </w:r>
      <w:r w:rsidRPr="00376A2D">
        <w:rPr>
          <w:rFonts w:ascii="Arial" w:hAnsi="Arial" w:cs="Arial"/>
          <w:sz w:val="22"/>
          <w:szCs w:val="22"/>
          <w:lang w:val="en-US"/>
        </w:rPr>
        <w:t>Accessed  December</w:t>
      </w:r>
      <w:r>
        <w:rPr>
          <w:rFonts w:ascii="Arial" w:hAnsi="Arial" w:cs="Arial"/>
          <w:sz w:val="22"/>
          <w:szCs w:val="22"/>
          <w:lang w:val="en-US"/>
        </w:rPr>
        <w:t xml:space="preserve"> 5</w:t>
      </w:r>
      <w:r w:rsidRPr="00376A2D">
        <w:rPr>
          <w:rFonts w:ascii="Arial" w:hAnsi="Arial" w:cs="Arial"/>
          <w:sz w:val="22"/>
          <w:szCs w:val="22"/>
          <w:lang w:val="en-US"/>
        </w:rPr>
        <w:t xml:space="preserve"> 202</w:t>
      </w:r>
      <w:r>
        <w:rPr>
          <w:rFonts w:ascii="Arial" w:hAnsi="Arial" w:cs="Arial"/>
          <w:sz w:val="22"/>
          <w:szCs w:val="22"/>
          <w:lang w:val="en-US"/>
        </w:rPr>
        <w:t>1)</w:t>
      </w:r>
    </w:p>
    <w:p w14:paraId="5193FF29" w14:textId="77777777" w:rsidR="00F2669F" w:rsidRPr="00376A2D" w:rsidRDefault="00F2669F" w:rsidP="00781450">
      <w:pPr>
        <w:spacing w:line="360" w:lineRule="auto"/>
        <w:jc w:val="both"/>
        <w:rPr>
          <w:rFonts w:ascii="Arial" w:hAnsi="Arial" w:cs="Arial"/>
          <w:sz w:val="22"/>
          <w:szCs w:val="22"/>
          <w:lang w:val="en-US"/>
        </w:rPr>
      </w:pPr>
    </w:p>
    <w:p w14:paraId="7A960BF7" w14:textId="114B86C3" w:rsidR="00F2669F" w:rsidRPr="00376A2D" w:rsidRDefault="00F2669F" w:rsidP="00781450">
      <w:pPr>
        <w:spacing w:line="360" w:lineRule="auto"/>
        <w:jc w:val="both"/>
        <w:rPr>
          <w:rFonts w:ascii="Arial" w:hAnsi="Arial" w:cs="Arial"/>
          <w:sz w:val="22"/>
          <w:szCs w:val="22"/>
        </w:rPr>
      </w:pPr>
      <w:r w:rsidRPr="00376A2D">
        <w:rPr>
          <w:rFonts w:ascii="Arial" w:hAnsi="Arial" w:cs="Arial"/>
          <w:sz w:val="22"/>
          <w:szCs w:val="22"/>
        </w:rPr>
        <w:t>Zhou, Z. and Ki, E.J., 2018. Does severity matter?: An investigation of crisis severity from defensive attribution theory perspective. </w:t>
      </w:r>
      <w:r w:rsidRPr="00376A2D">
        <w:rPr>
          <w:rFonts w:ascii="Arial" w:hAnsi="Arial" w:cs="Arial"/>
          <w:i/>
          <w:iCs/>
          <w:sz w:val="22"/>
          <w:szCs w:val="22"/>
        </w:rPr>
        <w:t>Public Relations Review</w:t>
      </w:r>
      <w:r w:rsidRPr="00376A2D">
        <w:rPr>
          <w:rFonts w:ascii="Arial" w:hAnsi="Arial" w:cs="Arial"/>
          <w:sz w:val="22"/>
          <w:szCs w:val="22"/>
        </w:rPr>
        <w:t>, </w:t>
      </w:r>
      <w:r w:rsidRPr="00376A2D">
        <w:rPr>
          <w:rFonts w:ascii="Arial" w:hAnsi="Arial" w:cs="Arial"/>
          <w:i/>
          <w:iCs/>
          <w:sz w:val="22"/>
          <w:szCs w:val="22"/>
        </w:rPr>
        <w:t>44</w:t>
      </w:r>
      <w:r w:rsidRPr="00376A2D">
        <w:rPr>
          <w:rFonts w:ascii="Arial" w:hAnsi="Arial" w:cs="Arial"/>
          <w:sz w:val="22"/>
          <w:szCs w:val="22"/>
        </w:rPr>
        <w:t>(4), pp.610-618</w:t>
      </w:r>
      <w:r>
        <w:rPr>
          <w:rFonts w:ascii="Arial" w:hAnsi="Arial" w:cs="Arial"/>
          <w:sz w:val="22"/>
          <w:szCs w:val="22"/>
        </w:rPr>
        <w:t xml:space="preserve"> (Accessed December 12 2021)</w:t>
      </w:r>
    </w:p>
    <w:p w14:paraId="3C83EC8C" w14:textId="4BAF8E02" w:rsidR="00F2669F" w:rsidRPr="00F2669F" w:rsidRDefault="00F2669F" w:rsidP="00781450">
      <w:pPr>
        <w:jc w:val="both"/>
        <w:rPr>
          <w:rFonts w:ascii="Arial" w:hAnsi="Arial" w:cs="Arial"/>
          <w:sz w:val="22"/>
          <w:szCs w:val="22"/>
        </w:rPr>
      </w:pPr>
    </w:p>
    <w:sectPr w:rsidR="00F2669F" w:rsidRPr="00F266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69F"/>
    <w:rsid w:val="00781450"/>
    <w:rsid w:val="00AB6584"/>
    <w:rsid w:val="00F266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EF02A8A"/>
  <w15:chartTrackingRefBased/>
  <w15:docId w15:val="{152A323C-DA55-3B4B-BDFC-AABB1FBAA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669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669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semiHidden/>
    <w:unhideWhenUsed/>
    <w:qFormat/>
    <w:rsid w:val="00F2669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2669F"/>
    <w:pPr>
      <w:spacing w:after="100" w:line="276" w:lineRule="auto"/>
    </w:pPr>
    <w:rPr>
      <w:rFonts w:cs="Vrinda"/>
      <w:sz w:val="22"/>
      <w:szCs w:val="28"/>
      <w:lang w:bidi="bn-IN"/>
    </w:rPr>
  </w:style>
  <w:style w:type="character" w:styleId="Hyperlink">
    <w:name w:val="Hyperlink"/>
    <w:basedOn w:val="DefaultParagraphFont"/>
    <w:uiPriority w:val="99"/>
    <w:unhideWhenUsed/>
    <w:rsid w:val="00F2669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8</Pages>
  <Words>1866</Words>
  <Characters>10640</Characters>
  <Application>Microsoft Office Word</Application>
  <DocSecurity>0</DocSecurity>
  <Lines>88</Lines>
  <Paragraphs>24</Paragraphs>
  <ScaleCrop>false</ScaleCrop>
  <Company/>
  <LinksUpToDate>false</LinksUpToDate>
  <CharactersWithSpaces>12482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Aya Mikaela Villanueva Janagap (2020123)</dc:creator>
  <cp:keywords/>
  <dc:description/>
  <cp:lastModifiedBy>Aya Mikaela Villanueva Janagap (2020123)</cp:lastModifiedBy>
  <cp:revision>2</cp:revision>
  <dcterms:created xsi:type="dcterms:W3CDTF">2021-12-15T14:20:00Z</dcterms:created>
  <dcterms:modified xsi:type="dcterms:W3CDTF">2021-12-15T14:39:00Z</dcterms:modified>
</cp:coreProperties>
</file>