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38A66F" w14:textId="77777777" w:rsidR="0063386B" w:rsidRDefault="0063386B">
      <w:pPr>
        <w:pStyle w:val="Body"/>
        <w:jc w:val="center"/>
        <w:rPr>
          <w:b/>
          <w:bCs/>
          <w:sz w:val="28"/>
          <w:szCs w:val="28"/>
        </w:rPr>
      </w:pPr>
    </w:p>
    <w:p w14:paraId="3C55E2E4" w14:textId="77777777" w:rsidR="0063386B" w:rsidRDefault="00000000">
      <w:pPr>
        <w:pStyle w:val="Body"/>
        <w:jc w:val="center"/>
        <w:rPr>
          <w:b/>
          <w:bCs/>
          <w:sz w:val="28"/>
          <w:szCs w:val="28"/>
        </w:rPr>
      </w:pPr>
      <w:r>
        <w:rPr>
          <w:b/>
          <w:bCs/>
          <w:noProof/>
          <w:sz w:val="28"/>
          <w:szCs w:val="28"/>
        </w:rPr>
        <w:drawing>
          <wp:anchor distT="152400" distB="152400" distL="152400" distR="152400" simplePos="0" relativeHeight="251659264" behindDoc="0" locked="0" layoutInCell="1" allowOverlap="1" wp14:anchorId="7968E06A" wp14:editId="477647F4">
            <wp:simplePos x="0" y="0"/>
            <wp:positionH relativeFrom="margin">
              <wp:posOffset>1453400</wp:posOffset>
            </wp:positionH>
            <wp:positionV relativeFrom="line">
              <wp:posOffset>248811</wp:posOffset>
            </wp:positionV>
            <wp:extent cx="3265399" cy="1330921"/>
            <wp:effectExtent l="0" t="0" r="0" b="0"/>
            <wp:wrapTopAndBottom distT="152400" distB="152400"/>
            <wp:docPr id="1073741825" name="officeArt object" descr="IMG_0055.jpeg"/>
            <wp:cNvGraphicFramePr/>
            <a:graphic xmlns:a="http://schemas.openxmlformats.org/drawingml/2006/main">
              <a:graphicData uri="http://schemas.openxmlformats.org/drawingml/2006/picture">
                <pic:pic xmlns:pic="http://schemas.openxmlformats.org/drawingml/2006/picture">
                  <pic:nvPicPr>
                    <pic:cNvPr id="1073741825" name="IMG_0055.jpeg" descr="IMG_0055.jpeg"/>
                    <pic:cNvPicPr>
                      <a:picLocks noChangeAspect="1"/>
                    </pic:cNvPicPr>
                  </pic:nvPicPr>
                  <pic:blipFill>
                    <a:blip r:embed="rId7"/>
                    <a:stretch>
                      <a:fillRect/>
                    </a:stretch>
                  </pic:blipFill>
                  <pic:spPr>
                    <a:xfrm>
                      <a:off x="0" y="0"/>
                      <a:ext cx="3265399" cy="1330921"/>
                    </a:xfrm>
                    <a:prstGeom prst="rect">
                      <a:avLst/>
                    </a:prstGeom>
                    <a:ln w="12700" cap="flat">
                      <a:noFill/>
                      <a:miter lim="400000"/>
                    </a:ln>
                    <a:effectLst/>
                  </pic:spPr>
                </pic:pic>
              </a:graphicData>
            </a:graphic>
          </wp:anchor>
        </w:drawing>
      </w:r>
    </w:p>
    <w:p w14:paraId="45EE1454" w14:textId="77777777" w:rsidR="0063386B" w:rsidRDefault="0063386B">
      <w:pPr>
        <w:pStyle w:val="Body"/>
        <w:jc w:val="center"/>
        <w:rPr>
          <w:b/>
          <w:bCs/>
          <w:sz w:val="28"/>
          <w:szCs w:val="28"/>
        </w:rPr>
      </w:pPr>
    </w:p>
    <w:p w14:paraId="598EA9A3" w14:textId="77777777" w:rsidR="0063386B" w:rsidRDefault="00000000">
      <w:pPr>
        <w:pStyle w:val="Default"/>
        <w:suppressAutoHyphens/>
        <w:spacing w:before="0" w:line="240" w:lineRule="auto"/>
        <w:jc w:val="center"/>
        <w:rPr>
          <w:rFonts w:ascii="Times New Roman" w:eastAsia="Times New Roman" w:hAnsi="Times New Roman" w:cs="Times New Roman"/>
          <w:b/>
          <w:bCs/>
          <w:sz w:val="32"/>
          <w:szCs w:val="32"/>
        </w:rPr>
      </w:pPr>
      <w:r>
        <w:rPr>
          <w:rFonts w:ascii="Times New Roman" w:hAnsi="Times New Roman"/>
          <w:b/>
          <w:bCs/>
          <w:sz w:val="32"/>
          <w:szCs w:val="32"/>
        </w:rPr>
        <w:t>MBA</w:t>
      </w:r>
    </w:p>
    <w:p w14:paraId="510ECB39" w14:textId="77777777" w:rsidR="0063386B" w:rsidRDefault="00000000">
      <w:pPr>
        <w:pStyle w:val="Default"/>
        <w:suppressAutoHyphens/>
        <w:spacing w:before="0" w:line="240" w:lineRule="auto"/>
        <w:jc w:val="center"/>
        <w:rPr>
          <w:rFonts w:ascii="Times New Roman" w:eastAsia="Times New Roman" w:hAnsi="Times New Roman" w:cs="Times New Roman"/>
          <w:b/>
          <w:bCs/>
          <w:sz w:val="32"/>
          <w:szCs w:val="32"/>
        </w:rPr>
      </w:pPr>
      <w:r>
        <w:rPr>
          <w:rFonts w:ascii="Times New Roman" w:hAnsi="Times New Roman"/>
          <w:b/>
          <w:bCs/>
          <w:sz w:val="32"/>
          <w:szCs w:val="32"/>
        </w:rPr>
        <w:t>Business Research</w:t>
      </w:r>
    </w:p>
    <w:p w14:paraId="3F9730F5" w14:textId="77777777" w:rsidR="0063386B" w:rsidRDefault="00000000">
      <w:pPr>
        <w:pStyle w:val="Default"/>
        <w:suppressAutoHyphens/>
        <w:spacing w:before="0" w:line="240" w:lineRule="auto"/>
        <w:jc w:val="center"/>
        <w:rPr>
          <w:rFonts w:ascii="Times New Roman" w:eastAsia="Times New Roman" w:hAnsi="Times New Roman" w:cs="Times New Roman"/>
          <w:b/>
          <w:bCs/>
          <w:sz w:val="32"/>
          <w:szCs w:val="32"/>
        </w:rPr>
      </w:pPr>
      <w:r>
        <w:rPr>
          <w:rFonts w:ascii="Times New Roman" w:hAnsi="Times New Roman"/>
          <w:b/>
          <w:bCs/>
          <w:sz w:val="32"/>
          <w:szCs w:val="32"/>
        </w:rPr>
        <w:t>BMMB7028</w:t>
      </w:r>
    </w:p>
    <w:p w14:paraId="263E0C62" w14:textId="77777777" w:rsidR="0063386B" w:rsidRDefault="0063386B">
      <w:pPr>
        <w:pStyle w:val="Body"/>
        <w:jc w:val="center"/>
      </w:pPr>
    </w:p>
    <w:p w14:paraId="356DDC3A" w14:textId="77777777" w:rsidR="0063386B" w:rsidRDefault="0063386B">
      <w:pPr>
        <w:pStyle w:val="Body"/>
        <w:jc w:val="center"/>
      </w:pPr>
    </w:p>
    <w:p w14:paraId="52A661A1" w14:textId="77777777" w:rsidR="0063386B" w:rsidRDefault="00000000">
      <w:pPr>
        <w:pStyle w:val="Body"/>
        <w:jc w:val="center"/>
        <w:rPr>
          <w:b/>
          <w:bCs/>
          <w:sz w:val="28"/>
          <w:szCs w:val="28"/>
        </w:rPr>
      </w:pPr>
      <w:r>
        <w:rPr>
          <w:b/>
          <w:bCs/>
          <w:sz w:val="28"/>
          <w:szCs w:val="28"/>
        </w:rPr>
        <w:t>The Influence of Sustainability Claims and Greenwashing Concerns on Consumer Trust and Brand Reputation in the UK Fashion Retail Sector</w:t>
      </w:r>
    </w:p>
    <w:p w14:paraId="53FC3F0B" w14:textId="77777777" w:rsidR="0063386B" w:rsidRDefault="0063386B">
      <w:pPr>
        <w:pStyle w:val="Body"/>
        <w:jc w:val="center"/>
        <w:rPr>
          <w:b/>
          <w:bCs/>
          <w:sz w:val="28"/>
          <w:szCs w:val="28"/>
        </w:rPr>
      </w:pPr>
    </w:p>
    <w:p w14:paraId="0F0B75DF" w14:textId="77777777" w:rsidR="0063386B" w:rsidRDefault="0063386B">
      <w:pPr>
        <w:pStyle w:val="Body"/>
        <w:jc w:val="center"/>
        <w:rPr>
          <w:b/>
          <w:bCs/>
          <w:sz w:val="28"/>
          <w:szCs w:val="28"/>
        </w:rPr>
      </w:pPr>
    </w:p>
    <w:p w14:paraId="45B59C91" w14:textId="55ACD63A" w:rsidR="0063386B" w:rsidRDefault="00000000">
      <w:pPr>
        <w:pStyle w:val="Body"/>
        <w:jc w:val="center"/>
        <w:rPr>
          <w:b/>
          <w:bCs/>
          <w:sz w:val="28"/>
          <w:szCs w:val="28"/>
        </w:rPr>
      </w:pPr>
      <w:r>
        <w:rPr>
          <w:b/>
          <w:bCs/>
          <w:sz w:val="28"/>
          <w:szCs w:val="28"/>
        </w:rPr>
        <w:t>Student Name:</w:t>
      </w:r>
      <w:r w:rsidR="0041555F">
        <w:rPr>
          <w:b/>
          <w:bCs/>
          <w:sz w:val="28"/>
          <w:szCs w:val="28"/>
        </w:rPr>
        <w:t xml:space="preserve"> </w:t>
      </w:r>
      <w:r w:rsidR="00156E87">
        <w:rPr>
          <w:b/>
          <w:bCs/>
          <w:sz w:val="28"/>
          <w:szCs w:val="28"/>
        </w:rPr>
        <w:t>Jahid Bin Mostafa Nil</w:t>
      </w:r>
    </w:p>
    <w:p w14:paraId="63443520" w14:textId="12105632" w:rsidR="0063386B" w:rsidRDefault="00000000">
      <w:pPr>
        <w:pStyle w:val="Body"/>
        <w:jc w:val="center"/>
        <w:rPr>
          <w:b/>
          <w:bCs/>
          <w:sz w:val="28"/>
          <w:szCs w:val="28"/>
        </w:rPr>
      </w:pPr>
      <w:r>
        <w:rPr>
          <w:b/>
          <w:bCs/>
          <w:sz w:val="28"/>
          <w:szCs w:val="28"/>
        </w:rPr>
        <w:t>ID:</w:t>
      </w:r>
      <w:r w:rsidR="00156E87">
        <w:rPr>
          <w:b/>
          <w:bCs/>
          <w:sz w:val="28"/>
          <w:szCs w:val="28"/>
        </w:rPr>
        <w:t>2506698</w:t>
      </w:r>
    </w:p>
    <w:p w14:paraId="4AB6ED48" w14:textId="77777777" w:rsidR="0063386B" w:rsidRDefault="00000000">
      <w:pPr>
        <w:pStyle w:val="Body"/>
        <w:spacing w:after="160" w:line="259" w:lineRule="auto"/>
        <w:jc w:val="left"/>
      </w:pPr>
      <w:r>
        <w:rPr>
          <w:rFonts w:ascii="Arial Unicode MS" w:hAnsi="Arial Unicode MS"/>
        </w:rPr>
        <w:br w:type="page"/>
      </w:r>
    </w:p>
    <w:p w14:paraId="66B9C922" w14:textId="77777777" w:rsidR="0063386B" w:rsidRDefault="00000000">
      <w:pPr>
        <w:pStyle w:val="TOCHeading"/>
        <w:rPr>
          <w:rFonts w:ascii="Times New Roman" w:eastAsia="Times New Roman" w:hAnsi="Times New Roman" w:cs="Times New Roman"/>
          <w:b/>
          <w:bCs/>
          <w:color w:val="000000"/>
          <w:u w:color="000000"/>
        </w:rPr>
      </w:pPr>
      <w:r>
        <w:rPr>
          <w:rFonts w:ascii="Times New Roman" w:hAnsi="Times New Roman"/>
          <w:b/>
          <w:bCs/>
          <w:color w:val="000000"/>
          <w:u w:color="000000"/>
        </w:rPr>
        <w:lastRenderedPageBreak/>
        <w:t>Contents</w:t>
      </w:r>
    </w:p>
    <w:p w14:paraId="0065FF5D" w14:textId="77777777" w:rsidR="0063386B" w:rsidRDefault="00000000">
      <w:pPr>
        <w:pStyle w:val="Body"/>
      </w:pPr>
      <w:r>
        <w:rPr>
          <w:b/>
          <w:bCs/>
        </w:rPr>
        <w:fldChar w:fldCharType="begin"/>
      </w:r>
      <w:r>
        <w:rPr>
          <w:b/>
          <w:bCs/>
        </w:rPr>
        <w:instrText xml:space="preserve"> TOC \o 1-2 </w:instrText>
      </w:r>
      <w:r>
        <w:rPr>
          <w:b/>
          <w:bCs/>
        </w:rPr>
        <w:fldChar w:fldCharType="separate"/>
      </w:r>
    </w:p>
    <w:p w14:paraId="64023660" w14:textId="77777777" w:rsidR="0063386B" w:rsidRDefault="00000000">
      <w:pPr>
        <w:pStyle w:val="TOC1"/>
      </w:pPr>
      <w:r>
        <w:rPr>
          <w:rFonts w:eastAsia="Arial Unicode MS" w:cs="Arial Unicode MS"/>
        </w:rPr>
        <w:t>1. Introduction and Research Rationale</w:t>
      </w:r>
      <w:r>
        <w:rPr>
          <w:rFonts w:eastAsia="Arial Unicode MS" w:cs="Arial Unicode MS"/>
        </w:rPr>
        <w:tab/>
      </w:r>
      <w:r>
        <w:fldChar w:fldCharType="begin"/>
      </w:r>
      <w:r>
        <w:instrText xml:space="preserve"> PAGEREF _Toc \h </w:instrText>
      </w:r>
      <w:r>
        <w:fldChar w:fldCharType="separate"/>
      </w:r>
      <w:r>
        <w:rPr>
          <w:rFonts w:eastAsia="Arial Unicode MS" w:cs="Arial Unicode MS"/>
        </w:rPr>
        <w:t>3</w:t>
      </w:r>
      <w:r>
        <w:fldChar w:fldCharType="end"/>
      </w:r>
    </w:p>
    <w:p w14:paraId="43ECE56E" w14:textId="77777777" w:rsidR="0063386B" w:rsidRDefault="00000000">
      <w:pPr>
        <w:pStyle w:val="TOC1"/>
      </w:pPr>
      <w:r>
        <w:rPr>
          <w:rFonts w:eastAsia="Arial Unicode MS" w:cs="Arial Unicode MS"/>
        </w:rPr>
        <w:t>2. Research Aim, Objectives and Questions</w:t>
      </w:r>
      <w:r>
        <w:rPr>
          <w:rFonts w:eastAsia="Arial Unicode MS" w:cs="Arial Unicode MS"/>
        </w:rPr>
        <w:tab/>
      </w:r>
      <w:r>
        <w:fldChar w:fldCharType="begin"/>
      </w:r>
      <w:r>
        <w:instrText xml:space="preserve"> PAGEREF _Toc1 \h </w:instrText>
      </w:r>
      <w:r>
        <w:fldChar w:fldCharType="separate"/>
      </w:r>
      <w:r>
        <w:rPr>
          <w:rFonts w:eastAsia="Arial Unicode MS" w:cs="Arial Unicode MS"/>
        </w:rPr>
        <w:t>4</w:t>
      </w:r>
      <w:r>
        <w:fldChar w:fldCharType="end"/>
      </w:r>
    </w:p>
    <w:p w14:paraId="722A8C0B" w14:textId="77777777" w:rsidR="0063386B" w:rsidRDefault="00000000">
      <w:pPr>
        <w:pStyle w:val="TOC1"/>
      </w:pPr>
      <w:r>
        <w:rPr>
          <w:rFonts w:eastAsia="Arial Unicode MS" w:cs="Arial Unicode MS"/>
        </w:rPr>
        <w:t>3. Key Literature and Contextual Issues</w:t>
      </w:r>
      <w:r>
        <w:rPr>
          <w:rFonts w:eastAsia="Arial Unicode MS" w:cs="Arial Unicode MS"/>
        </w:rPr>
        <w:tab/>
      </w:r>
      <w:r>
        <w:fldChar w:fldCharType="begin"/>
      </w:r>
      <w:r>
        <w:instrText xml:space="preserve"> PAGEREF _Toc2 \h </w:instrText>
      </w:r>
      <w:r>
        <w:fldChar w:fldCharType="separate"/>
      </w:r>
      <w:r>
        <w:rPr>
          <w:rFonts w:eastAsia="Arial Unicode MS" w:cs="Arial Unicode MS"/>
        </w:rPr>
        <w:t>5</w:t>
      </w:r>
      <w:r>
        <w:fldChar w:fldCharType="end"/>
      </w:r>
    </w:p>
    <w:p w14:paraId="654B6F17" w14:textId="77777777" w:rsidR="0063386B" w:rsidRDefault="00000000">
      <w:pPr>
        <w:pStyle w:val="TOC2"/>
      </w:pPr>
      <w:r>
        <w:rPr>
          <w:rFonts w:eastAsia="Arial Unicode MS" w:cs="Arial Unicode MS"/>
        </w:rPr>
        <w:t>3.1 Sustainability in Fashion Retail</w:t>
      </w:r>
      <w:r>
        <w:rPr>
          <w:rFonts w:eastAsia="Arial Unicode MS" w:cs="Arial Unicode MS"/>
        </w:rPr>
        <w:tab/>
      </w:r>
      <w:r>
        <w:fldChar w:fldCharType="begin"/>
      </w:r>
      <w:r>
        <w:instrText xml:space="preserve"> PAGEREF _Toc3 \h </w:instrText>
      </w:r>
      <w:r>
        <w:fldChar w:fldCharType="separate"/>
      </w:r>
      <w:r>
        <w:rPr>
          <w:rFonts w:eastAsia="Arial Unicode MS" w:cs="Arial Unicode MS"/>
        </w:rPr>
        <w:t>5</w:t>
      </w:r>
      <w:r>
        <w:fldChar w:fldCharType="end"/>
      </w:r>
    </w:p>
    <w:p w14:paraId="19F1B12E" w14:textId="77777777" w:rsidR="0063386B" w:rsidRDefault="00000000">
      <w:pPr>
        <w:pStyle w:val="TOC2"/>
      </w:pPr>
      <w:r>
        <w:rPr>
          <w:rFonts w:eastAsia="Arial Unicode MS" w:cs="Arial Unicode MS"/>
        </w:rPr>
        <w:t>3.2 Consumer Trust and Brand Reputation</w:t>
      </w:r>
      <w:r>
        <w:rPr>
          <w:rFonts w:eastAsia="Arial Unicode MS" w:cs="Arial Unicode MS"/>
        </w:rPr>
        <w:tab/>
      </w:r>
      <w:r>
        <w:fldChar w:fldCharType="begin"/>
      </w:r>
      <w:r>
        <w:instrText xml:space="preserve"> PAGEREF _Toc4 \h </w:instrText>
      </w:r>
      <w:r>
        <w:fldChar w:fldCharType="separate"/>
      </w:r>
      <w:r>
        <w:rPr>
          <w:rFonts w:eastAsia="Arial Unicode MS" w:cs="Arial Unicode MS"/>
        </w:rPr>
        <w:t>6</w:t>
      </w:r>
      <w:r>
        <w:fldChar w:fldCharType="end"/>
      </w:r>
    </w:p>
    <w:p w14:paraId="6826F3CC" w14:textId="77777777" w:rsidR="0063386B" w:rsidRDefault="00000000">
      <w:pPr>
        <w:pStyle w:val="TOC2"/>
      </w:pPr>
      <w:r>
        <w:rPr>
          <w:rFonts w:eastAsia="Arial Unicode MS" w:cs="Arial Unicode MS"/>
        </w:rPr>
        <w:t>3.3 Greenwashing and Consumer Scepticism</w:t>
      </w:r>
      <w:r>
        <w:rPr>
          <w:rFonts w:eastAsia="Arial Unicode MS" w:cs="Arial Unicode MS"/>
        </w:rPr>
        <w:tab/>
      </w:r>
      <w:r>
        <w:fldChar w:fldCharType="begin"/>
      </w:r>
      <w:r>
        <w:instrText xml:space="preserve"> PAGEREF _Toc5 \h </w:instrText>
      </w:r>
      <w:r>
        <w:fldChar w:fldCharType="separate"/>
      </w:r>
      <w:r>
        <w:rPr>
          <w:rFonts w:eastAsia="Arial Unicode MS" w:cs="Arial Unicode MS"/>
        </w:rPr>
        <w:t>6</w:t>
      </w:r>
      <w:r>
        <w:fldChar w:fldCharType="end"/>
      </w:r>
    </w:p>
    <w:p w14:paraId="3963BAE4" w14:textId="77777777" w:rsidR="0063386B" w:rsidRDefault="00000000">
      <w:pPr>
        <w:pStyle w:val="TOC2"/>
      </w:pPr>
      <w:r>
        <w:rPr>
          <w:rFonts w:eastAsia="Arial Unicode MS" w:cs="Arial Unicode MS"/>
        </w:rPr>
        <w:t>3.4 UK Regulatory and Industry Context</w:t>
      </w:r>
      <w:r>
        <w:rPr>
          <w:rFonts w:eastAsia="Arial Unicode MS" w:cs="Arial Unicode MS"/>
        </w:rPr>
        <w:tab/>
      </w:r>
      <w:r>
        <w:fldChar w:fldCharType="begin"/>
      </w:r>
      <w:r>
        <w:instrText xml:space="preserve"> PAGEREF _Toc6 \h </w:instrText>
      </w:r>
      <w:r>
        <w:fldChar w:fldCharType="separate"/>
      </w:r>
      <w:r>
        <w:rPr>
          <w:rFonts w:eastAsia="Arial Unicode MS" w:cs="Arial Unicode MS"/>
        </w:rPr>
        <w:t>7</w:t>
      </w:r>
      <w:r>
        <w:fldChar w:fldCharType="end"/>
      </w:r>
    </w:p>
    <w:p w14:paraId="4205983E" w14:textId="77777777" w:rsidR="0063386B" w:rsidRDefault="00000000">
      <w:pPr>
        <w:pStyle w:val="TOC2"/>
      </w:pPr>
      <w:r>
        <w:rPr>
          <w:rFonts w:eastAsia="Arial Unicode MS" w:cs="Arial Unicode MS"/>
        </w:rPr>
        <w:t>3.5 Research Gap</w:t>
      </w:r>
      <w:r>
        <w:rPr>
          <w:rFonts w:eastAsia="Arial Unicode MS" w:cs="Arial Unicode MS"/>
        </w:rPr>
        <w:tab/>
      </w:r>
      <w:r>
        <w:fldChar w:fldCharType="begin"/>
      </w:r>
      <w:r>
        <w:instrText xml:space="preserve"> PAGEREF _Toc7 \h </w:instrText>
      </w:r>
      <w:r>
        <w:fldChar w:fldCharType="separate"/>
      </w:r>
      <w:r>
        <w:rPr>
          <w:rFonts w:eastAsia="Arial Unicode MS" w:cs="Arial Unicode MS"/>
        </w:rPr>
        <w:t>8</w:t>
      </w:r>
      <w:r>
        <w:fldChar w:fldCharType="end"/>
      </w:r>
    </w:p>
    <w:p w14:paraId="6BAE4D13" w14:textId="77777777" w:rsidR="0063386B" w:rsidRDefault="00000000">
      <w:pPr>
        <w:pStyle w:val="TOC1"/>
      </w:pPr>
      <w:r>
        <w:rPr>
          <w:rFonts w:eastAsia="Arial Unicode MS" w:cs="Arial Unicode MS"/>
        </w:rPr>
        <w:t>4. Research Paradigm and Methodology</w:t>
      </w:r>
      <w:r>
        <w:rPr>
          <w:rFonts w:eastAsia="Arial Unicode MS" w:cs="Arial Unicode MS"/>
        </w:rPr>
        <w:tab/>
      </w:r>
      <w:r>
        <w:fldChar w:fldCharType="begin"/>
      </w:r>
      <w:r>
        <w:instrText xml:space="preserve"> PAGEREF _Toc8 \h </w:instrText>
      </w:r>
      <w:r>
        <w:fldChar w:fldCharType="separate"/>
      </w:r>
      <w:r>
        <w:rPr>
          <w:rFonts w:eastAsia="Arial Unicode MS" w:cs="Arial Unicode MS"/>
        </w:rPr>
        <w:t>8</w:t>
      </w:r>
      <w:r>
        <w:fldChar w:fldCharType="end"/>
      </w:r>
    </w:p>
    <w:p w14:paraId="18CFC7D8" w14:textId="77777777" w:rsidR="0063386B" w:rsidRDefault="00000000">
      <w:pPr>
        <w:pStyle w:val="TOC1"/>
      </w:pPr>
      <w:r>
        <w:rPr>
          <w:rFonts w:eastAsia="Arial Unicode MS" w:cs="Arial Unicode MS"/>
        </w:rPr>
        <w:t>5. Methods and Tools for Data Collection</w:t>
      </w:r>
      <w:r>
        <w:rPr>
          <w:rFonts w:eastAsia="Arial Unicode MS" w:cs="Arial Unicode MS"/>
        </w:rPr>
        <w:tab/>
      </w:r>
      <w:r>
        <w:fldChar w:fldCharType="begin"/>
      </w:r>
      <w:r>
        <w:instrText xml:space="preserve"> PAGEREF _Toc9 \h </w:instrText>
      </w:r>
      <w:r>
        <w:fldChar w:fldCharType="separate"/>
      </w:r>
      <w:r>
        <w:rPr>
          <w:rFonts w:eastAsia="Arial Unicode MS" w:cs="Arial Unicode MS"/>
        </w:rPr>
        <w:t>10</w:t>
      </w:r>
      <w:r>
        <w:fldChar w:fldCharType="end"/>
      </w:r>
    </w:p>
    <w:p w14:paraId="76325932" w14:textId="77777777" w:rsidR="0063386B" w:rsidRDefault="00000000">
      <w:pPr>
        <w:pStyle w:val="TOC1"/>
      </w:pPr>
      <w:r>
        <w:rPr>
          <w:rFonts w:eastAsia="Arial Unicode MS" w:cs="Arial Unicode MS"/>
        </w:rPr>
        <w:t>6. Data Analysis Strategy</w:t>
      </w:r>
      <w:r>
        <w:rPr>
          <w:rFonts w:eastAsia="Arial Unicode MS" w:cs="Arial Unicode MS"/>
        </w:rPr>
        <w:tab/>
      </w:r>
      <w:r>
        <w:fldChar w:fldCharType="begin"/>
      </w:r>
      <w:r>
        <w:instrText xml:space="preserve"> PAGEREF _Toc10 \h </w:instrText>
      </w:r>
      <w:r>
        <w:fldChar w:fldCharType="separate"/>
      </w:r>
      <w:r>
        <w:rPr>
          <w:rFonts w:eastAsia="Arial Unicode MS" w:cs="Arial Unicode MS"/>
        </w:rPr>
        <w:t>11</w:t>
      </w:r>
      <w:r>
        <w:fldChar w:fldCharType="end"/>
      </w:r>
    </w:p>
    <w:p w14:paraId="0494C80E" w14:textId="77777777" w:rsidR="0063386B" w:rsidRDefault="00000000">
      <w:pPr>
        <w:pStyle w:val="TOC1"/>
      </w:pPr>
      <w:r>
        <w:rPr>
          <w:rFonts w:eastAsia="Arial Unicode MS" w:cs="Arial Unicode MS"/>
        </w:rPr>
        <w:t>7. Evaluation of the Chosen Method</w:t>
      </w:r>
      <w:r>
        <w:rPr>
          <w:rFonts w:eastAsia="Arial Unicode MS" w:cs="Arial Unicode MS"/>
        </w:rPr>
        <w:tab/>
      </w:r>
      <w:r>
        <w:fldChar w:fldCharType="begin"/>
      </w:r>
      <w:r>
        <w:instrText xml:space="preserve"> PAGEREF _Toc11 \h </w:instrText>
      </w:r>
      <w:r>
        <w:fldChar w:fldCharType="separate"/>
      </w:r>
      <w:r>
        <w:rPr>
          <w:rFonts w:eastAsia="Arial Unicode MS" w:cs="Arial Unicode MS"/>
        </w:rPr>
        <w:t>12</w:t>
      </w:r>
      <w:r>
        <w:fldChar w:fldCharType="end"/>
      </w:r>
    </w:p>
    <w:p w14:paraId="5ACB8259" w14:textId="77777777" w:rsidR="0063386B" w:rsidRDefault="00000000">
      <w:pPr>
        <w:pStyle w:val="TOC1"/>
      </w:pPr>
      <w:r>
        <w:rPr>
          <w:rFonts w:eastAsia="Arial Unicode MS" w:cs="Arial Unicode MS"/>
        </w:rPr>
        <w:t>8. Resource Implications</w:t>
      </w:r>
      <w:r>
        <w:rPr>
          <w:rFonts w:eastAsia="Arial Unicode MS" w:cs="Arial Unicode MS"/>
        </w:rPr>
        <w:tab/>
      </w:r>
      <w:r>
        <w:fldChar w:fldCharType="begin"/>
      </w:r>
      <w:r>
        <w:instrText xml:space="preserve"> PAGEREF _Toc12 \h </w:instrText>
      </w:r>
      <w:r>
        <w:fldChar w:fldCharType="separate"/>
      </w:r>
      <w:r>
        <w:rPr>
          <w:rFonts w:eastAsia="Arial Unicode MS" w:cs="Arial Unicode MS"/>
        </w:rPr>
        <w:t>13</w:t>
      </w:r>
      <w:r>
        <w:fldChar w:fldCharType="end"/>
      </w:r>
    </w:p>
    <w:p w14:paraId="4C547230" w14:textId="77777777" w:rsidR="0063386B" w:rsidRDefault="00000000">
      <w:pPr>
        <w:pStyle w:val="TOC1"/>
      </w:pPr>
      <w:r>
        <w:rPr>
          <w:rFonts w:eastAsia="Arial Unicode MS" w:cs="Arial Unicode MS"/>
        </w:rPr>
        <w:t>9. Tentative Time Plan</w:t>
      </w:r>
      <w:r>
        <w:rPr>
          <w:rFonts w:eastAsia="Arial Unicode MS" w:cs="Arial Unicode MS"/>
        </w:rPr>
        <w:tab/>
      </w:r>
      <w:r>
        <w:fldChar w:fldCharType="begin"/>
      </w:r>
      <w:r>
        <w:instrText xml:space="preserve"> PAGEREF _Toc13 \h </w:instrText>
      </w:r>
      <w:r>
        <w:fldChar w:fldCharType="separate"/>
      </w:r>
      <w:r>
        <w:rPr>
          <w:rFonts w:eastAsia="Arial Unicode MS" w:cs="Arial Unicode MS"/>
        </w:rPr>
        <w:t>15</w:t>
      </w:r>
      <w:r>
        <w:fldChar w:fldCharType="end"/>
      </w:r>
    </w:p>
    <w:p w14:paraId="5EAD7DD1" w14:textId="77777777" w:rsidR="0063386B" w:rsidRDefault="00000000">
      <w:pPr>
        <w:pStyle w:val="TOC1"/>
      </w:pPr>
      <w:r>
        <w:rPr>
          <w:rFonts w:eastAsia="Arial Unicode MS" w:cs="Arial Unicode MS"/>
        </w:rPr>
        <w:t>10. Ethical Considerations</w:t>
      </w:r>
      <w:r>
        <w:rPr>
          <w:rFonts w:eastAsia="Arial Unicode MS" w:cs="Arial Unicode MS"/>
        </w:rPr>
        <w:tab/>
      </w:r>
      <w:r>
        <w:fldChar w:fldCharType="begin"/>
      </w:r>
      <w:r>
        <w:instrText xml:space="preserve"> PAGEREF _Toc14 \h </w:instrText>
      </w:r>
      <w:r>
        <w:fldChar w:fldCharType="separate"/>
      </w:r>
      <w:r>
        <w:rPr>
          <w:rFonts w:eastAsia="Arial Unicode MS" w:cs="Arial Unicode MS"/>
        </w:rPr>
        <w:t>17</w:t>
      </w:r>
      <w:r>
        <w:fldChar w:fldCharType="end"/>
      </w:r>
    </w:p>
    <w:p w14:paraId="40C0A7B9" w14:textId="77777777" w:rsidR="0063386B" w:rsidRDefault="00000000">
      <w:pPr>
        <w:pStyle w:val="TOC1"/>
      </w:pPr>
      <w:r>
        <w:rPr>
          <w:rFonts w:eastAsia="Arial Unicode MS" w:cs="Arial Unicode MS"/>
        </w:rPr>
        <w:t>11. Limitations</w:t>
      </w:r>
      <w:r>
        <w:rPr>
          <w:rFonts w:eastAsia="Arial Unicode MS" w:cs="Arial Unicode MS"/>
        </w:rPr>
        <w:tab/>
      </w:r>
      <w:r>
        <w:fldChar w:fldCharType="begin"/>
      </w:r>
      <w:r>
        <w:instrText xml:space="preserve"> PAGEREF _Toc15 \h </w:instrText>
      </w:r>
      <w:r>
        <w:fldChar w:fldCharType="separate"/>
      </w:r>
      <w:r>
        <w:rPr>
          <w:rFonts w:eastAsia="Arial Unicode MS" w:cs="Arial Unicode MS"/>
        </w:rPr>
        <w:t>18</w:t>
      </w:r>
      <w:r>
        <w:fldChar w:fldCharType="end"/>
      </w:r>
    </w:p>
    <w:p w14:paraId="39EF3428" w14:textId="77777777" w:rsidR="0063386B" w:rsidRDefault="00000000">
      <w:pPr>
        <w:pStyle w:val="TOC1"/>
      </w:pPr>
      <w:r>
        <w:rPr>
          <w:rFonts w:eastAsia="Arial Unicode MS" w:cs="Arial Unicode MS"/>
        </w:rPr>
        <w:t>12. Significance of the Study</w:t>
      </w:r>
      <w:r>
        <w:rPr>
          <w:rFonts w:eastAsia="Arial Unicode MS" w:cs="Arial Unicode MS"/>
        </w:rPr>
        <w:tab/>
      </w:r>
      <w:r>
        <w:fldChar w:fldCharType="begin"/>
      </w:r>
      <w:r>
        <w:instrText xml:space="preserve"> PAGEREF _Toc16 \h </w:instrText>
      </w:r>
      <w:r>
        <w:fldChar w:fldCharType="separate"/>
      </w:r>
      <w:r>
        <w:rPr>
          <w:rFonts w:eastAsia="Arial Unicode MS" w:cs="Arial Unicode MS"/>
        </w:rPr>
        <w:t>18</w:t>
      </w:r>
      <w:r>
        <w:fldChar w:fldCharType="end"/>
      </w:r>
    </w:p>
    <w:p w14:paraId="28B0B51B" w14:textId="77777777" w:rsidR="0063386B" w:rsidRDefault="00000000">
      <w:pPr>
        <w:pStyle w:val="TOC1"/>
      </w:pPr>
      <w:r>
        <w:rPr>
          <w:rFonts w:eastAsia="Arial Unicode MS" w:cs="Arial Unicode MS"/>
        </w:rPr>
        <w:t>13. Conclusion</w:t>
      </w:r>
      <w:r>
        <w:rPr>
          <w:rFonts w:eastAsia="Arial Unicode MS" w:cs="Arial Unicode MS"/>
        </w:rPr>
        <w:tab/>
      </w:r>
      <w:r>
        <w:fldChar w:fldCharType="begin"/>
      </w:r>
      <w:r>
        <w:instrText xml:space="preserve"> PAGEREF _Toc17 \h </w:instrText>
      </w:r>
      <w:r>
        <w:fldChar w:fldCharType="separate"/>
      </w:r>
      <w:r>
        <w:rPr>
          <w:rFonts w:eastAsia="Arial Unicode MS" w:cs="Arial Unicode MS"/>
        </w:rPr>
        <w:t>19</w:t>
      </w:r>
      <w:r>
        <w:fldChar w:fldCharType="end"/>
      </w:r>
    </w:p>
    <w:p w14:paraId="1E2086BB" w14:textId="77777777" w:rsidR="0063386B" w:rsidRDefault="00000000">
      <w:pPr>
        <w:pStyle w:val="TOC1"/>
      </w:pPr>
      <w:r>
        <w:rPr>
          <w:rFonts w:eastAsia="Arial Unicode MS" w:cs="Arial Unicode MS"/>
        </w:rPr>
        <w:t>References</w:t>
      </w:r>
      <w:r>
        <w:rPr>
          <w:rFonts w:eastAsia="Arial Unicode MS" w:cs="Arial Unicode MS"/>
        </w:rPr>
        <w:tab/>
      </w:r>
      <w:r>
        <w:fldChar w:fldCharType="begin"/>
      </w:r>
      <w:r>
        <w:instrText xml:space="preserve"> PAGEREF _Toc18 \h </w:instrText>
      </w:r>
      <w:r>
        <w:fldChar w:fldCharType="separate"/>
      </w:r>
      <w:r>
        <w:rPr>
          <w:rFonts w:eastAsia="Arial Unicode MS" w:cs="Arial Unicode MS"/>
        </w:rPr>
        <w:t>20</w:t>
      </w:r>
      <w:r>
        <w:fldChar w:fldCharType="end"/>
      </w:r>
    </w:p>
    <w:p w14:paraId="60DD7711" w14:textId="77777777" w:rsidR="0063386B" w:rsidRDefault="00000000">
      <w:pPr>
        <w:pStyle w:val="Body"/>
        <w:rPr>
          <w:rFonts w:ascii="Aptos" w:eastAsia="Aptos" w:hAnsi="Aptos" w:cs="Aptos"/>
        </w:rPr>
      </w:pPr>
      <w:r>
        <w:rPr>
          <w:b/>
          <w:bCs/>
        </w:rPr>
        <w:fldChar w:fldCharType="end"/>
      </w:r>
    </w:p>
    <w:p w14:paraId="2B2DBDCA" w14:textId="77777777" w:rsidR="0063386B" w:rsidRDefault="00000000">
      <w:pPr>
        <w:pStyle w:val="Body"/>
        <w:spacing w:after="160" w:line="259" w:lineRule="auto"/>
        <w:jc w:val="left"/>
      </w:pPr>
      <w:r>
        <w:rPr>
          <w:rFonts w:ascii="Arial Unicode MS" w:hAnsi="Arial Unicode MS"/>
        </w:rPr>
        <w:br w:type="page"/>
      </w:r>
    </w:p>
    <w:p w14:paraId="14D6B677" w14:textId="77777777" w:rsidR="0063386B" w:rsidRDefault="00000000">
      <w:pPr>
        <w:pStyle w:val="Heading"/>
      </w:pPr>
      <w:bookmarkStart w:id="0" w:name="_Toc"/>
      <w:r>
        <w:rPr>
          <w:rFonts w:eastAsia="Arial Unicode MS" w:cs="Arial Unicode MS"/>
        </w:rPr>
        <w:lastRenderedPageBreak/>
        <w:t>1. Introduction and Research Rationale</w:t>
      </w:r>
      <w:bookmarkEnd w:id="0"/>
    </w:p>
    <w:p w14:paraId="0C22C308" w14:textId="77777777" w:rsidR="0063386B" w:rsidRDefault="00000000">
      <w:pPr>
        <w:pStyle w:val="Body"/>
      </w:pPr>
      <w:r>
        <w:t xml:space="preserve">Sustainability has become a major strategic issue in the UK fashion retail sector. Environmental </w:t>
      </w:r>
      <w:proofErr w:type="spellStart"/>
      <w:r>
        <w:t>claimsEnvironmental</w:t>
      </w:r>
      <w:proofErr w:type="spellEnd"/>
      <w:r>
        <w:t xml:space="preserve"> claims in fashion retail are becoming more common in conveying responsible business conduct, including recycled materials, circular fashion, less waste, ethical sourcing, repair service and reduced carbon production. These allegations matter since </w:t>
      </w:r>
      <w:proofErr w:type="gramStart"/>
      <w:r>
        <w:t>customers,</w:t>
      </w:r>
      <w:proofErr w:type="gramEnd"/>
      <w:r>
        <w:t xml:space="preserve"> government agencies and the general population are now demanding that fashion companies take care of the environment and social issues. But the rise of sustainability communications has also raised alarm about greenwashing. Greenwashing means the state of actions when </w:t>
      </w:r>
      <w:proofErr w:type="spellStart"/>
      <w:r>
        <w:t>organisations</w:t>
      </w:r>
      <w:proofErr w:type="spellEnd"/>
      <w:r>
        <w:t xml:space="preserve"> downplay, oversimplify, conceal or distort their performance </w:t>
      </w:r>
      <w:proofErr w:type="gramStart"/>
      <w:r>
        <w:t>with regard to</w:t>
      </w:r>
      <w:proofErr w:type="gramEnd"/>
      <w:r>
        <w:t xml:space="preserve"> the environment to seem more sustainable than they are (de Freitas Netto et al., 2020). This is of particular concern to fashion retail, where the commitment to excessive consumption, speediness, supply chains, and pressure on the environment are linked with the industry.</w:t>
      </w:r>
    </w:p>
    <w:p w14:paraId="2CA0CE8B" w14:textId="77777777" w:rsidR="0063386B" w:rsidRDefault="00000000">
      <w:pPr>
        <w:pStyle w:val="Body"/>
      </w:pPr>
      <w:r>
        <w:t>The topic is quite relevant in the UK context. The Competition and Markets Authority (CMA) has issued specific guidance for fashion retailers on how to comply with consumer law when making environmental claims (Competition and Markets Authority, 2024). Here is an indication that sustainability communication has ceased to be simply a marketing concern. It is, as well, a legal, ethical and reputational concern. The businesses in fashion need to clarify the green claims that are true, realistic and based on evidence, and not misleading. The report on WRAP UK Textiles Pact also demonstrates that the UK textiles and fashion data is facing the strain to transition to more circular and sustainable models (WRAP, 2024). Simultaneously, Mintel (2025) states that buyers in the UK have become more focused on the durability, quality and sustainability in fashion. Thus, retailers should have a way of communicating the sustainability in a manner that creates trust and not distrust.</w:t>
      </w:r>
    </w:p>
    <w:p w14:paraId="30206CA9" w14:textId="77777777" w:rsidR="0063386B" w:rsidRDefault="00000000">
      <w:pPr>
        <w:pStyle w:val="Body"/>
      </w:pPr>
      <w:r>
        <w:t xml:space="preserve">The issue is that sustainability assertions may both serve as opportunity and risk begetters. On the one hand, strong assertions may enhance brand image, justify consumer trust and stimulate more responsible consumers to make a purchase. Neumann, Martinez and Martinez (2021) claim that, in the fast fashion setting, trust is at the heart of influencing purchase intention. Equally, Rausch and Kopplin (2021) demonstrate that the purchase </w:t>
      </w:r>
      <w:proofErr w:type="spellStart"/>
      <w:r>
        <w:t>behaviour</w:t>
      </w:r>
      <w:proofErr w:type="spellEnd"/>
      <w:r>
        <w:t xml:space="preserve"> of sustainable clothes is sensitive to consumer intention; however, it also involves trust, information, and perceived barriers. Revealing on the flip side, unclear, over-</w:t>
      </w:r>
      <w:proofErr w:type="spellStart"/>
      <w:r>
        <w:t>dramatised</w:t>
      </w:r>
      <w:proofErr w:type="spellEnd"/>
      <w:r>
        <w:t>, or insufficiently supported assertions may hurt brand trust. Research indicates that greenwashing, as perceived, can drive the decline in green brand equity, buying interest, and trust in consumers (</w:t>
      </w:r>
      <w:proofErr w:type="spellStart"/>
      <w:r>
        <w:t>Akturan</w:t>
      </w:r>
      <w:proofErr w:type="spellEnd"/>
      <w:r>
        <w:t>, 2018; Szabo and Webster, 2021; Zhang et al., 2018). This implies that sustainability communication should be done with care.</w:t>
      </w:r>
    </w:p>
    <w:p w14:paraId="66F551C7" w14:textId="77777777" w:rsidR="0063386B" w:rsidRDefault="00000000">
      <w:pPr>
        <w:pStyle w:val="Body"/>
      </w:pPr>
      <w:r>
        <w:t xml:space="preserve">The study is of use since consumer trust is a great business asset. Brand reputation holds potential in the world of fashion retail </w:t>
      </w:r>
      <w:proofErr w:type="gramStart"/>
      <w:r>
        <w:t>in the area of</w:t>
      </w:r>
      <w:proofErr w:type="gramEnd"/>
      <w:r>
        <w:t xml:space="preserve"> loyalty, word-of-the-mouth, customer attractiveness and readiness to work with green products. Nevertheless, customers might have problems in determining </w:t>
      </w:r>
      <w:r>
        <w:lastRenderedPageBreak/>
        <w:t xml:space="preserve">the authenticity of sustainability pronouncements. According to Fella and </w:t>
      </w:r>
      <w:proofErr w:type="spellStart"/>
      <w:r>
        <w:t>Bausa</w:t>
      </w:r>
      <w:proofErr w:type="spellEnd"/>
      <w:r>
        <w:t xml:space="preserve"> (2024), consumers might struggle to </w:t>
      </w:r>
      <w:proofErr w:type="spellStart"/>
      <w:r>
        <w:t>recognise</w:t>
      </w:r>
      <w:proofErr w:type="spellEnd"/>
      <w:r>
        <w:t xml:space="preserve"> greenwashing, prompting uncertainty and confusion. Li, Cavender and Lee (2025) also demonstrate that consumers communicate fashion greenwashing via social media actively, which means that people start to be increasingly </w:t>
      </w:r>
      <w:proofErr w:type="spellStart"/>
      <w:r>
        <w:t>sceptical</w:t>
      </w:r>
      <w:proofErr w:type="spellEnd"/>
      <w:r>
        <w:t>. Thus, better evidence-based knowledge of the impact of green claims on trust and reputation is required by UK fashion retailers.</w:t>
      </w:r>
    </w:p>
    <w:p w14:paraId="6C4F3CF2" w14:textId="77777777" w:rsidR="0063386B" w:rsidRDefault="00000000">
      <w:pPr>
        <w:pStyle w:val="Body"/>
      </w:pPr>
      <w:r>
        <w:t>A secondary qualitative design will be used in this research. It is appropriate since one can research the issue based on existing scholarly sources, industry reports, policy documents and evidence related to the retailer. It does not involve primary survey and interviews. This renders the study achievable within a restrictive academic time. It is also appropriate in Level 7 requirement to exhibit critical interaction with literature, methodology, ethical awareness and research design. A secondary qualitative approach will enable the researcher to undertake comparisons between academic arguments and policy and industry evidence. It is also appropriate because the study focuses on meanings, interpretations, claims, trust and reputation rather than numerical measurement.</w:t>
      </w:r>
    </w:p>
    <w:p w14:paraId="36E20135" w14:textId="77777777" w:rsidR="0063386B" w:rsidRDefault="00000000">
      <w:pPr>
        <w:pStyle w:val="Heading"/>
      </w:pPr>
      <w:bookmarkStart w:id="1" w:name="_Toc1"/>
      <w:r>
        <w:rPr>
          <w:rFonts w:eastAsia="Arial Unicode MS" w:cs="Arial Unicode MS"/>
        </w:rPr>
        <w:t>2. Research Aim, Objectives and Questions</w:t>
      </w:r>
      <w:bookmarkEnd w:id="1"/>
    </w:p>
    <w:p w14:paraId="17551A4F" w14:textId="77777777" w:rsidR="0063386B" w:rsidRDefault="00000000">
      <w:pPr>
        <w:pStyle w:val="Body"/>
      </w:pPr>
      <w:r>
        <w:rPr>
          <w:b/>
          <w:bCs/>
        </w:rPr>
        <w:t>Research Aim</w:t>
      </w:r>
    </w:p>
    <w:p w14:paraId="36DF0A30" w14:textId="77777777" w:rsidR="0063386B" w:rsidRDefault="00000000">
      <w:pPr>
        <w:pStyle w:val="Body"/>
      </w:pPr>
      <w:r>
        <w:t>To critically examine how sustainability claims and greenwashing concerns influence consumer trust and brand reputation in the UK fashion retail sector through secondary qualitative analysis of existing published evidence sources.</w:t>
      </w:r>
    </w:p>
    <w:p w14:paraId="2596A3D6" w14:textId="77777777" w:rsidR="0063386B" w:rsidRDefault="00000000">
      <w:pPr>
        <w:pStyle w:val="Body"/>
      </w:pPr>
      <w:r>
        <w:rPr>
          <w:b/>
          <w:bCs/>
        </w:rPr>
        <w:t>Research Objectives</w:t>
      </w:r>
    </w:p>
    <w:p w14:paraId="1F181EC3" w14:textId="77777777" w:rsidR="0063386B" w:rsidRDefault="00000000">
      <w:pPr>
        <w:pStyle w:val="Body"/>
        <w:numPr>
          <w:ilvl w:val="0"/>
          <w:numId w:val="2"/>
        </w:numPr>
      </w:pPr>
      <w:r>
        <w:t xml:space="preserve">To examine academic and industry debates on sustainability claims, greenwashing and consumer trust in UK fashion retail. </w:t>
      </w:r>
    </w:p>
    <w:p w14:paraId="7B60E665" w14:textId="77777777" w:rsidR="0063386B" w:rsidRDefault="00000000">
      <w:pPr>
        <w:pStyle w:val="Body"/>
        <w:numPr>
          <w:ilvl w:val="0"/>
          <w:numId w:val="2"/>
        </w:numPr>
      </w:pPr>
      <w:r>
        <w:t xml:space="preserve">To </w:t>
      </w:r>
      <w:proofErr w:type="spellStart"/>
      <w:r>
        <w:t>analyse</w:t>
      </w:r>
      <w:proofErr w:type="spellEnd"/>
      <w:r>
        <w:t xml:space="preserve"> secondary documents to identify how transparent environmental communication affects brand reputation and customer confidence. </w:t>
      </w:r>
    </w:p>
    <w:p w14:paraId="4F739C70" w14:textId="77777777" w:rsidR="0063386B" w:rsidRDefault="00000000">
      <w:pPr>
        <w:pStyle w:val="Body"/>
        <w:numPr>
          <w:ilvl w:val="0"/>
          <w:numId w:val="2"/>
        </w:numPr>
      </w:pPr>
      <w:r>
        <w:t xml:space="preserve">To develop evidence-based recommendations for UK fashion retailers to strengthen credible sustainability communication and reduce greenwashing risks. </w:t>
      </w:r>
    </w:p>
    <w:p w14:paraId="2145562C" w14:textId="77777777" w:rsidR="0063386B" w:rsidRDefault="00000000">
      <w:pPr>
        <w:pStyle w:val="Body"/>
      </w:pPr>
      <w:r>
        <w:rPr>
          <w:b/>
          <w:bCs/>
        </w:rPr>
        <w:t>Main Research Question</w:t>
      </w:r>
    </w:p>
    <w:p w14:paraId="7C079585" w14:textId="77777777" w:rsidR="0063386B" w:rsidRDefault="00000000">
      <w:pPr>
        <w:pStyle w:val="Body"/>
      </w:pPr>
      <w:r>
        <w:t>How do sustainability claims and greenwashing concerns influence consumer trust and brand reputation in the UK fashion retail sector?</w:t>
      </w:r>
    </w:p>
    <w:p w14:paraId="4A0010B8" w14:textId="77777777" w:rsidR="0063386B" w:rsidRDefault="00000000">
      <w:pPr>
        <w:pStyle w:val="Body"/>
      </w:pPr>
      <w:r>
        <w:rPr>
          <w:b/>
          <w:bCs/>
        </w:rPr>
        <w:t>Sub-Questions</w:t>
      </w:r>
    </w:p>
    <w:p w14:paraId="7F8E30FE" w14:textId="77777777" w:rsidR="0063386B" w:rsidRDefault="00000000">
      <w:pPr>
        <w:pStyle w:val="Body"/>
        <w:numPr>
          <w:ilvl w:val="0"/>
          <w:numId w:val="4"/>
        </w:numPr>
      </w:pPr>
      <w:r>
        <w:t xml:space="preserve">What types of sustainability claims are commonly discussed in fashion retail literature and UK industry reports? </w:t>
      </w:r>
    </w:p>
    <w:p w14:paraId="0CFA6B6D" w14:textId="77777777" w:rsidR="0063386B" w:rsidRDefault="00000000">
      <w:pPr>
        <w:pStyle w:val="Body"/>
        <w:numPr>
          <w:ilvl w:val="0"/>
          <w:numId w:val="4"/>
        </w:numPr>
      </w:pPr>
      <w:r>
        <w:t xml:space="preserve">How does perceived greenwashing affect consumer trust, purchase intention and brand reputation? </w:t>
      </w:r>
    </w:p>
    <w:p w14:paraId="7DF7DE54" w14:textId="77777777" w:rsidR="0063386B" w:rsidRDefault="00000000">
      <w:pPr>
        <w:pStyle w:val="Body"/>
        <w:numPr>
          <w:ilvl w:val="0"/>
          <w:numId w:val="4"/>
        </w:numPr>
      </w:pPr>
      <w:r>
        <w:t xml:space="preserve">How can UK fashion retailers communicate sustainability claims more credibly and transparently? </w:t>
      </w:r>
    </w:p>
    <w:p w14:paraId="29194363" w14:textId="77777777" w:rsidR="0063386B" w:rsidRDefault="00000000">
      <w:pPr>
        <w:pStyle w:val="Heading"/>
      </w:pPr>
      <w:bookmarkStart w:id="2" w:name="_Toc2"/>
      <w:r>
        <w:rPr>
          <w:rFonts w:eastAsia="Arial Unicode MS" w:cs="Arial Unicode MS"/>
        </w:rPr>
        <w:lastRenderedPageBreak/>
        <w:t>3. Key Literature and Contextual Issues</w:t>
      </w:r>
      <w:bookmarkEnd w:id="2"/>
    </w:p>
    <w:p w14:paraId="493B0501" w14:textId="77777777" w:rsidR="0063386B" w:rsidRDefault="00000000">
      <w:pPr>
        <w:pStyle w:val="Heading2"/>
      </w:pPr>
      <w:bookmarkStart w:id="3" w:name="_Toc3"/>
      <w:r>
        <w:rPr>
          <w:rFonts w:eastAsia="Arial Unicode MS" w:cs="Arial Unicode MS"/>
        </w:rPr>
        <w:t>3.1 Sustainability in Fashion Retail</w:t>
      </w:r>
      <w:bookmarkEnd w:id="3"/>
    </w:p>
    <w:p w14:paraId="783BE19C" w14:textId="77777777" w:rsidR="0063386B" w:rsidRDefault="00000000">
      <w:pPr>
        <w:pStyle w:val="Body"/>
      </w:pPr>
      <w:r>
        <w:t xml:space="preserve">Sustainable fashion is a broad and contested concept. Henninger, </w:t>
      </w:r>
      <w:proofErr w:type="spellStart"/>
      <w:r>
        <w:t>Alevizou</w:t>
      </w:r>
      <w:proofErr w:type="spellEnd"/>
      <w:r>
        <w:t xml:space="preserve"> and Oates (2016) argue that sustainable fashion does not have one simple definition, because it can include environmental, social, ethical and economic dimensions. It can be called organic materials, fair </w:t>
      </w:r>
      <w:proofErr w:type="spellStart"/>
      <w:r>
        <w:t>labour</w:t>
      </w:r>
      <w:proofErr w:type="spellEnd"/>
      <w:r>
        <w:t xml:space="preserve">, sustainable clothing, recycling, repair, resale, </w:t>
      </w:r>
      <w:proofErr w:type="spellStart"/>
      <w:r>
        <w:t>minimise</w:t>
      </w:r>
      <w:proofErr w:type="spellEnd"/>
      <w:r>
        <w:t xml:space="preserve"> waste, slow fashion and responsible consumption. This is a challenge to fashion retailers in terms of communication. When a brand mentions something in general like green, conscious or eco-friendly and nothing is said on what all this means, the consumer might misinterpret it or perceive greenwashing.</w:t>
      </w:r>
    </w:p>
    <w:p w14:paraId="2C4B0D3E" w14:textId="77777777" w:rsidR="0063386B" w:rsidRDefault="00000000">
      <w:pPr>
        <w:pStyle w:val="Body"/>
      </w:pPr>
      <w:r>
        <w:t xml:space="preserve">The conflict between the aspects of sustainability and consumption also influences fashion retail. According to Mukendi et al. (2020), sustainable fashion research has numerous themes, among them consumer </w:t>
      </w:r>
      <w:proofErr w:type="spellStart"/>
      <w:r>
        <w:t>behaviour</w:t>
      </w:r>
      <w:proofErr w:type="spellEnd"/>
      <w:r>
        <w:t>, ethical production, circularity, and marketing communication. Nonetheless, the fast fashion model is grounded on high turnover within the products, low prices and consumption. This may go against the sustainability objectives. According to Adamkiewicz et al. (2022), the problem of greenwashing within the sustainable fashion sector is major since the brands can promote social responsibility and sustain business strategies that promote excessive consumption. This brings a disconnect between the sustainability communication and the real sustainability performance.</w:t>
      </w:r>
    </w:p>
    <w:p w14:paraId="5647C8D5" w14:textId="77777777" w:rsidR="0063386B" w:rsidRDefault="00000000">
      <w:pPr>
        <w:pStyle w:val="Body"/>
      </w:pPr>
      <w:r>
        <w:t xml:space="preserve">One of the answers to this challenge has been revealed circularly. </w:t>
      </w:r>
      <w:proofErr w:type="spellStart"/>
      <w:r>
        <w:t>Vehmas</w:t>
      </w:r>
      <w:proofErr w:type="spellEnd"/>
      <w:r>
        <w:t xml:space="preserve"> et al. (2018) refer to consumer attitudes and communication in the context of a circular fashion and present the fact that it requires consumers to have clear information about the recycling process, reusing, and prolonging the life of products. Circularity is also an important priority for the UK textile sector (WRAP, 2024). Nonetheless, circular fashion communication should be believable. In case the retailers advertise repair, resale or recycled materials without clear indications, the indications might be viewed as symbolic but not substantive. So, sustainability communication needs to describe what was done, what evidence is available, and what the restrictions are.</w:t>
      </w:r>
    </w:p>
    <w:p w14:paraId="1AF06DE5" w14:textId="77777777" w:rsidR="0063386B" w:rsidRDefault="00000000">
      <w:pPr>
        <w:pStyle w:val="Heading2"/>
      </w:pPr>
      <w:bookmarkStart w:id="4" w:name="_Toc4"/>
      <w:r>
        <w:rPr>
          <w:rFonts w:eastAsia="Arial Unicode MS" w:cs="Arial Unicode MS"/>
        </w:rPr>
        <w:t>3.2 Consumer Trust and Brand Reputation</w:t>
      </w:r>
      <w:bookmarkEnd w:id="4"/>
    </w:p>
    <w:p w14:paraId="14B4ADDB" w14:textId="77777777" w:rsidR="0063386B" w:rsidRDefault="00000000">
      <w:pPr>
        <w:pStyle w:val="Body"/>
      </w:pPr>
      <w:r>
        <w:t xml:space="preserve">Sustainable fashion marketing is the focus of consumer trust. Trust makes consumers believe that claims made by a brand are honest, reliable and real-life. Neumann, Martinez and Martinez (2021) demonstrate that trust has a role to play in purchase intention in the fast fashion setting. According to their research, consumers might be better inclined to sustainability when it seems that the brand is responsible indeed. This is significant since sometimes sustainable fashion products are associated with credence qualities. Consumers will have a hard time finding out whether a garment is indeed sustainable, ethically produced or more environmentally friendly. They </w:t>
      </w:r>
      <w:proofErr w:type="gramStart"/>
      <w:r>
        <w:t>have to</w:t>
      </w:r>
      <w:proofErr w:type="gramEnd"/>
      <w:r>
        <w:t xml:space="preserve"> be dependent on brand information, third-party evidence and perceived credibility.</w:t>
      </w:r>
    </w:p>
    <w:p w14:paraId="727E5EDB" w14:textId="77777777" w:rsidR="0063386B" w:rsidRDefault="00000000">
      <w:pPr>
        <w:pStyle w:val="Body"/>
      </w:pPr>
      <w:r>
        <w:lastRenderedPageBreak/>
        <w:t xml:space="preserve">The interpretation of sustainability claims by consumers also influences brand reputation. De Jong, Huluba, and </w:t>
      </w:r>
      <w:proofErr w:type="spellStart"/>
      <w:r>
        <w:t>Beldad</w:t>
      </w:r>
      <w:proofErr w:type="spellEnd"/>
      <w:r>
        <w:t xml:space="preserve"> (2020) discovered that various greenwashing types may negatively impact corporate reputation. According to their study, environmental lies and half-lies have the potential to hurt perceptions of an </w:t>
      </w:r>
      <w:proofErr w:type="spellStart"/>
      <w:r>
        <w:t>organisation</w:t>
      </w:r>
      <w:proofErr w:type="spellEnd"/>
      <w:r>
        <w:t>. This is important to UK fashion retailers as reputation can be used as a competitive edge. Loss of consumer confidence, a regulatory action forced on a retailer by a regulator and a denunciation in the media may be easily caused by a retailer perceived as being deceptive. Conversely, a genuine retailer can also build their reputation, although their path towards sustainability has not been fully achieved yet.</w:t>
      </w:r>
    </w:p>
    <w:p w14:paraId="7509EF84" w14:textId="77777777" w:rsidR="0063386B" w:rsidRDefault="00000000">
      <w:pPr>
        <w:pStyle w:val="Body"/>
      </w:pPr>
      <w:r>
        <w:t>There is also the attitude-</w:t>
      </w:r>
      <w:proofErr w:type="spellStart"/>
      <w:r>
        <w:t>behaviour</w:t>
      </w:r>
      <w:proofErr w:type="spellEnd"/>
      <w:r>
        <w:t xml:space="preserve"> gap that is associated with consumer trust. According to Diddi et al. (2019), young customers might have positive intentions towards sustainable clothes and still not buy sustainably. Rausch and Kopplin (2021) also demonstrate that there is a disconnection between intention and </w:t>
      </w:r>
      <w:proofErr w:type="spellStart"/>
      <w:r>
        <w:t>behaviour</w:t>
      </w:r>
      <w:proofErr w:type="spellEnd"/>
      <w:r>
        <w:t xml:space="preserve"> in sustainable clothing consumption. This gap can be attributed to several difficulties, among them being price, convenience, style preferences, lack of information and mistrust. Thus, the problem of credible communication is not a minor one. It can aid in </w:t>
      </w:r>
      <w:proofErr w:type="spellStart"/>
      <w:r>
        <w:t>minimising</w:t>
      </w:r>
      <w:proofErr w:type="spellEnd"/>
      <w:r>
        <w:t xml:space="preserve"> uncertainty and provide more sustainable purchasing choices.</w:t>
      </w:r>
    </w:p>
    <w:p w14:paraId="193693D1" w14:textId="77777777" w:rsidR="0063386B" w:rsidRDefault="00000000">
      <w:pPr>
        <w:pStyle w:val="Heading2"/>
      </w:pPr>
      <w:bookmarkStart w:id="5" w:name="_Toc5"/>
      <w:r>
        <w:rPr>
          <w:rFonts w:eastAsia="Arial Unicode MS" w:cs="Arial Unicode MS"/>
        </w:rPr>
        <w:t xml:space="preserve">3.3 Greenwashing and Consumer </w:t>
      </w:r>
      <w:proofErr w:type="spellStart"/>
      <w:r>
        <w:rPr>
          <w:rFonts w:eastAsia="Arial Unicode MS" w:cs="Arial Unicode MS"/>
        </w:rPr>
        <w:t>Scepticism</w:t>
      </w:r>
      <w:bookmarkEnd w:id="5"/>
      <w:proofErr w:type="spellEnd"/>
    </w:p>
    <w:p w14:paraId="5DD16BF3" w14:textId="77777777" w:rsidR="0063386B" w:rsidRDefault="00000000">
      <w:pPr>
        <w:pStyle w:val="Body"/>
      </w:pPr>
      <w:r>
        <w:t xml:space="preserve">Greenwashing has become a major theme in sustainability marketing research. de Freitas Netto et al. (2020) identify different concepts and forms of greenwashing, including misleading claims, selective disclosure, vague language and symbolic communication. These types are very applicable to the fashion retail setting since most of the fashion assertions entail extensive supply networks and engineering facts of the environment. As an example, a product can have an element of recycled </w:t>
      </w:r>
      <w:proofErr w:type="spellStart"/>
      <w:r>
        <w:t>fibres</w:t>
      </w:r>
      <w:proofErr w:type="spellEnd"/>
      <w:r>
        <w:t xml:space="preserve"> and other effects on the environment in the production, transport and disposal processes. Consumers will be misled in cases where there is a claim with only one positive aspect without looking at the broad effects.</w:t>
      </w:r>
    </w:p>
    <w:p w14:paraId="46273DDE" w14:textId="77777777" w:rsidR="0063386B" w:rsidRDefault="00000000">
      <w:pPr>
        <w:pStyle w:val="Body"/>
      </w:pPr>
      <w:r>
        <w:t xml:space="preserve">The influence of greenwashing on consumer </w:t>
      </w:r>
      <w:proofErr w:type="spellStart"/>
      <w:r>
        <w:t>behaviour</w:t>
      </w:r>
      <w:proofErr w:type="spellEnd"/>
      <w:r>
        <w:t xml:space="preserve"> may occur in several ways. The result of </w:t>
      </w:r>
      <w:proofErr w:type="spellStart"/>
      <w:r>
        <w:t>Akturan</w:t>
      </w:r>
      <w:proofErr w:type="spellEnd"/>
      <w:r>
        <w:t xml:space="preserve"> (2018) revealed that green brand equity and purchase intention could decrease owing to greenwashing. Another significant result of Zhang et al. (2018) shows that the perception of greenwashing has a negative impact on the intentions to green purchasing, and green word-of-mouth and green concern are significant factors. These studies indicate that greenwashing not only influences immediate product assessment. It also may affect the way consumers discuss the brands and whether they are willing to purchase them in the future.</w:t>
      </w:r>
    </w:p>
    <w:p w14:paraId="6A7D3966" w14:textId="77777777" w:rsidR="0063386B" w:rsidRDefault="00000000">
      <w:pPr>
        <w:pStyle w:val="Body"/>
      </w:pPr>
      <w:r>
        <w:t xml:space="preserve">On greenwashing, Szabo and Webster (2021) claim that the perceived greenwashing influences environmental and product perception. This implies that once consumers notice there is a possibility of greenwashing, they might appraise the sustainability of the brand and the product </w:t>
      </w:r>
      <w:proofErr w:type="gramStart"/>
      <w:r>
        <w:t>as a whole in</w:t>
      </w:r>
      <w:proofErr w:type="gramEnd"/>
      <w:r>
        <w:t xml:space="preserve"> a bad light. Similarly, Schmuck, Matthes and Naderer (2018) demonstrate that the imposture of green </w:t>
      </w:r>
      <w:r>
        <w:lastRenderedPageBreak/>
        <w:t>advertising can impact the reaction of the consumers with the help of both emotional and rational stages. Sustainability claims, thus, can be convincing, but can also backfire as they appear to be deceptive.</w:t>
      </w:r>
    </w:p>
    <w:p w14:paraId="610FF065" w14:textId="77777777" w:rsidR="0063386B" w:rsidRDefault="00000000">
      <w:pPr>
        <w:pStyle w:val="Body"/>
      </w:pPr>
      <w:r>
        <w:t xml:space="preserve">Recent studies indicate that consumers are more knowledge of greenwashing of fashion. Li, Cavender and Lee (2025) investigated fashion greenwashing social media conversations and discovered that consumers talked about </w:t>
      </w:r>
      <w:proofErr w:type="spellStart"/>
      <w:r>
        <w:t>scepticism</w:t>
      </w:r>
      <w:proofErr w:type="spellEnd"/>
      <w:r>
        <w:t>, empowerment and fast fashion marketing as the links between fashion greenwashing and social media. This is significant since criticism through social media can go viral. A doubtful claim of sustainability may turn into a reputational risk in case it is questioned by consumers in social circles. Consequently, retailers in the fashion industry need not only to become compliant with the law but also to focus on the interpretation by the consumers.</w:t>
      </w:r>
    </w:p>
    <w:p w14:paraId="3B863393" w14:textId="77777777" w:rsidR="0063386B" w:rsidRDefault="00000000">
      <w:pPr>
        <w:pStyle w:val="Heading2"/>
      </w:pPr>
      <w:bookmarkStart w:id="6" w:name="_Toc6"/>
      <w:r>
        <w:rPr>
          <w:rFonts w:eastAsia="Arial Unicode MS" w:cs="Arial Unicode MS"/>
        </w:rPr>
        <w:t>3.4 UK Regulatory and Industry Context</w:t>
      </w:r>
      <w:bookmarkEnd w:id="6"/>
    </w:p>
    <w:p w14:paraId="267562EC" w14:textId="77777777" w:rsidR="0063386B" w:rsidRDefault="00000000">
      <w:pPr>
        <w:pStyle w:val="Body"/>
      </w:pPr>
      <w:r>
        <w:t>The applicability of this research is enhanced by the regulatory framework in the UK. According to the CMA guidance, the fashion retail environmental claims need to meet the consumer law requirement (Competition and Markets Authority, 2024). Claims must be factual, understandable, particular and with evidence. This holds significance since fashion marketing tends to make use of appealing words and pictures. Nevertheless, when this communication creates the illusion that consumers have about environmental benefits, it can be deemed as misleading.</w:t>
      </w:r>
    </w:p>
    <w:p w14:paraId="0060CD62" w14:textId="77777777" w:rsidR="0063386B" w:rsidRDefault="00000000">
      <w:pPr>
        <w:pStyle w:val="Body"/>
      </w:pPr>
      <w:r>
        <w:t xml:space="preserve">The CMA guidance should be considered especially relevant since it is about the sectors. It acknowledges that fashion retailers typically claim materials, ranges, collections of products, recycling programs, and sustainability goals. This implies that UK fashion companies need to reassess the </w:t>
      </w:r>
      <w:proofErr w:type="gramStart"/>
      <w:r>
        <w:t>manner in which</w:t>
      </w:r>
      <w:proofErr w:type="gramEnd"/>
      <w:r>
        <w:t xml:space="preserve"> they convey environmental statements. The guidance also suggests that greenwashing is not a moral issue. It is a compliance risk, too.</w:t>
      </w:r>
    </w:p>
    <w:p w14:paraId="1CB3CD52" w14:textId="77777777" w:rsidR="0063386B" w:rsidRDefault="00000000">
      <w:pPr>
        <w:pStyle w:val="Body"/>
      </w:pPr>
      <w:r>
        <w:t xml:space="preserve">The reasons as to why transparency is important are also reported in the industry. Fashion Revolution (2025) aims at climate and energy-related transparency of fashion brands. This is </w:t>
      </w:r>
      <w:proofErr w:type="spellStart"/>
      <w:r>
        <w:t>emphasised</w:t>
      </w:r>
      <w:proofErr w:type="spellEnd"/>
      <w:r>
        <w:t xml:space="preserve"> in its work, which underscores the significance of disclosure in supply chains and climate action. Transparency does not necessarily equate to sustainability, but it provides consumers, regulating bodies and other stakeholders with a vehicle for evaluating brand claims more critically. The UK textile industry also displays signs of developments in terms of circularity, carbon regulation and waste, as illustrated by WRAP (2024). These reports indicate that the statements of sustainability must be linked to action that can be measured.</w:t>
      </w:r>
    </w:p>
    <w:p w14:paraId="38D8766B" w14:textId="77777777" w:rsidR="0063386B" w:rsidRDefault="00000000">
      <w:pPr>
        <w:pStyle w:val="Body"/>
      </w:pPr>
      <w:r>
        <w:t xml:space="preserve">Mintel (2025) argues that consumers in the UK fashion market are becoming more concerned with sustainability and durability. This also provides a chance for retailers to gain a reputation by </w:t>
      </w:r>
      <w:proofErr w:type="spellStart"/>
      <w:r>
        <w:t>practising</w:t>
      </w:r>
      <w:proofErr w:type="spellEnd"/>
      <w:r>
        <w:t xml:space="preserve"> true sustainability. Nevertheless, it also causes the threat of greenwashing to the brands that employ sustainability as a marketing trend without sufficient evidence. Consequently, this paper will discuss how sustainability communication can facilitate trust and mitigate falsehoods.</w:t>
      </w:r>
    </w:p>
    <w:p w14:paraId="6343AE80" w14:textId="77777777" w:rsidR="0063386B" w:rsidRDefault="00000000">
      <w:pPr>
        <w:pStyle w:val="Heading2"/>
      </w:pPr>
      <w:bookmarkStart w:id="7" w:name="_Toc7"/>
      <w:r>
        <w:rPr>
          <w:rFonts w:eastAsia="Arial Unicode MS" w:cs="Arial Unicode MS"/>
        </w:rPr>
        <w:lastRenderedPageBreak/>
        <w:t>3.5 Research Gap</w:t>
      </w:r>
      <w:bookmarkEnd w:id="7"/>
    </w:p>
    <w:p w14:paraId="368A5737" w14:textId="77777777" w:rsidR="0063386B" w:rsidRDefault="00000000">
      <w:pPr>
        <w:pStyle w:val="Body"/>
      </w:pPr>
      <w:r>
        <w:t>The literature demonstrates that greenwashing, sustainable fashion, and consumer trust have been extensively debated. Nevertheless, secondary qualitative research tackling the relationship between these issues in the UK fashion retail industry is yet to be done. Numerous studies apply the concept of greenwashing in general or within the international setting (</w:t>
      </w:r>
      <w:proofErr w:type="spellStart"/>
      <w:r>
        <w:t>Akturan</w:t>
      </w:r>
      <w:proofErr w:type="spellEnd"/>
      <w:r>
        <w:t>, 2018; Zhang et al., 2018; Szabo and Webster, 2021). Sustainable fashion consumption and trust are considered in other studies (Neumann, Martinez, and Martinez, 2021; Rausch and Kopplin, 2021). Nevertheless, the UK policy environment, particularly the CMA guidelines, provides a certain necessity to investigate the way sustainability claims are to be perceived concerning consumer trust and brand reputation.</w:t>
      </w:r>
    </w:p>
    <w:p w14:paraId="7440B657" w14:textId="77777777" w:rsidR="0063386B" w:rsidRDefault="00000000">
      <w:pPr>
        <w:pStyle w:val="Body"/>
      </w:pPr>
      <w:r>
        <w:t xml:space="preserve">The study will fill this gap by </w:t>
      </w:r>
      <w:proofErr w:type="spellStart"/>
      <w:r>
        <w:t>synthesising</w:t>
      </w:r>
      <w:proofErr w:type="spellEnd"/>
      <w:r>
        <w:t xml:space="preserve"> academic and industry evidence. It will not make any effort to quantify consumer </w:t>
      </w:r>
      <w:proofErr w:type="spellStart"/>
      <w:r>
        <w:t>behaviour</w:t>
      </w:r>
      <w:proofErr w:type="spellEnd"/>
      <w:r>
        <w:t>. Instead, it will interpret existing evidence to identify key themes, tensions and implications for UK fashion retailers. This renders the study appropriate for a secondary qualitative research proposal.</w:t>
      </w:r>
    </w:p>
    <w:p w14:paraId="71A00DE1" w14:textId="77777777" w:rsidR="0063386B" w:rsidRDefault="00000000">
      <w:pPr>
        <w:pStyle w:val="Heading"/>
      </w:pPr>
      <w:bookmarkStart w:id="8" w:name="_Toc8"/>
      <w:r>
        <w:rPr>
          <w:rFonts w:eastAsia="Arial Unicode MS" w:cs="Arial Unicode MS"/>
        </w:rPr>
        <w:t>4. Research Paradigm and Methodology</w:t>
      </w:r>
      <w:bookmarkEnd w:id="8"/>
    </w:p>
    <w:p w14:paraId="24416EB2" w14:textId="77777777" w:rsidR="0063386B" w:rsidRDefault="00000000">
      <w:pPr>
        <w:pStyle w:val="Body"/>
      </w:pPr>
      <w:r>
        <w:t xml:space="preserve">An interpretivist research paradigm will be used in this study. Interpretivism will be </w:t>
      </w:r>
      <w:proofErr w:type="spellStart"/>
      <w:r>
        <w:t>favourable</w:t>
      </w:r>
      <w:proofErr w:type="spellEnd"/>
      <w:r>
        <w:t xml:space="preserve"> since the research will be based on meanings, perceptions and interpretations and not a pure measurement. Socially constructed are consumer trust, brand reputation and greenwashing issues. Their reliance is on the </w:t>
      </w:r>
      <w:proofErr w:type="gramStart"/>
      <w:r>
        <w:t>manner in which</w:t>
      </w:r>
      <w:proofErr w:type="gramEnd"/>
      <w:r>
        <w:t xml:space="preserve"> consumers perceive brand claims, the </w:t>
      </w:r>
      <w:proofErr w:type="gramStart"/>
      <w:r>
        <w:t>manner in which</w:t>
      </w:r>
      <w:proofErr w:type="gramEnd"/>
      <w:r>
        <w:t xml:space="preserve"> regulating agencies establish misleading communication and the effect of sustainability action within businesses. Thus, the research requires a paradigm that would enable critical analysis of writings, arguments and evidence published.</w:t>
      </w:r>
    </w:p>
    <w:p w14:paraId="7D40632D" w14:textId="77777777" w:rsidR="0063386B" w:rsidRDefault="00000000">
      <w:pPr>
        <w:pStyle w:val="Body"/>
      </w:pPr>
      <w:r>
        <w:t xml:space="preserve">The ontological standpoint of this research is relativist. This implies a view of social reality as influenced by social viewpoints. A sustainability claim can take the form of a valid report of a gain by a fashion retailer. The consumer might find the same assertion to be ambiguous or misguided. A regulator can determine the claim to be clear, accurate and substantiated. The research problem revolves around these various interpretations. The research will not presuppose that sustainability communication has a single meaning. Rather, it will </w:t>
      </w:r>
      <w:proofErr w:type="spellStart"/>
      <w:r>
        <w:t>analyse</w:t>
      </w:r>
      <w:proofErr w:type="spellEnd"/>
      <w:r>
        <w:t xml:space="preserve"> the construction of meanings based on academic literature, industry reports and policy documents.</w:t>
      </w:r>
    </w:p>
    <w:p w14:paraId="2A299E40" w14:textId="77777777" w:rsidR="0063386B" w:rsidRDefault="00000000">
      <w:pPr>
        <w:pStyle w:val="Body"/>
      </w:pPr>
      <w:r>
        <w:t xml:space="preserve">The epistemological stance is interpretive and subjectivist. Development of knowledge will be attained by writing and analysis of secondary materials. Patterns, themes and discussions in the selected documents will be interpreted by the researcher. This suits a secondary qualitative study as no primary data collection will be done in gathering the evidence, but through published materials. According to Saunders, Lewis and Thornhill (2019), the research design needs to correspond to the research question, philosophical position and method. Seeing that this research asks the question of how </w:t>
      </w:r>
      <w:r>
        <w:lastRenderedPageBreak/>
        <w:t>sustainability claims and greenwashing issues moderate trust and reputation, a qualitative interpretation is the best method as compared to a strictly quantitative one.</w:t>
      </w:r>
    </w:p>
    <w:p w14:paraId="19A8BC1E" w14:textId="77777777" w:rsidR="0063386B" w:rsidRDefault="00000000">
      <w:pPr>
        <w:pStyle w:val="Body"/>
      </w:pPr>
      <w:r>
        <w:t xml:space="preserve">The research approach will be secondary qualitative research. This implies that the paper will </w:t>
      </w:r>
      <w:proofErr w:type="spellStart"/>
      <w:r>
        <w:t>utilise</w:t>
      </w:r>
      <w:proofErr w:type="spellEnd"/>
      <w:r>
        <w:t xml:space="preserve"> the available academic, policy and industry literature as data. It will include peer-reviewed journal articles on greenwashing, consumer trust, sustainable fashion and purchase intention. It shall also have UK policy and industry focus reports, including the CMA guidance, WRAP report, Fashion Revolution report and the Mintel report. Such an approach is suitable as the topic has a good representation in the existing literature and does not demand primary access to the consumers or retailers.</w:t>
      </w:r>
    </w:p>
    <w:p w14:paraId="79458D95" w14:textId="77777777" w:rsidR="0063386B" w:rsidRDefault="00000000">
      <w:pPr>
        <w:pStyle w:val="Body"/>
      </w:pPr>
      <w:r>
        <w:t xml:space="preserve">The method of research will be inductive. Through the inductive method, themes are drawn out of the data instead of a prior test hypothesis. Creswell and Creswell (2023), indicative of qualitative research, is often gained via exploration and interpretation. Among the themes that might be addressed in the study are transparency, consumer </w:t>
      </w:r>
      <w:proofErr w:type="spellStart"/>
      <w:r>
        <w:t>scepticism</w:t>
      </w:r>
      <w:proofErr w:type="spellEnd"/>
      <w:r>
        <w:t xml:space="preserve">, regulatory compliance, reputation risk, purchase intention, social media criticism and circular fashion communication. The selected literature and documents will be </w:t>
      </w:r>
      <w:proofErr w:type="spellStart"/>
      <w:r>
        <w:t>analysed</w:t>
      </w:r>
      <w:proofErr w:type="spellEnd"/>
      <w:r>
        <w:t xml:space="preserve"> in terms of themes, which will be identified and developed using thematic analysis.</w:t>
      </w:r>
    </w:p>
    <w:p w14:paraId="7C55804A" w14:textId="77777777" w:rsidR="0063386B" w:rsidRDefault="00000000">
      <w:pPr>
        <w:pStyle w:val="Body"/>
      </w:pPr>
      <w:r>
        <w:t>Document analysis will also be applied in the analysis of the study. Textual evidence will be policy reports, industry reports and academic articles. According to Yin (2018), documents have the potential to become useful in case-oriented and qualitative inquiry as they offer reliable evidence, which could be re-reviewed several times. Documents will assist the researcher in this proposal to comprehend how regulators, industry bodies and academic researchers frame sustainability claims.</w:t>
      </w:r>
    </w:p>
    <w:p w14:paraId="77279E20" w14:textId="77777777" w:rsidR="0063386B" w:rsidRDefault="00000000">
      <w:pPr>
        <w:pStyle w:val="Heading"/>
      </w:pPr>
      <w:bookmarkStart w:id="9" w:name="_Toc9"/>
      <w:r>
        <w:rPr>
          <w:rFonts w:eastAsia="Arial Unicode MS" w:cs="Arial Unicode MS"/>
        </w:rPr>
        <w:t>5. Methods and Tools for Data Collection</w:t>
      </w:r>
      <w:bookmarkEnd w:id="9"/>
    </w:p>
    <w:p w14:paraId="45EA2C95" w14:textId="77777777" w:rsidR="0063386B" w:rsidRDefault="00000000">
      <w:pPr>
        <w:pStyle w:val="Body"/>
      </w:pPr>
      <w:r>
        <w:t>The research will be based solely on secondary data. No use of surveys, interviews and focus groups will take place. This becomes appropriate since available evidence can be used to tackle the research topic. It also circumvents the real issue of capturing the fashion retail managers or consumers over a short period of time. Sources chosen will also entail methodological books, peer-reviewed journal articles, industry or policy reports.</w:t>
      </w:r>
    </w:p>
    <w:p w14:paraId="43BD2CD1" w14:textId="77777777" w:rsidR="0063386B" w:rsidRDefault="00000000">
      <w:pPr>
        <w:pStyle w:val="Body"/>
      </w:pPr>
      <w:r>
        <w:t>Academic sources will be collected from databases such as Google Scholar, university library databases, Emerald, Elsevier, Taylor &amp; Francis, SAGE, Springer and Wiley. Search terms will include “greenwashing fashion retail”, “sustainable fashion consumer trust”, “green claims brand reputation”, “greenwashing purchase intention”, “circular fashion communication”, “UK fashion sustainability” and “environmental claims consumer law fashion”. The search will focus mainly on sources published within the last ten years. This is important because sustainability communication and greenwashing regulation have developed quickly.</w:t>
      </w:r>
    </w:p>
    <w:p w14:paraId="4B6D1BDA" w14:textId="77777777" w:rsidR="0063386B" w:rsidRDefault="00000000">
      <w:pPr>
        <w:pStyle w:val="Body"/>
      </w:pPr>
      <w:r>
        <w:t xml:space="preserve">The chosen peer-reviewed papers will give scholarly depth. As a case in point, de Freitas Netto et al. (2020) will assist in the conceptual insight into greenwashing. To facilitate fashion-specific discourse </w:t>
      </w:r>
      <w:r>
        <w:lastRenderedPageBreak/>
        <w:t>on greenwashing, Adamkiewicz et al. (2022) will be involved. Neumann, Martinez and Martinez (2021) will justify the examination of trust and purchase intention in fast fashion. Li, Cavender and Lee (2025) will prove helpful discussion of consumer awareness and social media controversy. Such sources will aid the research in developing a good theoretical and empirical base.</w:t>
      </w:r>
    </w:p>
    <w:p w14:paraId="33D25070" w14:textId="77777777" w:rsidR="0063386B" w:rsidRDefault="00000000">
      <w:pPr>
        <w:pStyle w:val="Body"/>
      </w:pPr>
      <w:r>
        <w:t xml:space="preserve">The UK context will be provided in the industry and policy reports. Legal expectations regarding fashion environmental claims will be understood using the CMA guidance </w:t>
      </w:r>
      <w:proofErr w:type="gramStart"/>
      <w:r>
        <w:t>( Competition</w:t>
      </w:r>
      <w:proofErr w:type="gramEnd"/>
      <w:r>
        <w:t xml:space="preserve"> and Markets Authority, 2024). The circularity and development of the UK textile sector will be learned through WRAP (2024). Transparency and climate disclosure will be supported with the discussion in Fashion Revolution (2025). The attitude of the consumer and market trends in the sustainability of fashion in the UK will be discussed with the help of Mintel (2025).</w:t>
      </w:r>
    </w:p>
    <w:p w14:paraId="2664B527" w14:textId="77777777" w:rsidR="0063386B" w:rsidRDefault="00000000">
      <w:pPr>
        <w:pStyle w:val="Body"/>
      </w:pPr>
      <w:r>
        <w:t xml:space="preserve">A literature matrix will be used as the main data management tool. The columns will consist of author, year, type of source, country or context, purpose of the research, methodology, central findings, usefulness to trust, usefulness to reputation and potential theme. This will assist in </w:t>
      </w:r>
      <w:proofErr w:type="spellStart"/>
      <w:r>
        <w:t>systematising</w:t>
      </w:r>
      <w:proofErr w:type="spellEnd"/>
      <w:r>
        <w:t xml:space="preserve"> evidence. It will additionally decrease the possibility of using a random citation. This can be done using Microsoft Excel or Word.</w:t>
      </w:r>
    </w:p>
    <w:p w14:paraId="00865231" w14:textId="77777777" w:rsidR="0063386B" w:rsidRDefault="00000000">
      <w:pPr>
        <w:pStyle w:val="Body"/>
      </w:pPr>
      <w:r>
        <w:t xml:space="preserve">These criteria will include publications published between 2016 and 2025; are directly related to sustainability claims, greenwashing, consumer trust, brand reputation, sustainable fashion or research methodology; are credible academic or policy sources or industry; are in English; and can be qualitatively </w:t>
      </w:r>
      <w:proofErr w:type="spellStart"/>
      <w:r>
        <w:t>analysed</w:t>
      </w:r>
      <w:proofErr w:type="spellEnd"/>
      <w:r>
        <w:t xml:space="preserve"> secondarily. Exclusion criteria will include non-credible blogs, unsupported opinion pieces, outdated sources, sources unrelated to fashion or greenwashing, and sources without clear author or publication details.</w:t>
      </w:r>
    </w:p>
    <w:p w14:paraId="3C0BDE0B" w14:textId="77777777" w:rsidR="0063386B" w:rsidRDefault="00000000">
      <w:pPr>
        <w:pStyle w:val="Heading"/>
      </w:pPr>
      <w:bookmarkStart w:id="10" w:name="_Toc10"/>
      <w:r>
        <w:rPr>
          <w:rFonts w:eastAsia="Arial Unicode MS" w:cs="Arial Unicode MS"/>
        </w:rPr>
        <w:t>6. Data Analysis Strategy</w:t>
      </w:r>
      <w:bookmarkEnd w:id="10"/>
    </w:p>
    <w:p w14:paraId="2E522756" w14:textId="77777777" w:rsidR="0063386B" w:rsidRDefault="00000000">
      <w:pPr>
        <w:pStyle w:val="Body"/>
      </w:pPr>
      <w:r>
        <w:t xml:space="preserve">The study will use thematic analysis. Thematic analysis is suitable because it helps identify patterns across qualitative sources. Braun and Clarke are commonly associated with thematic analysis, but since their article is not included in the provided reference list, this proposal will draw on the broader qualitative guidance of Leavy (2020), Creswell and Creswell (2023), and Saunders, Lewis and Thornhill (2019). The process will involve </w:t>
      </w:r>
      <w:proofErr w:type="spellStart"/>
      <w:r>
        <w:t>familiarisation</w:t>
      </w:r>
      <w:proofErr w:type="spellEnd"/>
      <w:r>
        <w:t>, coding, theme development, review and interpretation.</w:t>
      </w:r>
    </w:p>
    <w:p w14:paraId="20BBDD4B" w14:textId="77777777" w:rsidR="0063386B" w:rsidRDefault="00000000">
      <w:pPr>
        <w:pStyle w:val="Body"/>
      </w:pPr>
      <w:r>
        <w:t xml:space="preserve">First, the researcher will read all selected sources carefully. During </w:t>
      </w:r>
      <w:proofErr w:type="spellStart"/>
      <w:r>
        <w:t>familiarisation</w:t>
      </w:r>
      <w:proofErr w:type="spellEnd"/>
      <w:r>
        <w:t xml:space="preserve">, notes will be made on how each source discusses sustainability claims, greenwashing, consumer trust and brand reputation. Second, initial codes will be created. Possible codes may include “vague claims”, “consumer </w:t>
      </w:r>
      <w:proofErr w:type="spellStart"/>
      <w:r>
        <w:t>scepticism</w:t>
      </w:r>
      <w:proofErr w:type="spellEnd"/>
      <w:r>
        <w:t>”, “trust formation”, “reputation damage”, “regulatory pressure”, “transparency”, “circular fashion”, “purchase intention” and “social media criticism”.</w:t>
      </w:r>
    </w:p>
    <w:p w14:paraId="622551EC" w14:textId="77777777" w:rsidR="0063386B" w:rsidRDefault="00000000">
      <w:pPr>
        <w:pStyle w:val="Body"/>
      </w:pPr>
      <w:r>
        <w:t xml:space="preserve">Third, similar codes will be grouped into broader themes. For example, codes about vague claims, selective disclosure and lack of evidence may form a theme called “greenwashing risk in sustainability </w:t>
      </w:r>
      <w:r>
        <w:lastRenderedPageBreak/>
        <w:t>communication”. Codes about credibility, transparency and verification may form a theme called “trust-building through evidence-based claims”. Codes about purchase intention, loyalty and consumer confidence may form a theme called “consumer trust and brand outcomes”.</w:t>
      </w:r>
    </w:p>
    <w:p w14:paraId="4CC4B61B" w14:textId="77777777" w:rsidR="0063386B" w:rsidRDefault="00000000">
      <w:pPr>
        <w:pStyle w:val="Body"/>
      </w:pPr>
      <w:r>
        <w:t>Fourth, the themes will be reviewed against the research question. The researcher will check whether each theme directly explains how sustainability claims and greenwashing concerns influence consumer trust and brand reputation. Finally, the findings will be interpreted in relation to the UK fashion retail context. This means that academic evidence will be connected to CMA guidance and UK industry reports.</w:t>
      </w:r>
    </w:p>
    <w:p w14:paraId="318B0ED0" w14:textId="77777777" w:rsidR="0063386B" w:rsidRDefault="00000000">
      <w:pPr>
        <w:pStyle w:val="Body"/>
      </w:pPr>
      <w:r>
        <w:t>The analysis will also use source triangulation. This means comparing evidence from academic articles, policy reports and industry reports. For example, academic research may show that greenwashing reduces purchase intention (Zhang et al., 2018), while CMA guidance may show why retailers need evidence-based claims (Competition and Markets Authority, 2024). This comparison can strengthen the analysis because it connects theory with practice.</w:t>
      </w:r>
    </w:p>
    <w:p w14:paraId="3EC415B5" w14:textId="77777777" w:rsidR="0063386B" w:rsidRDefault="00000000">
      <w:pPr>
        <w:pStyle w:val="Heading"/>
      </w:pPr>
      <w:bookmarkStart w:id="11" w:name="_Toc11"/>
      <w:r>
        <w:rPr>
          <w:rFonts w:eastAsia="Arial Unicode MS" w:cs="Arial Unicode MS"/>
        </w:rPr>
        <w:t>7. Evaluation of the Chosen Method</w:t>
      </w:r>
      <w:bookmarkEnd w:id="11"/>
    </w:p>
    <w:p w14:paraId="038199EC" w14:textId="77777777" w:rsidR="0063386B" w:rsidRDefault="00000000">
      <w:pPr>
        <w:pStyle w:val="Body"/>
      </w:pPr>
      <w:r>
        <w:t xml:space="preserve">The analysis will employ thematic analysis. Thematic analysis is suitable because it helps identify patterns across qualitative sources. Braun and Clarke are commonly associated with thematic analysis, but since their article is not included in the provided reference list, this proposal will draw on the broader qualitative guidance of Leavy (2020), Creswell and Creswell (2023), and Saunders, Lewis and Thornhill (2019). This will be done through a </w:t>
      </w:r>
      <w:proofErr w:type="spellStart"/>
      <w:r>
        <w:t>familiarisation</w:t>
      </w:r>
      <w:proofErr w:type="spellEnd"/>
      <w:r>
        <w:t>, coding, development of the themes, review and interpretation.</w:t>
      </w:r>
    </w:p>
    <w:p w14:paraId="1DFAAC0F" w14:textId="77777777" w:rsidR="0063386B" w:rsidRDefault="00000000">
      <w:pPr>
        <w:pStyle w:val="Body"/>
      </w:pPr>
      <w:r>
        <w:t xml:space="preserve">To begin with, the researcher will thoroughly read the chosen sources. Through </w:t>
      </w:r>
      <w:proofErr w:type="spellStart"/>
      <w:r>
        <w:t>familiarisation</w:t>
      </w:r>
      <w:proofErr w:type="spellEnd"/>
      <w:r>
        <w:t xml:space="preserve">, it will record notes on the way each source talks about sustainability claims, greenwashing, consumer trust and brand reputation. Second, original codes will be developed. Potential codes can be vagueness, </w:t>
      </w:r>
      <w:proofErr w:type="spellStart"/>
      <w:r>
        <w:t>scepticism</w:t>
      </w:r>
      <w:proofErr w:type="spellEnd"/>
      <w:r>
        <w:t xml:space="preserve"> by consumers, formation of trust, cutback, regulatory influence, transparency, circularity, purchase motive and social media criticism.</w:t>
      </w:r>
    </w:p>
    <w:p w14:paraId="34A76D34" w14:textId="77777777" w:rsidR="0063386B" w:rsidRDefault="00000000">
      <w:pPr>
        <w:pStyle w:val="Body"/>
      </w:pPr>
      <w:r>
        <w:t>Third, there will be broader themes on which similar codes will be clustered. The example plays key codes such as vague claims, selective disclosure, and a lack of evidence as a theme, which might be denoted as the greenwashing risk in sustainability communication. Themes, such as trust-building through evidence-based claims, may be made of codes regarding credibility, transparency and verification. There might be a theme known as consumer trust and brand outcomes that consists of codes regarding purchase intention, loyalty and consumer confidence.</w:t>
      </w:r>
    </w:p>
    <w:p w14:paraId="16152EBF" w14:textId="77777777" w:rsidR="0063386B" w:rsidRDefault="00000000">
      <w:pPr>
        <w:pStyle w:val="Body"/>
      </w:pPr>
      <w:r>
        <w:t xml:space="preserve">Fourth, the themes will be checked against the research question. The researcher will confirm that every theme is thematic relating on how the sustainability claims and greenwashing issues can directly explain the effect on consumer trust and brand reputation. Lastly, the research will be interpreted with </w:t>
      </w:r>
      <w:r>
        <w:lastRenderedPageBreak/>
        <w:t>the UK fashion retail scenario. It implies that there will be academic evidence relating to CMA guidance and UK industry reports.</w:t>
      </w:r>
    </w:p>
    <w:p w14:paraId="45AF1A78" w14:textId="77777777" w:rsidR="0063386B" w:rsidRDefault="00000000">
      <w:pPr>
        <w:pStyle w:val="Body"/>
      </w:pPr>
      <w:r>
        <w:t>Triangulation of sources will also be applied to the analysis. This is in the form of comparing academic articles, evidence, policy reports and industry reports. As an illustration, a scholarly study might highlight that greenwashing lowers the intention to buy (Zhang et al., 2018), and a CMA guideline may indicate why retailers require evidence-based assertions (Competition and Markets Authority, 2024). This analogy can reinforce the analysis since it relates theory and practice.</w:t>
      </w:r>
    </w:p>
    <w:p w14:paraId="69975990" w14:textId="77777777" w:rsidR="0063386B" w:rsidRDefault="00000000">
      <w:pPr>
        <w:pStyle w:val="Body"/>
      </w:pPr>
      <w:r>
        <w:t>8. Assessment of the Elected Technique.</w:t>
      </w:r>
    </w:p>
    <w:p w14:paraId="6E53DFB2" w14:textId="77777777" w:rsidR="0063386B" w:rsidRDefault="00000000">
      <w:pPr>
        <w:pStyle w:val="Body"/>
      </w:pPr>
      <w:r>
        <w:t xml:space="preserve">There are </w:t>
      </w:r>
      <w:proofErr w:type="gramStart"/>
      <w:r>
        <w:t>a number of</w:t>
      </w:r>
      <w:proofErr w:type="gramEnd"/>
      <w:r>
        <w:t xml:space="preserve"> strengths associated with the secondary qualitative method. First, it can be done. UK consumers of fashion or retail managers would need to be recruited, consent, data collection and ethics into primary research. This can be challenging within the assignment time. These access problems are avoided by secondary research. Second, it enables the researcher to employ extensive evidence which is credible. A robust academic and industrial literature is already available on the topic, such as greenwashing research, sustainable fashion research and reports in UK policy.</w:t>
      </w:r>
    </w:p>
    <w:p w14:paraId="22B9AF92" w14:textId="77777777" w:rsidR="0063386B" w:rsidRDefault="00000000">
      <w:pPr>
        <w:pStyle w:val="Body"/>
      </w:pPr>
      <w:r>
        <w:t xml:space="preserve">Third, secondary qualitative research is one that aids critical analysis. It enables the researcher to contrast various perspectives. Industry reports can focus on progress, or academic research can focus on consumer </w:t>
      </w:r>
      <w:proofErr w:type="spellStart"/>
      <w:r>
        <w:t>scepticism</w:t>
      </w:r>
      <w:proofErr w:type="spellEnd"/>
      <w:r>
        <w:t xml:space="preserve"> or the risk of greenwashing. This underpins Level 7 critical thinking as the researcher </w:t>
      </w:r>
      <w:proofErr w:type="gramStart"/>
      <w:r>
        <w:t>is able to</w:t>
      </w:r>
      <w:proofErr w:type="gramEnd"/>
      <w:r>
        <w:t xml:space="preserve"> assess contradictions and gaps. Fourth, the technique is not very expensive to conduct financially since </w:t>
      </w:r>
      <w:proofErr w:type="gramStart"/>
      <w:r>
        <w:t>the majority of</w:t>
      </w:r>
      <w:proofErr w:type="gramEnd"/>
      <w:r>
        <w:t xml:space="preserve"> the sources are either available in university databases or public websites.</w:t>
      </w:r>
    </w:p>
    <w:p w14:paraId="489129EA" w14:textId="77777777" w:rsidR="0063386B" w:rsidRDefault="00000000">
      <w:pPr>
        <w:pStyle w:val="Body"/>
      </w:pPr>
      <w:r>
        <w:t xml:space="preserve">Nevertheless, there are also shortcomings of the approach. It does not gather new consumer sentiments. As such, it is incapable of directly quantifying the existing consumer attitudes in the UK. It also relies on the quality of sources that are available. Certain industry reports can be told in either a positive or non-revealing manner. The claims on the sustainability of the company can also be selective. This poses a threat of bias. According to Saunders, Lewis and Thornhill (2019), researchers are advised to evaluate the relevance and credibility of sources of data. This research will thus employ the use of source examination and triangulation in </w:t>
      </w:r>
      <w:proofErr w:type="spellStart"/>
      <w:r>
        <w:t>minimising</w:t>
      </w:r>
      <w:proofErr w:type="spellEnd"/>
      <w:r>
        <w:t xml:space="preserve"> bias.</w:t>
      </w:r>
    </w:p>
    <w:p w14:paraId="0401C07E" w14:textId="77777777" w:rsidR="0063386B" w:rsidRDefault="00000000">
      <w:pPr>
        <w:pStyle w:val="Body"/>
      </w:pPr>
      <w:r>
        <w:t xml:space="preserve">The other constraint is that secondary qualitative research </w:t>
      </w:r>
      <w:proofErr w:type="gramStart"/>
      <w:r>
        <w:t>is not able to</w:t>
      </w:r>
      <w:proofErr w:type="gramEnd"/>
      <w:r>
        <w:t xml:space="preserve"> establish causality. It can demonstrate that, in current literature, greenwashing is correlated with decreased trust and purchase </w:t>
      </w:r>
      <w:proofErr w:type="gramStart"/>
      <w:r>
        <w:t>intention, but</w:t>
      </w:r>
      <w:proofErr w:type="gramEnd"/>
      <w:r>
        <w:t xml:space="preserve"> does not statistically establish that the claim by a particular UK retailer led to a particular reputation consequence. This is agreeable since the research question is explorative and interpretive. The point is to comprehend patterns and implications, without testing a causal model.</w:t>
      </w:r>
    </w:p>
    <w:p w14:paraId="52424404" w14:textId="77777777" w:rsidR="0063386B" w:rsidRDefault="00000000">
      <w:pPr>
        <w:pStyle w:val="Heading"/>
      </w:pPr>
      <w:bookmarkStart w:id="12" w:name="_Toc12"/>
      <w:r>
        <w:rPr>
          <w:rFonts w:eastAsia="Arial Unicode MS" w:cs="Arial Unicode MS"/>
        </w:rPr>
        <w:t>8. Resource Implications</w:t>
      </w:r>
      <w:bookmarkEnd w:id="12"/>
    </w:p>
    <w:p w14:paraId="533827AA" w14:textId="77777777" w:rsidR="0063386B" w:rsidRDefault="00000000">
      <w:pPr>
        <w:pStyle w:val="Body"/>
      </w:pPr>
      <w:r>
        <w:t xml:space="preserve">The study resource requirements are affordable. The main resource is time. The investigator will take time to locate the sources, filter them, read them, compile a literature matrix, code the content, generate </w:t>
      </w:r>
      <w:r>
        <w:lastRenderedPageBreak/>
        <w:t>themes and draft the proposal. Since the research will be based on secondary data, it will not incur any expense in hiring the participants, travelling to the venue, transcription of the interviews or use of survey software.</w:t>
      </w:r>
    </w:p>
    <w:p w14:paraId="2C569946" w14:textId="77777777" w:rsidR="0063386B" w:rsidRDefault="00000000">
      <w:pPr>
        <w:pStyle w:val="Body"/>
      </w:pPr>
      <w:r>
        <w:t xml:space="preserve">Through the university library, the researcher will be required to access academic databases. It might need paid access to some of the industry reports, including Mintel (2025). If complete access is not available, the researcher may rely on summaries made available and complement them with open-access materials like the CMA guidance, WRAP and Fashion Revolution. It will be enough to write, take notes and </w:t>
      </w:r>
      <w:proofErr w:type="spellStart"/>
      <w:r>
        <w:t>organise</w:t>
      </w:r>
      <w:proofErr w:type="spellEnd"/>
      <w:r>
        <w:t xml:space="preserve"> data using Microsoft Word and Excel. It can also be beneficial to reference software (Zotero or Mendeley, etc.), though not mandatory.</w:t>
      </w:r>
    </w:p>
    <w:p w14:paraId="1142D738" w14:textId="77777777" w:rsidR="0063386B" w:rsidRDefault="00000000">
      <w:pPr>
        <w:pStyle w:val="Body"/>
      </w:pPr>
      <w:r>
        <w:t xml:space="preserve">Close time management will be needed in the study. One of the pitfalls is gathering excessive sources and losing track. To control this, the researcher will employ the rules of inclusion and exclusion. The other risk is that it is overly dependent on the general sources of sustainability. </w:t>
      </w:r>
      <w:proofErr w:type="gramStart"/>
      <w:r>
        <w:t>In order to</w:t>
      </w:r>
      <w:proofErr w:type="gramEnd"/>
      <w:r>
        <w:t xml:space="preserve"> prevent this, the focus of the study will be on sources that are directly correlated with fashion retail, greenwashing, trust and reputation.</w:t>
      </w:r>
    </w:p>
    <w:p w14:paraId="4C472914" w14:textId="77777777" w:rsidR="0063386B" w:rsidRDefault="00000000">
      <w:pPr>
        <w:pStyle w:val="Heading"/>
      </w:pPr>
      <w:bookmarkStart w:id="13" w:name="_Toc13"/>
      <w:r>
        <w:rPr>
          <w:rFonts w:eastAsia="Arial Unicode MS" w:cs="Arial Unicode MS"/>
        </w:rPr>
        <w:t>9. Tentative Time Plan</w:t>
      </w:r>
      <w:bookmarkEnd w:id="13"/>
    </w:p>
    <w:tbl>
      <w:tblPr>
        <w:tblW w:w="973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1D7"/>
        <w:tblLayout w:type="fixed"/>
        <w:tblLook w:val="04A0" w:firstRow="1" w:lastRow="0" w:firstColumn="1" w:lastColumn="0" w:noHBand="0" w:noVBand="1"/>
      </w:tblPr>
      <w:tblGrid>
        <w:gridCol w:w="1627"/>
        <w:gridCol w:w="811"/>
        <w:gridCol w:w="811"/>
        <w:gridCol w:w="811"/>
        <w:gridCol w:w="810"/>
        <w:gridCol w:w="810"/>
        <w:gridCol w:w="810"/>
        <w:gridCol w:w="810"/>
        <w:gridCol w:w="810"/>
        <w:gridCol w:w="810"/>
        <w:gridCol w:w="816"/>
      </w:tblGrid>
      <w:tr w:rsidR="0063386B" w14:paraId="6D0E7915" w14:textId="77777777">
        <w:trPr>
          <w:trHeight w:val="600"/>
        </w:trPr>
        <w:tc>
          <w:tcPr>
            <w:tcW w:w="1627" w:type="dxa"/>
            <w:tcBorders>
              <w:top w:val="single" w:sz="4" w:space="0" w:color="000000"/>
              <w:left w:val="single" w:sz="4" w:space="0" w:color="000000"/>
              <w:bottom w:val="single" w:sz="4" w:space="0" w:color="000000"/>
              <w:right w:val="single" w:sz="4" w:space="0" w:color="000000"/>
            </w:tcBorders>
            <w:shd w:val="clear" w:color="auto" w:fill="45B0E1"/>
            <w:tcMar>
              <w:top w:w="80" w:type="dxa"/>
              <w:left w:w="80" w:type="dxa"/>
              <w:bottom w:w="80" w:type="dxa"/>
              <w:right w:w="80" w:type="dxa"/>
            </w:tcMar>
          </w:tcPr>
          <w:p w14:paraId="60FFC4C6" w14:textId="77777777" w:rsidR="0063386B" w:rsidRDefault="00000000">
            <w:pPr>
              <w:pStyle w:val="Body"/>
              <w:spacing w:line="240" w:lineRule="auto"/>
            </w:pPr>
            <w:r>
              <w:rPr>
                <w:b/>
                <w:bCs/>
                <w:kern w:val="0"/>
              </w:rPr>
              <w:t>Research Activities</w:t>
            </w:r>
          </w:p>
        </w:tc>
        <w:tc>
          <w:tcPr>
            <w:tcW w:w="811" w:type="dxa"/>
            <w:tcBorders>
              <w:top w:val="single" w:sz="4" w:space="0" w:color="000000"/>
              <w:left w:val="single" w:sz="4" w:space="0" w:color="000000"/>
              <w:bottom w:val="single" w:sz="4" w:space="0" w:color="000000"/>
              <w:right w:val="single" w:sz="4" w:space="0" w:color="000000"/>
            </w:tcBorders>
            <w:shd w:val="clear" w:color="auto" w:fill="45B0E1"/>
            <w:tcMar>
              <w:top w:w="80" w:type="dxa"/>
              <w:left w:w="80" w:type="dxa"/>
              <w:bottom w:w="80" w:type="dxa"/>
              <w:right w:w="80" w:type="dxa"/>
            </w:tcMar>
          </w:tcPr>
          <w:p w14:paraId="4F2CB7F8" w14:textId="77777777" w:rsidR="0063386B" w:rsidRDefault="00000000">
            <w:pPr>
              <w:pStyle w:val="Body"/>
              <w:spacing w:line="240" w:lineRule="auto"/>
            </w:pPr>
            <w:r>
              <w:rPr>
                <w:b/>
                <w:bCs/>
                <w:kern w:val="0"/>
              </w:rPr>
              <w:t>Week 1</w:t>
            </w:r>
          </w:p>
        </w:tc>
        <w:tc>
          <w:tcPr>
            <w:tcW w:w="811" w:type="dxa"/>
            <w:tcBorders>
              <w:top w:val="single" w:sz="4" w:space="0" w:color="000000"/>
              <w:left w:val="single" w:sz="4" w:space="0" w:color="000000"/>
              <w:bottom w:val="single" w:sz="4" w:space="0" w:color="000000"/>
              <w:right w:val="single" w:sz="4" w:space="0" w:color="000000"/>
            </w:tcBorders>
            <w:shd w:val="clear" w:color="auto" w:fill="45B0E1"/>
            <w:tcMar>
              <w:top w:w="80" w:type="dxa"/>
              <w:left w:w="80" w:type="dxa"/>
              <w:bottom w:w="80" w:type="dxa"/>
              <w:right w:w="80" w:type="dxa"/>
            </w:tcMar>
          </w:tcPr>
          <w:p w14:paraId="019A8F59" w14:textId="77777777" w:rsidR="0063386B" w:rsidRDefault="00000000">
            <w:pPr>
              <w:pStyle w:val="Body"/>
              <w:spacing w:line="240" w:lineRule="auto"/>
            </w:pPr>
            <w:r>
              <w:rPr>
                <w:b/>
                <w:bCs/>
                <w:kern w:val="0"/>
              </w:rPr>
              <w:t>Week 2</w:t>
            </w:r>
          </w:p>
        </w:tc>
        <w:tc>
          <w:tcPr>
            <w:tcW w:w="811" w:type="dxa"/>
            <w:tcBorders>
              <w:top w:val="single" w:sz="4" w:space="0" w:color="000000"/>
              <w:left w:val="single" w:sz="4" w:space="0" w:color="000000"/>
              <w:bottom w:val="single" w:sz="4" w:space="0" w:color="000000"/>
              <w:right w:val="single" w:sz="4" w:space="0" w:color="000000"/>
            </w:tcBorders>
            <w:shd w:val="clear" w:color="auto" w:fill="45B0E1"/>
            <w:tcMar>
              <w:top w:w="80" w:type="dxa"/>
              <w:left w:w="80" w:type="dxa"/>
              <w:bottom w:w="80" w:type="dxa"/>
              <w:right w:w="80" w:type="dxa"/>
            </w:tcMar>
          </w:tcPr>
          <w:p w14:paraId="2179EC2D" w14:textId="77777777" w:rsidR="0063386B" w:rsidRDefault="00000000">
            <w:pPr>
              <w:pStyle w:val="Body"/>
              <w:spacing w:line="240" w:lineRule="auto"/>
            </w:pPr>
            <w:r>
              <w:rPr>
                <w:b/>
                <w:bCs/>
                <w:kern w:val="0"/>
              </w:rPr>
              <w:t>Week 3</w:t>
            </w:r>
          </w:p>
        </w:tc>
        <w:tc>
          <w:tcPr>
            <w:tcW w:w="810" w:type="dxa"/>
            <w:tcBorders>
              <w:top w:val="single" w:sz="4" w:space="0" w:color="000000"/>
              <w:left w:val="single" w:sz="4" w:space="0" w:color="000000"/>
              <w:bottom w:val="single" w:sz="4" w:space="0" w:color="000000"/>
              <w:right w:val="single" w:sz="4" w:space="0" w:color="000000"/>
            </w:tcBorders>
            <w:shd w:val="clear" w:color="auto" w:fill="45B0E1"/>
            <w:tcMar>
              <w:top w:w="80" w:type="dxa"/>
              <w:left w:w="80" w:type="dxa"/>
              <w:bottom w:w="80" w:type="dxa"/>
              <w:right w:w="80" w:type="dxa"/>
            </w:tcMar>
          </w:tcPr>
          <w:p w14:paraId="5D663F95" w14:textId="77777777" w:rsidR="0063386B" w:rsidRDefault="00000000">
            <w:pPr>
              <w:pStyle w:val="Body"/>
              <w:spacing w:line="240" w:lineRule="auto"/>
            </w:pPr>
            <w:r>
              <w:rPr>
                <w:b/>
                <w:bCs/>
                <w:kern w:val="0"/>
              </w:rPr>
              <w:t>Week 4</w:t>
            </w:r>
          </w:p>
        </w:tc>
        <w:tc>
          <w:tcPr>
            <w:tcW w:w="810" w:type="dxa"/>
            <w:tcBorders>
              <w:top w:val="single" w:sz="4" w:space="0" w:color="000000"/>
              <w:left w:val="single" w:sz="4" w:space="0" w:color="000000"/>
              <w:bottom w:val="single" w:sz="4" w:space="0" w:color="000000"/>
              <w:right w:val="single" w:sz="4" w:space="0" w:color="000000"/>
            </w:tcBorders>
            <w:shd w:val="clear" w:color="auto" w:fill="45B0E1"/>
            <w:tcMar>
              <w:top w:w="80" w:type="dxa"/>
              <w:left w:w="80" w:type="dxa"/>
              <w:bottom w:w="80" w:type="dxa"/>
              <w:right w:w="80" w:type="dxa"/>
            </w:tcMar>
          </w:tcPr>
          <w:p w14:paraId="36A2162D" w14:textId="77777777" w:rsidR="0063386B" w:rsidRDefault="00000000">
            <w:pPr>
              <w:pStyle w:val="Body"/>
              <w:spacing w:line="240" w:lineRule="auto"/>
            </w:pPr>
            <w:r>
              <w:rPr>
                <w:b/>
                <w:bCs/>
                <w:kern w:val="0"/>
              </w:rPr>
              <w:t>Week 5</w:t>
            </w:r>
          </w:p>
        </w:tc>
        <w:tc>
          <w:tcPr>
            <w:tcW w:w="810" w:type="dxa"/>
            <w:tcBorders>
              <w:top w:val="single" w:sz="4" w:space="0" w:color="000000"/>
              <w:left w:val="single" w:sz="4" w:space="0" w:color="000000"/>
              <w:bottom w:val="single" w:sz="4" w:space="0" w:color="000000"/>
              <w:right w:val="single" w:sz="4" w:space="0" w:color="000000"/>
            </w:tcBorders>
            <w:shd w:val="clear" w:color="auto" w:fill="45B0E1"/>
            <w:tcMar>
              <w:top w:w="80" w:type="dxa"/>
              <w:left w:w="80" w:type="dxa"/>
              <w:bottom w:w="80" w:type="dxa"/>
              <w:right w:w="80" w:type="dxa"/>
            </w:tcMar>
          </w:tcPr>
          <w:p w14:paraId="033992D2" w14:textId="77777777" w:rsidR="0063386B" w:rsidRDefault="00000000">
            <w:pPr>
              <w:pStyle w:val="Body"/>
              <w:spacing w:line="240" w:lineRule="auto"/>
            </w:pPr>
            <w:r>
              <w:rPr>
                <w:b/>
                <w:bCs/>
                <w:kern w:val="0"/>
              </w:rPr>
              <w:t>Week 6</w:t>
            </w:r>
          </w:p>
        </w:tc>
        <w:tc>
          <w:tcPr>
            <w:tcW w:w="810" w:type="dxa"/>
            <w:tcBorders>
              <w:top w:val="single" w:sz="4" w:space="0" w:color="000000"/>
              <w:left w:val="single" w:sz="4" w:space="0" w:color="000000"/>
              <w:bottom w:val="single" w:sz="4" w:space="0" w:color="000000"/>
              <w:right w:val="single" w:sz="4" w:space="0" w:color="000000"/>
            </w:tcBorders>
            <w:shd w:val="clear" w:color="auto" w:fill="45B0E1"/>
            <w:tcMar>
              <w:top w:w="80" w:type="dxa"/>
              <w:left w:w="80" w:type="dxa"/>
              <w:bottom w:w="80" w:type="dxa"/>
              <w:right w:w="80" w:type="dxa"/>
            </w:tcMar>
          </w:tcPr>
          <w:p w14:paraId="52C226EE" w14:textId="77777777" w:rsidR="0063386B" w:rsidRDefault="00000000">
            <w:pPr>
              <w:pStyle w:val="Body"/>
              <w:spacing w:line="240" w:lineRule="auto"/>
            </w:pPr>
            <w:r>
              <w:rPr>
                <w:b/>
                <w:bCs/>
                <w:kern w:val="0"/>
              </w:rPr>
              <w:t>Week 7</w:t>
            </w:r>
          </w:p>
        </w:tc>
        <w:tc>
          <w:tcPr>
            <w:tcW w:w="810" w:type="dxa"/>
            <w:tcBorders>
              <w:top w:val="single" w:sz="4" w:space="0" w:color="000000"/>
              <w:left w:val="single" w:sz="4" w:space="0" w:color="000000"/>
              <w:bottom w:val="single" w:sz="4" w:space="0" w:color="000000"/>
              <w:right w:val="single" w:sz="4" w:space="0" w:color="000000"/>
            </w:tcBorders>
            <w:shd w:val="clear" w:color="auto" w:fill="45B0E1"/>
            <w:tcMar>
              <w:top w:w="80" w:type="dxa"/>
              <w:left w:w="80" w:type="dxa"/>
              <w:bottom w:w="80" w:type="dxa"/>
              <w:right w:w="80" w:type="dxa"/>
            </w:tcMar>
          </w:tcPr>
          <w:p w14:paraId="7D5C4B7B" w14:textId="77777777" w:rsidR="0063386B" w:rsidRDefault="00000000">
            <w:pPr>
              <w:pStyle w:val="Body"/>
              <w:spacing w:line="240" w:lineRule="auto"/>
            </w:pPr>
            <w:r>
              <w:rPr>
                <w:b/>
                <w:bCs/>
                <w:kern w:val="0"/>
              </w:rPr>
              <w:t>Week 8</w:t>
            </w:r>
          </w:p>
        </w:tc>
        <w:tc>
          <w:tcPr>
            <w:tcW w:w="810" w:type="dxa"/>
            <w:tcBorders>
              <w:top w:val="single" w:sz="4" w:space="0" w:color="000000"/>
              <w:left w:val="single" w:sz="4" w:space="0" w:color="000000"/>
              <w:bottom w:val="single" w:sz="4" w:space="0" w:color="000000"/>
              <w:right w:val="single" w:sz="4" w:space="0" w:color="000000"/>
            </w:tcBorders>
            <w:shd w:val="clear" w:color="auto" w:fill="45B0E1"/>
            <w:tcMar>
              <w:top w:w="80" w:type="dxa"/>
              <w:left w:w="80" w:type="dxa"/>
              <w:bottom w:w="80" w:type="dxa"/>
              <w:right w:w="80" w:type="dxa"/>
            </w:tcMar>
          </w:tcPr>
          <w:p w14:paraId="58C8A86A" w14:textId="77777777" w:rsidR="0063386B" w:rsidRDefault="00000000">
            <w:pPr>
              <w:pStyle w:val="Body"/>
              <w:spacing w:line="240" w:lineRule="auto"/>
            </w:pPr>
            <w:r>
              <w:rPr>
                <w:b/>
                <w:bCs/>
                <w:kern w:val="0"/>
              </w:rPr>
              <w:t>Week 9</w:t>
            </w:r>
          </w:p>
        </w:tc>
        <w:tc>
          <w:tcPr>
            <w:tcW w:w="816" w:type="dxa"/>
            <w:tcBorders>
              <w:top w:val="single" w:sz="4" w:space="0" w:color="000000"/>
              <w:left w:val="single" w:sz="4" w:space="0" w:color="000000"/>
              <w:bottom w:val="single" w:sz="4" w:space="0" w:color="000000"/>
              <w:right w:val="single" w:sz="4" w:space="0" w:color="000000"/>
            </w:tcBorders>
            <w:shd w:val="clear" w:color="auto" w:fill="45B0E1"/>
            <w:tcMar>
              <w:top w:w="80" w:type="dxa"/>
              <w:left w:w="80" w:type="dxa"/>
              <w:bottom w:w="80" w:type="dxa"/>
              <w:right w:w="80" w:type="dxa"/>
            </w:tcMar>
          </w:tcPr>
          <w:p w14:paraId="24F1D894" w14:textId="77777777" w:rsidR="0063386B" w:rsidRDefault="00000000">
            <w:pPr>
              <w:pStyle w:val="Body"/>
              <w:spacing w:line="240" w:lineRule="auto"/>
            </w:pPr>
            <w:r>
              <w:rPr>
                <w:b/>
                <w:bCs/>
                <w:kern w:val="0"/>
              </w:rPr>
              <w:t>Week 10</w:t>
            </w:r>
          </w:p>
        </w:tc>
      </w:tr>
      <w:tr w:rsidR="0063386B" w14:paraId="2BFE4483" w14:textId="77777777">
        <w:trPr>
          <w:trHeight w:val="900"/>
        </w:trPr>
        <w:tc>
          <w:tcPr>
            <w:tcW w:w="162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F481A3B" w14:textId="77777777" w:rsidR="0063386B" w:rsidRDefault="00000000">
            <w:pPr>
              <w:pStyle w:val="Body"/>
              <w:spacing w:line="240" w:lineRule="auto"/>
            </w:pPr>
            <w:proofErr w:type="spellStart"/>
            <w:r>
              <w:rPr>
                <w:kern w:val="0"/>
              </w:rPr>
              <w:t>Finalise</w:t>
            </w:r>
            <w:proofErr w:type="spellEnd"/>
            <w:r>
              <w:rPr>
                <w:kern w:val="0"/>
              </w:rPr>
              <w:t xml:space="preserve"> topic, title, aim and objectives</w:t>
            </w:r>
          </w:p>
        </w:tc>
        <w:tc>
          <w:tcPr>
            <w:tcW w:w="811" w:type="dxa"/>
            <w:tcBorders>
              <w:top w:val="single" w:sz="4" w:space="0" w:color="000000"/>
              <w:left w:val="single" w:sz="4" w:space="0" w:color="000000"/>
              <w:bottom w:val="single" w:sz="4" w:space="0" w:color="000000"/>
              <w:right w:val="single" w:sz="4" w:space="0" w:color="000000"/>
            </w:tcBorders>
            <w:shd w:val="clear" w:color="auto" w:fill="4C94D8"/>
            <w:tcMar>
              <w:top w:w="80" w:type="dxa"/>
              <w:left w:w="80" w:type="dxa"/>
              <w:bottom w:w="80" w:type="dxa"/>
              <w:right w:w="80" w:type="dxa"/>
            </w:tcMar>
          </w:tcPr>
          <w:p w14:paraId="6C233028" w14:textId="77777777" w:rsidR="0063386B" w:rsidRDefault="0063386B"/>
        </w:tc>
        <w:tc>
          <w:tcPr>
            <w:tcW w:w="81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CFB6FDC" w14:textId="77777777" w:rsidR="0063386B" w:rsidRDefault="0063386B"/>
        </w:tc>
        <w:tc>
          <w:tcPr>
            <w:tcW w:w="81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4FF1207"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8637ED7"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C05F851"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C13F8CB"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53C5486"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68344D0"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4F3B8E1" w14:textId="77777777" w:rsidR="0063386B" w:rsidRDefault="0063386B"/>
        </w:tc>
        <w:tc>
          <w:tcPr>
            <w:tcW w:w="81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5085700" w14:textId="77777777" w:rsidR="0063386B" w:rsidRDefault="0063386B"/>
        </w:tc>
      </w:tr>
      <w:tr w:rsidR="0063386B" w14:paraId="60ED1DF7" w14:textId="77777777">
        <w:trPr>
          <w:trHeight w:val="900"/>
        </w:trPr>
        <w:tc>
          <w:tcPr>
            <w:tcW w:w="162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4972131" w14:textId="77777777" w:rsidR="0063386B" w:rsidRDefault="00000000">
            <w:pPr>
              <w:pStyle w:val="Body"/>
              <w:spacing w:line="240" w:lineRule="auto"/>
            </w:pPr>
            <w:r>
              <w:rPr>
                <w:kern w:val="0"/>
              </w:rPr>
              <w:t>Develop research questions</w:t>
            </w:r>
          </w:p>
        </w:tc>
        <w:tc>
          <w:tcPr>
            <w:tcW w:w="811" w:type="dxa"/>
            <w:tcBorders>
              <w:top w:val="single" w:sz="4" w:space="0" w:color="000000"/>
              <w:left w:val="single" w:sz="4" w:space="0" w:color="000000"/>
              <w:bottom w:val="single" w:sz="4" w:space="0" w:color="000000"/>
              <w:right w:val="single" w:sz="4" w:space="0" w:color="000000"/>
            </w:tcBorders>
            <w:shd w:val="clear" w:color="auto" w:fill="4C94D8"/>
            <w:tcMar>
              <w:top w:w="80" w:type="dxa"/>
              <w:left w:w="80" w:type="dxa"/>
              <w:bottom w:w="80" w:type="dxa"/>
              <w:right w:w="80" w:type="dxa"/>
            </w:tcMar>
          </w:tcPr>
          <w:p w14:paraId="44E13934" w14:textId="77777777" w:rsidR="0063386B" w:rsidRDefault="0063386B"/>
        </w:tc>
        <w:tc>
          <w:tcPr>
            <w:tcW w:w="81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F5C6905" w14:textId="77777777" w:rsidR="0063386B" w:rsidRDefault="0063386B"/>
        </w:tc>
        <w:tc>
          <w:tcPr>
            <w:tcW w:w="81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7359239"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377166"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305FD9E"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7DF6CA4"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157AC0B"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B6FDB04"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D320B0F" w14:textId="77777777" w:rsidR="0063386B" w:rsidRDefault="0063386B"/>
        </w:tc>
        <w:tc>
          <w:tcPr>
            <w:tcW w:w="81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3DF19C9" w14:textId="77777777" w:rsidR="0063386B" w:rsidRDefault="0063386B"/>
        </w:tc>
      </w:tr>
      <w:tr w:rsidR="0063386B" w14:paraId="650F3308" w14:textId="77777777">
        <w:trPr>
          <w:trHeight w:val="1200"/>
        </w:trPr>
        <w:tc>
          <w:tcPr>
            <w:tcW w:w="162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3A386CB" w14:textId="77777777" w:rsidR="0063386B" w:rsidRDefault="00000000">
            <w:pPr>
              <w:pStyle w:val="Body"/>
              <w:spacing w:line="240" w:lineRule="auto"/>
            </w:pPr>
            <w:r>
              <w:rPr>
                <w:kern w:val="0"/>
              </w:rPr>
              <w:t>Prepare search strategy, keywords and databases</w:t>
            </w:r>
          </w:p>
        </w:tc>
        <w:tc>
          <w:tcPr>
            <w:tcW w:w="81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376C91A" w14:textId="77777777" w:rsidR="0063386B" w:rsidRDefault="0063386B"/>
        </w:tc>
        <w:tc>
          <w:tcPr>
            <w:tcW w:w="811" w:type="dxa"/>
            <w:tcBorders>
              <w:top w:val="single" w:sz="4" w:space="0" w:color="000000"/>
              <w:left w:val="single" w:sz="4" w:space="0" w:color="000000"/>
              <w:bottom w:val="single" w:sz="4" w:space="0" w:color="000000"/>
              <w:right w:val="single" w:sz="4" w:space="0" w:color="000000"/>
            </w:tcBorders>
            <w:shd w:val="clear" w:color="auto" w:fill="4C94D8"/>
            <w:tcMar>
              <w:top w:w="80" w:type="dxa"/>
              <w:left w:w="80" w:type="dxa"/>
              <w:bottom w:w="80" w:type="dxa"/>
              <w:right w:w="80" w:type="dxa"/>
            </w:tcMar>
          </w:tcPr>
          <w:p w14:paraId="6F0DBC7D" w14:textId="77777777" w:rsidR="0063386B" w:rsidRDefault="0063386B"/>
        </w:tc>
        <w:tc>
          <w:tcPr>
            <w:tcW w:w="81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D0503A3"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4698A90"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FF58404"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8D64ECB"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0998435"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C71C383"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36665C3" w14:textId="77777777" w:rsidR="0063386B" w:rsidRDefault="0063386B"/>
        </w:tc>
        <w:tc>
          <w:tcPr>
            <w:tcW w:w="81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A5AB644" w14:textId="77777777" w:rsidR="0063386B" w:rsidRDefault="0063386B"/>
        </w:tc>
      </w:tr>
      <w:tr w:rsidR="0063386B" w14:paraId="1C8B8773" w14:textId="77777777">
        <w:trPr>
          <w:trHeight w:val="900"/>
        </w:trPr>
        <w:tc>
          <w:tcPr>
            <w:tcW w:w="162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3259C11" w14:textId="77777777" w:rsidR="0063386B" w:rsidRDefault="00000000">
            <w:pPr>
              <w:pStyle w:val="Body"/>
              <w:spacing w:line="240" w:lineRule="auto"/>
            </w:pPr>
            <w:r>
              <w:rPr>
                <w:kern w:val="0"/>
              </w:rPr>
              <w:t>Set inclusion and exclusion criteria.</w:t>
            </w:r>
          </w:p>
        </w:tc>
        <w:tc>
          <w:tcPr>
            <w:tcW w:w="81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4E0E9B5" w14:textId="77777777" w:rsidR="0063386B" w:rsidRDefault="0063386B"/>
        </w:tc>
        <w:tc>
          <w:tcPr>
            <w:tcW w:w="811" w:type="dxa"/>
            <w:tcBorders>
              <w:top w:val="single" w:sz="4" w:space="0" w:color="000000"/>
              <w:left w:val="single" w:sz="4" w:space="0" w:color="000000"/>
              <w:bottom w:val="single" w:sz="4" w:space="0" w:color="000000"/>
              <w:right w:val="single" w:sz="4" w:space="0" w:color="000000"/>
            </w:tcBorders>
            <w:shd w:val="clear" w:color="auto" w:fill="4C94D8"/>
            <w:tcMar>
              <w:top w:w="80" w:type="dxa"/>
              <w:left w:w="80" w:type="dxa"/>
              <w:bottom w:w="80" w:type="dxa"/>
              <w:right w:w="80" w:type="dxa"/>
            </w:tcMar>
          </w:tcPr>
          <w:p w14:paraId="63727AB3" w14:textId="77777777" w:rsidR="0063386B" w:rsidRDefault="0063386B"/>
        </w:tc>
        <w:tc>
          <w:tcPr>
            <w:tcW w:w="81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9DA1CD7"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F912896"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ECF0371"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6C3F71E"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6EC177D"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A4DC4DE"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48643CE" w14:textId="77777777" w:rsidR="0063386B" w:rsidRDefault="0063386B"/>
        </w:tc>
        <w:tc>
          <w:tcPr>
            <w:tcW w:w="81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DE3F06E" w14:textId="77777777" w:rsidR="0063386B" w:rsidRDefault="0063386B"/>
        </w:tc>
      </w:tr>
      <w:tr w:rsidR="0063386B" w14:paraId="1849A4E1" w14:textId="77777777">
        <w:trPr>
          <w:trHeight w:val="1200"/>
        </w:trPr>
        <w:tc>
          <w:tcPr>
            <w:tcW w:w="162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FD8184D" w14:textId="77777777" w:rsidR="0063386B" w:rsidRDefault="00000000">
            <w:pPr>
              <w:pStyle w:val="Body"/>
              <w:spacing w:line="240" w:lineRule="auto"/>
            </w:pPr>
            <w:r>
              <w:rPr>
                <w:kern w:val="0"/>
              </w:rPr>
              <w:t>Collect academic journal articles.</w:t>
            </w:r>
          </w:p>
        </w:tc>
        <w:tc>
          <w:tcPr>
            <w:tcW w:w="81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0290D6E" w14:textId="77777777" w:rsidR="0063386B" w:rsidRDefault="0063386B"/>
        </w:tc>
        <w:tc>
          <w:tcPr>
            <w:tcW w:w="81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1F4E511" w14:textId="77777777" w:rsidR="0063386B" w:rsidRDefault="0063386B"/>
        </w:tc>
        <w:tc>
          <w:tcPr>
            <w:tcW w:w="811" w:type="dxa"/>
            <w:tcBorders>
              <w:top w:val="single" w:sz="4" w:space="0" w:color="000000"/>
              <w:left w:val="single" w:sz="4" w:space="0" w:color="000000"/>
              <w:bottom w:val="single" w:sz="4" w:space="0" w:color="000000"/>
              <w:right w:val="single" w:sz="4" w:space="0" w:color="000000"/>
            </w:tcBorders>
            <w:shd w:val="clear" w:color="auto" w:fill="4C94D8"/>
            <w:tcMar>
              <w:top w:w="80" w:type="dxa"/>
              <w:left w:w="80" w:type="dxa"/>
              <w:bottom w:w="80" w:type="dxa"/>
              <w:right w:w="80" w:type="dxa"/>
            </w:tcMar>
          </w:tcPr>
          <w:p w14:paraId="7B04882D"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shd w:val="clear" w:color="auto" w:fill="4C94D8"/>
            <w:tcMar>
              <w:top w:w="80" w:type="dxa"/>
              <w:left w:w="80" w:type="dxa"/>
              <w:bottom w:w="80" w:type="dxa"/>
              <w:right w:w="80" w:type="dxa"/>
            </w:tcMar>
          </w:tcPr>
          <w:p w14:paraId="77E91FBA"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5732CAA"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E85469A"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9F281C7"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7695E20"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04CB941" w14:textId="77777777" w:rsidR="0063386B" w:rsidRDefault="0063386B"/>
        </w:tc>
        <w:tc>
          <w:tcPr>
            <w:tcW w:w="81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A6BE553" w14:textId="77777777" w:rsidR="0063386B" w:rsidRDefault="0063386B"/>
        </w:tc>
      </w:tr>
      <w:tr w:rsidR="0063386B" w14:paraId="2EEBFFDC" w14:textId="77777777">
        <w:trPr>
          <w:trHeight w:val="900"/>
        </w:trPr>
        <w:tc>
          <w:tcPr>
            <w:tcW w:w="162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C470BA7" w14:textId="77777777" w:rsidR="0063386B" w:rsidRDefault="00000000">
            <w:pPr>
              <w:pStyle w:val="Body"/>
              <w:spacing w:line="240" w:lineRule="auto"/>
            </w:pPr>
            <w:r>
              <w:rPr>
                <w:kern w:val="0"/>
              </w:rPr>
              <w:t>Collect policy and industry reports.</w:t>
            </w:r>
          </w:p>
        </w:tc>
        <w:tc>
          <w:tcPr>
            <w:tcW w:w="81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C96DD30" w14:textId="77777777" w:rsidR="0063386B" w:rsidRDefault="0063386B"/>
        </w:tc>
        <w:tc>
          <w:tcPr>
            <w:tcW w:w="81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2B033E9" w14:textId="77777777" w:rsidR="0063386B" w:rsidRDefault="0063386B"/>
        </w:tc>
        <w:tc>
          <w:tcPr>
            <w:tcW w:w="811" w:type="dxa"/>
            <w:tcBorders>
              <w:top w:val="single" w:sz="4" w:space="0" w:color="000000"/>
              <w:left w:val="single" w:sz="4" w:space="0" w:color="000000"/>
              <w:bottom w:val="single" w:sz="4" w:space="0" w:color="000000"/>
              <w:right w:val="single" w:sz="4" w:space="0" w:color="000000"/>
            </w:tcBorders>
            <w:shd w:val="clear" w:color="auto" w:fill="4C94D8"/>
            <w:tcMar>
              <w:top w:w="80" w:type="dxa"/>
              <w:left w:w="80" w:type="dxa"/>
              <w:bottom w:w="80" w:type="dxa"/>
              <w:right w:w="80" w:type="dxa"/>
            </w:tcMar>
          </w:tcPr>
          <w:p w14:paraId="2CC43156"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shd w:val="clear" w:color="auto" w:fill="4C94D8"/>
            <w:tcMar>
              <w:top w:w="80" w:type="dxa"/>
              <w:left w:w="80" w:type="dxa"/>
              <w:bottom w:w="80" w:type="dxa"/>
              <w:right w:w="80" w:type="dxa"/>
            </w:tcMar>
          </w:tcPr>
          <w:p w14:paraId="7DA572DA"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F340164"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9263E42"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B2F3727"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63B075"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4753186" w14:textId="77777777" w:rsidR="0063386B" w:rsidRDefault="0063386B"/>
        </w:tc>
        <w:tc>
          <w:tcPr>
            <w:tcW w:w="81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EF9C449" w14:textId="77777777" w:rsidR="0063386B" w:rsidRDefault="0063386B"/>
        </w:tc>
      </w:tr>
      <w:tr w:rsidR="0063386B" w14:paraId="03DEC7B9" w14:textId="77777777">
        <w:trPr>
          <w:trHeight w:val="1200"/>
        </w:trPr>
        <w:tc>
          <w:tcPr>
            <w:tcW w:w="162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EC35E82" w14:textId="77777777" w:rsidR="0063386B" w:rsidRDefault="00000000">
            <w:pPr>
              <w:pStyle w:val="Body"/>
              <w:spacing w:line="240" w:lineRule="auto"/>
            </w:pPr>
            <w:r>
              <w:rPr>
                <w:kern w:val="0"/>
              </w:rPr>
              <w:lastRenderedPageBreak/>
              <w:t>Record source details for Harvard referencing</w:t>
            </w:r>
          </w:p>
        </w:tc>
        <w:tc>
          <w:tcPr>
            <w:tcW w:w="81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80D74ED" w14:textId="77777777" w:rsidR="0063386B" w:rsidRDefault="0063386B"/>
        </w:tc>
        <w:tc>
          <w:tcPr>
            <w:tcW w:w="81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74B5774" w14:textId="77777777" w:rsidR="0063386B" w:rsidRDefault="0063386B"/>
        </w:tc>
        <w:tc>
          <w:tcPr>
            <w:tcW w:w="811" w:type="dxa"/>
            <w:tcBorders>
              <w:top w:val="single" w:sz="4" w:space="0" w:color="000000"/>
              <w:left w:val="single" w:sz="4" w:space="0" w:color="000000"/>
              <w:bottom w:val="single" w:sz="4" w:space="0" w:color="000000"/>
              <w:right w:val="single" w:sz="4" w:space="0" w:color="000000"/>
            </w:tcBorders>
            <w:shd w:val="clear" w:color="auto" w:fill="4C94D8"/>
            <w:tcMar>
              <w:top w:w="80" w:type="dxa"/>
              <w:left w:w="80" w:type="dxa"/>
              <w:bottom w:w="80" w:type="dxa"/>
              <w:right w:w="80" w:type="dxa"/>
            </w:tcMar>
          </w:tcPr>
          <w:p w14:paraId="0066CF31"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shd w:val="clear" w:color="auto" w:fill="4C94D8"/>
            <w:tcMar>
              <w:top w:w="80" w:type="dxa"/>
              <w:left w:w="80" w:type="dxa"/>
              <w:bottom w:w="80" w:type="dxa"/>
              <w:right w:w="80" w:type="dxa"/>
            </w:tcMar>
          </w:tcPr>
          <w:p w14:paraId="03273A4F"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shd w:val="clear" w:color="auto" w:fill="4C94D8"/>
            <w:tcMar>
              <w:top w:w="80" w:type="dxa"/>
              <w:left w:w="80" w:type="dxa"/>
              <w:bottom w:w="80" w:type="dxa"/>
              <w:right w:w="80" w:type="dxa"/>
            </w:tcMar>
          </w:tcPr>
          <w:p w14:paraId="12F4A253"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E03FFCA"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A78C470"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614A29A"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0AEC456" w14:textId="77777777" w:rsidR="0063386B" w:rsidRDefault="0063386B"/>
        </w:tc>
        <w:tc>
          <w:tcPr>
            <w:tcW w:w="81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BAF01A3" w14:textId="77777777" w:rsidR="0063386B" w:rsidRDefault="0063386B"/>
        </w:tc>
      </w:tr>
      <w:tr w:rsidR="0063386B" w14:paraId="55AFFB0D" w14:textId="77777777">
        <w:trPr>
          <w:trHeight w:val="900"/>
        </w:trPr>
        <w:tc>
          <w:tcPr>
            <w:tcW w:w="162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A0C147" w14:textId="77777777" w:rsidR="0063386B" w:rsidRDefault="00000000">
            <w:pPr>
              <w:pStyle w:val="Body"/>
              <w:spacing w:line="240" w:lineRule="auto"/>
            </w:pPr>
            <w:r>
              <w:rPr>
                <w:kern w:val="0"/>
              </w:rPr>
              <w:t>Screen sources and remove weak materials</w:t>
            </w:r>
          </w:p>
        </w:tc>
        <w:tc>
          <w:tcPr>
            <w:tcW w:w="81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62375B0" w14:textId="77777777" w:rsidR="0063386B" w:rsidRDefault="0063386B"/>
        </w:tc>
        <w:tc>
          <w:tcPr>
            <w:tcW w:w="81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966EA48" w14:textId="77777777" w:rsidR="0063386B" w:rsidRDefault="0063386B"/>
        </w:tc>
        <w:tc>
          <w:tcPr>
            <w:tcW w:w="81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C36A40D"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7403CAC"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shd w:val="clear" w:color="auto" w:fill="4C94D8"/>
            <w:tcMar>
              <w:top w:w="80" w:type="dxa"/>
              <w:left w:w="80" w:type="dxa"/>
              <w:bottom w:w="80" w:type="dxa"/>
              <w:right w:w="80" w:type="dxa"/>
            </w:tcMar>
          </w:tcPr>
          <w:p w14:paraId="666463EE"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45A8C4F"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0C58D4A"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5CA1A84"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567EA22" w14:textId="77777777" w:rsidR="0063386B" w:rsidRDefault="0063386B"/>
        </w:tc>
        <w:tc>
          <w:tcPr>
            <w:tcW w:w="81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E8DEC52" w14:textId="77777777" w:rsidR="0063386B" w:rsidRDefault="0063386B"/>
        </w:tc>
      </w:tr>
      <w:tr w:rsidR="0063386B" w14:paraId="461834F3" w14:textId="77777777">
        <w:trPr>
          <w:trHeight w:val="1200"/>
        </w:trPr>
        <w:tc>
          <w:tcPr>
            <w:tcW w:w="162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B3F05E7" w14:textId="77777777" w:rsidR="0063386B" w:rsidRDefault="00000000">
            <w:pPr>
              <w:pStyle w:val="Body"/>
              <w:spacing w:line="240" w:lineRule="auto"/>
            </w:pPr>
            <w:proofErr w:type="spellStart"/>
            <w:r>
              <w:rPr>
                <w:kern w:val="0"/>
              </w:rPr>
              <w:t>Organise</w:t>
            </w:r>
            <w:proofErr w:type="spellEnd"/>
            <w:r>
              <w:rPr>
                <w:kern w:val="0"/>
              </w:rPr>
              <w:t xml:space="preserve"> sources in a literature matrix</w:t>
            </w:r>
          </w:p>
        </w:tc>
        <w:tc>
          <w:tcPr>
            <w:tcW w:w="81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BD24324" w14:textId="77777777" w:rsidR="0063386B" w:rsidRDefault="0063386B"/>
        </w:tc>
        <w:tc>
          <w:tcPr>
            <w:tcW w:w="81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C6675D8" w14:textId="77777777" w:rsidR="0063386B" w:rsidRDefault="0063386B"/>
        </w:tc>
        <w:tc>
          <w:tcPr>
            <w:tcW w:w="81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1C3E165"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2AAB82F"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shd w:val="clear" w:color="auto" w:fill="4C94D8"/>
            <w:tcMar>
              <w:top w:w="80" w:type="dxa"/>
              <w:left w:w="80" w:type="dxa"/>
              <w:bottom w:w="80" w:type="dxa"/>
              <w:right w:w="80" w:type="dxa"/>
            </w:tcMar>
          </w:tcPr>
          <w:p w14:paraId="2A68AA68"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C5E2EA0"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2F779C"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C0C5A15"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0E8E399" w14:textId="77777777" w:rsidR="0063386B" w:rsidRDefault="0063386B"/>
        </w:tc>
        <w:tc>
          <w:tcPr>
            <w:tcW w:w="81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17023C0" w14:textId="77777777" w:rsidR="0063386B" w:rsidRDefault="0063386B"/>
        </w:tc>
      </w:tr>
      <w:tr w:rsidR="0063386B" w14:paraId="5828A1C8" w14:textId="77777777">
        <w:trPr>
          <w:trHeight w:val="900"/>
        </w:trPr>
        <w:tc>
          <w:tcPr>
            <w:tcW w:w="162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9B41618" w14:textId="77777777" w:rsidR="0063386B" w:rsidRDefault="00000000">
            <w:pPr>
              <w:pStyle w:val="Body"/>
              <w:spacing w:line="240" w:lineRule="auto"/>
            </w:pPr>
            <w:r>
              <w:rPr>
                <w:kern w:val="0"/>
              </w:rPr>
              <w:t>Code sources using thematic analysis</w:t>
            </w:r>
          </w:p>
        </w:tc>
        <w:tc>
          <w:tcPr>
            <w:tcW w:w="81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CC070B4" w14:textId="77777777" w:rsidR="0063386B" w:rsidRDefault="0063386B"/>
        </w:tc>
        <w:tc>
          <w:tcPr>
            <w:tcW w:w="81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DB0AF5C" w14:textId="77777777" w:rsidR="0063386B" w:rsidRDefault="0063386B"/>
        </w:tc>
        <w:tc>
          <w:tcPr>
            <w:tcW w:w="81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E4453EE"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E54C6E0"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55E4B21"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shd w:val="clear" w:color="auto" w:fill="4C94D8"/>
            <w:tcMar>
              <w:top w:w="80" w:type="dxa"/>
              <w:left w:w="80" w:type="dxa"/>
              <w:bottom w:w="80" w:type="dxa"/>
              <w:right w:w="80" w:type="dxa"/>
            </w:tcMar>
          </w:tcPr>
          <w:p w14:paraId="7D74FCF6"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C19709E"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7020BA1"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484FC1A" w14:textId="77777777" w:rsidR="0063386B" w:rsidRDefault="0063386B"/>
        </w:tc>
        <w:tc>
          <w:tcPr>
            <w:tcW w:w="81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CC83866" w14:textId="77777777" w:rsidR="0063386B" w:rsidRDefault="0063386B"/>
        </w:tc>
      </w:tr>
      <w:tr w:rsidR="0063386B" w14:paraId="4738D539" w14:textId="77777777">
        <w:trPr>
          <w:trHeight w:val="900"/>
        </w:trPr>
        <w:tc>
          <w:tcPr>
            <w:tcW w:w="162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9D351BF" w14:textId="77777777" w:rsidR="0063386B" w:rsidRDefault="00000000">
            <w:pPr>
              <w:pStyle w:val="Body"/>
              <w:spacing w:line="240" w:lineRule="auto"/>
            </w:pPr>
            <w:r>
              <w:rPr>
                <w:kern w:val="0"/>
              </w:rPr>
              <w:t>Group codes into main themes</w:t>
            </w:r>
          </w:p>
        </w:tc>
        <w:tc>
          <w:tcPr>
            <w:tcW w:w="81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AF3C8EE" w14:textId="77777777" w:rsidR="0063386B" w:rsidRDefault="0063386B"/>
        </w:tc>
        <w:tc>
          <w:tcPr>
            <w:tcW w:w="81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570234E" w14:textId="77777777" w:rsidR="0063386B" w:rsidRDefault="0063386B"/>
        </w:tc>
        <w:tc>
          <w:tcPr>
            <w:tcW w:w="81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A07672B"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90D8B74"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7ABA8C7"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F768048"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shd w:val="clear" w:color="auto" w:fill="4C94D8"/>
            <w:tcMar>
              <w:top w:w="80" w:type="dxa"/>
              <w:left w:w="80" w:type="dxa"/>
              <w:bottom w:w="80" w:type="dxa"/>
              <w:right w:w="80" w:type="dxa"/>
            </w:tcMar>
          </w:tcPr>
          <w:p w14:paraId="60242784"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60CD93A"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5F683F4" w14:textId="77777777" w:rsidR="0063386B" w:rsidRDefault="0063386B"/>
        </w:tc>
        <w:tc>
          <w:tcPr>
            <w:tcW w:w="81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D30E11D" w14:textId="77777777" w:rsidR="0063386B" w:rsidRDefault="0063386B"/>
        </w:tc>
      </w:tr>
      <w:tr w:rsidR="0063386B" w14:paraId="050C03E5" w14:textId="77777777">
        <w:trPr>
          <w:trHeight w:val="900"/>
        </w:trPr>
        <w:tc>
          <w:tcPr>
            <w:tcW w:w="162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A58D4AE" w14:textId="77777777" w:rsidR="0063386B" w:rsidRDefault="00000000">
            <w:pPr>
              <w:pStyle w:val="Body"/>
              <w:spacing w:line="240" w:lineRule="auto"/>
            </w:pPr>
            <w:r>
              <w:rPr>
                <w:kern w:val="0"/>
              </w:rPr>
              <w:t>Write methodology section</w:t>
            </w:r>
          </w:p>
        </w:tc>
        <w:tc>
          <w:tcPr>
            <w:tcW w:w="81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CE40368" w14:textId="77777777" w:rsidR="0063386B" w:rsidRDefault="0063386B"/>
        </w:tc>
        <w:tc>
          <w:tcPr>
            <w:tcW w:w="81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26391B7" w14:textId="77777777" w:rsidR="0063386B" w:rsidRDefault="0063386B"/>
        </w:tc>
        <w:tc>
          <w:tcPr>
            <w:tcW w:w="81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0D9C05E"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CB5BA67"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2BCF39B"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5DA7A9F"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99EDC29"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shd w:val="clear" w:color="auto" w:fill="4C94D8"/>
            <w:tcMar>
              <w:top w:w="80" w:type="dxa"/>
              <w:left w:w="80" w:type="dxa"/>
              <w:bottom w:w="80" w:type="dxa"/>
              <w:right w:w="80" w:type="dxa"/>
            </w:tcMar>
          </w:tcPr>
          <w:p w14:paraId="4E70E5CA"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C2C4881" w14:textId="77777777" w:rsidR="0063386B" w:rsidRDefault="0063386B"/>
        </w:tc>
        <w:tc>
          <w:tcPr>
            <w:tcW w:w="81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9E659B3" w14:textId="77777777" w:rsidR="0063386B" w:rsidRDefault="0063386B"/>
        </w:tc>
      </w:tr>
      <w:tr w:rsidR="0063386B" w14:paraId="44AE23F0" w14:textId="77777777">
        <w:trPr>
          <w:trHeight w:val="1500"/>
        </w:trPr>
        <w:tc>
          <w:tcPr>
            <w:tcW w:w="162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8FE0FD4" w14:textId="77777777" w:rsidR="0063386B" w:rsidRDefault="00000000">
            <w:pPr>
              <w:pStyle w:val="Body"/>
              <w:spacing w:line="240" w:lineRule="auto"/>
            </w:pPr>
            <w:r>
              <w:rPr>
                <w:kern w:val="0"/>
              </w:rPr>
              <w:t>Write the ethics, limitations and resources sections.</w:t>
            </w:r>
          </w:p>
        </w:tc>
        <w:tc>
          <w:tcPr>
            <w:tcW w:w="81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5B2153B" w14:textId="77777777" w:rsidR="0063386B" w:rsidRDefault="0063386B"/>
        </w:tc>
        <w:tc>
          <w:tcPr>
            <w:tcW w:w="81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BE52A6A" w14:textId="77777777" w:rsidR="0063386B" w:rsidRDefault="0063386B"/>
        </w:tc>
        <w:tc>
          <w:tcPr>
            <w:tcW w:w="81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198DDE7"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085C601"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709DB18"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027138A"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6257D95"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shd w:val="clear" w:color="auto" w:fill="4C94D8"/>
            <w:tcMar>
              <w:top w:w="80" w:type="dxa"/>
              <w:left w:w="80" w:type="dxa"/>
              <w:bottom w:w="80" w:type="dxa"/>
              <w:right w:w="80" w:type="dxa"/>
            </w:tcMar>
          </w:tcPr>
          <w:p w14:paraId="774F9EE8"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4902C0F" w14:textId="77777777" w:rsidR="0063386B" w:rsidRDefault="0063386B"/>
        </w:tc>
        <w:tc>
          <w:tcPr>
            <w:tcW w:w="81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9F70600" w14:textId="77777777" w:rsidR="0063386B" w:rsidRDefault="0063386B"/>
        </w:tc>
      </w:tr>
      <w:tr w:rsidR="0063386B" w14:paraId="7EEA9B6C" w14:textId="77777777">
        <w:trPr>
          <w:trHeight w:val="900"/>
        </w:trPr>
        <w:tc>
          <w:tcPr>
            <w:tcW w:w="162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7A58447" w14:textId="77777777" w:rsidR="0063386B" w:rsidRDefault="00000000">
            <w:pPr>
              <w:pStyle w:val="Body"/>
              <w:spacing w:line="240" w:lineRule="auto"/>
            </w:pPr>
            <w:r>
              <w:rPr>
                <w:kern w:val="0"/>
              </w:rPr>
              <w:t>Complete the full proposal draft.</w:t>
            </w:r>
          </w:p>
        </w:tc>
        <w:tc>
          <w:tcPr>
            <w:tcW w:w="81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3D08CAE" w14:textId="77777777" w:rsidR="0063386B" w:rsidRDefault="0063386B"/>
        </w:tc>
        <w:tc>
          <w:tcPr>
            <w:tcW w:w="81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2B1D6D7" w14:textId="77777777" w:rsidR="0063386B" w:rsidRDefault="0063386B"/>
        </w:tc>
        <w:tc>
          <w:tcPr>
            <w:tcW w:w="81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B8BB198"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9291CF7"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9490D2A"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28AF182"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75FB543"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DB98530"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shd w:val="clear" w:color="auto" w:fill="4C94D8"/>
            <w:tcMar>
              <w:top w:w="80" w:type="dxa"/>
              <w:left w:w="80" w:type="dxa"/>
              <w:bottom w:w="80" w:type="dxa"/>
              <w:right w:w="80" w:type="dxa"/>
            </w:tcMar>
          </w:tcPr>
          <w:p w14:paraId="7137559B" w14:textId="77777777" w:rsidR="0063386B" w:rsidRDefault="0063386B"/>
        </w:tc>
        <w:tc>
          <w:tcPr>
            <w:tcW w:w="81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2DC0CF9" w14:textId="77777777" w:rsidR="0063386B" w:rsidRDefault="0063386B"/>
        </w:tc>
      </w:tr>
      <w:tr w:rsidR="0063386B" w14:paraId="0C906D5C" w14:textId="77777777">
        <w:trPr>
          <w:trHeight w:val="900"/>
        </w:trPr>
        <w:tc>
          <w:tcPr>
            <w:tcW w:w="162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9597EE4" w14:textId="77777777" w:rsidR="0063386B" w:rsidRDefault="00000000">
            <w:pPr>
              <w:pStyle w:val="Body"/>
              <w:spacing w:line="240" w:lineRule="auto"/>
            </w:pPr>
            <w:r>
              <w:rPr>
                <w:kern w:val="0"/>
              </w:rPr>
              <w:t>Proofread, edit and check citations.</w:t>
            </w:r>
          </w:p>
        </w:tc>
        <w:tc>
          <w:tcPr>
            <w:tcW w:w="81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9659FA8" w14:textId="77777777" w:rsidR="0063386B" w:rsidRDefault="0063386B"/>
        </w:tc>
        <w:tc>
          <w:tcPr>
            <w:tcW w:w="81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AAADE06" w14:textId="77777777" w:rsidR="0063386B" w:rsidRDefault="0063386B"/>
        </w:tc>
        <w:tc>
          <w:tcPr>
            <w:tcW w:w="81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8147EE5"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554F48D"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736AB80"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75E2517"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1C1CA29"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2754277"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7839238" w14:textId="77777777" w:rsidR="0063386B" w:rsidRDefault="0063386B"/>
        </w:tc>
        <w:tc>
          <w:tcPr>
            <w:tcW w:w="816" w:type="dxa"/>
            <w:tcBorders>
              <w:top w:val="single" w:sz="4" w:space="0" w:color="000000"/>
              <w:left w:val="single" w:sz="4" w:space="0" w:color="000000"/>
              <w:bottom w:val="single" w:sz="4" w:space="0" w:color="000000"/>
              <w:right w:val="single" w:sz="4" w:space="0" w:color="000000"/>
            </w:tcBorders>
            <w:shd w:val="clear" w:color="auto" w:fill="4C94D8"/>
            <w:tcMar>
              <w:top w:w="80" w:type="dxa"/>
              <w:left w:w="80" w:type="dxa"/>
              <w:bottom w:w="80" w:type="dxa"/>
              <w:right w:w="80" w:type="dxa"/>
            </w:tcMar>
          </w:tcPr>
          <w:p w14:paraId="5D8D30A7" w14:textId="77777777" w:rsidR="0063386B" w:rsidRDefault="0063386B"/>
        </w:tc>
      </w:tr>
      <w:tr w:rsidR="0063386B" w14:paraId="5EDEB20F" w14:textId="77777777">
        <w:trPr>
          <w:trHeight w:val="1200"/>
        </w:trPr>
        <w:tc>
          <w:tcPr>
            <w:tcW w:w="162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BC00B1C" w14:textId="77777777" w:rsidR="0063386B" w:rsidRDefault="00000000">
            <w:pPr>
              <w:pStyle w:val="Body"/>
              <w:spacing w:line="240" w:lineRule="auto"/>
            </w:pPr>
            <w:r>
              <w:rPr>
                <w:kern w:val="0"/>
              </w:rPr>
              <w:t>Final formatting and submission preparation</w:t>
            </w:r>
          </w:p>
        </w:tc>
        <w:tc>
          <w:tcPr>
            <w:tcW w:w="81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176FCDA" w14:textId="77777777" w:rsidR="0063386B" w:rsidRDefault="0063386B"/>
        </w:tc>
        <w:tc>
          <w:tcPr>
            <w:tcW w:w="81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CCEFC34" w14:textId="77777777" w:rsidR="0063386B" w:rsidRDefault="0063386B"/>
        </w:tc>
        <w:tc>
          <w:tcPr>
            <w:tcW w:w="81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BAE3BE4"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63C9457"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D13807C"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034D555"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5E9183C"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A53A764"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64968E4" w14:textId="77777777" w:rsidR="0063386B" w:rsidRDefault="0063386B"/>
        </w:tc>
        <w:tc>
          <w:tcPr>
            <w:tcW w:w="816" w:type="dxa"/>
            <w:tcBorders>
              <w:top w:val="single" w:sz="4" w:space="0" w:color="000000"/>
              <w:left w:val="single" w:sz="4" w:space="0" w:color="000000"/>
              <w:bottom w:val="single" w:sz="4" w:space="0" w:color="000000"/>
              <w:right w:val="single" w:sz="4" w:space="0" w:color="000000"/>
            </w:tcBorders>
            <w:shd w:val="clear" w:color="auto" w:fill="4C94D8"/>
            <w:tcMar>
              <w:top w:w="80" w:type="dxa"/>
              <w:left w:w="80" w:type="dxa"/>
              <w:bottom w:w="80" w:type="dxa"/>
              <w:right w:w="80" w:type="dxa"/>
            </w:tcMar>
          </w:tcPr>
          <w:p w14:paraId="3949CA32" w14:textId="77777777" w:rsidR="0063386B" w:rsidRDefault="0063386B"/>
        </w:tc>
      </w:tr>
    </w:tbl>
    <w:p w14:paraId="2061D7BF" w14:textId="77777777" w:rsidR="0063386B" w:rsidRDefault="0063386B">
      <w:pPr>
        <w:pStyle w:val="Heading"/>
        <w:widowControl w:val="0"/>
        <w:spacing w:line="240" w:lineRule="auto"/>
      </w:pPr>
    </w:p>
    <w:p w14:paraId="649E7C3F" w14:textId="77777777" w:rsidR="0063386B" w:rsidRDefault="00000000">
      <w:pPr>
        <w:pStyle w:val="Heading"/>
      </w:pPr>
      <w:bookmarkStart w:id="14" w:name="_Toc14"/>
      <w:r>
        <w:rPr>
          <w:rFonts w:eastAsia="Arial Unicode MS" w:cs="Arial Unicode MS"/>
        </w:rPr>
        <w:t>10. Ethical Considerations</w:t>
      </w:r>
      <w:bookmarkEnd w:id="14"/>
    </w:p>
    <w:p w14:paraId="2F117021" w14:textId="77777777" w:rsidR="0063386B" w:rsidRDefault="00000000">
      <w:pPr>
        <w:pStyle w:val="Body"/>
      </w:pPr>
      <w:r>
        <w:t xml:space="preserve">The ethical risk of this study is low because it does not involve human participants. No interviews, surveys or personal data will be collected. Hence, informed consent, the harming of participants, and confidentiality issues are </w:t>
      </w:r>
      <w:proofErr w:type="spellStart"/>
      <w:r>
        <w:t>minimised</w:t>
      </w:r>
      <w:proofErr w:type="spellEnd"/>
      <w:r>
        <w:t>. However, secondary research still requires ethical responsibility.</w:t>
      </w:r>
    </w:p>
    <w:p w14:paraId="4B076366" w14:textId="77777777" w:rsidR="0063386B" w:rsidRDefault="00000000">
      <w:pPr>
        <w:pStyle w:val="Body"/>
      </w:pPr>
      <w:r>
        <w:lastRenderedPageBreak/>
        <w:t xml:space="preserve">To begin with, all sources should be cited correctly. The researcher should ensure that he or she does not </w:t>
      </w:r>
      <w:proofErr w:type="spellStart"/>
      <w:r>
        <w:t>plagiarise</w:t>
      </w:r>
      <w:proofErr w:type="spellEnd"/>
      <w:r>
        <w:t xml:space="preserve"> by always giving credit to all ideas, findings and arguments borrowed from published work. Throughout, Harvard referencing will be used. Second, the researcher </w:t>
      </w:r>
      <w:proofErr w:type="gramStart"/>
      <w:r>
        <w:t>has to</w:t>
      </w:r>
      <w:proofErr w:type="gramEnd"/>
      <w:r>
        <w:t xml:space="preserve"> be fair in representing sources. Applying findings out of context or blowing them out of proportion, whatever a researcher states, would be unethical. As an illustration, research that talks of general greenwashing may not be brought forward as direct evidence about all UK fashion retailers unless the source has provided the evidence.</w:t>
      </w:r>
    </w:p>
    <w:p w14:paraId="757D2FD8" w14:textId="77777777" w:rsidR="0063386B" w:rsidRDefault="00000000">
      <w:pPr>
        <w:pStyle w:val="Body"/>
      </w:pPr>
      <w:r>
        <w:t xml:space="preserve">Third, the researcher should not level baseless charges against certain companies. The term greenwashing is delicate as it presupposes the deceptive </w:t>
      </w:r>
      <w:proofErr w:type="spellStart"/>
      <w:r>
        <w:t>behaviour</w:t>
      </w:r>
      <w:proofErr w:type="spellEnd"/>
      <w:r>
        <w:t xml:space="preserve">. Thus, the paper must consider the concept of greenwashing and the regulatory issue using both academic and policy resources. In case they use concrete examples of a company, they </w:t>
      </w:r>
      <w:proofErr w:type="gramStart"/>
      <w:r>
        <w:t>have to</w:t>
      </w:r>
      <w:proofErr w:type="gramEnd"/>
      <w:r>
        <w:t xml:space="preserve"> be grounded in professional papers and be documented.</w:t>
      </w:r>
    </w:p>
    <w:p w14:paraId="5EA171F8" w14:textId="77777777" w:rsidR="0063386B" w:rsidRDefault="00000000">
      <w:pPr>
        <w:pStyle w:val="Body"/>
      </w:pPr>
      <w:r>
        <w:t xml:space="preserve">Fourth, the bias of the researcher should be addressed. Sustainability is a value subject, and the researcher might hold a personal view that fashion retailers should do better to save the environment. But in scholarly research, one must keep things in moderation. The study must acknowledge that other retailers might be indeed doing better at sustainability practices, but others might be poor communicators or selective in communication. This issue will be </w:t>
      </w:r>
      <w:proofErr w:type="spellStart"/>
      <w:r>
        <w:t>recognised</w:t>
      </w:r>
      <w:proofErr w:type="spellEnd"/>
      <w:r>
        <w:t xml:space="preserve"> with the help of reflexivity.</w:t>
      </w:r>
    </w:p>
    <w:p w14:paraId="729E24B6" w14:textId="77777777" w:rsidR="0063386B" w:rsidRDefault="00000000">
      <w:pPr>
        <w:pStyle w:val="Heading"/>
      </w:pPr>
      <w:bookmarkStart w:id="15" w:name="_Toc15"/>
      <w:r>
        <w:rPr>
          <w:rFonts w:eastAsia="Arial Unicode MS" w:cs="Arial Unicode MS"/>
          <w:lang w:val="fr-FR"/>
        </w:rPr>
        <w:t>11. Limitations</w:t>
      </w:r>
      <w:bookmarkEnd w:id="15"/>
    </w:p>
    <w:p w14:paraId="37F3505B" w14:textId="77777777" w:rsidR="0063386B" w:rsidRDefault="00000000">
      <w:pPr>
        <w:pStyle w:val="Body"/>
      </w:pPr>
      <w:r>
        <w:t xml:space="preserve">There are several limitations of this study. First, it relies on secondary sources. This means it cannot capture new consumer opinions or current retailer practices beyond what is already published. Second, there are a few industry reports that can be incomplete or commercially limited. Third, the study may include international journal articles because peer-reviewed UK-specific fashion greenwashing studies are limited. Nevertheless, the studies are still pertinent, as they elucidate consumer trust, greenwashing and sustainable fashion </w:t>
      </w:r>
      <w:proofErr w:type="spellStart"/>
      <w:r>
        <w:t>behaviour</w:t>
      </w:r>
      <w:proofErr w:type="spellEnd"/>
      <w:r>
        <w:t>.</w:t>
      </w:r>
    </w:p>
    <w:p w14:paraId="0C5E7EAA" w14:textId="77777777" w:rsidR="0063386B" w:rsidRDefault="00000000">
      <w:pPr>
        <w:pStyle w:val="Body"/>
      </w:pPr>
      <w:r>
        <w:t xml:space="preserve">The other weakness is that brand reputation can hardly be quantified with the help of secondary qualitative analysis. The research can </w:t>
      </w:r>
      <w:proofErr w:type="spellStart"/>
      <w:r>
        <w:t>analyse</w:t>
      </w:r>
      <w:proofErr w:type="spellEnd"/>
      <w:r>
        <w:t xml:space="preserve"> the impact that greenwashing can have on the </w:t>
      </w:r>
      <w:proofErr w:type="gramStart"/>
      <w:r>
        <w:t>reputation, but</w:t>
      </w:r>
      <w:proofErr w:type="gramEnd"/>
      <w:r>
        <w:t xml:space="preserve"> does not allow for proper numerical estimates of the degree of reputation loss. In addition, the concept of sustainability is not universal among the different fashion retailers, and hence, results might not be consistent across the entire luxury, fast fashion, online fashion and second-hand fashion companies.</w:t>
      </w:r>
    </w:p>
    <w:p w14:paraId="202DFDCD" w14:textId="77777777" w:rsidR="0063386B" w:rsidRDefault="00000000">
      <w:pPr>
        <w:pStyle w:val="Body"/>
      </w:pPr>
      <w:r>
        <w:t>These shortcomings will be addressed by triangulating sources, taking care and having a clear scope. The research will not attempt to make general findings. Instead, it will offer a critical summary of existing evidence and effective advice on UK fashion retail communication.</w:t>
      </w:r>
    </w:p>
    <w:p w14:paraId="1F6E643C" w14:textId="77777777" w:rsidR="0063386B" w:rsidRDefault="00000000">
      <w:pPr>
        <w:pStyle w:val="Heading"/>
      </w:pPr>
      <w:bookmarkStart w:id="16" w:name="_Toc16"/>
      <w:r>
        <w:rPr>
          <w:rFonts w:eastAsia="Arial Unicode MS" w:cs="Arial Unicode MS"/>
        </w:rPr>
        <w:lastRenderedPageBreak/>
        <w:t>12. Significance of the Study</w:t>
      </w:r>
      <w:bookmarkEnd w:id="16"/>
    </w:p>
    <w:p w14:paraId="69082591" w14:textId="77777777" w:rsidR="0063386B" w:rsidRDefault="00000000">
      <w:pPr>
        <w:pStyle w:val="Body"/>
      </w:pPr>
      <w:r>
        <w:t xml:space="preserve">The suggested research work has both theoretical and practical implications. On the academic front, it will unite the information on sustainable fashion, greenwashing, consumer trust and brand reputation. It will demonstrate the interrelation between these sectors in the UK retail of fashion. This is useful since most greenwashing research is broad, whereas fashion sustainability research can be disjointed research between consumer </w:t>
      </w:r>
      <w:proofErr w:type="spellStart"/>
      <w:r>
        <w:t>behaviour</w:t>
      </w:r>
      <w:proofErr w:type="spellEnd"/>
      <w:r>
        <w:t>, circularity and marketing communications.</w:t>
      </w:r>
    </w:p>
    <w:p w14:paraId="7896085C" w14:textId="77777777" w:rsidR="0063386B" w:rsidRDefault="00000000">
      <w:pPr>
        <w:pStyle w:val="Body"/>
      </w:pPr>
      <w:r>
        <w:t>In practice, the research can assist fashion retailers in comprehending the danger of unclear sustainability assertions. It may demonstrate why transparency, evidence and consistency matter to create trust. The results can also guide marketing groups, sustainability officials, as well as brand managers to create more plausible communication plans. The study can assist policymakers and regulators in appreciating the need to issue explicit directions to safeguard consumers and promote fair competition.</w:t>
      </w:r>
    </w:p>
    <w:p w14:paraId="2ECBA5B6" w14:textId="77777777" w:rsidR="0063386B" w:rsidRDefault="00000000">
      <w:pPr>
        <w:pStyle w:val="Body"/>
      </w:pPr>
      <w:r>
        <w:t>The social significance of the study is also present. Market consumers require trustworthy information to make wise decisions. When the sustainability claims are inaccurate, consumers will no longer trust a single brand and sustainable fashion in general. This can undermine the movement in the right direction of more responsible consumption. Thus, sustainability communication should be enhanced concerning the reputation of the company, as well as broader sustainability objectives.</w:t>
      </w:r>
    </w:p>
    <w:p w14:paraId="55A10D5C" w14:textId="77777777" w:rsidR="0063386B" w:rsidRDefault="00000000">
      <w:pPr>
        <w:pStyle w:val="Heading"/>
      </w:pPr>
      <w:bookmarkStart w:id="17" w:name="_Toc17"/>
      <w:r>
        <w:rPr>
          <w:rFonts w:eastAsia="Arial Unicode MS" w:cs="Arial Unicode MS"/>
          <w:lang w:val="it-IT"/>
        </w:rPr>
        <w:t xml:space="preserve">13. </w:t>
      </w:r>
      <w:proofErr w:type="spellStart"/>
      <w:r>
        <w:rPr>
          <w:rFonts w:eastAsia="Arial Unicode MS" w:cs="Arial Unicode MS"/>
          <w:lang w:val="it-IT"/>
        </w:rPr>
        <w:t>Conclusion</w:t>
      </w:r>
      <w:bookmarkEnd w:id="17"/>
      <w:proofErr w:type="spellEnd"/>
    </w:p>
    <w:p w14:paraId="1E8A5EE3" w14:textId="77777777" w:rsidR="0063386B" w:rsidRDefault="00000000">
      <w:pPr>
        <w:pStyle w:val="Body"/>
      </w:pPr>
      <w:r>
        <w:t xml:space="preserve">The paper being proposed is concerned with the impact of sustainability assertions and greenwashing issues on consumer confidence and brand image in the UK fashion retail market. The subject is up to date, pertinent and befits </w:t>
      </w:r>
      <w:proofErr w:type="gramStart"/>
      <w:r>
        <w:t>a secondary qualitative research</w:t>
      </w:r>
      <w:proofErr w:type="gramEnd"/>
      <w:r>
        <w:t>. This body of literature demonstrates that believable sustainability communication may reinforce trust and purchase intention, whereas perceived greenwashing may impair consumer trust and reputation. The importance of the topic to the fashion retailers is particularly due to the UK regulatory environment, with CMA guidance playing a crucial role in it.</w:t>
      </w:r>
    </w:p>
    <w:p w14:paraId="3D66E37C" w14:textId="77777777" w:rsidR="0063386B" w:rsidRDefault="00000000">
      <w:pPr>
        <w:pStyle w:val="Body"/>
      </w:pPr>
      <w:r>
        <w:t>The use of the proposed interpretivist and secondary approach to qualitative research is suitable since the research will involve studying meanings, claims and perceptions. Thematic analysis will enable the researcher to come up with important trends in academic, policy and industry sources. The limitations notwithstanding, the study is possible, ethical and scholarly worthy. It can offer valuable guidance to fashion retailers that would like to communicate their sustainability with more truthfulness, clarity, and effectiveness.</w:t>
      </w:r>
    </w:p>
    <w:p w14:paraId="2F31EEA7" w14:textId="77777777" w:rsidR="0063386B" w:rsidRDefault="00000000">
      <w:pPr>
        <w:pStyle w:val="Body"/>
        <w:spacing w:after="160" w:line="259" w:lineRule="auto"/>
        <w:jc w:val="left"/>
      </w:pPr>
      <w:r>
        <w:rPr>
          <w:rFonts w:ascii="Arial Unicode MS" w:hAnsi="Arial Unicode MS"/>
        </w:rPr>
        <w:br w:type="page"/>
      </w:r>
    </w:p>
    <w:p w14:paraId="299D5802" w14:textId="77777777" w:rsidR="0063386B" w:rsidRDefault="00000000">
      <w:pPr>
        <w:pStyle w:val="Heading"/>
      </w:pPr>
      <w:bookmarkStart w:id="18" w:name="_Toc18"/>
      <w:proofErr w:type="spellStart"/>
      <w:r>
        <w:rPr>
          <w:rFonts w:eastAsia="Arial Unicode MS" w:cs="Arial Unicode MS"/>
          <w:lang w:val="fr-FR"/>
        </w:rPr>
        <w:lastRenderedPageBreak/>
        <w:t>References</w:t>
      </w:r>
      <w:bookmarkEnd w:id="18"/>
      <w:proofErr w:type="spellEnd"/>
    </w:p>
    <w:p w14:paraId="14460851" w14:textId="77777777" w:rsidR="0063386B" w:rsidRDefault="00000000">
      <w:pPr>
        <w:pStyle w:val="Body"/>
      </w:pPr>
      <w:r>
        <w:t xml:space="preserve">Adamkiewicz, J., Kochańska, E., Adamkiewicz, I. and </w:t>
      </w:r>
      <w:proofErr w:type="spellStart"/>
      <w:r>
        <w:t>Łukasik</w:t>
      </w:r>
      <w:proofErr w:type="spellEnd"/>
      <w:r>
        <w:t xml:space="preserve">, R.M. (2022) ‘Greenwashing and sustainable fashion industry’, </w:t>
      </w:r>
      <w:r>
        <w:rPr>
          <w:i/>
          <w:iCs/>
        </w:rPr>
        <w:t>Current Opinion in Green and Sustainable Chemistry</w:t>
      </w:r>
      <w:r>
        <w:t xml:space="preserve">, 38, 100710. Available at: </w:t>
      </w:r>
      <w:hyperlink r:id="rId8" w:history="1">
        <w:r w:rsidR="0063386B">
          <w:rPr>
            <w:rStyle w:val="Hyperlink0"/>
          </w:rPr>
          <w:t>https://doi.org/10.1016/j.cogsc.2022.100710</w:t>
        </w:r>
      </w:hyperlink>
    </w:p>
    <w:p w14:paraId="5DB9B8C2" w14:textId="77777777" w:rsidR="0063386B" w:rsidRDefault="00000000">
      <w:pPr>
        <w:pStyle w:val="Body"/>
      </w:pPr>
      <w:proofErr w:type="spellStart"/>
      <w:r>
        <w:t>Akturan</w:t>
      </w:r>
      <w:proofErr w:type="spellEnd"/>
      <w:r>
        <w:t xml:space="preserve">, U. (2018) ‘How does greenwashing affect green branding equity and purchase intention? </w:t>
      </w:r>
      <w:proofErr w:type="gramStart"/>
      <w:r>
        <w:t>An empirical research</w:t>
      </w:r>
      <w:proofErr w:type="gramEnd"/>
      <w:r>
        <w:t xml:space="preserve">’, </w:t>
      </w:r>
      <w:r>
        <w:rPr>
          <w:i/>
          <w:iCs/>
        </w:rPr>
        <w:t>Marketing Intelligence &amp; Planning</w:t>
      </w:r>
      <w:r>
        <w:t xml:space="preserve">, 36(7), pp. 809-824. Available at: </w:t>
      </w:r>
      <w:hyperlink r:id="rId9" w:history="1">
        <w:r w:rsidR="0063386B">
          <w:rPr>
            <w:rStyle w:val="Hyperlink0"/>
          </w:rPr>
          <w:t>https://doi.org/10.1108/MIP-12-2017-0339</w:t>
        </w:r>
      </w:hyperlink>
    </w:p>
    <w:p w14:paraId="38F1C032" w14:textId="77777777" w:rsidR="0063386B" w:rsidRDefault="00000000">
      <w:pPr>
        <w:pStyle w:val="Body"/>
      </w:pPr>
      <w:r>
        <w:t xml:space="preserve">Bryman, A. (2016) </w:t>
      </w:r>
      <w:r>
        <w:rPr>
          <w:i/>
          <w:iCs/>
        </w:rPr>
        <w:t>Social Research Methods</w:t>
      </w:r>
      <w:r>
        <w:t xml:space="preserve">. 5th </w:t>
      </w:r>
      <w:proofErr w:type="spellStart"/>
      <w:r>
        <w:t>edn</w:t>
      </w:r>
      <w:proofErr w:type="spellEnd"/>
      <w:r>
        <w:t>. Oxford: Oxford University Press.</w:t>
      </w:r>
    </w:p>
    <w:p w14:paraId="2D671036" w14:textId="77777777" w:rsidR="0063386B" w:rsidRDefault="00000000">
      <w:pPr>
        <w:pStyle w:val="Body"/>
      </w:pPr>
      <w:r>
        <w:t xml:space="preserve">Competition and Markets Authority (2024) </w:t>
      </w:r>
      <w:r>
        <w:rPr>
          <w:i/>
          <w:iCs/>
        </w:rPr>
        <w:t>Complying with consumer law when making environmental claims in the fashion retail sector</w:t>
      </w:r>
      <w:r>
        <w:t xml:space="preserve">. Available at: </w:t>
      </w:r>
      <w:hyperlink r:id="rId10" w:history="1">
        <w:r w:rsidR="0063386B">
          <w:rPr>
            <w:rStyle w:val="Hyperlink0"/>
          </w:rPr>
          <w:t>https://www.gov.uk/government/publications/complying-with-consumer-law-when-making-environmental-claims-in-the-fashion-retail-sector</w:t>
        </w:r>
      </w:hyperlink>
    </w:p>
    <w:p w14:paraId="65E5BD7C" w14:textId="77777777" w:rsidR="0063386B" w:rsidRDefault="00000000">
      <w:pPr>
        <w:pStyle w:val="Body"/>
      </w:pPr>
      <w:r>
        <w:t xml:space="preserve">Creswell, J.W. and Creswell, J.D. (2023) </w:t>
      </w:r>
      <w:r>
        <w:rPr>
          <w:i/>
          <w:iCs/>
        </w:rPr>
        <w:t>Research Design: Qualitative, Quantitative, and Mixed Methods Approaches</w:t>
      </w:r>
      <w:r>
        <w:t xml:space="preserve">. 6th </w:t>
      </w:r>
      <w:proofErr w:type="spellStart"/>
      <w:r>
        <w:t>edn</w:t>
      </w:r>
      <w:proofErr w:type="spellEnd"/>
      <w:r>
        <w:t xml:space="preserve">. Thousand Oaks: SAGE. Available at: </w:t>
      </w:r>
      <w:hyperlink r:id="rId11" w:history="1">
        <w:r w:rsidR="0063386B">
          <w:rPr>
            <w:rStyle w:val="Hyperlink0"/>
          </w:rPr>
          <w:t>https://edge.sagepub.com/creswellrd6e</w:t>
        </w:r>
      </w:hyperlink>
    </w:p>
    <w:p w14:paraId="39A31E08" w14:textId="77777777" w:rsidR="0063386B" w:rsidRDefault="00000000">
      <w:pPr>
        <w:pStyle w:val="Body"/>
      </w:pPr>
      <w:r>
        <w:t xml:space="preserve">de Freitas Netto, S.V., Sobral, M.F.F., Ribeiro, A.R.B. and Soares, G.R.L. (2020) ‘Concepts and forms of greenwashing: a systematic review’, </w:t>
      </w:r>
      <w:r>
        <w:rPr>
          <w:i/>
          <w:iCs/>
        </w:rPr>
        <w:t>Environmental Sciences Europe</w:t>
      </w:r>
      <w:r>
        <w:t xml:space="preserve">, 32, 19. Available at: </w:t>
      </w:r>
      <w:hyperlink r:id="rId12" w:history="1">
        <w:r w:rsidR="0063386B">
          <w:rPr>
            <w:rStyle w:val="Hyperlink0"/>
          </w:rPr>
          <w:t>https://doi.org/10.1186/s12302-020-0300-3</w:t>
        </w:r>
      </w:hyperlink>
    </w:p>
    <w:p w14:paraId="41C3E688" w14:textId="77777777" w:rsidR="0063386B" w:rsidRDefault="00000000">
      <w:pPr>
        <w:pStyle w:val="Body"/>
      </w:pPr>
      <w:r>
        <w:t xml:space="preserve">de Jong, M.D.T., Huluba, G. and </w:t>
      </w:r>
      <w:proofErr w:type="spellStart"/>
      <w:r>
        <w:t>Beldad</w:t>
      </w:r>
      <w:proofErr w:type="spellEnd"/>
      <w:r>
        <w:t xml:space="preserve">, A.D. (2020) ‘Different shades of greenwashing: consumers’ reactions to environmental lies, half-lies, and organizations taking credit for following legal obligations’, </w:t>
      </w:r>
      <w:r>
        <w:rPr>
          <w:i/>
          <w:iCs/>
        </w:rPr>
        <w:t>Journal of Business and Technical Communication</w:t>
      </w:r>
      <w:r>
        <w:t xml:space="preserve">, 34(1), pp. 38-76. Available at: </w:t>
      </w:r>
      <w:hyperlink r:id="rId13" w:history="1">
        <w:r w:rsidR="0063386B">
          <w:rPr>
            <w:rStyle w:val="Hyperlink0"/>
          </w:rPr>
          <w:t>https://doi.org/10.1177/1050651919874105</w:t>
        </w:r>
      </w:hyperlink>
    </w:p>
    <w:p w14:paraId="136FD024" w14:textId="77777777" w:rsidR="0063386B" w:rsidRDefault="00000000">
      <w:pPr>
        <w:pStyle w:val="Body"/>
      </w:pPr>
      <w:r>
        <w:t xml:space="preserve">Diddi, S., Yan, R.N., </w:t>
      </w:r>
      <w:proofErr w:type="spellStart"/>
      <w:r>
        <w:t>Bloodhart</w:t>
      </w:r>
      <w:proofErr w:type="spellEnd"/>
      <w:r>
        <w:t xml:space="preserve">, B., </w:t>
      </w:r>
      <w:proofErr w:type="spellStart"/>
      <w:r>
        <w:t>Bajtelsmit</w:t>
      </w:r>
      <w:proofErr w:type="spellEnd"/>
      <w:r>
        <w:t xml:space="preserve">, V. and McShane, K. (2019) ‘Exploring young adult consumers’ sustainable clothing consumption intention-behavior gap: a Behavioral Reasoning Theory perspective’, </w:t>
      </w:r>
      <w:r>
        <w:rPr>
          <w:i/>
          <w:iCs/>
        </w:rPr>
        <w:t>Sustainable Production and Consumption</w:t>
      </w:r>
      <w:r>
        <w:t xml:space="preserve">, 18, pp. 200-209. Available at: </w:t>
      </w:r>
      <w:hyperlink r:id="rId14" w:history="1">
        <w:r w:rsidR="0063386B">
          <w:rPr>
            <w:rStyle w:val="Hyperlink0"/>
          </w:rPr>
          <w:t>https://doi.org/10.1016/j.spc.2019.02.009</w:t>
        </w:r>
      </w:hyperlink>
    </w:p>
    <w:p w14:paraId="4390BBA9" w14:textId="77777777" w:rsidR="0063386B" w:rsidRDefault="00000000">
      <w:pPr>
        <w:pStyle w:val="Body"/>
      </w:pPr>
      <w:r>
        <w:t xml:space="preserve">Fashion Revolution (2025) </w:t>
      </w:r>
      <w:r>
        <w:rPr>
          <w:i/>
          <w:iCs/>
        </w:rPr>
        <w:t>What Fuels Fashion? 2025</w:t>
      </w:r>
      <w:r>
        <w:t xml:space="preserve">. Available at: </w:t>
      </w:r>
      <w:hyperlink r:id="rId15" w:history="1">
        <w:r w:rsidR="0063386B">
          <w:rPr>
            <w:rStyle w:val="Hyperlink0"/>
          </w:rPr>
          <w:t>https://www.fashionrevolution.org/transparency/</w:t>
        </w:r>
      </w:hyperlink>
    </w:p>
    <w:p w14:paraId="227C2048" w14:textId="77777777" w:rsidR="0063386B" w:rsidRDefault="00000000">
      <w:pPr>
        <w:pStyle w:val="Body"/>
      </w:pPr>
      <w:r>
        <w:t xml:space="preserve">Fella, S. and </w:t>
      </w:r>
      <w:proofErr w:type="spellStart"/>
      <w:r>
        <w:t>Bausa</w:t>
      </w:r>
      <w:proofErr w:type="spellEnd"/>
      <w:r>
        <w:t xml:space="preserve">, E. (2024) ‘Green or greenwashed? Examining consumers’ ability to identify greenwashing’, </w:t>
      </w:r>
      <w:r>
        <w:rPr>
          <w:i/>
          <w:iCs/>
        </w:rPr>
        <w:t>Journal of Environmental Psychology</w:t>
      </w:r>
      <w:r>
        <w:t xml:space="preserve">, 95, 102281. Available at: </w:t>
      </w:r>
      <w:hyperlink r:id="rId16" w:history="1">
        <w:r w:rsidR="0063386B">
          <w:rPr>
            <w:rStyle w:val="Hyperlink0"/>
          </w:rPr>
          <w:t>https://doi.org/10.1016/j.jenvp.2024.102281</w:t>
        </w:r>
      </w:hyperlink>
    </w:p>
    <w:p w14:paraId="0EEF347D" w14:textId="77777777" w:rsidR="0063386B" w:rsidRDefault="00000000">
      <w:pPr>
        <w:pStyle w:val="Body"/>
      </w:pPr>
      <w:r>
        <w:t xml:space="preserve">Henninger, C.E., Alevizou, P.J. and Oates, C.J. (2016) ‘What is sustainable fashion?’, </w:t>
      </w:r>
      <w:r>
        <w:rPr>
          <w:i/>
          <w:iCs/>
        </w:rPr>
        <w:t>Journal of Fashion Marketing and Management</w:t>
      </w:r>
      <w:r>
        <w:t xml:space="preserve">, 20(4), pp. 400-416. Available at: </w:t>
      </w:r>
      <w:hyperlink r:id="rId17" w:history="1">
        <w:r w:rsidR="0063386B">
          <w:rPr>
            <w:rStyle w:val="Hyperlink0"/>
          </w:rPr>
          <w:t>https://doi.org/10.1108/JFMM-07-2015-0052</w:t>
        </w:r>
      </w:hyperlink>
    </w:p>
    <w:p w14:paraId="09BD5A15" w14:textId="77777777" w:rsidR="0063386B" w:rsidRDefault="00000000">
      <w:pPr>
        <w:pStyle w:val="Body"/>
      </w:pPr>
      <w:r>
        <w:lastRenderedPageBreak/>
        <w:t xml:space="preserve">Leavy, P. (ed.) (2020) </w:t>
      </w:r>
      <w:r>
        <w:rPr>
          <w:i/>
          <w:iCs/>
        </w:rPr>
        <w:t>The Oxford Handbook of Qualitative Research</w:t>
      </w:r>
      <w:r>
        <w:t xml:space="preserve">. 2nd </w:t>
      </w:r>
      <w:proofErr w:type="spellStart"/>
      <w:r>
        <w:t>edn</w:t>
      </w:r>
      <w:proofErr w:type="spellEnd"/>
      <w:r>
        <w:t xml:space="preserve">. Oxford: Oxford University Press. Available at: </w:t>
      </w:r>
      <w:hyperlink r:id="rId18" w:history="1">
        <w:r w:rsidR="0063386B">
          <w:rPr>
            <w:rStyle w:val="Hyperlink0"/>
          </w:rPr>
          <w:t>https://academic.oup.com/edited-volume/34283</w:t>
        </w:r>
      </w:hyperlink>
    </w:p>
    <w:p w14:paraId="403593B9" w14:textId="77777777" w:rsidR="0063386B" w:rsidRDefault="00000000">
      <w:pPr>
        <w:pStyle w:val="Body"/>
      </w:pPr>
      <w:r>
        <w:t xml:space="preserve">Li, M., Cavender, R. and Lee, M.Y. (2025) ‘Consumer awareness of fashion greenwashing: insights from social media discussions’, </w:t>
      </w:r>
      <w:r>
        <w:rPr>
          <w:i/>
          <w:iCs/>
        </w:rPr>
        <w:t>Sustainability</w:t>
      </w:r>
      <w:r>
        <w:t xml:space="preserve">, 17(7), 2982. Available at: </w:t>
      </w:r>
      <w:hyperlink r:id="rId19" w:history="1">
        <w:r w:rsidR="0063386B">
          <w:rPr>
            <w:rStyle w:val="Hyperlink0"/>
          </w:rPr>
          <w:t>https://doi.org/10.3390/su17072982</w:t>
        </w:r>
      </w:hyperlink>
    </w:p>
    <w:p w14:paraId="6270ED9B" w14:textId="77777777" w:rsidR="0063386B" w:rsidRDefault="00000000">
      <w:pPr>
        <w:pStyle w:val="Body"/>
      </w:pPr>
      <w:r>
        <w:t xml:space="preserve">Mintel (2025) </w:t>
      </w:r>
      <w:r>
        <w:rPr>
          <w:i/>
          <w:iCs/>
        </w:rPr>
        <w:t>UK Fashion and Sustainability Market Report 2025</w:t>
      </w:r>
      <w:r>
        <w:t xml:space="preserve">. Available at: </w:t>
      </w:r>
      <w:hyperlink r:id="rId20" w:history="1">
        <w:r w:rsidR="0063386B">
          <w:rPr>
            <w:rStyle w:val="Hyperlink0"/>
          </w:rPr>
          <w:t>https://store.mintel.com/report/uk-fashion-sustainability-market-report</w:t>
        </w:r>
      </w:hyperlink>
    </w:p>
    <w:p w14:paraId="21584580" w14:textId="77777777" w:rsidR="0063386B" w:rsidRDefault="00000000">
      <w:pPr>
        <w:pStyle w:val="Body"/>
      </w:pPr>
      <w:r>
        <w:t xml:space="preserve">Mukendi, A., Davies, I., Glozer, S. and McDonagh, P. (2020) ‘Sustainable fashion: current and future research directions’, </w:t>
      </w:r>
      <w:r>
        <w:rPr>
          <w:i/>
          <w:iCs/>
        </w:rPr>
        <w:t>European Journal of Marketing</w:t>
      </w:r>
      <w:r>
        <w:t xml:space="preserve">, 54(11), pp. 2873-2909. Available at: </w:t>
      </w:r>
      <w:hyperlink r:id="rId21" w:history="1">
        <w:r w:rsidR="0063386B">
          <w:rPr>
            <w:rStyle w:val="Hyperlink0"/>
          </w:rPr>
          <w:t>https://doi.org/10.1108/EJM-02-2019-0132</w:t>
        </w:r>
      </w:hyperlink>
    </w:p>
    <w:p w14:paraId="526F1272" w14:textId="77777777" w:rsidR="0063386B" w:rsidRDefault="00000000">
      <w:pPr>
        <w:pStyle w:val="Body"/>
      </w:pPr>
      <w:r>
        <w:t xml:space="preserve">Neumann, H.L., Martinez, L.M. and Martinez, L.F. (2021) ‘Sustainability efforts in the fast fashion industry: consumer perception, trust and purchase intention’, </w:t>
      </w:r>
      <w:r>
        <w:rPr>
          <w:i/>
          <w:iCs/>
        </w:rPr>
        <w:t>Sustainability Accounting, Management and Policy Journal</w:t>
      </w:r>
      <w:r>
        <w:t xml:space="preserve">, 12(3), pp. 571-590. Available at: </w:t>
      </w:r>
      <w:hyperlink r:id="rId22" w:history="1">
        <w:r w:rsidR="0063386B">
          <w:rPr>
            <w:rStyle w:val="Hyperlink0"/>
          </w:rPr>
          <w:t>https://doi.org/10.1108/SAMPJ-11-2019-0405</w:t>
        </w:r>
      </w:hyperlink>
    </w:p>
    <w:p w14:paraId="0A237C2E" w14:textId="77777777" w:rsidR="0063386B" w:rsidRDefault="00000000">
      <w:pPr>
        <w:pStyle w:val="Body"/>
      </w:pPr>
      <w:r>
        <w:t xml:space="preserve">Rausch, T.M. and Kopplin, C.S. (2021) ‘Bridge the gap: consumers’ purchase intention and behavior regarding sustainable clothing’, </w:t>
      </w:r>
      <w:r>
        <w:rPr>
          <w:i/>
          <w:iCs/>
        </w:rPr>
        <w:t>Journal of Cleaner Production</w:t>
      </w:r>
      <w:r>
        <w:t xml:space="preserve">, 278, 123882. Available at: </w:t>
      </w:r>
      <w:hyperlink r:id="rId23" w:history="1">
        <w:r w:rsidR="0063386B">
          <w:rPr>
            <w:rStyle w:val="Hyperlink0"/>
          </w:rPr>
          <w:t>https://doi.org/10.1016/j.jclepro.2020.123882</w:t>
        </w:r>
      </w:hyperlink>
    </w:p>
    <w:p w14:paraId="0E5F9F3F" w14:textId="77777777" w:rsidR="0063386B" w:rsidRDefault="00000000">
      <w:pPr>
        <w:pStyle w:val="Body"/>
      </w:pPr>
      <w:r>
        <w:t xml:space="preserve">Saunders, M.N.K., Lewis, P. and Thornhill, A. (2019) </w:t>
      </w:r>
      <w:r>
        <w:rPr>
          <w:i/>
          <w:iCs/>
        </w:rPr>
        <w:t>Research Methods for Business Students</w:t>
      </w:r>
      <w:r>
        <w:t xml:space="preserve">. 8th </w:t>
      </w:r>
      <w:proofErr w:type="spellStart"/>
      <w:r>
        <w:t>edn</w:t>
      </w:r>
      <w:proofErr w:type="spellEnd"/>
      <w:r>
        <w:t xml:space="preserve">. Harlow: Pearson. Available at: </w:t>
      </w:r>
      <w:hyperlink r:id="rId24" w:history="1">
        <w:r w:rsidR="0063386B">
          <w:rPr>
            <w:rStyle w:val="Hyperlink0"/>
          </w:rPr>
          <w:t>https://books.google.com/books/about/Research_Methods_for_Business_Students.html?id=TMGYDwAAQBAJ</w:t>
        </w:r>
      </w:hyperlink>
    </w:p>
    <w:p w14:paraId="056CDFA6" w14:textId="77777777" w:rsidR="0063386B" w:rsidRDefault="00000000">
      <w:pPr>
        <w:pStyle w:val="Body"/>
      </w:pPr>
      <w:r>
        <w:t xml:space="preserve">Schmuck, D., Matthes, J. and Naderer, B. (2018) ‘Misleading consumers with green advertising? An affect-reason-involvement account of greenwashing effects in environmental advertising’, </w:t>
      </w:r>
      <w:r>
        <w:rPr>
          <w:i/>
          <w:iCs/>
        </w:rPr>
        <w:t>Journal of Advertising</w:t>
      </w:r>
      <w:r>
        <w:t xml:space="preserve">, 47(2), pp. 127-145. Available at: </w:t>
      </w:r>
      <w:hyperlink r:id="rId25" w:history="1">
        <w:r w:rsidR="0063386B">
          <w:rPr>
            <w:rStyle w:val="Hyperlink0"/>
          </w:rPr>
          <w:t>https://doi.org/10.1080/00913367.2018.1452652</w:t>
        </w:r>
      </w:hyperlink>
    </w:p>
    <w:p w14:paraId="3CCC99C7" w14:textId="77777777" w:rsidR="0063386B" w:rsidRDefault="00000000">
      <w:pPr>
        <w:pStyle w:val="Body"/>
      </w:pPr>
      <w:r>
        <w:t xml:space="preserve">Szabo, S. and Webster, J. (2021) ‘Perceived greenwashing: the effects of green marketing on environmental and product perceptions’, </w:t>
      </w:r>
      <w:r>
        <w:rPr>
          <w:i/>
          <w:iCs/>
        </w:rPr>
        <w:t>Journal of Business Ethics</w:t>
      </w:r>
      <w:r>
        <w:t xml:space="preserve">, 171, pp. 719-739. Available at: </w:t>
      </w:r>
      <w:hyperlink r:id="rId26" w:history="1">
        <w:r w:rsidR="0063386B">
          <w:rPr>
            <w:rStyle w:val="Hyperlink0"/>
          </w:rPr>
          <w:t>https://doi.org/10.1007/s10551-020-04461-0</w:t>
        </w:r>
      </w:hyperlink>
    </w:p>
    <w:p w14:paraId="10344329" w14:textId="77777777" w:rsidR="0063386B" w:rsidRDefault="00000000">
      <w:pPr>
        <w:pStyle w:val="Body"/>
      </w:pPr>
      <w:proofErr w:type="spellStart"/>
      <w:r>
        <w:t>Vehmas</w:t>
      </w:r>
      <w:proofErr w:type="spellEnd"/>
      <w:r>
        <w:t xml:space="preserve">, K., Raudaskoski, A., Heikkilä, P., Harlin, A. and </w:t>
      </w:r>
      <w:proofErr w:type="spellStart"/>
      <w:r>
        <w:t>Mensonen</w:t>
      </w:r>
      <w:proofErr w:type="spellEnd"/>
      <w:r>
        <w:t xml:space="preserve">, A. (2018) ‘Consumer attitudes and communication in circular fashion’, </w:t>
      </w:r>
      <w:r>
        <w:rPr>
          <w:i/>
          <w:iCs/>
        </w:rPr>
        <w:t>Journal of Fashion Marketing and Management</w:t>
      </w:r>
      <w:r>
        <w:t xml:space="preserve">, 22(3), pp. 286-300. Available at: </w:t>
      </w:r>
      <w:hyperlink r:id="rId27" w:history="1">
        <w:r w:rsidR="0063386B">
          <w:rPr>
            <w:rStyle w:val="Hyperlink0"/>
          </w:rPr>
          <w:t>https://doi.org/10.1108/JFMM-08-2017-0079</w:t>
        </w:r>
      </w:hyperlink>
    </w:p>
    <w:p w14:paraId="40012388" w14:textId="77777777" w:rsidR="0063386B" w:rsidRDefault="00000000">
      <w:pPr>
        <w:pStyle w:val="Body"/>
      </w:pPr>
      <w:r>
        <w:t xml:space="preserve">WRAP (2024) </w:t>
      </w:r>
      <w:r>
        <w:rPr>
          <w:i/>
          <w:iCs/>
        </w:rPr>
        <w:t>UK Textiles Pact Annual Progress Report 2023-24</w:t>
      </w:r>
      <w:r>
        <w:t xml:space="preserve">. Available at: </w:t>
      </w:r>
      <w:hyperlink r:id="rId28" w:history="1">
        <w:r w:rsidR="0063386B">
          <w:rPr>
            <w:rStyle w:val="Hyperlink0"/>
          </w:rPr>
          <w:t>https://www.wrap.ngo/resources/report/uk-textiles-pact-annual-progress-report-2023-24</w:t>
        </w:r>
      </w:hyperlink>
    </w:p>
    <w:p w14:paraId="06BCF59F" w14:textId="77777777" w:rsidR="0063386B" w:rsidRDefault="00000000">
      <w:pPr>
        <w:pStyle w:val="Body"/>
      </w:pPr>
      <w:r>
        <w:t xml:space="preserve">Yin, R.K. (2018) </w:t>
      </w:r>
      <w:r>
        <w:rPr>
          <w:i/>
          <w:iCs/>
        </w:rPr>
        <w:t>Case Study Research and Applications: Design and Methods</w:t>
      </w:r>
      <w:r>
        <w:t xml:space="preserve">. 6th </w:t>
      </w:r>
      <w:proofErr w:type="spellStart"/>
      <w:r>
        <w:t>edn</w:t>
      </w:r>
      <w:proofErr w:type="spellEnd"/>
      <w:r>
        <w:t>. Thousand Oaks: SAGE.</w:t>
      </w:r>
    </w:p>
    <w:p w14:paraId="1A2786BE" w14:textId="77777777" w:rsidR="0063386B" w:rsidRDefault="00000000">
      <w:pPr>
        <w:pStyle w:val="Body"/>
      </w:pPr>
      <w:r>
        <w:t xml:space="preserve">Zhang, L., Li, D., Cao, C. and Huang, S. (2018) ‘The influence of greenwashing perception on green purchasing intentions: the mediating role of green word-of-mouth and moderating role of green </w:t>
      </w:r>
      <w:r>
        <w:lastRenderedPageBreak/>
        <w:t xml:space="preserve">concern’, </w:t>
      </w:r>
      <w:r>
        <w:rPr>
          <w:i/>
          <w:iCs/>
        </w:rPr>
        <w:t>Journal of Cleaner Production</w:t>
      </w:r>
      <w:r>
        <w:t xml:space="preserve">, 187, pp. 740-750. Available at: </w:t>
      </w:r>
      <w:hyperlink r:id="rId29" w:history="1">
        <w:r w:rsidR="0063386B">
          <w:rPr>
            <w:rStyle w:val="Hyperlink0"/>
          </w:rPr>
          <w:t>https://doi.org/10.1016/j.jclepro.2018.03.201</w:t>
        </w:r>
      </w:hyperlink>
    </w:p>
    <w:sectPr w:rsidR="0063386B">
      <w:headerReference w:type="default" r:id="rId30"/>
      <w:footerReference w:type="default" r:id="rId31"/>
      <w:pgSz w:w="11900" w:h="16840"/>
      <w:pgMar w:top="1080" w:right="1080" w:bottom="1080" w:left="108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431789" w14:textId="77777777" w:rsidR="00742970" w:rsidRDefault="00742970">
      <w:r>
        <w:separator/>
      </w:r>
    </w:p>
  </w:endnote>
  <w:endnote w:type="continuationSeparator" w:id="0">
    <w:p w14:paraId="7FF34B96" w14:textId="77777777" w:rsidR="00742970" w:rsidRDefault="007429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panose1 w:val="02000503000000020004"/>
    <w:charset w:val="00"/>
    <w:family w:val="auto"/>
    <w:pitch w:val="variable"/>
    <w:sig w:usb0="E50002FF" w:usb1="500079DB" w:usb2="00000010" w:usb3="00000000" w:csb0="00000001" w:csb1="00000000"/>
  </w:font>
  <w:font w:name="Aptos Display">
    <w:panose1 w:val="020B0004020202020204"/>
    <w:charset w:val="00"/>
    <w:family w:val="roman"/>
    <w:pitch w:val="default"/>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D4730E" w14:textId="77777777" w:rsidR="0063386B" w:rsidRDefault="0063386B">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694A4A" w14:textId="77777777" w:rsidR="00742970" w:rsidRDefault="00742970">
      <w:r>
        <w:separator/>
      </w:r>
    </w:p>
  </w:footnote>
  <w:footnote w:type="continuationSeparator" w:id="0">
    <w:p w14:paraId="4CE71C70" w14:textId="77777777" w:rsidR="00742970" w:rsidRDefault="007429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6D8C63" w14:textId="77777777" w:rsidR="0063386B" w:rsidRDefault="00000000">
    <w:pPr>
      <w:pStyle w:val="Header"/>
    </w:pPr>
    <w:r>
      <w:fldChar w:fldCharType="begin"/>
    </w:r>
    <w:r>
      <w:instrText xml:space="preserve"> PAGE </w:instrText>
    </w:r>
    <w:r>
      <w:fldChar w:fldCharType="separate"/>
    </w:r>
    <w:r w:rsidR="00775A16">
      <w:rPr>
        <w:noProof/>
      </w:rPr>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347073"/>
    <w:multiLevelType w:val="hybridMultilevel"/>
    <w:tmpl w:val="63D699CE"/>
    <w:numStyleLink w:val="ImportedStyle2"/>
  </w:abstractNum>
  <w:abstractNum w:abstractNumId="1" w15:restartNumberingAfterBreak="0">
    <w:nsid w:val="3B9D38C2"/>
    <w:multiLevelType w:val="hybridMultilevel"/>
    <w:tmpl w:val="372E3D9A"/>
    <w:numStyleLink w:val="ImportedStyle1"/>
  </w:abstractNum>
  <w:abstractNum w:abstractNumId="2" w15:restartNumberingAfterBreak="0">
    <w:nsid w:val="48D96303"/>
    <w:multiLevelType w:val="hybridMultilevel"/>
    <w:tmpl w:val="63D699CE"/>
    <w:styleLink w:val="ImportedStyle2"/>
    <w:lvl w:ilvl="0" w:tplc="087A6DEA">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13E46246">
      <w:start w:val="1"/>
      <w:numFmt w:val="decimal"/>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6E036F0">
      <w:start w:val="1"/>
      <w:numFmt w:val="decimal"/>
      <w:lvlText w:val="%3."/>
      <w:lvlJc w:val="left"/>
      <w:pPr>
        <w:tabs>
          <w:tab w:val="left" w:pos="72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EE887FF4">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28EAF27E">
      <w:start w:val="1"/>
      <w:numFmt w:val="decimal"/>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951027DA">
      <w:start w:val="1"/>
      <w:numFmt w:val="decimal"/>
      <w:lvlText w:val="%6."/>
      <w:lvlJc w:val="left"/>
      <w:pPr>
        <w:tabs>
          <w:tab w:val="left" w:pos="72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4270301A">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B944EB64">
      <w:start w:val="1"/>
      <w:numFmt w:val="decimal"/>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E942BC2">
      <w:start w:val="1"/>
      <w:numFmt w:val="decimal"/>
      <w:lvlText w:val="%9."/>
      <w:lvlJc w:val="left"/>
      <w:pPr>
        <w:tabs>
          <w:tab w:val="left" w:pos="72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5DEB523C"/>
    <w:multiLevelType w:val="hybridMultilevel"/>
    <w:tmpl w:val="372E3D9A"/>
    <w:styleLink w:val="ImportedStyle1"/>
    <w:lvl w:ilvl="0" w:tplc="A5A8BC18">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56649CC6">
      <w:start w:val="1"/>
      <w:numFmt w:val="decimal"/>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6529450">
      <w:start w:val="1"/>
      <w:numFmt w:val="decimal"/>
      <w:lvlText w:val="%3."/>
      <w:lvlJc w:val="left"/>
      <w:pPr>
        <w:tabs>
          <w:tab w:val="left" w:pos="72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4CC4717E">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006F540">
      <w:start w:val="1"/>
      <w:numFmt w:val="decimal"/>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1F43FCC">
      <w:start w:val="1"/>
      <w:numFmt w:val="decimal"/>
      <w:lvlText w:val="%6."/>
      <w:lvlJc w:val="left"/>
      <w:pPr>
        <w:tabs>
          <w:tab w:val="left" w:pos="72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C0E47914">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34C6810">
      <w:start w:val="1"/>
      <w:numFmt w:val="decimal"/>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FA057F8">
      <w:start w:val="1"/>
      <w:numFmt w:val="decimal"/>
      <w:lvlText w:val="%9."/>
      <w:lvlJc w:val="left"/>
      <w:pPr>
        <w:tabs>
          <w:tab w:val="left" w:pos="72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num w:numId="1" w16cid:durableId="869142683">
    <w:abstractNumId w:val="3"/>
  </w:num>
  <w:num w:numId="2" w16cid:durableId="1970669473">
    <w:abstractNumId w:val="1"/>
  </w:num>
  <w:num w:numId="3" w16cid:durableId="499002401">
    <w:abstractNumId w:val="2"/>
  </w:num>
  <w:num w:numId="4" w16cid:durableId="19624935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386B"/>
    <w:rsid w:val="00156E87"/>
    <w:rsid w:val="0041555F"/>
    <w:rsid w:val="00544C11"/>
    <w:rsid w:val="005600F8"/>
    <w:rsid w:val="005745CA"/>
    <w:rsid w:val="00590FFD"/>
    <w:rsid w:val="0063386B"/>
    <w:rsid w:val="00742970"/>
    <w:rsid w:val="00775A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822D24D"/>
  <w15:docId w15:val="{74F63FA1-2C5F-9243-8E48-F4E9F6417D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2">
    <w:name w:val="heading 2"/>
    <w:next w:val="Body"/>
    <w:uiPriority w:val="9"/>
    <w:unhideWhenUsed/>
    <w:qFormat/>
    <w:pPr>
      <w:keepNext/>
      <w:keepLines/>
      <w:spacing w:line="360" w:lineRule="auto"/>
      <w:jc w:val="both"/>
      <w:outlineLvl w:val="1"/>
    </w:pPr>
    <w:rPr>
      <w:rFonts w:eastAsia="Times New Roman"/>
      <w:b/>
      <w:bCs/>
      <w:color w:val="000000"/>
      <w:kern w:val="2"/>
      <w:sz w:val="28"/>
      <w:szCs w:val="28"/>
      <w:u w:color="000000"/>
      <w14:textOutline w14:w="0" w14:cap="flat" w14:cmpd="sng" w14:algn="ctr">
        <w14:noFill/>
        <w14:prstDash w14:val="solid"/>
        <w14:bevel/>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513"/>
        <w:tab w:val="right" w:pos="9026"/>
      </w:tabs>
      <w:jc w:val="both"/>
    </w:pPr>
    <w:rPr>
      <w:rFonts w:cs="Arial Unicode MS"/>
      <w:color w:val="000000"/>
      <w:kern w:val="2"/>
      <w:sz w:val="24"/>
      <w:szCs w:val="24"/>
      <w:u w:color="000000"/>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
    <w:name w:val="Body"/>
    <w:pPr>
      <w:spacing w:line="360" w:lineRule="auto"/>
      <w:jc w:val="both"/>
    </w:pPr>
    <w:rPr>
      <w:rFonts w:cs="Arial Unicode MS"/>
      <w:color w:val="000000"/>
      <w:kern w:val="2"/>
      <w:sz w:val="24"/>
      <w:szCs w:val="24"/>
      <w:u w:color="000000"/>
      <w14:textOutline w14:w="0" w14:cap="flat" w14:cmpd="sng" w14:algn="ctr">
        <w14:noFill/>
        <w14:prstDash w14:val="solid"/>
        <w14:bevel/>
      </w14:textOutline>
    </w:rPr>
  </w:style>
  <w:style w:type="paragraph" w:customStyle="1" w:styleId="Default">
    <w:name w:val="Default"/>
    <w:pPr>
      <w:spacing w:before="160" w:line="288" w:lineRule="auto"/>
    </w:pPr>
    <w:rPr>
      <w:rFonts w:ascii="Helvetica Neue" w:hAnsi="Helvetica Neue" w:cs="Arial Unicode MS"/>
      <w:color w:val="000000"/>
      <w:sz w:val="24"/>
      <w:szCs w:val="24"/>
      <w14:textOutline w14:w="0" w14:cap="flat" w14:cmpd="sng" w14:algn="ctr">
        <w14:noFill/>
        <w14:prstDash w14:val="solid"/>
        <w14:bevel/>
      </w14:textOutline>
    </w:rPr>
  </w:style>
  <w:style w:type="paragraph" w:styleId="TOCHeading">
    <w:name w:val="TOC Heading"/>
    <w:next w:val="Body"/>
    <w:pPr>
      <w:keepNext/>
      <w:keepLines/>
      <w:spacing w:before="240" w:line="259" w:lineRule="auto"/>
    </w:pPr>
    <w:rPr>
      <w:rFonts w:ascii="Aptos Display" w:eastAsia="Aptos Display" w:hAnsi="Aptos Display" w:cs="Aptos Display"/>
      <w:color w:val="0F4761"/>
      <w:sz w:val="32"/>
      <w:szCs w:val="32"/>
      <w:u w:color="0F4761"/>
    </w:rPr>
  </w:style>
  <w:style w:type="paragraph" w:styleId="TOC1">
    <w:name w:val="toc 1"/>
    <w:pPr>
      <w:tabs>
        <w:tab w:val="right" w:leader="dot" w:pos="9720"/>
      </w:tabs>
      <w:spacing w:after="100" w:line="360" w:lineRule="auto"/>
      <w:jc w:val="both"/>
    </w:pPr>
    <w:rPr>
      <w:rFonts w:eastAsia="Times New Roman"/>
      <w:color w:val="000000"/>
      <w:kern w:val="2"/>
      <w:sz w:val="24"/>
      <w:szCs w:val="24"/>
      <w:u w:color="000000"/>
    </w:rPr>
  </w:style>
  <w:style w:type="paragraph" w:customStyle="1" w:styleId="Heading">
    <w:name w:val="Heading"/>
    <w:next w:val="Body"/>
    <w:pPr>
      <w:keepNext/>
      <w:keepLines/>
      <w:spacing w:line="360" w:lineRule="auto"/>
      <w:jc w:val="both"/>
      <w:outlineLvl w:val="0"/>
    </w:pPr>
    <w:rPr>
      <w:rFonts w:eastAsia="Times New Roman"/>
      <w:b/>
      <w:bCs/>
      <w:color w:val="000000"/>
      <w:kern w:val="2"/>
      <w:sz w:val="28"/>
      <w:szCs w:val="28"/>
      <w:u w:color="000000"/>
      <w14:textOutline w14:w="0" w14:cap="flat" w14:cmpd="sng" w14:algn="ctr">
        <w14:noFill/>
        <w14:prstDash w14:val="solid"/>
        <w14:bevel/>
      </w14:textOutline>
    </w:rPr>
  </w:style>
  <w:style w:type="paragraph" w:styleId="TOC2">
    <w:name w:val="toc 2"/>
    <w:pPr>
      <w:tabs>
        <w:tab w:val="right" w:leader="dot" w:pos="9720"/>
      </w:tabs>
      <w:spacing w:after="100" w:line="360" w:lineRule="auto"/>
      <w:ind w:left="240"/>
      <w:jc w:val="both"/>
    </w:pPr>
    <w:rPr>
      <w:rFonts w:eastAsia="Times New Roman"/>
      <w:color w:val="000000"/>
      <w:kern w:val="2"/>
      <w:sz w:val="24"/>
      <w:szCs w:val="24"/>
      <w:u w:color="000000"/>
    </w:rPr>
  </w:style>
  <w:style w:type="numbering" w:customStyle="1" w:styleId="ImportedStyle1">
    <w:name w:val="Imported Style 1"/>
    <w:pPr>
      <w:numPr>
        <w:numId w:val="1"/>
      </w:numPr>
    </w:pPr>
  </w:style>
  <w:style w:type="numbering" w:customStyle="1" w:styleId="ImportedStyle2">
    <w:name w:val="Imported Style 2"/>
    <w:pPr>
      <w:numPr>
        <w:numId w:val="3"/>
      </w:numPr>
    </w:pPr>
  </w:style>
  <w:style w:type="character" w:customStyle="1" w:styleId="Link">
    <w:name w:val="Link"/>
    <w:rPr>
      <w:outline w:val="0"/>
      <w:color w:val="467886"/>
      <w:u w:val="single" w:color="467886"/>
    </w:rPr>
  </w:style>
  <w:style w:type="character" w:customStyle="1" w:styleId="Hyperlink0">
    <w:name w:val="Hyperlink.0"/>
    <w:basedOn w:val="Link"/>
    <w:rPr>
      <w:outline w:val="0"/>
      <w:color w:val="467886"/>
      <w:u w:val="single" w:color="46788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doi.org/10.1177/1050651919874105" TargetMode="External"/><Relationship Id="rId18" Type="http://schemas.openxmlformats.org/officeDocument/2006/relationships/hyperlink" Target="https://academic.oup.com/edited-volume/34283" TargetMode="External"/><Relationship Id="rId26" Type="http://schemas.openxmlformats.org/officeDocument/2006/relationships/hyperlink" Target="https://doi.org/10.1007/s10551-020-04461-0" TargetMode="External"/><Relationship Id="rId3" Type="http://schemas.openxmlformats.org/officeDocument/2006/relationships/settings" Target="settings.xml"/><Relationship Id="rId21" Type="http://schemas.openxmlformats.org/officeDocument/2006/relationships/hyperlink" Target="https://doi.org/10.1108/EJM-02-2019-0132" TargetMode="External"/><Relationship Id="rId7" Type="http://schemas.openxmlformats.org/officeDocument/2006/relationships/image" Target="media/image1.jpeg"/><Relationship Id="rId12" Type="http://schemas.openxmlformats.org/officeDocument/2006/relationships/hyperlink" Target="https://doi.org/10.1186/s12302-020-0300-3" TargetMode="External"/><Relationship Id="rId17" Type="http://schemas.openxmlformats.org/officeDocument/2006/relationships/hyperlink" Target="https://doi.org/10.1108/JFMM-07-2015-0052" TargetMode="External"/><Relationship Id="rId25" Type="http://schemas.openxmlformats.org/officeDocument/2006/relationships/hyperlink" Target="https://doi.org/10.1080/00913367.2018.1452652"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doi.org/10.1016/j.jenvp.2024.102281" TargetMode="External"/><Relationship Id="rId20" Type="http://schemas.openxmlformats.org/officeDocument/2006/relationships/hyperlink" Target="https://store.mintel.com/report/uk-fashion-sustainability-market-report" TargetMode="External"/><Relationship Id="rId29" Type="http://schemas.openxmlformats.org/officeDocument/2006/relationships/hyperlink" Target="https://doi.org/10.1016/j.jclepro.2018.03.20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dge.sagepub.com/creswellrd6e" TargetMode="External"/><Relationship Id="rId24" Type="http://schemas.openxmlformats.org/officeDocument/2006/relationships/hyperlink" Target="https://books.google.com/books/about/Research_Methods_for_Business_Students.html?id=TMGYDwAAQBAJ"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fashionrevolution.org/transparency/" TargetMode="External"/><Relationship Id="rId23" Type="http://schemas.openxmlformats.org/officeDocument/2006/relationships/hyperlink" Target="https://doi.org/10.1016/j.jclepro.2020.123882" TargetMode="External"/><Relationship Id="rId28" Type="http://schemas.openxmlformats.org/officeDocument/2006/relationships/hyperlink" Target="https://www.wrap.ngo/resources/report/uk-textiles-pact-annual-progress-report-2023-24" TargetMode="External"/><Relationship Id="rId10" Type="http://schemas.openxmlformats.org/officeDocument/2006/relationships/hyperlink" Target="https://www.gov.uk/government/publications/complying-with-consumer-law-when-making-environmental-claims-in-the-fashion-retail-sector" TargetMode="External"/><Relationship Id="rId19" Type="http://schemas.openxmlformats.org/officeDocument/2006/relationships/hyperlink" Target="https://doi.org/10.3390/su17072982" TargetMode="External"/><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doi.org/10.1108/MIP-12-2017-0339" TargetMode="External"/><Relationship Id="rId14" Type="http://schemas.openxmlformats.org/officeDocument/2006/relationships/hyperlink" Target="https://doi.org/10.1016/j.spc.2019.02.009" TargetMode="External"/><Relationship Id="rId22" Type="http://schemas.openxmlformats.org/officeDocument/2006/relationships/hyperlink" Target="https://doi.org/10.1108/SAMPJ-11-2019-0405" TargetMode="External"/><Relationship Id="rId27" Type="http://schemas.openxmlformats.org/officeDocument/2006/relationships/hyperlink" Target="https://doi.org/10.1108/JFMM-08-2017-0079" TargetMode="External"/><Relationship Id="rId30" Type="http://schemas.openxmlformats.org/officeDocument/2006/relationships/header" Target="header1.xml"/><Relationship Id="rId8" Type="http://schemas.openxmlformats.org/officeDocument/2006/relationships/hyperlink" Target="https://doi.org/10.1016/j.cogsc.2022.100710" TargetMode="Externa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156082"/>
      </a:accent1>
      <a:accent2>
        <a:srgbClr val="E97132"/>
      </a:accent2>
      <a:accent3>
        <a:srgbClr val="196B24"/>
      </a:accent3>
      <a:accent4>
        <a:srgbClr val="0F9ED5"/>
      </a:accent4>
      <a:accent5>
        <a:srgbClr val="A02B93"/>
      </a:accent5>
      <a:accent6>
        <a:srgbClr val="4EA72E"/>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ptos"/>
            <a:ea typeface="Aptos"/>
            <a:cs typeface="Aptos"/>
            <a:sym typeface="Apto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ptos"/>
            <a:ea typeface="Aptos"/>
            <a:cs typeface="Aptos"/>
            <a:sym typeface="Apto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19</Pages>
  <Words>6603</Words>
  <Characters>40213</Characters>
  <Application>Microsoft Office Word</Application>
  <DocSecurity>0</DocSecurity>
  <Lines>820</Lines>
  <Paragraphs>208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46608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Jahid Bin Mostafa Nil (2506698)</cp:lastModifiedBy>
  <cp:revision>5</cp:revision>
  <dcterms:created xsi:type="dcterms:W3CDTF">2026-07-13T13:40:00Z</dcterms:created>
  <dcterms:modified xsi:type="dcterms:W3CDTF">2026-07-13T13:46:00Z</dcterms:modified>
  <cp:category/>
</cp:coreProperties>
</file>