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AB82E18" w:rsidP="0AB82E18" w:rsidRDefault="0AB82E18" w14:paraId="38CA1668" w14:textId="3C466BB9">
      <w:pPr>
        <w:spacing w:line="480" w:lineRule="auto"/>
        <w:rPr>
          <w:rFonts w:ascii="Times New Roman" w:hAnsi="Times New Roman" w:eastAsia="Times New Roman" w:cs="Times New Roman"/>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 xml:space="preserve">On Immram Bran </w:t>
      </w:r>
    </w:p>
    <w:p w:rsidR="0AB82E18" w:rsidP="0AB82E18" w:rsidRDefault="0AB82E18" w14:paraId="24D0C4E4" w14:textId="42D557D6">
      <w:pPr>
        <w:pStyle w:val="Normal"/>
        <w:spacing w:line="480" w:lineRule="auto"/>
        <w:rPr>
          <w:rFonts w:ascii="Times New Roman" w:hAnsi="Times New Roman" w:eastAsia="Times New Roman" w:cs="Times New Roman"/>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The tale is one of the earliest known tales of the Immrama or voyage type tale. Immram translates literally to ‘rowing around’</w:t>
      </w:r>
      <w:r w:rsidRPr="0AB82E18">
        <w:rPr>
          <w:rStyle w:val="FootnoteReference"/>
          <w:rFonts w:ascii="Times New Roman" w:hAnsi="Times New Roman" w:eastAsia="Times New Roman" w:cs="Times New Roman"/>
          <w:noProof w:val="0"/>
          <w:color w:val="auto"/>
          <w:sz w:val="22"/>
          <w:szCs w:val="22"/>
          <w:lang w:val="en-GB"/>
        </w:rPr>
        <w:footnoteReference w:id="19973"/>
      </w:r>
      <w:r w:rsidRPr="0AB82E18" w:rsidR="0AB82E18">
        <w:rPr>
          <w:rFonts w:ascii="Times New Roman" w:hAnsi="Times New Roman" w:eastAsia="Times New Roman" w:cs="Times New Roman"/>
          <w:noProof w:val="0"/>
          <w:color w:val="auto"/>
          <w:sz w:val="22"/>
          <w:szCs w:val="22"/>
          <w:lang w:val="en-GB"/>
        </w:rPr>
        <w:t xml:space="preserve">. </w:t>
      </w:r>
      <w:r w:rsidRPr="0AB82E18" w:rsidR="0AB82E18">
        <w:rPr>
          <w:rFonts w:ascii="Times New Roman" w:hAnsi="Times New Roman" w:eastAsia="Times New Roman" w:cs="Times New Roman"/>
          <w:i w:val="1"/>
          <w:iCs w:val="1"/>
          <w:noProof w:val="0"/>
          <w:color w:val="auto"/>
          <w:sz w:val="22"/>
          <w:szCs w:val="22"/>
          <w:lang w:val="en-GB"/>
        </w:rPr>
        <w:t>The Voyage of Bran</w:t>
      </w:r>
      <w:r w:rsidRPr="0AB82E18" w:rsidR="0AB82E18">
        <w:rPr>
          <w:rFonts w:ascii="Times New Roman" w:hAnsi="Times New Roman" w:eastAsia="Times New Roman" w:cs="Times New Roman"/>
          <w:noProof w:val="0"/>
          <w:color w:val="auto"/>
          <w:sz w:val="22"/>
          <w:szCs w:val="22"/>
          <w:lang w:val="en-GB"/>
        </w:rPr>
        <w:t xml:space="preserve"> is one of the earliest examples of a voyage tale as it is thought to have been written in or around the 8th century. While the tale is an example of an early Immram or voyage tale, it also shares characteristics with an Echtrae. An Echtrae is defined as ‘an outing, an excursion’.</w:t>
      </w:r>
      <w:r w:rsidRPr="0AB82E18">
        <w:rPr>
          <w:rStyle w:val="FootnoteReference"/>
          <w:rFonts w:ascii="Times New Roman" w:hAnsi="Times New Roman" w:eastAsia="Times New Roman" w:cs="Times New Roman"/>
          <w:noProof w:val="0"/>
          <w:color w:val="auto"/>
          <w:sz w:val="22"/>
          <w:szCs w:val="22"/>
          <w:lang w:val="en-GB"/>
        </w:rPr>
        <w:footnoteReference w:id="25308"/>
      </w:r>
      <w:r w:rsidRPr="0AB82E18" w:rsidR="0AB82E18">
        <w:rPr>
          <w:rFonts w:ascii="Times New Roman" w:hAnsi="Times New Roman" w:eastAsia="Times New Roman" w:cs="Times New Roman"/>
          <w:noProof w:val="0"/>
          <w:color w:val="auto"/>
          <w:sz w:val="22"/>
          <w:szCs w:val="22"/>
          <w:lang w:val="en-GB"/>
        </w:rPr>
        <w:t xml:space="preserve"> </w:t>
      </w:r>
      <w:r w:rsidRPr="0AB82E18" w:rsidR="0AB82E18">
        <w:rPr>
          <w:rFonts w:ascii="Times New Roman" w:hAnsi="Times New Roman" w:eastAsia="Times New Roman" w:cs="Times New Roman"/>
          <w:i w:val="1"/>
          <w:iCs w:val="1"/>
          <w:noProof w:val="0"/>
          <w:color w:val="auto"/>
          <w:sz w:val="22"/>
          <w:szCs w:val="22"/>
          <w:lang w:val="en-GB"/>
        </w:rPr>
        <w:t>Immram Bran</w:t>
      </w:r>
      <w:r w:rsidRPr="0AB82E18" w:rsidR="0AB82E18">
        <w:rPr>
          <w:rFonts w:ascii="Times New Roman" w:hAnsi="Times New Roman" w:eastAsia="Times New Roman" w:cs="Times New Roman"/>
          <w:noProof w:val="0"/>
          <w:color w:val="auto"/>
          <w:sz w:val="22"/>
          <w:szCs w:val="22"/>
          <w:lang w:val="en-GB"/>
        </w:rPr>
        <w:t xml:space="preserve"> almost stitches together elements of a classic voyage tale and a tale to a divine world with influences of both pre-Christian pagan themes and Christian spiritual themes. There are elements of the story that evokes images of spirituality that is associated with more than one faith or culture. The tale begins with Bran noticing music ‘such was its sweetness’ around him. The idea of sweet music surrounding someone evokes images of angels or a heavenly messenger just as they appear in Christian stories. For instance, in the Book of Revelations in the Bible, there is a description of a vision of heaven. The vision of heaven describes “four living creatures”, possibly angels, who each hold a harp</w:t>
      </w:r>
      <w:r w:rsidRPr="0AB82E18">
        <w:rPr>
          <w:rStyle w:val="FootnoteReference"/>
          <w:rFonts w:ascii="Times New Roman" w:hAnsi="Times New Roman" w:eastAsia="Times New Roman" w:cs="Times New Roman"/>
          <w:noProof w:val="0"/>
          <w:color w:val="auto"/>
          <w:sz w:val="22"/>
          <w:szCs w:val="22"/>
          <w:lang w:val="en-GB"/>
        </w:rPr>
        <w:footnoteReference w:id="968"/>
      </w:r>
      <w:r w:rsidRPr="0AB82E18" w:rsidR="0AB82E18">
        <w:rPr>
          <w:rFonts w:ascii="Times New Roman" w:hAnsi="Times New Roman" w:eastAsia="Times New Roman" w:cs="Times New Roman"/>
          <w:noProof w:val="0"/>
          <w:color w:val="auto"/>
          <w:sz w:val="22"/>
          <w:szCs w:val="22"/>
          <w:lang w:val="en-GB"/>
        </w:rPr>
        <w:t xml:space="preserve"> – an instrument that also is iconic to both Irish and wider Celtic culture.</w:t>
      </w:r>
      <w:r w:rsidRPr="0AB82E18">
        <w:rPr>
          <w:rStyle w:val="FootnoteReference"/>
          <w:rFonts w:ascii="Times New Roman" w:hAnsi="Times New Roman" w:eastAsia="Times New Roman" w:cs="Times New Roman"/>
          <w:noProof w:val="0"/>
          <w:color w:val="auto"/>
          <w:sz w:val="22"/>
          <w:szCs w:val="22"/>
          <w:lang w:val="en-GB"/>
        </w:rPr>
        <w:footnoteReference w:id="31466"/>
      </w:r>
      <w:r w:rsidRPr="0AB82E18" w:rsidR="0AB82E18">
        <w:rPr>
          <w:rFonts w:ascii="Times New Roman" w:hAnsi="Times New Roman" w:eastAsia="Times New Roman" w:cs="Times New Roman"/>
          <w:noProof w:val="0"/>
          <w:color w:val="auto"/>
          <w:sz w:val="22"/>
          <w:szCs w:val="22"/>
          <w:lang w:val="en-GB"/>
        </w:rPr>
        <w:t xml:space="preserve"> Similarly, while Immram Bran mentions the birth of a son, it was an angel that was sent to deliver the news to Mary of her son Jesus in Christian stories. This image of music and angels sets a solid parallel between the biblical interpretations of music and angels, and Bran’s encounter with the silver branch, and the woman that informs him of the land without want or decay, known as the Land of Women.   </w:t>
      </w:r>
    </w:p>
    <w:p w:rsidR="0AB82E18" w:rsidP="0AB82E18" w:rsidRDefault="0AB82E18" w14:paraId="586506C3" w14:textId="0453A929">
      <w:pPr>
        <w:spacing w:line="480" w:lineRule="auto"/>
        <w:rPr>
          <w:rFonts w:ascii="Times New Roman" w:hAnsi="Times New Roman" w:eastAsia="Times New Roman" w:cs="Times New Roman"/>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 xml:space="preserve"> </w:t>
      </w:r>
    </w:p>
    <w:p w:rsidR="0AB82E18" w:rsidP="0AB82E18" w:rsidRDefault="0AB82E18" w14:paraId="265B5FEE" w14:textId="0E53AC3F">
      <w:pPr>
        <w:spacing w:line="480" w:lineRule="auto"/>
        <w:rPr>
          <w:rFonts w:ascii="Times New Roman" w:hAnsi="Times New Roman" w:eastAsia="Times New Roman" w:cs="Times New Roman"/>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Bran falls asleep to the sounds of the music and wakes to find a branch of silver with white blossoms. The Silver branch also appears in other Irish tales, namely</w:t>
      </w:r>
      <w:r w:rsidRPr="0AB82E18" w:rsidR="0AB82E18">
        <w:rPr>
          <w:rFonts w:ascii="Times New Roman" w:hAnsi="Times New Roman" w:eastAsia="Times New Roman" w:cs="Times New Roman"/>
          <w:i w:val="1"/>
          <w:iCs w:val="1"/>
          <w:noProof w:val="0"/>
          <w:color w:val="auto"/>
          <w:sz w:val="22"/>
          <w:szCs w:val="22"/>
          <w:lang w:val="en-GB"/>
        </w:rPr>
        <w:t xml:space="preserve"> Immacallam in </w:t>
      </w:r>
      <w:proofErr w:type="spellStart"/>
      <w:r w:rsidRPr="0AB82E18" w:rsidR="0AB82E18">
        <w:rPr>
          <w:rFonts w:ascii="Times New Roman" w:hAnsi="Times New Roman" w:eastAsia="Times New Roman" w:cs="Times New Roman"/>
          <w:i w:val="1"/>
          <w:iCs w:val="1"/>
          <w:noProof w:val="0"/>
          <w:color w:val="auto"/>
          <w:sz w:val="22"/>
          <w:szCs w:val="22"/>
          <w:u w:val="none"/>
          <w:lang w:val="en-GB"/>
        </w:rPr>
        <w:t>dá</w:t>
      </w:r>
      <w:proofErr w:type="spellEnd"/>
      <w:r w:rsidRPr="0AB82E18" w:rsidR="0AB82E18">
        <w:rPr>
          <w:rFonts w:ascii="Times New Roman" w:hAnsi="Times New Roman" w:eastAsia="Times New Roman" w:cs="Times New Roman"/>
          <w:i w:val="1"/>
          <w:iCs w:val="1"/>
          <w:noProof w:val="0"/>
          <w:color w:val="auto"/>
          <w:sz w:val="22"/>
          <w:szCs w:val="22"/>
          <w:u w:val="none"/>
          <w:lang w:val="en-GB"/>
        </w:rPr>
        <w:t xml:space="preserve"> Thuarad </w:t>
      </w:r>
      <w:r w:rsidRPr="0AB82E18" w:rsidR="0AB82E18">
        <w:rPr>
          <w:rFonts w:ascii="Times New Roman" w:hAnsi="Times New Roman" w:eastAsia="Times New Roman" w:cs="Times New Roman"/>
          <w:noProof w:val="0"/>
          <w:color w:val="auto"/>
          <w:sz w:val="22"/>
          <w:szCs w:val="22"/>
          <w:lang w:val="en-GB"/>
        </w:rPr>
        <w:t xml:space="preserve">and </w:t>
      </w:r>
      <w:r w:rsidRPr="0AB82E18" w:rsidR="0AB82E18">
        <w:rPr>
          <w:rFonts w:ascii="Times New Roman" w:hAnsi="Times New Roman" w:eastAsia="Times New Roman" w:cs="Times New Roman"/>
          <w:i w:val="1"/>
          <w:iCs w:val="1"/>
          <w:noProof w:val="0"/>
          <w:color w:val="auto"/>
          <w:sz w:val="22"/>
          <w:szCs w:val="22"/>
          <w:lang w:val="en-GB"/>
        </w:rPr>
        <w:t>Cormac’s Adventure</w:t>
      </w:r>
      <w:r w:rsidRPr="0AB82E18" w:rsidR="0AB82E18">
        <w:rPr>
          <w:rFonts w:ascii="Times New Roman" w:hAnsi="Times New Roman" w:eastAsia="Times New Roman" w:cs="Times New Roman"/>
          <w:noProof w:val="0"/>
          <w:color w:val="auto"/>
          <w:sz w:val="22"/>
          <w:szCs w:val="22"/>
          <w:lang w:val="en-GB"/>
        </w:rPr>
        <w:t xml:space="preserve">. This is another clue as to the tale's audience that Bran’s voyage is destined to be one to the Celtic otherworld in her work the silver bough in Irish legends. In her work, Hull draws parallels between the silver branch that Bran </w:t>
      </w:r>
      <w:proofErr w:type="gramStart"/>
      <w:r w:rsidRPr="0AB82E18" w:rsidR="0AB82E18">
        <w:rPr>
          <w:rFonts w:ascii="Times New Roman" w:hAnsi="Times New Roman" w:eastAsia="Times New Roman" w:cs="Times New Roman"/>
          <w:noProof w:val="0"/>
          <w:color w:val="auto"/>
          <w:sz w:val="22"/>
          <w:szCs w:val="22"/>
          <w:lang w:val="en-GB"/>
        </w:rPr>
        <w:t>comes into contact with</w:t>
      </w:r>
      <w:proofErr w:type="gramEnd"/>
      <w:r w:rsidRPr="0AB82E18" w:rsidR="0AB82E18">
        <w:rPr>
          <w:rFonts w:ascii="Times New Roman" w:hAnsi="Times New Roman" w:eastAsia="Times New Roman" w:cs="Times New Roman"/>
          <w:noProof w:val="0"/>
          <w:color w:val="auto"/>
          <w:sz w:val="22"/>
          <w:szCs w:val="22"/>
          <w:lang w:val="en-GB"/>
        </w:rPr>
        <w:t xml:space="preserve"> in Immram Bran and a Roman legend that features a golden bough that is used to enter an otherworld.</w:t>
      </w:r>
      <w:r w:rsidRPr="0AB82E18">
        <w:rPr>
          <w:rStyle w:val="FootnoteReference"/>
          <w:rFonts w:ascii="Times New Roman" w:hAnsi="Times New Roman" w:eastAsia="Times New Roman" w:cs="Times New Roman"/>
          <w:noProof w:val="0"/>
          <w:color w:val="auto"/>
          <w:sz w:val="22"/>
          <w:szCs w:val="22"/>
          <w:lang w:val="en-GB"/>
        </w:rPr>
        <w:footnoteReference w:id="5482"/>
      </w:r>
      <w:r w:rsidRPr="0AB82E18" w:rsidR="0AB82E18">
        <w:rPr>
          <w:rFonts w:ascii="Times New Roman" w:hAnsi="Times New Roman" w:eastAsia="Times New Roman" w:cs="Times New Roman"/>
          <w:noProof w:val="0"/>
          <w:color w:val="auto"/>
          <w:sz w:val="22"/>
          <w:szCs w:val="22"/>
          <w:lang w:val="en-GB"/>
        </w:rPr>
        <w:t xml:space="preserve"> Through this, we can see the association of metal bough-like object and their significance in entry to the gateway of </w:t>
      </w:r>
      <w:proofErr w:type="spellStart"/>
      <w:r w:rsidRPr="0AB82E18" w:rsidR="0AB82E18">
        <w:rPr>
          <w:rFonts w:ascii="Times New Roman" w:hAnsi="Times New Roman" w:eastAsia="Times New Roman" w:cs="Times New Roman"/>
          <w:noProof w:val="0"/>
          <w:color w:val="auto"/>
          <w:sz w:val="22"/>
          <w:szCs w:val="22"/>
          <w:lang w:val="en-GB"/>
        </w:rPr>
        <w:t>otherworlds</w:t>
      </w:r>
      <w:proofErr w:type="spellEnd"/>
      <w:r w:rsidRPr="0AB82E18" w:rsidR="0AB82E18">
        <w:rPr>
          <w:rFonts w:ascii="Times New Roman" w:hAnsi="Times New Roman" w:eastAsia="Times New Roman" w:cs="Times New Roman"/>
          <w:noProof w:val="0"/>
          <w:color w:val="auto"/>
          <w:sz w:val="22"/>
          <w:szCs w:val="22"/>
          <w:lang w:val="en-GB"/>
        </w:rPr>
        <w:t xml:space="preserve"> across cultures. This further cements</w:t>
      </w:r>
      <w:r w:rsidRPr="0AB82E18" w:rsidR="0AB82E18">
        <w:rPr>
          <w:rFonts w:ascii="Times New Roman" w:hAnsi="Times New Roman" w:eastAsia="Times New Roman" w:cs="Times New Roman"/>
          <w:noProof w:val="0"/>
          <w:color w:val="auto"/>
          <w:sz w:val="22"/>
          <w:szCs w:val="22"/>
          <w:lang w:val="en-GB"/>
        </w:rPr>
        <w:t xml:space="preserve"> the idea that the </w:t>
      </w:r>
      <w:r w:rsidRPr="0AB82E18" w:rsidR="0AB82E18">
        <w:rPr>
          <w:rFonts w:ascii="Times New Roman" w:hAnsi="Times New Roman" w:eastAsia="Times New Roman" w:cs="Times New Roman"/>
          <w:i w:val="1"/>
          <w:iCs w:val="1"/>
          <w:noProof w:val="0"/>
          <w:color w:val="auto"/>
          <w:sz w:val="22"/>
          <w:szCs w:val="22"/>
          <w:lang w:val="en-GB"/>
        </w:rPr>
        <w:t>Voyage of Bran</w:t>
      </w:r>
      <w:r w:rsidRPr="0AB82E18" w:rsidR="0AB82E18">
        <w:rPr>
          <w:rFonts w:ascii="Times New Roman" w:hAnsi="Times New Roman" w:eastAsia="Times New Roman" w:cs="Times New Roman"/>
          <w:noProof w:val="0"/>
          <w:color w:val="auto"/>
          <w:sz w:val="22"/>
          <w:szCs w:val="22"/>
          <w:lang w:val="en-GB"/>
        </w:rPr>
        <w:t xml:space="preserve"> is a tale of adventure and discovery, but also one that is embellished with themes of spirituality, and themes of spirituality that can be drawn parallel to phenomena of a biblical theme.  </w:t>
      </w:r>
    </w:p>
    <w:p w:rsidR="0AB82E18" w:rsidP="0AB82E18" w:rsidRDefault="0AB82E18" w14:paraId="657FE8A0" w14:textId="5CA08354">
      <w:pPr>
        <w:spacing w:line="480" w:lineRule="auto"/>
        <w:rPr>
          <w:rFonts w:ascii="Times New Roman" w:hAnsi="Times New Roman" w:eastAsia="Times New Roman" w:cs="Times New Roman"/>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 xml:space="preserve"> </w:t>
      </w:r>
    </w:p>
    <w:p w:rsidR="0AB82E18" w:rsidP="0AB82E18" w:rsidRDefault="0AB82E18" w14:paraId="2CA960EF" w14:textId="1D5F7EC0">
      <w:pPr>
        <w:spacing w:line="480" w:lineRule="auto"/>
        <w:rPr>
          <w:rFonts w:ascii="Times New Roman" w:hAnsi="Times New Roman" w:eastAsia="Times New Roman" w:cs="Times New Roman"/>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 xml:space="preserve">It is also suggested that the idea of a voyage </w:t>
      </w:r>
      <w:proofErr w:type="gramStart"/>
      <w:r w:rsidRPr="0AB82E18" w:rsidR="0AB82E18">
        <w:rPr>
          <w:rFonts w:ascii="Times New Roman" w:hAnsi="Times New Roman" w:eastAsia="Times New Roman" w:cs="Times New Roman"/>
          <w:noProof w:val="0"/>
          <w:color w:val="auto"/>
          <w:sz w:val="22"/>
          <w:szCs w:val="22"/>
          <w:lang w:val="en-GB"/>
        </w:rPr>
        <w:t>in itself can</w:t>
      </w:r>
      <w:proofErr w:type="gramEnd"/>
      <w:r w:rsidRPr="0AB82E18" w:rsidR="0AB82E18">
        <w:rPr>
          <w:rFonts w:ascii="Times New Roman" w:hAnsi="Times New Roman" w:eastAsia="Times New Roman" w:cs="Times New Roman"/>
          <w:noProof w:val="0"/>
          <w:color w:val="auto"/>
          <w:sz w:val="22"/>
          <w:szCs w:val="22"/>
          <w:lang w:val="en-GB"/>
        </w:rPr>
        <w:t xml:space="preserve"> be a spiritual act. It is said that the term </w:t>
      </w:r>
      <w:proofErr w:type="spellStart"/>
      <w:r w:rsidRPr="0AB82E18" w:rsidR="0AB82E18">
        <w:rPr>
          <w:rFonts w:ascii="Times New Roman" w:hAnsi="Times New Roman" w:eastAsia="Times New Roman" w:cs="Times New Roman"/>
          <w:noProof w:val="0"/>
          <w:color w:val="auto"/>
          <w:sz w:val="22"/>
          <w:szCs w:val="22"/>
          <w:lang w:val="en-GB"/>
        </w:rPr>
        <w:t>Immram</w:t>
      </w:r>
      <w:proofErr w:type="spellEnd"/>
      <w:r w:rsidRPr="0AB82E18" w:rsidR="0AB82E18">
        <w:rPr>
          <w:rFonts w:ascii="Times New Roman" w:hAnsi="Times New Roman" w:eastAsia="Times New Roman" w:cs="Times New Roman"/>
          <w:noProof w:val="0"/>
          <w:color w:val="auto"/>
          <w:sz w:val="22"/>
          <w:szCs w:val="22"/>
          <w:lang w:val="en-GB"/>
        </w:rPr>
        <w:t xml:space="preserve"> can be an act ‘motivated by religious reasons … either of penitential nature or simply to come closer to God by leaving one's country and family behind’</w:t>
      </w:r>
      <w:r w:rsidRPr="0AB82E18">
        <w:rPr>
          <w:rStyle w:val="FootnoteReference"/>
          <w:rFonts w:ascii="Times New Roman" w:hAnsi="Times New Roman" w:eastAsia="Times New Roman" w:cs="Times New Roman"/>
          <w:noProof w:val="0"/>
          <w:color w:val="auto"/>
          <w:sz w:val="22"/>
          <w:szCs w:val="22"/>
          <w:lang w:val="en-GB"/>
        </w:rPr>
        <w:footnoteReference w:id="16338"/>
      </w:r>
      <w:r w:rsidRPr="0AB82E18" w:rsidR="0AB82E18">
        <w:rPr>
          <w:rFonts w:ascii="Times New Roman" w:hAnsi="Times New Roman" w:eastAsia="Times New Roman" w:cs="Times New Roman"/>
          <w:noProof w:val="0"/>
          <w:color w:val="auto"/>
          <w:sz w:val="22"/>
          <w:szCs w:val="22"/>
          <w:lang w:val="en-GB"/>
        </w:rPr>
        <w:t xml:space="preserve">. This idea is interesting, as a penitential motivation to take a voyage to a land without sin or want – the Land of Women – evokes ideas of a heavenly plane that is free of pain. It is also interesting that it is almost as if Bran was chosen by the woman with the Branch to enter this otherworld. It is almost </w:t>
      </w:r>
      <w:proofErr w:type="gramStart"/>
      <w:r w:rsidRPr="0AB82E18" w:rsidR="0AB82E18">
        <w:rPr>
          <w:rFonts w:ascii="Times New Roman" w:hAnsi="Times New Roman" w:eastAsia="Times New Roman" w:cs="Times New Roman"/>
          <w:noProof w:val="0"/>
          <w:color w:val="auto"/>
          <w:sz w:val="22"/>
          <w:szCs w:val="22"/>
          <w:lang w:val="en-GB"/>
        </w:rPr>
        <w:t>similar to</w:t>
      </w:r>
      <w:proofErr w:type="gramEnd"/>
      <w:r w:rsidRPr="0AB82E18" w:rsidR="0AB82E18">
        <w:rPr>
          <w:rFonts w:ascii="Times New Roman" w:hAnsi="Times New Roman" w:eastAsia="Times New Roman" w:cs="Times New Roman"/>
          <w:noProof w:val="0"/>
          <w:color w:val="auto"/>
          <w:sz w:val="22"/>
          <w:szCs w:val="22"/>
          <w:lang w:val="en-GB"/>
        </w:rPr>
        <w:t xml:space="preserve"> the idea of being judged by God, but instead in this hybrid tale of native Celtic themes and Christianity, Bran is judged and chosen not by a Christian depiction of God, but by a woman. The otherworld that Bran and his men travel to is led by women. Perhaps another parallel that can be drawn between the interlaced dichotomy of themes in this tale is the idea that upon Bran and his party’s return to Ireland, much time had passed on the earth plane, while in the otherworld these many years had been hardly any time at all. While Bran and his party were given travel instructions by the leader of the otherworld, upon touching Irish soil, a member of Bran’s party turned to dust. Could it be that this is </w:t>
      </w:r>
      <w:proofErr w:type="gramStart"/>
      <w:r w:rsidRPr="0AB82E18" w:rsidR="0AB82E18">
        <w:rPr>
          <w:rFonts w:ascii="Times New Roman" w:hAnsi="Times New Roman" w:eastAsia="Times New Roman" w:cs="Times New Roman"/>
          <w:noProof w:val="0"/>
          <w:color w:val="auto"/>
          <w:sz w:val="22"/>
          <w:szCs w:val="22"/>
          <w:lang w:val="en-GB"/>
        </w:rPr>
        <w:t>similar to</w:t>
      </w:r>
      <w:proofErr w:type="gramEnd"/>
      <w:r w:rsidRPr="0AB82E18" w:rsidR="0AB82E18">
        <w:rPr>
          <w:rFonts w:ascii="Times New Roman" w:hAnsi="Times New Roman" w:eastAsia="Times New Roman" w:cs="Times New Roman"/>
          <w:noProof w:val="0"/>
          <w:color w:val="auto"/>
          <w:sz w:val="22"/>
          <w:szCs w:val="22"/>
          <w:lang w:val="en-GB"/>
        </w:rPr>
        <w:t xml:space="preserve"> a biblical punishment?  </w:t>
      </w:r>
    </w:p>
    <w:p w:rsidR="0AB82E18" w:rsidP="0AB82E18" w:rsidRDefault="0AB82E18" w14:paraId="055336AE" w14:textId="32168564">
      <w:pPr>
        <w:spacing w:line="480" w:lineRule="auto"/>
        <w:rPr>
          <w:rFonts w:ascii="Times New Roman" w:hAnsi="Times New Roman" w:eastAsia="Times New Roman" w:cs="Times New Roman"/>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 xml:space="preserve"> </w:t>
      </w:r>
    </w:p>
    <w:p w:rsidR="0AB82E18" w:rsidP="0AB82E18" w:rsidRDefault="0AB82E18" w14:paraId="08E2AADA" w14:textId="103A35E2">
      <w:pPr>
        <w:spacing w:line="480" w:lineRule="auto"/>
        <w:rPr>
          <w:rFonts w:ascii="Times New Roman" w:hAnsi="Times New Roman" w:eastAsia="Times New Roman" w:cs="Times New Roman"/>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 xml:space="preserve">Overall, </w:t>
      </w:r>
      <w:r w:rsidRPr="0AB82E18" w:rsidR="0AB82E18">
        <w:rPr>
          <w:rFonts w:ascii="Times New Roman" w:hAnsi="Times New Roman" w:eastAsia="Times New Roman" w:cs="Times New Roman"/>
          <w:i w:val="1"/>
          <w:iCs w:val="1"/>
          <w:noProof w:val="0"/>
          <w:color w:val="auto"/>
          <w:sz w:val="22"/>
          <w:szCs w:val="22"/>
          <w:lang w:val="en-GB"/>
        </w:rPr>
        <w:t>Immram Bran</w:t>
      </w:r>
      <w:r w:rsidRPr="0AB82E18" w:rsidR="0AB82E18">
        <w:rPr>
          <w:rFonts w:ascii="Times New Roman" w:hAnsi="Times New Roman" w:eastAsia="Times New Roman" w:cs="Times New Roman"/>
          <w:noProof w:val="0"/>
          <w:color w:val="auto"/>
          <w:sz w:val="22"/>
          <w:szCs w:val="22"/>
          <w:lang w:val="en-GB"/>
        </w:rPr>
        <w:t xml:space="preserve"> is an old voyage tale of adventure with heavily interlaced themes of native Celticism and Christianity. It is impossible to know its author, and whether its themes are so woven with varying spiritual themes because it was relayed by multiple parties. The tale is almost biblical in style in some parts. For instance, an interpretation of angels and the expectation of a son similar to the story of Christ evokes images in Christian beliefs, while the idea of the Land of Women, and the theme of music and its possible association with harps evoke images of a more Celtic nature. The voyage of Bran is perhaps the most peculiar hybrid of pre-Christian Ireland and Christian spirituality, and as a result is a tale that is steeped in spiritual themes, even if that spirituality is a contrast of more pagan themes and Christianity.</w:t>
      </w:r>
    </w:p>
    <w:p w:rsidR="0AB82E18" w:rsidP="0AB82E18" w:rsidRDefault="0AB82E18" w14:paraId="674AAC4B" w14:textId="53315FF8">
      <w:pPr>
        <w:pStyle w:val="Normal"/>
        <w:spacing w:line="480" w:lineRule="auto"/>
        <w:ind w:left="720"/>
        <w:rPr>
          <w:rFonts w:ascii="sans-serif" w:hAnsi="sans-serif" w:eastAsia="sans-serif" w:cs="sans-serif"/>
          <w:noProof w:val="0"/>
          <w:color w:val="auto"/>
          <w:sz w:val="22"/>
          <w:szCs w:val="22"/>
          <w:lang w:val="en-GB"/>
        </w:rPr>
      </w:pPr>
      <w:r w:rsidRPr="0AB82E18" w:rsidR="0AB82E18">
        <w:rPr>
          <w:rFonts w:ascii="Times New Roman" w:hAnsi="Times New Roman" w:eastAsia="Times New Roman" w:cs="Times New Roman"/>
          <w:noProof w:val="0"/>
          <w:color w:val="auto"/>
          <w:sz w:val="22"/>
          <w:szCs w:val="22"/>
          <w:lang w:val="en-GB"/>
        </w:rPr>
        <w:t xml:space="preserve"> </w:t>
      </w:r>
      <w:r>
        <w:br/>
      </w:r>
      <w:r>
        <w:br/>
      </w:r>
    </w:p>
    <w:sectPr>
      <w:pgSz w:w="11906" w:h="16838" w:orient="portrait"/>
      <w:pgMar w:top="1440" w:right="1440" w:bottom="1440" w:left="1440" w:header="720" w:footer="720" w:gutter="0"/>
      <w:cols w:space="720"/>
      <w:docGrid w:linePitch="360"/>
      <w:headerReference w:type="default" r:id="R0773263b73f44136"/>
      <w:footerReference w:type="default" r:id="R1f261e303cfb47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AB82E18" w:rsidTr="0AB82E18" w14:paraId="2C5FC6CC">
      <w:tc>
        <w:tcPr>
          <w:tcW w:w="3009" w:type="dxa"/>
          <w:tcMar/>
        </w:tcPr>
        <w:p w:rsidR="0AB82E18" w:rsidP="0AB82E18" w:rsidRDefault="0AB82E18" w14:paraId="556E3407" w14:textId="783B1402">
          <w:pPr>
            <w:pStyle w:val="Header"/>
            <w:bidi w:val="0"/>
            <w:ind w:left="-115"/>
            <w:jc w:val="left"/>
          </w:pPr>
        </w:p>
      </w:tc>
      <w:tc>
        <w:tcPr>
          <w:tcW w:w="3009" w:type="dxa"/>
          <w:tcMar/>
        </w:tcPr>
        <w:p w:rsidR="0AB82E18" w:rsidP="0AB82E18" w:rsidRDefault="0AB82E18" w14:paraId="534F5045" w14:textId="093EF7A8">
          <w:pPr>
            <w:pStyle w:val="Header"/>
            <w:bidi w:val="0"/>
            <w:jc w:val="center"/>
          </w:pPr>
        </w:p>
      </w:tc>
      <w:tc>
        <w:tcPr>
          <w:tcW w:w="3009" w:type="dxa"/>
          <w:tcMar/>
        </w:tcPr>
        <w:p w:rsidR="0AB82E18" w:rsidP="0AB82E18" w:rsidRDefault="0AB82E18" w14:paraId="317CA1C1" w14:textId="6638801F">
          <w:pPr>
            <w:pStyle w:val="Header"/>
            <w:bidi w:val="0"/>
            <w:ind w:right="-115"/>
            <w:jc w:val="right"/>
          </w:pPr>
        </w:p>
      </w:tc>
    </w:tr>
  </w:tbl>
  <w:p w:rsidR="0AB82E18" w:rsidP="0AB82E18" w:rsidRDefault="0AB82E18" w14:paraId="4F583B78" w14:textId="239D09F3">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AB82E18" w:rsidRDefault="0AB82E18" w14:paraId="2E169CA8" w14:textId="129D97A0">
      <w:pPr>
        <w:spacing w:after="0" w:line="240" w:lineRule="auto"/>
      </w:pPr>
      <w:r>
        <w:separator/>
      </w:r>
    </w:p>
  </w:footnote>
  <w:footnote w:type="continuationSeparator" w:id="0">
    <w:p w:rsidR="0AB82E18" w:rsidRDefault="0AB82E18" w14:paraId="19385897" w14:textId="074C4FC7">
      <w:pPr>
        <w:spacing w:after="0" w:line="240" w:lineRule="auto"/>
      </w:pPr>
      <w:r>
        <w:continuationSeparator/>
      </w:r>
    </w:p>
  </w:footnote>
  <w:footnote w:id="968">
    <w:p w:rsidR="0AB82E18" w:rsidP="0AB82E18" w:rsidRDefault="0AB82E18" w14:paraId="72F99439" w14:textId="258F1D1A">
      <w:pPr>
        <w:pStyle w:val="FootnoteText"/>
        <w:bidi w:val="0"/>
      </w:pPr>
      <w:r w:rsidRPr="0AB82E18">
        <w:rPr>
          <w:rStyle w:val="FootnoteReference"/>
        </w:rPr>
        <w:footnoteRef/>
      </w:r>
      <w:r w:rsidR="0AB82E18">
        <w:rPr/>
        <w:t xml:space="preserve"> </w:t>
      </w:r>
      <w:r w:rsidRPr="0AB82E18" w:rsidR="0AB82E18">
        <w:rPr>
          <w:i w:val="1"/>
          <w:iCs w:val="1"/>
          <w:noProof w:val="0"/>
          <w:sz w:val="19"/>
          <w:szCs w:val="19"/>
          <w:lang w:val="en-GB"/>
        </w:rPr>
        <w:t>Revelation,</w:t>
      </w:r>
      <w:r w:rsidRPr="0AB82E18" w:rsidR="0AB82E18">
        <w:rPr>
          <w:noProof w:val="0"/>
          <w:sz w:val="19"/>
          <w:szCs w:val="19"/>
          <w:lang w:val="en-GB"/>
        </w:rPr>
        <w:t xml:space="preserve"> n.d. Online: New International Version, Chapter 5. </w:t>
      </w:r>
      <w:r w:rsidRPr="0AB82E18" w:rsidR="0AB82E18">
        <w:rPr>
          <w:rFonts w:ascii="sans-serif" w:hAnsi="sans-serif" w:eastAsia="sans-serif" w:cs="sans-serif"/>
          <w:noProof w:val="0"/>
          <w:color w:val="222222"/>
          <w:sz w:val="18"/>
          <w:szCs w:val="18"/>
          <w:lang w:val="en-GB"/>
        </w:rPr>
        <w:t>[Date accessed: 15.02.2020]</w:t>
      </w:r>
    </w:p>
  </w:footnote>
  <w:footnote w:id="31466">
    <w:p w:rsidR="0AB82E18" w:rsidP="0AB82E18" w:rsidRDefault="0AB82E18" w14:paraId="15A63385" w14:textId="0D051408">
      <w:pPr>
        <w:pStyle w:val="FootnoteText"/>
        <w:bidi w:val="0"/>
      </w:pPr>
      <w:r w:rsidRPr="0AB82E18">
        <w:rPr>
          <w:rStyle w:val="FootnoteReference"/>
        </w:rPr>
        <w:footnoteRef/>
      </w:r>
      <w:r w:rsidR="0AB82E18">
        <w:rPr/>
        <w:t xml:space="preserve"> </w:t>
      </w:r>
      <w:r w:rsidRPr="0AB82E18" w:rsidR="0AB82E18">
        <w:rPr>
          <w:rFonts w:ascii="Verdana" w:hAnsi="Verdana" w:eastAsia="Verdana" w:cs="Verdana"/>
          <w:noProof w:val="0"/>
          <w:color w:val="555555"/>
          <w:lang w:val="en-GB"/>
        </w:rPr>
        <w:t xml:space="preserve">Kleinerman, S., 2008. By Degrees the Castles Are Built: Early Music in Ireland: The Magazine of Historical Performance </w:t>
      </w:r>
      <w:proofErr w:type="gramStart"/>
      <w:r w:rsidRPr="0AB82E18" w:rsidR="0AB82E18">
        <w:rPr>
          <w:rFonts w:ascii="Verdana" w:hAnsi="Verdana" w:eastAsia="Verdana" w:cs="Verdana"/>
          <w:noProof w:val="0"/>
          <w:color w:val="555555"/>
          <w:lang w:val="en-GB"/>
        </w:rPr>
        <w:t>The</w:t>
      </w:r>
      <w:proofErr w:type="gramEnd"/>
      <w:r w:rsidRPr="0AB82E18" w:rsidR="0AB82E18">
        <w:rPr>
          <w:rFonts w:ascii="Verdana" w:hAnsi="Verdana" w:eastAsia="Verdana" w:cs="Verdana"/>
          <w:noProof w:val="0"/>
          <w:color w:val="555555"/>
          <w:lang w:val="en-GB"/>
        </w:rPr>
        <w:t xml:space="preserve"> Magazine of Historical Performance The Journal of Early Music America. </w:t>
      </w:r>
      <w:r w:rsidRPr="0AB82E18" w:rsidR="0AB82E18">
        <w:rPr>
          <w:rFonts w:ascii="Verdana" w:hAnsi="Verdana" w:eastAsia="Verdana" w:cs="Verdana"/>
          <w:i w:val="1"/>
          <w:iCs w:val="1"/>
          <w:noProof w:val="0"/>
          <w:color w:val="555555"/>
          <w:lang w:val="en-GB"/>
        </w:rPr>
        <w:t xml:space="preserve">Early Music America, </w:t>
      </w:r>
      <w:r w:rsidRPr="0AB82E18" w:rsidR="0AB82E18">
        <w:rPr>
          <w:rFonts w:ascii="Verdana" w:hAnsi="Verdana" w:eastAsia="Verdana" w:cs="Verdana"/>
          <w:b w:val="1"/>
          <w:bCs w:val="1"/>
          <w:noProof w:val="0"/>
          <w:color w:val="555555"/>
          <w:lang w:val="en-GB"/>
        </w:rPr>
        <w:t>14</w:t>
      </w:r>
      <w:r w:rsidRPr="0AB82E18" w:rsidR="0AB82E18">
        <w:rPr>
          <w:rFonts w:ascii="Verdana" w:hAnsi="Verdana" w:eastAsia="Verdana" w:cs="Verdana"/>
          <w:noProof w:val="0"/>
          <w:color w:val="555555"/>
          <w:lang w:val="en-GB"/>
        </w:rPr>
        <w:t xml:space="preserve">(3), pp. 33-36 </w:t>
      </w:r>
      <w:r w:rsidRPr="0AB82E18" w:rsidR="0AB82E18">
        <w:rPr>
          <w:rFonts w:ascii="sans-serif" w:hAnsi="sans-serif" w:eastAsia="sans-serif" w:cs="sans-serif"/>
          <w:noProof w:val="0"/>
          <w:color w:val="222222"/>
          <w:sz w:val="18"/>
          <w:szCs w:val="18"/>
          <w:lang w:val="en-GB"/>
        </w:rPr>
        <w:t>[Date accessed: 18.02.2020]</w:t>
      </w:r>
    </w:p>
  </w:footnote>
  <w:footnote w:id="5482">
    <w:p w:rsidR="0AB82E18" w:rsidP="0AB82E18" w:rsidRDefault="0AB82E18" w14:paraId="76CA6B69" w14:textId="05C16263">
      <w:pPr>
        <w:pStyle w:val="FootnoteText"/>
        <w:bidi w:val="0"/>
      </w:pPr>
      <w:r w:rsidRPr="0AB82E18">
        <w:rPr>
          <w:rStyle w:val="FootnoteReference"/>
        </w:rPr>
        <w:footnoteRef/>
      </w:r>
      <w:r w:rsidR="0AB82E18">
        <w:rPr/>
        <w:t xml:space="preserve"> </w:t>
      </w:r>
      <w:hyperlink r:id="Rba444e6b10364f8c">
        <w:r w:rsidRPr="0AB82E18" w:rsidR="0AB82E18">
          <w:rPr>
            <w:rStyle w:val="Hyperlink"/>
            <w:rFonts w:ascii="sans-serif" w:hAnsi="sans-serif" w:eastAsia="sans-serif" w:cs="sans-serif"/>
            <w:noProof w:val="0"/>
            <w:color w:val="0B0080"/>
            <w:sz w:val="18"/>
            <w:szCs w:val="18"/>
            <w:lang w:val="en-GB"/>
          </w:rPr>
          <w:t>Hull, Eleanor</w:t>
        </w:r>
      </w:hyperlink>
      <w:r w:rsidRPr="0AB82E18" w:rsidR="0AB82E18">
        <w:rPr>
          <w:rFonts w:ascii="sans-serif" w:hAnsi="sans-serif" w:eastAsia="sans-serif" w:cs="sans-serif"/>
          <w:noProof w:val="0"/>
          <w:color w:val="0B0080"/>
          <w:sz w:val="18"/>
          <w:szCs w:val="18"/>
          <w:lang w:val="en-GB"/>
        </w:rPr>
        <w:t xml:space="preserve"> (December 1901), </w:t>
      </w:r>
      <w:hyperlink r:id="R24a203462216439b">
        <w:r w:rsidRPr="0AB82E18" w:rsidR="0AB82E18">
          <w:rPr>
            <w:rStyle w:val="Hyperlink"/>
            <w:rFonts w:ascii="sans-serif" w:hAnsi="sans-serif" w:eastAsia="sans-serif" w:cs="sans-serif"/>
            <w:noProof w:val="0"/>
            <w:color w:val="663366"/>
            <w:sz w:val="18"/>
            <w:szCs w:val="18"/>
            <w:lang w:val="en-GB"/>
          </w:rPr>
          <w:t>"The Silver Bough in Irish Legend"</w:t>
        </w:r>
      </w:hyperlink>
      <w:r w:rsidRPr="0AB82E18" w:rsidR="0AB82E18">
        <w:rPr>
          <w:rFonts w:ascii="sans-serif" w:hAnsi="sans-serif" w:eastAsia="sans-serif" w:cs="sans-serif"/>
          <w:noProof w:val="0"/>
          <w:color w:val="663366"/>
          <w:sz w:val="18"/>
          <w:szCs w:val="18"/>
          <w:lang w:val="en-GB"/>
        </w:rPr>
        <w:t xml:space="preserve">, </w:t>
      </w:r>
      <w:r w:rsidRPr="0AB82E18" w:rsidR="0AB82E18">
        <w:rPr>
          <w:rFonts w:ascii="sans-serif" w:hAnsi="sans-serif" w:eastAsia="sans-serif" w:cs="sans-serif"/>
          <w:i w:val="1"/>
          <w:iCs w:val="1"/>
          <w:noProof w:val="0"/>
          <w:color w:val="222222"/>
          <w:sz w:val="18"/>
          <w:szCs w:val="18"/>
          <w:lang w:val="en-GB"/>
        </w:rPr>
        <w:t>Folk-Lore</w:t>
      </w:r>
      <w:r w:rsidRPr="0AB82E18" w:rsidR="0AB82E18">
        <w:rPr>
          <w:rFonts w:ascii="sans-serif" w:hAnsi="sans-serif" w:eastAsia="sans-serif" w:cs="sans-serif"/>
          <w:noProof w:val="0"/>
          <w:color w:val="222222"/>
          <w:sz w:val="18"/>
          <w:szCs w:val="18"/>
          <w:lang w:val="en-GB"/>
        </w:rPr>
        <w:t xml:space="preserve">, </w:t>
      </w:r>
      <w:r w:rsidRPr="0AB82E18" w:rsidR="0AB82E18">
        <w:rPr>
          <w:rFonts w:ascii="sans-serif" w:hAnsi="sans-serif" w:eastAsia="sans-serif" w:cs="sans-serif"/>
          <w:b w:val="1"/>
          <w:bCs w:val="1"/>
          <w:noProof w:val="0"/>
          <w:color w:val="222222"/>
          <w:sz w:val="18"/>
          <w:szCs w:val="18"/>
          <w:lang w:val="en-GB"/>
        </w:rPr>
        <w:t>12</w:t>
      </w:r>
      <w:r w:rsidRPr="0AB82E18" w:rsidR="0AB82E18">
        <w:rPr>
          <w:rFonts w:ascii="sans-serif" w:hAnsi="sans-serif" w:eastAsia="sans-serif" w:cs="sans-serif"/>
          <w:noProof w:val="0"/>
          <w:color w:val="222222"/>
          <w:sz w:val="18"/>
          <w:szCs w:val="18"/>
          <w:lang w:val="en-GB"/>
        </w:rPr>
        <w:t xml:space="preserve"> (4): 431–445 [Date accessed: 15.02.2020]</w:t>
      </w:r>
    </w:p>
  </w:footnote>
  <w:footnote w:id="16338">
    <w:p w:rsidR="0AB82E18" w:rsidP="0AB82E18" w:rsidRDefault="0AB82E18" w14:paraId="69C1EA7D" w14:textId="4B51BBFF">
      <w:pPr>
        <w:pStyle w:val="FootnoteText"/>
        <w:bidi w:val="0"/>
        <w:rPr>
          <w:noProof w:val="0"/>
          <w:lang w:val="en-GB"/>
        </w:rPr>
      </w:pPr>
      <w:r w:rsidRPr="0AB82E18">
        <w:rPr>
          <w:rStyle w:val="FootnoteReference"/>
        </w:rPr>
        <w:footnoteRef/>
      </w:r>
      <w:r w:rsidR="0AB82E18">
        <w:rPr/>
        <w:t xml:space="preserve"> </w:t>
      </w:r>
      <w:r w:rsidRPr="0AB82E18" w:rsidR="0AB82E18">
        <w:rPr>
          <w:noProof w:val="0"/>
          <w:sz w:val="19"/>
          <w:szCs w:val="19"/>
          <w:lang w:val="en-GB"/>
        </w:rPr>
        <w:t xml:space="preserve">Lrc.la.utexas.edu. 2020. </w:t>
      </w:r>
      <w:r w:rsidRPr="0AB82E18" w:rsidR="0AB82E18">
        <w:rPr>
          <w:i w:val="1"/>
          <w:iCs w:val="1"/>
          <w:noProof w:val="0"/>
          <w:sz w:val="19"/>
          <w:szCs w:val="19"/>
          <w:lang w:val="en-GB"/>
        </w:rPr>
        <w:t>Immram Brain 'Bran's Voyage'</w:t>
      </w:r>
      <w:r w:rsidRPr="0AB82E18" w:rsidR="0AB82E18">
        <w:rPr>
          <w:noProof w:val="0"/>
          <w:sz w:val="19"/>
          <w:szCs w:val="19"/>
          <w:lang w:val="en-GB"/>
        </w:rPr>
        <w:t>. [online] Available at: &lt;https://lrc.la.utexas.edu/eieol/iriol/70&gt; [Accessed 25 February 2020].</w:t>
      </w:r>
    </w:p>
  </w:footnote>
  <w:footnote w:id="19973">
    <w:p w:rsidR="0AB82E18" w:rsidP="0AB82E18" w:rsidRDefault="0AB82E18" w14:paraId="68333F13" w14:textId="37E7CC5D">
      <w:pPr>
        <w:pStyle w:val="FootnoteText"/>
        <w:bidi w:val="0"/>
        <w:rPr>
          <w:i w:val="1"/>
          <w:iCs w:val="1"/>
        </w:rPr>
      </w:pPr>
      <w:r w:rsidRPr="0AB82E18">
        <w:rPr>
          <w:rStyle w:val="FootnoteReference"/>
        </w:rPr>
        <w:footnoteRef/>
      </w:r>
      <w:r w:rsidR="0AB82E18">
        <w:rPr/>
        <w:t xml:space="preserve"> Lewis, B. </w:t>
      </w:r>
      <w:r w:rsidRPr="0AB82E18" w:rsidR="0AB82E18">
        <w:rPr>
          <w:i w:val="1"/>
          <w:iCs w:val="1"/>
        </w:rPr>
        <w:t xml:space="preserve">Immram Brain, Echtrae Connlai: the scholarship of </w:t>
      </w:r>
      <w:proofErr w:type="spellStart"/>
      <w:r w:rsidRPr="0AB82E18" w:rsidR="0AB82E18">
        <w:rPr>
          <w:i w:val="1"/>
          <w:iCs w:val="1"/>
        </w:rPr>
        <w:t>immram</w:t>
      </w:r>
      <w:proofErr w:type="spellEnd"/>
      <w:r w:rsidRPr="0AB82E18" w:rsidR="0AB82E18">
        <w:rPr>
          <w:i w:val="1"/>
          <w:iCs w:val="1"/>
        </w:rPr>
        <w:t xml:space="preserve"> and </w:t>
      </w:r>
      <w:proofErr w:type="spellStart"/>
      <w:r w:rsidRPr="0AB82E18" w:rsidR="0AB82E18">
        <w:rPr>
          <w:i w:val="1"/>
          <w:iCs w:val="1"/>
        </w:rPr>
        <w:t>echtrae</w:t>
      </w:r>
      <w:proofErr w:type="spellEnd"/>
      <w:r w:rsidRPr="0AB82E18" w:rsidR="0AB82E18">
        <w:rPr>
          <w:i w:val="1"/>
          <w:iCs w:val="1"/>
        </w:rPr>
        <w:t>, (</w:t>
      </w:r>
      <w:r w:rsidRPr="0AB82E18" w:rsidR="0AB82E18">
        <w:rPr>
          <w:noProof w:val="0"/>
          <w:lang w:val="en-GB"/>
        </w:rPr>
        <w:t>20 December 2013)</w:t>
      </w:r>
    </w:p>
    <w:p w:rsidR="0AB82E18" w:rsidP="0AB82E18" w:rsidRDefault="0AB82E18" w14:paraId="40DBC1BF" w14:textId="5BE78891">
      <w:pPr>
        <w:pStyle w:val="FootnoteText"/>
        <w:bidi w:val="0"/>
      </w:pPr>
      <w:r w:rsidR="0AB82E18">
        <w:rPr/>
        <w:t xml:space="preserve"> </w:t>
      </w:r>
    </w:p>
  </w:footnote>
  <w:footnote w:id="25308">
    <w:p w:rsidR="0AB82E18" w:rsidP="0AB82E18" w:rsidRDefault="0AB82E18" w14:paraId="556C9D50" w14:textId="1A318127">
      <w:pPr>
        <w:pStyle w:val="FootnoteText"/>
        <w:bidi w:val="0"/>
        <w:rPr>
          <w:noProof w:val="0"/>
          <w:lang w:val="en-GB"/>
        </w:rPr>
      </w:pPr>
      <w:r w:rsidRPr="0AB82E18">
        <w:rPr>
          <w:rStyle w:val="FootnoteReference"/>
        </w:rPr>
        <w:footnoteRef/>
      </w:r>
      <w:r w:rsidR="0AB82E18">
        <w:rPr/>
        <w:t xml:space="preserve"> </w:t>
      </w:r>
      <w:r w:rsidRPr="0AB82E18" w:rsidR="0AB82E18">
        <w:rPr>
          <w:i w:val="1"/>
          <w:iCs w:val="1"/>
        </w:rPr>
        <w:t>Ibid.</w:t>
      </w:r>
      <w:r w:rsidR="0AB82E18">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AB82E18" w:rsidTr="0AB82E18" w14:paraId="734BF582">
      <w:tc>
        <w:tcPr>
          <w:tcW w:w="3009" w:type="dxa"/>
          <w:tcMar/>
        </w:tcPr>
        <w:p w:rsidR="0AB82E18" w:rsidP="0AB82E18" w:rsidRDefault="0AB82E18" w14:paraId="5CC4B03D" w14:textId="557C2B31">
          <w:pPr>
            <w:pStyle w:val="Header"/>
            <w:bidi w:val="0"/>
            <w:ind w:left="-115"/>
            <w:jc w:val="left"/>
          </w:pPr>
          <w:r w:rsidR="0AB82E18">
            <w:rPr/>
            <w:t>Sophia Crewe</w:t>
          </w:r>
        </w:p>
      </w:tc>
      <w:tc>
        <w:tcPr>
          <w:tcW w:w="3009" w:type="dxa"/>
          <w:tcMar/>
        </w:tcPr>
        <w:p w:rsidR="0AB82E18" w:rsidP="0AB82E18" w:rsidRDefault="0AB82E18" w14:paraId="1E464543" w14:textId="14BC0012">
          <w:pPr>
            <w:pStyle w:val="Header"/>
            <w:bidi w:val="0"/>
            <w:jc w:val="center"/>
          </w:pPr>
          <w:r w:rsidR="0AB82E18">
            <w:rPr/>
            <w:t>1602308</w:t>
          </w:r>
        </w:p>
      </w:tc>
      <w:tc>
        <w:tcPr>
          <w:tcW w:w="3009" w:type="dxa"/>
          <w:tcMar/>
        </w:tcPr>
        <w:p w:rsidR="0AB82E18" w:rsidP="0AB82E18" w:rsidRDefault="0AB82E18" w14:paraId="010C0DBB" w14:textId="02B7B712">
          <w:pPr>
            <w:pStyle w:val="Header"/>
            <w:bidi w:val="0"/>
            <w:ind w:right="-115"/>
            <w:jc w:val="right"/>
          </w:pPr>
        </w:p>
      </w:tc>
    </w:tr>
  </w:tbl>
  <w:p w:rsidR="0AB82E18" w:rsidP="0AB82E18" w:rsidRDefault="0AB82E18" w14:paraId="3C4B1E46" w14:textId="3320772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9F1C65A"/>
  <w15:docId w15:val="{0c9f4ba8-5147-4e5c-85a5-ae7b72a39e13}"/>
  <w:rsids>
    <w:rsidRoot w:val="49F1C65A"/>
    <w:rsid w:val="0AB82E18"/>
    <w:rsid w:val="49F1C65A"/>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773263b73f44136" /><Relationship Type="http://schemas.openxmlformats.org/officeDocument/2006/relationships/footer" Target="/word/footer.xml" Id="R1f261e303cfb477c" /><Relationship Type="http://schemas.openxmlformats.org/officeDocument/2006/relationships/footnotes" Target="/word/footnotes.xml" Id="Rfa5da8c7720e4371" /></Relationships>
</file>

<file path=word/_rels/footnotes.xml.rels>&#65279;<?xml version="1.0" encoding="utf-8"?><Relationships xmlns="http://schemas.openxmlformats.org/package/2006/relationships"><Relationship Type="http://schemas.openxmlformats.org/officeDocument/2006/relationships/hyperlink" Target="https://en.wikipedia.org/wiki/Eleanor_Hull" TargetMode="External" Id="Rba444e6b10364f8c" /><Relationship Type="http://schemas.openxmlformats.org/officeDocument/2006/relationships/hyperlink" Target="https://books.google.com/books?id=2yTjdVKxQP0C&amp;pg=PA436" TargetMode="External" Id="R24a20346221643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Sophia Crewe (1602308)</dc:creator>
  <keywords/>
  <dc:description/>
  <lastModifiedBy>Sophia Crewe (1602308)</lastModifiedBy>
  <revision>2</revision>
  <dcterms:created xsi:type="dcterms:W3CDTF">2020-03-12T23:13:53.4174617Z</dcterms:created>
  <dcterms:modified xsi:type="dcterms:W3CDTF">2020-03-13T13:11:32.8437465Z</dcterms:modified>
</coreProperties>
</file>