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F92CF8" w14:textId="77777777" w:rsidR="00A16A4D" w:rsidRPr="000D2691" w:rsidRDefault="00A16A4D" w:rsidP="00A16A4D">
      <w:pPr>
        <w:rPr>
          <w:rFonts w:ascii="Calibri" w:hAnsi="Calibri" w:cs="Calibri"/>
          <w:b/>
          <w:bCs/>
        </w:rPr>
      </w:pPr>
      <w:r w:rsidRPr="000D2691">
        <w:rPr>
          <w:rFonts w:ascii="Calibri" w:hAnsi="Calibri" w:cs="Calibri"/>
          <w:b/>
          <w:bCs/>
        </w:rPr>
        <w:t>Reflective Piece: ‘Why does heritage matter?’</w:t>
      </w:r>
    </w:p>
    <w:p w14:paraId="07D35EBD" w14:textId="22412727" w:rsidR="00AF2DE4" w:rsidRPr="000D2691" w:rsidRDefault="00AF2DE4" w:rsidP="00601270">
      <w:pPr>
        <w:ind w:firstLine="720"/>
        <w:rPr>
          <w:rFonts w:ascii="Calibri" w:hAnsi="Calibri" w:cs="Calibri"/>
        </w:rPr>
      </w:pPr>
      <w:r w:rsidRPr="000D2691">
        <w:rPr>
          <w:rFonts w:ascii="Calibri" w:hAnsi="Calibri" w:cs="Calibri"/>
        </w:rPr>
        <w:t>Heritage is not just a collection of memories that anchor identity; it is also a political process that determines whose past is valued and whose is marginalised. The symbiotic relationship between personal or collective memory and political ideology gives heritage its significance: what a society chooses to preserve reveals the political climate in which that decision was made, while what is neglected or contested exposes the lived realities of communities at the grassroots. Understanding this interplay requires engaging with the work of key heritage scholars—such as Rodney Harrison, Jan Assmann, John Czaplicka and Veysel Apaydin—whose research helps to frame how heritage operates as both a cultural practice and a political force. Their ideas provide the foundation for reflecting on why heritage matters and how it shapes the ways we understand ourselves and our past.</w:t>
      </w:r>
      <w:r w:rsidR="003409A9" w:rsidRPr="000D2691">
        <w:rPr>
          <w:rFonts w:ascii="Calibri" w:hAnsi="Calibri" w:cs="Calibri"/>
        </w:rPr>
        <w:t xml:space="preserve"> This </w:t>
      </w:r>
      <w:r w:rsidR="002544A6">
        <w:rPr>
          <w:rFonts w:ascii="Calibri" w:hAnsi="Calibri" w:cs="Calibri"/>
        </w:rPr>
        <w:t>reflective piece</w:t>
      </w:r>
      <w:r w:rsidR="003409A9" w:rsidRPr="000D2691">
        <w:rPr>
          <w:rFonts w:ascii="Calibri" w:hAnsi="Calibri" w:cs="Calibri"/>
        </w:rPr>
        <w:t xml:space="preserve"> will explore these perspectives before offering a reflection on how heritage functions as both a cultural practice and a political force</w:t>
      </w:r>
      <w:r w:rsidR="00601270" w:rsidRPr="000D2691">
        <w:rPr>
          <w:rFonts w:ascii="Calibri" w:hAnsi="Calibri" w:cs="Calibri"/>
        </w:rPr>
        <w:t>.</w:t>
      </w:r>
    </w:p>
    <w:p w14:paraId="5D0304BF" w14:textId="368605C7" w:rsidR="00601270" w:rsidRPr="000D2691" w:rsidRDefault="00757ED6" w:rsidP="00601270">
      <w:pPr>
        <w:ind w:firstLine="720"/>
        <w:rPr>
          <w:rFonts w:ascii="Calibri" w:hAnsi="Calibri" w:cs="Calibri"/>
        </w:rPr>
      </w:pPr>
      <w:r w:rsidRPr="000D2691">
        <w:rPr>
          <w:rFonts w:ascii="Calibri" w:hAnsi="Calibri" w:cs="Calibri"/>
        </w:rPr>
        <w:t>Rodney Harrison argues that once a historic site is placed on a ‘heritage register’, it becomes framed as ‘official heritage,’ creating competition and conflict over which version of the past is granted authority.</w:t>
      </w:r>
      <w:r w:rsidRPr="000D2691">
        <w:rPr>
          <w:rStyle w:val="FootnoteReference"/>
          <w:rFonts w:ascii="Calibri" w:hAnsi="Calibri" w:cs="Calibri"/>
        </w:rPr>
        <w:footnoteReference w:id="1"/>
      </w:r>
      <w:r w:rsidRPr="000D2691">
        <w:rPr>
          <w:rFonts w:ascii="Calibri" w:hAnsi="Calibri" w:cs="Calibri"/>
        </w:rPr>
        <w:t xml:space="preserve"> This process, he suggests, produces a </w:t>
      </w:r>
      <w:r w:rsidR="003823FA" w:rsidRPr="000D2691">
        <w:rPr>
          <w:rFonts w:ascii="Calibri" w:hAnsi="Calibri" w:cs="Calibri"/>
        </w:rPr>
        <w:t>two-tiered</w:t>
      </w:r>
      <w:r w:rsidRPr="000D2691">
        <w:rPr>
          <w:rFonts w:ascii="Calibri" w:hAnsi="Calibri" w:cs="Calibri"/>
        </w:rPr>
        <w:t xml:space="preserve"> system in which </w:t>
      </w:r>
      <w:r w:rsidR="003823FA" w:rsidRPr="000D2691">
        <w:rPr>
          <w:rFonts w:ascii="Calibri" w:hAnsi="Calibri" w:cs="Calibri"/>
        </w:rPr>
        <w:t>government-endorsed</w:t>
      </w:r>
      <w:r w:rsidRPr="000D2691">
        <w:rPr>
          <w:rFonts w:ascii="Calibri" w:hAnsi="Calibri" w:cs="Calibri"/>
        </w:rPr>
        <w:t xml:space="preserve"> sites are prioritised, while the grassroots heritage valued by local communities is often overlooked.</w:t>
      </w:r>
      <w:r w:rsidRPr="000D2691">
        <w:rPr>
          <w:rStyle w:val="FootnoteReference"/>
          <w:rFonts w:ascii="Calibri" w:hAnsi="Calibri" w:cs="Calibri"/>
        </w:rPr>
        <w:footnoteReference w:id="2"/>
      </w:r>
      <w:r w:rsidRPr="000D2691">
        <w:rPr>
          <w:rFonts w:ascii="Calibri" w:hAnsi="Calibri" w:cs="Calibri"/>
        </w:rPr>
        <w:t xml:space="preserve"> </w:t>
      </w:r>
      <w:r w:rsidR="00601270" w:rsidRPr="000D2691">
        <w:rPr>
          <w:rFonts w:ascii="Calibri" w:hAnsi="Calibri" w:cs="Calibri"/>
        </w:rPr>
        <w:t>This shows how heritage functions as a political tool: by elevating certain sites to ‘official’ status, institutions can legitimise particular historical narratives while diminishing others, effectively shaping public memory through political authority.</w:t>
      </w:r>
    </w:p>
    <w:p w14:paraId="4C328E17" w14:textId="563C2923" w:rsidR="00757ED6" w:rsidRPr="000D2691" w:rsidRDefault="00757ED6" w:rsidP="00601270">
      <w:pPr>
        <w:ind w:firstLine="720"/>
        <w:rPr>
          <w:rFonts w:ascii="Calibri" w:hAnsi="Calibri" w:cs="Calibri"/>
        </w:rPr>
      </w:pPr>
      <w:r w:rsidRPr="000D2691">
        <w:rPr>
          <w:rFonts w:ascii="Calibri" w:hAnsi="Calibri" w:cs="Calibri"/>
        </w:rPr>
        <w:t>While Harrison’s approach focuses largely on the physical embodiments of heritage, Jan Assmann and John Czaplicka offer a more conceptual understanding by viewing heritage as a system of ideologies, customs and cultural memory.</w:t>
      </w:r>
      <w:r w:rsidRPr="000D2691">
        <w:rPr>
          <w:rStyle w:val="FootnoteReference"/>
          <w:rFonts w:ascii="Calibri" w:hAnsi="Calibri" w:cs="Calibri"/>
        </w:rPr>
        <w:footnoteReference w:id="3"/>
      </w:r>
      <w:r w:rsidRPr="000D2691">
        <w:rPr>
          <w:rFonts w:ascii="Calibri" w:hAnsi="Calibri" w:cs="Calibri"/>
        </w:rPr>
        <w:t xml:space="preserve"> For them, cultural memory forms the foundation of heritage: it is tied to significant events that communities choose to preserve through material forms such as books, rituals or monuments.</w:t>
      </w:r>
      <w:r w:rsidRPr="000D2691">
        <w:rPr>
          <w:rStyle w:val="FootnoteReference"/>
          <w:rFonts w:ascii="Calibri" w:hAnsi="Calibri" w:cs="Calibri"/>
        </w:rPr>
        <w:footnoteReference w:id="4"/>
      </w:r>
    </w:p>
    <w:p w14:paraId="4A81EC62" w14:textId="56BE4E26" w:rsidR="00757ED6" w:rsidRPr="000D2691" w:rsidRDefault="00757ED6" w:rsidP="00601270">
      <w:pPr>
        <w:ind w:firstLine="720"/>
        <w:rPr>
          <w:rFonts w:ascii="Calibri" w:hAnsi="Calibri" w:cs="Calibri"/>
        </w:rPr>
      </w:pPr>
      <w:r w:rsidRPr="000D2691">
        <w:rPr>
          <w:rFonts w:ascii="Calibri" w:hAnsi="Calibri" w:cs="Calibri"/>
        </w:rPr>
        <w:t>Building on this, Veysel Apaydin emphasises that cultural memory plays a crucial role in shaping identity and belonging.</w:t>
      </w:r>
      <w:r w:rsidRPr="000D2691">
        <w:rPr>
          <w:rStyle w:val="FootnoteReference"/>
          <w:rFonts w:ascii="Calibri" w:hAnsi="Calibri" w:cs="Calibri"/>
        </w:rPr>
        <w:footnoteReference w:id="5"/>
      </w:r>
      <w:r w:rsidRPr="000D2691">
        <w:rPr>
          <w:rFonts w:ascii="Calibri" w:hAnsi="Calibri" w:cs="Calibri"/>
        </w:rPr>
        <w:t xml:space="preserve"> However, he also recognises that this process is not neutral; heritage can be politically instrumentalised and even ‘abused to shape and oppress communities.’</w:t>
      </w:r>
      <w:r w:rsidRPr="000D2691">
        <w:rPr>
          <w:rStyle w:val="FootnoteReference"/>
          <w:rFonts w:ascii="Calibri" w:hAnsi="Calibri" w:cs="Calibri"/>
        </w:rPr>
        <w:footnoteReference w:id="6"/>
      </w:r>
      <w:r w:rsidRPr="000D2691">
        <w:rPr>
          <w:rFonts w:ascii="Calibri" w:hAnsi="Calibri" w:cs="Calibri"/>
        </w:rPr>
        <w:t xml:space="preserve"> Together, these scholars highlight the tension between heritage as a tool for identity formation and heritage as a site of political power, illustrating the complex forces that determine what is preserved and why.</w:t>
      </w:r>
    </w:p>
    <w:p w14:paraId="6BE6C5B0" w14:textId="3A1AC565" w:rsidR="00001A46" w:rsidRPr="000D2691" w:rsidRDefault="00001A46" w:rsidP="00601270">
      <w:pPr>
        <w:ind w:firstLine="720"/>
        <w:rPr>
          <w:rFonts w:ascii="Calibri" w:hAnsi="Calibri" w:cs="Calibri"/>
        </w:rPr>
      </w:pPr>
      <w:r w:rsidRPr="000D2691">
        <w:rPr>
          <w:rFonts w:ascii="Calibri" w:hAnsi="Calibri" w:cs="Calibri"/>
        </w:rPr>
        <w:lastRenderedPageBreak/>
        <w:t>Despite that</w:t>
      </w:r>
      <w:r w:rsidR="00313C99">
        <w:rPr>
          <w:rFonts w:ascii="Calibri" w:hAnsi="Calibri" w:cs="Calibri"/>
        </w:rPr>
        <w:t xml:space="preserve"> </w:t>
      </w:r>
      <w:r w:rsidRPr="000D2691">
        <w:rPr>
          <w:rFonts w:ascii="Calibri" w:hAnsi="Calibri" w:cs="Calibri"/>
        </w:rPr>
        <w:t>heritage can be used as a tool for political ideation,</w:t>
      </w:r>
      <w:r w:rsidR="003823FA" w:rsidRPr="000D2691">
        <w:rPr>
          <w:rFonts w:ascii="Calibri" w:hAnsi="Calibri" w:cs="Calibri"/>
        </w:rPr>
        <w:t xml:space="preserve"> </w:t>
      </w:r>
      <w:r w:rsidRPr="000D2691">
        <w:rPr>
          <w:rFonts w:ascii="Calibri" w:hAnsi="Calibri" w:cs="Calibri"/>
        </w:rPr>
        <w:t>it is still important because it creates a sense of identity, even if it is constructed. Eric Hobsbawm</w:t>
      </w:r>
      <w:r w:rsidR="003823FA" w:rsidRPr="000D2691">
        <w:rPr>
          <w:rFonts w:ascii="Calibri" w:hAnsi="Calibri" w:cs="Calibri"/>
        </w:rPr>
        <w:t xml:space="preserve"> has argued that traditions function as a symbolic practice that ‘inculcate values and norms of behaviour’ by repetition, creating a shared framework of meaning that helps societies respond to the uncertainties of the modern world.</w:t>
      </w:r>
      <w:r w:rsidR="003823FA" w:rsidRPr="000D2691">
        <w:rPr>
          <w:rStyle w:val="FootnoteReference"/>
          <w:rFonts w:ascii="Calibri" w:hAnsi="Calibri" w:cs="Calibri"/>
        </w:rPr>
        <w:footnoteReference w:id="7"/>
      </w:r>
      <w:r w:rsidR="003823FA" w:rsidRPr="000D2691">
        <w:rPr>
          <w:rFonts w:ascii="Calibri" w:hAnsi="Calibri" w:cs="Calibri"/>
        </w:rPr>
        <w:t xml:space="preserve"> Heritage, therefore, matters because it anchors people emotionally and socially during periods of rapid transformation, offering structures of belonging when older customs lose relevance.</w:t>
      </w:r>
      <w:r w:rsidR="003823FA" w:rsidRPr="000D2691">
        <w:rPr>
          <w:rStyle w:val="FootnoteReference"/>
          <w:rFonts w:ascii="Calibri" w:hAnsi="Calibri" w:cs="Calibri"/>
        </w:rPr>
        <w:footnoteReference w:id="8"/>
      </w:r>
      <w:r w:rsidR="003823FA" w:rsidRPr="000D2691">
        <w:rPr>
          <w:rFonts w:ascii="Calibri" w:hAnsi="Calibri" w:cs="Calibri"/>
        </w:rPr>
        <w:t xml:space="preserve"> At the same time, Hobsbawm notes that traditions evolve as contexts change: institutions adapt rituals to new circumstances, and nations draw selectively on symbolic ‘warehouses’ of religion, folklore, or royal imagery to craft narratives of identity and legitimacy.</w:t>
      </w:r>
      <w:r w:rsidR="003823FA" w:rsidRPr="000D2691">
        <w:rPr>
          <w:rStyle w:val="FootnoteReference"/>
          <w:rFonts w:ascii="Calibri" w:hAnsi="Calibri" w:cs="Calibri"/>
        </w:rPr>
        <w:footnoteReference w:id="9"/>
      </w:r>
      <w:r w:rsidR="003823FA" w:rsidRPr="000D2691">
        <w:rPr>
          <w:rFonts w:ascii="Calibri" w:hAnsi="Calibri" w:cs="Calibri"/>
        </w:rPr>
        <w:t xml:space="preserve"> This demonstrates that heritage is not simply inherited but actively shaped to meet present needs, serving political, social, and cultural purposes. Ultimately, Hobsbawm shows that heritage matters because it is a powerful tool for creating cohesion, legitimising authority, and maintaining a sense of collective identity—even when the past being referenced is partly imagined.</w:t>
      </w:r>
      <w:r w:rsidR="003823FA" w:rsidRPr="000D2691">
        <w:rPr>
          <w:rStyle w:val="FootnoteReference"/>
          <w:rFonts w:ascii="Calibri" w:hAnsi="Calibri" w:cs="Calibri"/>
        </w:rPr>
        <w:footnoteReference w:id="10"/>
      </w:r>
    </w:p>
    <w:p w14:paraId="20FF1AB8" w14:textId="5454EDE1" w:rsidR="00757ED6" w:rsidRPr="000D2691" w:rsidRDefault="003823FA" w:rsidP="00601270">
      <w:pPr>
        <w:ind w:firstLine="720"/>
        <w:rPr>
          <w:rFonts w:ascii="Calibri" w:hAnsi="Calibri" w:cs="Calibri"/>
        </w:rPr>
      </w:pPr>
      <w:r w:rsidRPr="000D2691">
        <w:rPr>
          <w:rFonts w:ascii="Calibri" w:hAnsi="Calibri" w:cs="Calibri"/>
        </w:rPr>
        <w:t>Moreover, h</w:t>
      </w:r>
      <w:r w:rsidR="00001A46" w:rsidRPr="000D2691">
        <w:rPr>
          <w:rFonts w:ascii="Calibri" w:hAnsi="Calibri" w:cs="Calibri"/>
        </w:rPr>
        <w:t>eritage is not just important for identity</w:t>
      </w:r>
      <w:r w:rsidRPr="000D2691">
        <w:rPr>
          <w:rFonts w:ascii="Calibri" w:hAnsi="Calibri" w:cs="Calibri"/>
        </w:rPr>
        <w:t xml:space="preserve"> and reflection of the past;</w:t>
      </w:r>
      <w:r w:rsidR="007E04AF" w:rsidRPr="000D2691">
        <w:rPr>
          <w:rFonts w:ascii="Calibri" w:hAnsi="Calibri" w:cs="Calibri"/>
        </w:rPr>
        <w:t xml:space="preserve"> it is </w:t>
      </w:r>
      <w:r w:rsidRPr="000D2691">
        <w:rPr>
          <w:rFonts w:ascii="Calibri" w:hAnsi="Calibri" w:cs="Calibri"/>
        </w:rPr>
        <w:t xml:space="preserve">also </w:t>
      </w:r>
      <w:r w:rsidR="007E04AF" w:rsidRPr="000D2691">
        <w:rPr>
          <w:rFonts w:ascii="Calibri" w:hAnsi="Calibri" w:cs="Calibri"/>
        </w:rPr>
        <w:t xml:space="preserve">important to note that heritage can be </w:t>
      </w:r>
      <w:r w:rsidRPr="000D2691">
        <w:rPr>
          <w:rFonts w:ascii="Calibri" w:hAnsi="Calibri" w:cs="Calibri"/>
        </w:rPr>
        <w:t>forward-looking</w:t>
      </w:r>
      <w:r w:rsidR="007E04AF" w:rsidRPr="000D2691">
        <w:rPr>
          <w:rFonts w:ascii="Calibri" w:hAnsi="Calibri" w:cs="Calibri"/>
        </w:rPr>
        <w:t xml:space="preserve"> to the future. The Coastal TALES project demonstrates that heritage stories linked with traditional knowledge can help communities build resilience in the face of climate change by inspiring sustainable </w:t>
      </w:r>
      <w:r w:rsidRPr="000D2691">
        <w:rPr>
          <w:rFonts w:ascii="Calibri" w:hAnsi="Calibri" w:cs="Calibri"/>
        </w:rPr>
        <w:t>adaptation</w:t>
      </w:r>
      <w:r w:rsidR="007E04AF" w:rsidRPr="000D2691">
        <w:rPr>
          <w:rFonts w:ascii="Calibri" w:hAnsi="Calibri" w:cs="Calibri"/>
        </w:rPr>
        <w:t xml:space="preserve"> grounded in past practices.</w:t>
      </w:r>
      <w:r w:rsidR="007E04AF" w:rsidRPr="000D2691">
        <w:rPr>
          <w:rStyle w:val="FootnoteReference"/>
          <w:rFonts w:ascii="Calibri" w:hAnsi="Calibri" w:cs="Calibri"/>
        </w:rPr>
        <w:footnoteReference w:id="11"/>
      </w:r>
      <w:r w:rsidR="007E04AF" w:rsidRPr="000D2691">
        <w:rPr>
          <w:rFonts w:ascii="Calibri" w:hAnsi="Calibri" w:cs="Calibri"/>
        </w:rPr>
        <w:t xml:space="preserve"> This shows that heritage is important to connect people to their own past but </w:t>
      </w:r>
      <w:r w:rsidR="00526BED">
        <w:rPr>
          <w:rFonts w:ascii="Calibri" w:hAnsi="Calibri" w:cs="Calibri"/>
        </w:rPr>
        <w:t xml:space="preserve">can </w:t>
      </w:r>
      <w:r w:rsidR="007E04AF" w:rsidRPr="000D2691">
        <w:rPr>
          <w:rFonts w:ascii="Calibri" w:hAnsi="Calibri" w:cs="Calibri"/>
        </w:rPr>
        <w:t>also help shape how communities navigate present challenges and imagine their futures.</w:t>
      </w:r>
    </w:p>
    <w:p w14:paraId="28C4F480" w14:textId="1D1163C8" w:rsidR="003409A9" w:rsidRPr="000D2691" w:rsidRDefault="003409A9" w:rsidP="00601270">
      <w:pPr>
        <w:ind w:firstLine="720"/>
        <w:rPr>
          <w:rFonts w:ascii="Calibri" w:hAnsi="Calibri" w:cs="Calibri"/>
        </w:rPr>
      </w:pPr>
      <w:r w:rsidRPr="000D2691">
        <w:rPr>
          <w:rFonts w:ascii="Calibri" w:hAnsi="Calibri" w:cs="Calibri"/>
        </w:rPr>
        <w:t>Reflecting on these ideas from scholars, it is clear that heritage is a tool in which we can blend memory and politics together, which shapes whose past is preserved and whose is marginalised. Heritage can also be a li</w:t>
      </w:r>
      <w:r w:rsidR="00BC1E89">
        <w:rPr>
          <w:rFonts w:ascii="Calibri" w:hAnsi="Calibri" w:cs="Calibri"/>
        </w:rPr>
        <w:t>st</w:t>
      </w:r>
      <w:r w:rsidRPr="000D2691">
        <w:rPr>
          <w:rFonts w:ascii="Calibri" w:hAnsi="Calibri" w:cs="Calibri"/>
        </w:rPr>
        <w:t xml:space="preserve"> of ‘official’ sites, which can ignore others. By looking at these two points, it could be perceived that heritage is a negative notion for society, but it is still a vehicle in which people create a sense of identity and belonging through a shared experience. This is where heritage can be seen as both a physical aspect and a social construct. This blurring of the lines is what makes it so important, as while we will never know what ‘true’ heritage is, it is important in ensuring social cohesion. It is also important in ensuring that communities build resilience in the face of future issues, and it helps people find a sense of who they are. Therefore, as academic</w:t>
      </w:r>
      <w:r w:rsidR="000B3670">
        <w:rPr>
          <w:rFonts w:ascii="Calibri" w:hAnsi="Calibri" w:cs="Calibri"/>
        </w:rPr>
        <w:t>s</w:t>
      </w:r>
      <w:r w:rsidRPr="000D2691">
        <w:rPr>
          <w:rFonts w:ascii="Calibri" w:hAnsi="Calibri" w:cs="Calibri"/>
        </w:rPr>
        <w:t xml:space="preserve"> who are we to tell someone that their understanding of their heritage is right or wrong.</w:t>
      </w:r>
    </w:p>
    <w:p w14:paraId="56CE46F5" w14:textId="77777777" w:rsidR="00601270" w:rsidRPr="000D2691" w:rsidRDefault="00601270" w:rsidP="00601270">
      <w:pPr>
        <w:ind w:firstLine="720"/>
        <w:rPr>
          <w:rFonts w:ascii="Calibri" w:hAnsi="Calibri" w:cs="Calibri"/>
        </w:rPr>
      </w:pPr>
      <w:r w:rsidRPr="000D2691">
        <w:rPr>
          <w:rFonts w:ascii="Calibri" w:hAnsi="Calibri" w:cs="Calibri"/>
        </w:rPr>
        <w:t xml:space="preserve">In conclusion, the significance of heritage lies in its dual role as both a cultural resource and a political instrument. The perspectives of Harrison, Assmann, Czaplicka, Apaydin and Hobsbawm demonstrate that heritage is never neutral: it can legitimise </w:t>
      </w:r>
      <w:r w:rsidRPr="000D2691">
        <w:rPr>
          <w:rFonts w:ascii="Calibri" w:hAnsi="Calibri" w:cs="Calibri"/>
        </w:rPr>
        <w:lastRenderedPageBreak/>
        <w:t>authority, construct collective identities and determine whose histories are made visible or invisible. Yet, at the same time, heritage provides individuals and communities with a sense of belonging, continuity and meaning, even when the traditions they draw upon are adapted, invented or strategically shaped to meet present needs. Projects such as Coastal TALES further show that heritage is not confined to the past; it also guides how communities respond to contemporary challenges and envision their futures. Understanding heritage as both constructed and contested does not diminish its importance—rather, it highlights its power. Ultimately, heritage matters because it enables people to situate themselves within broader narratives, to maintain cohesion in times of change, and to assert their identities in ways that feel authentic to them. Recognising this complexity reminds us that no single definition of heritage can claim universal authority, and that valuing diverse understandings is essential to ensuring that heritage remains meaningful for all.</w:t>
      </w:r>
    </w:p>
    <w:p w14:paraId="54CC6149" w14:textId="77777777" w:rsidR="003409A9" w:rsidRPr="000D2691" w:rsidRDefault="003409A9">
      <w:pPr>
        <w:rPr>
          <w:rFonts w:ascii="Calibri" w:hAnsi="Calibri" w:cs="Calibri"/>
        </w:rPr>
      </w:pPr>
    </w:p>
    <w:p w14:paraId="6B10F956" w14:textId="77777777" w:rsidR="000D2691" w:rsidRPr="000D2691" w:rsidRDefault="000D2691">
      <w:pPr>
        <w:rPr>
          <w:rFonts w:ascii="Calibri" w:hAnsi="Calibri" w:cs="Calibri"/>
        </w:rPr>
      </w:pPr>
    </w:p>
    <w:p w14:paraId="274962A7" w14:textId="77777777" w:rsidR="000D2691" w:rsidRPr="000D2691" w:rsidRDefault="000D2691">
      <w:pPr>
        <w:rPr>
          <w:rFonts w:ascii="Calibri" w:hAnsi="Calibri" w:cs="Calibri"/>
        </w:rPr>
      </w:pPr>
    </w:p>
    <w:p w14:paraId="3865DE11" w14:textId="77777777" w:rsidR="000D2691" w:rsidRPr="000D2691" w:rsidRDefault="000D2691">
      <w:pPr>
        <w:rPr>
          <w:rFonts w:ascii="Calibri" w:hAnsi="Calibri" w:cs="Calibri"/>
        </w:rPr>
      </w:pPr>
    </w:p>
    <w:p w14:paraId="56F5AF45" w14:textId="77777777" w:rsidR="000D2691" w:rsidRPr="000D2691" w:rsidRDefault="000D2691">
      <w:pPr>
        <w:rPr>
          <w:rFonts w:ascii="Calibri" w:hAnsi="Calibri" w:cs="Calibri"/>
        </w:rPr>
      </w:pPr>
    </w:p>
    <w:p w14:paraId="222DDAE8" w14:textId="77777777" w:rsidR="000D2691" w:rsidRPr="000D2691" w:rsidRDefault="000D2691">
      <w:pPr>
        <w:rPr>
          <w:rFonts w:ascii="Calibri" w:hAnsi="Calibri" w:cs="Calibri"/>
        </w:rPr>
      </w:pPr>
    </w:p>
    <w:p w14:paraId="5F688D9A" w14:textId="77777777" w:rsidR="000D2691" w:rsidRPr="000D2691" w:rsidRDefault="000D2691">
      <w:pPr>
        <w:rPr>
          <w:rFonts w:ascii="Calibri" w:hAnsi="Calibri" w:cs="Calibri"/>
        </w:rPr>
      </w:pPr>
    </w:p>
    <w:p w14:paraId="1933D795" w14:textId="77777777" w:rsidR="000D2691" w:rsidRPr="000D2691" w:rsidRDefault="000D2691">
      <w:pPr>
        <w:rPr>
          <w:rFonts w:ascii="Calibri" w:hAnsi="Calibri" w:cs="Calibri"/>
        </w:rPr>
      </w:pPr>
    </w:p>
    <w:p w14:paraId="22CC40AE" w14:textId="77777777" w:rsidR="000D2691" w:rsidRPr="000D2691" w:rsidRDefault="000D2691">
      <w:pPr>
        <w:rPr>
          <w:rFonts w:ascii="Calibri" w:hAnsi="Calibri" w:cs="Calibri"/>
        </w:rPr>
      </w:pPr>
    </w:p>
    <w:p w14:paraId="1A9DB8D0" w14:textId="77777777" w:rsidR="000D2691" w:rsidRPr="000D2691" w:rsidRDefault="000D2691">
      <w:pPr>
        <w:rPr>
          <w:rFonts w:ascii="Calibri" w:hAnsi="Calibri" w:cs="Calibri"/>
        </w:rPr>
      </w:pPr>
    </w:p>
    <w:p w14:paraId="2026D9DF" w14:textId="77777777" w:rsidR="000D2691" w:rsidRPr="000D2691" w:rsidRDefault="000D2691">
      <w:pPr>
        <w:rPr>
          <w:rFonts w:ascii="Calibri" w:hAnsi="Calibri" w:cs="Calibri"/>
        </w:rPr>
      </w:pPr>
    </w:p>
    <w:p w14:paraId="2793CDE0" w14:textId="77777777" w:rsidR="000D2691" w:rsidRPr="000D2691" w:rsidRDefault="000D2691">
      <w:pPr>
        <w:rPr>
          <w:rFonts w:ascii="Calibri" w:hAnsi="Calibri" w:cs="Calibri"/>
        </w:rPr>
      </w:pPr>
    </w:p>
    <w:p w14:paraId="0241AEC7" w14:textId="77777777" w:rsidR="000D2691" w:rsidRPr="000D2691" w:rsidRDefault="000D2691">
      <w:pPr>
        <w:rPr>
          <w:rFonts w:ascii="Calibri" w:hAnsi="Calibri" w:cs="Calibri"/>
        </w:rPr>
      </w:pPr>
    </w:p>
    <w:p w14:paraId="5908A75C" w14:textId="77777777" w:rsidR="000D2691" w:rsidRPr="000D2691" w:rsidRDefault="000D2691" w:rsidP="000D2691">
      <w:pPr>
        <w:rPr>
          <w:rFonts w:ascii="Calibri" w:hAnsi="Calibri" w:cs="Calibri"/>
        </w:rPr>
      </w:pPr>
      <w:bookmarkStart w:id="0" w:name="_Hlk212796950"/>
    </w:p>
    <w:p w14:paraId="5F37CCAB" w14:textId="77777777" w:rsidR="000D2691" w:rsidRPr="000D2691" w:rsidRDefault="000D2691" w:rsidP="000D2691">
      <w:pPr>
        <w:rPr>
          <w:rFonts w:ascii="Calibri" w:hAnsi="Calibri" w:cs="Calibri"/>
        </w:rPr>
      </w:pPr>
    </w:p>
    <w:p w14:paraId="7E903EA6" w14:textId="77777777" w:rsidR="000D2691" w:rsidRDefault="000D2691" w:rsidP="000D2691">
      <w:pPr>
        <w:jc w:val="center"/>
        <w:rPr>
          <w:rFonts w:ascii="Calibri" w:hAnsi="Calibri" w:cs="Calibri"/>
          <w:b/>
          <w:bCs/>
          <w:u w:val="single"/>
        </w:rPr>
      </w:pPr>
    </w:p>
    <w:p w14:paraId="3706B0F1" w14:textId="77777777" w:rsidR="000D2691" w:rsidRDefault="000D2691" w:rsidP="000D2691">
      <w:pPr>
        <w:jc w:val="center"/>
        <w:rPr>
          <w:rFonts w:ascii="Calibri" w:hAnsi="Calibri" w:cs="Calibri"/>
          <w:b/>
          <w:bCs/>
          <w:u w:val="single"/>
        </w:rPr>
      </w:pPr>
    </w:p>
    <w:p w14:paraId="3321CBA0" w14:textId="77777777" w:rsidR="000D2691" w:rsidRDefault="000D2691" w:rsidP="000D2691">
      <w:pPr>
        <w:jc w:val="center"/>
        <w:rPr>
          <w:rFonts w:ascii="Calibri" w:hAnsi="Calibri" w:cs="Calibri"/>
          <w:b/>
          <w:bCs/>
          <w:u w:val="single"/>
        </w:rPr>
      </w:pPr>
    </w:p>
    <w:p w14:paraId="792CC35A" w14:textId="77777777" w:rsidR="000D2691" w:rsidRDefault="000D2691" w:rsidP="000D2691">
      <w:pPr>
        <w:jc w:val="center"/>
        <w:rPr>
          <w:rFonts w:ascii="Calibri" w:hAnsi="Calibri" w:cs="Calibri"/>
          <w:b/>
          <w:bCs/>
          <w:u w:val="single"/>
        </w:rPr>
      </w:pPr>
    </w:p>
    <w:p w14:paraId="20C7035F" w14:textId="328D7E23" w:rsidR="000D2691" w:rsidRPr="000D2691" w:rsidRDefault="000D2691" w:rsidP="000D2691">
      <w:pPr>
        <w:jc w:val="center"/>
        <w:rPr>
          <w:rFonts w:ascii="Calibri" w:hAnsi="Calibri" w:cs="Calibri"/>
          <w:b/>
          <w:bCs/>
          <w:u w:val="single"/>
        </w:rPr>
      </w:pPr>
      <w:r w:rsidRPr="000D2691">
        <w:rPr>
          <w:rFonts w:ascii="Calibri" w:hAnsi="Calibri" w:cs="Calibri"/>
          <w:b/>
          <w:bCs/>
          <w:u w:val="single"/>
        </w:rPr>
        <w:lastRenderedPageBreak/>
        <w:t>Bibliography</w:t>
      </w:r>
    </w:p>
    <w:p w14:paraId="75A83092" w14:textId="20B026A3" w:rsidR="000D2691" w:rsidRPr="000D2691" w:rsidRDefault="000D2691" w:rsidP="000D2691">
      <w:pPr>
        <w:rPr>
          <w:rFonts w:ascii="Calibri" w:hAnsi="Calibri" w:cs="Calibri"/>
        </w:rPr>
      </w:pPr>
      <w:r w:rsidRPr="000D2691">
        <w:rPr>
          <w:rFonts w:ascii="Calibri" w:hAnsi="Calibri" w:cs="Calibri"/>
        </w:rPr>
        <w:t xml:space="preserve">Apaydin, Veysel, ‘The Interlinkage of Cultural Memory, Heritage and Discourses of Construction, Transformation and Destruction’ in </w:t>
      </w:r>
      <w:r w:rsidRPr="000D2691">
        <w:rPr>
          <w:rFonts w:ascii="Calibri" w:hAnsi="Calibri" w:cs="Calibri"/>
          <w:i/>
          <w:iCs/>
        </w:rPr>
        <w:t>Critical Perspectives on Cultural Memory and Heritage Construction, Transformation and Destruction</w:t>
      </w:r>
      <w:r w:rsidRPr="000D2691">
        <w:rPr>
          <w:rFonts w:ascii="Calibri" w:hAnsi="Calibri" w:cs="Calibri"/>
        </w:rPr>
        <w:t>, ed. By Veysel Apaydin. (London: UCL Press, 2020), pp. 13-30.</w:t>
      </w:r>
    </w:p>
    <w:bookmarkEnd w:id="0"/>
    <w:p w14:paraId="505C4733" w14:textId="77777777" w:rsidR="000D2691" w:rsidRPr="000D2691" w:rsidRDefault="000D2691" w:rsidP="000D2691">
      <w:pPr>
        <w:rPr>
          <w:rFonts w:ascii="Calibri" w:hAnsi="Calibri" w:cs="Calibri"/>
        </w:rPr>
      </w:pPr>
      <w:r w:rsidRPr="000D2691">
        <w:rPr>
          <w:rFonts w:ascii="Calibri" w:hAnsi="Calibri" w:cs="Calibri"/>
        </w:rPr>
        <w:t xml:space="preserve">Assmann, Jan and John Czaplicka, ‘Collective Memory and Cultural Identity’, </w:t>
      </w:r>
      <w:r w:rsidRPr="000D2691">
        <w:rPr>
          <w:rFonts w:ascii="Calibri" w:hAnsi="Calibri" w:cs="Calibri"/>
          <w:i/>
          <w:iCs/>
        </w:rPr>
        <w:t>New German Critique</w:t>
      </w:r>
      <w:r w:rsidRPr="000D2691">
        <w:rPr>
          <w:rFonts w:ascii="Calibri" w:hAnsi="Calibri" w:cs="Calibri"/>
        </w:rPr>
        <w:t xml:space="preserve">, 65 (1995), pp. 125-133, </w:t>
      </w:r>
      <w:proofErr w:type="spellStart"/>
      <w:r w:rsidRPr="000D2691">
        <w:rPr>
          <w:rFonts w:ascii="Calibri" w:hAnsi="Calibri" w:cs="Calibri"/>
        </w:rPr>
        <w:t>doi</w:t>
      </w:r>
      <w:proofErr w:type="spellEnd"/>
      <w:r w:rsidRPr="000D2691">
        <w:rPr>
          <w:rFonts w:ascii="Calibri" w:hAnsi="Calibri" w:cs="Calibri"/>
        </w:rPr>
        <w:t>: 10.2307/488538.</w:t>
      </w:r>
    </w:p>
    <w:p w14:paraId="7F245A99" w14:textId="77777777" w:rsidR="000D2691" w:rsidRPr="000D2691" w:rsidRDefault="000D2691" w:rsidP="000D2691">
      <w:pPr>
        <w:rPr>
          <w:rFonts w:ascii="Calibri" w:hAnsi="Calibri" w:cs="Calibri"/>
        </w:rPr>
      </w:pPr>
      <w:r w:rsidRPr="000D2691">
        <w:rPr>
          <w:rFonts w:ascii="Calibri" w:hAnsi="Calibri" w:cs="Calibri"/>
        </w:rPr>
        <w:t xml:space="preserve">BRIDGES, ‘Telling Adaptations: Living Environmental Stories’, &lt; </w:t>
      </w:r>
      <w:hyperlink r:id="rId7" w:history="1">
        <w:r w:rsidRPr="000D2691">
          <w:rPr>
            <w:rStyle w:val="Hyperlink"/>
            <w:rFonts w:ascii="Calibri" w:hAnsi="Calibri" w:cs="Calibri"/>
          </w:rPr>
          <w:t>The Objectives, Principles and Aims of BRIDGES - BRIDGES</w:t>
        </w:r>
      </w:hyperlink>
      <w:r w:rsidRPr="000D2691">
        <w:rPr>
          <w:rFonts w:ascii="Calibri" w:hAnsi="Calibri" w:cs="Calibri"/>
        </w:rPr>
        <w:t xml:space="preserve">&gt; [accessed 11/03/2026]. </w:t>
      </w:r>
    </w:p>
    <w:p w14:paraId="30B48F14" w14:textId="77777777" w:rsidR="000D2691" w:rsidRPr="000D2691" w:rsidRDefault="000D2691" w:rsidP="000D2691">
      <w:pPr>
        <w:rPr>
          <w:rFonts w:ascii="Calibri" w:hAnsi="Calibri" w:cs="Calibri"/>
        </w:rPr>
      </w:pPr>
      <w:r w:rsidRPr="000D2691">
        <w:rPr>
          <w:rFonts w:ascii="Calibri" w:hAnsi="Calibri" w:cs="Calibri"/>
        </w:rPr>
        <w:t>Harrison, Rodney, ‘What is Heritage?’</w:t>
      </w:r>
      <w:r w:rsidRPr="000D2691">
        <w:rPr>
          <w:rFonts w:ascii="Calibri" w:hAnsi="Calibri" w:cs="Calibri"/>
          <w:i/>
          <w:iCs/>
        </w:rPr>
        <w:t>, in Understanding the Politics of Heritage</w:t>
      </w:r>
      <w:r w:rsidRPr="000D2691">
        <w:rPr>
          <w:rFonts w:ascii="Calibri" w:hAnsi="Calibri" w:cs="Calibri"/>
        </w:rPr>
        <w:t>, ed. By Rodney Harrison. (Manchester: Manchester University Press), 2010, pp. 5-42.</w:t>
      </w:r>
    </w:p>
    <w:p w14:paraId="19E1B089" w14:textId="77777777" w:rsidR="000D2691" w:rsidRPr="000D2691" w:rsidRDefault="000D2691" w:rsidP="000D2691">
      <w:pPr>
        <w:rPr>
          <w:rFonts w:ascii="Calibri" w:hAnsi="Calibri" w:cs="Calibri"/>
        </w:rPr>
      </w:pPr>
      <w:r w:rsidRPr="000D2691">
        <w:rPr>
          <w:rFonts w:ascii="Calibri" w:hAnsi="Calibri" w:cs="Calibri"/>
        </w:rPr>
        <w:t>Hobsbawm, Eric, ‘Inventing Traditions,’ in </w:t>
      </w:r>
      <w:r w:rsidRPr="000D2691">
        <w:rPr>
          <w:rFonts w:ascii="Calibri" w:hAnsi="Calibri" w:cs="Calibri"/>
          <w:i/>
          <w:iCs/>
        </w:rPr>
        <w:t>The Invention of Tradition</w:t>
      </w:r>
      <w:r w:rsidRPr="000D2691">
        <w:rPr>
          <w:rFonts w:ascii="Calibri" w:hAnsi="Calibri" w:cs="Calibri"/>
        </w:rPr>
        <w:t>, ed. by Hobsbawm and Terence Ranger (Cambridge: Cambridge University Press, 1992 [1983]), pp. 1-14.</w:t>
      </w:r>
    </w:p>
    <w:p w14:paraId="6D83D5A6" w14:textId="77777777" w:rsidR="000D2691" w:rsidRDefault="000D2691"/>
    <w:sectPr w:rsidR="000D26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04C430" w14:textId="77777777" w:rsidR="00C23E1A" w:rsidRDefault="00C23E1A" w:rsidP="00AF2DE4">
      <w:pPr>
        <w:spacing w:after="0" w:line="240" w:lineRule="auto"/>
      </w:pPr>
      <w:r>
        <w:separator/>
      </w:r>
    </w:p>
  </w:endnote>
  <w:endnote w:type="continuationSeparator" w:id="0">
    <w:p w14:paraId="033678A8" w14:textId="77777777" w:rsidR="00C23E1A" w:rsidRDefault="00C23E1A" w:rsidP="00AF2D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43D31D" w14:textId="77777777" w:rsidR="00C23E1A" w:rsidRDefault="00C23E1A" w:rsidP="00AF2DE4">
      <w:pPr>
        <w:spacing w:after="0" w:line="240" w:lineRule="auto"/>
      </w:pPr>
      <w:r>
        <w:separator/>
      </w:r>
    </w:p>
  </w:footnote>
  <w:footnote w:type="continuationSeparator" w:id="0">
    <w:p w14:paraId="4E74ED8E" w14:textId="77777777" w:rsidR="00C23E1A" w:rsidRDefault="00C23E1A" w:rsidP="00AF2DE4">
      <w:pPr>
        <w:spacing w:after="0" w:line="240" w:lineRule="auto"/>
      </w:pPr>
      <w:r>
        <w:continuationSeparator/>
      </w:r>
    </w:p>
  </w:footnote>
  <w:footnote w:id="1">
    <w:p w14:paraId="09DFCF89" w14:textId="30C23630" w:rsidR="00757ED6" w:rsidRPr="000D2691" w:rsidRDefault="00757ED6">
      <w:pPr>
        <w:pStyle w:val="FootnoteText"/>
        <w:rPr>
          <w:rFonts w:ascii="Calibri" w:hAnsi="Calibri" w:cs="Calibri"/>
        </w:rPr>
      </w:pPr>
      <w:r w:rsidRPr="000D2691">
        <w:rPr>
          <w:rStyle w:val="FootnoteReference"/>
          <w:rFonts w:ascii="Calibri" w:hAnsi="Calibri" w:cs="Calibri"/>
        </w:rPr>
        <w:footnoteRef/>
      </w:r>
      <w:r w:rsidRPr="000D2691">
        <w:rPr>
          <w:rFonts w:ascii="Calibri" w:hAnsi="Calibri" w:cs="Calibri"/>
        </w:rPr>
        <w:t xml:space="preserve"> Rodney Harrison, 2010, p. 8.</w:t>
      </w:r>
    </w:p>
  </w:footnote>
  <w:footnote w:id="2">
    <w:p w14:paraId="1FCE73E7" w14:textId="25A58A1C" w:rsidR="00757ED6" w:rsidRPr="000D2691" w:rsidRDefault="00757ED6">
      <w:pPr>
        <w:pStyle w:val="FootnoteText"/>
        <w:rPr>
          <w:rFonts w:ascii="Calibri" w:hAnsi="Calibri" w:cs="Calibri"/>
        </w:rPr>
      </w:pPr>
      <w:r w:rsidRPr="000D2691">
        <w:rPr>
          <w:rStyle w:val="FootnoteReference"/>
          <w:rFonts w:ascii="Calibri" w:hAnsi="Calibri" w:cs="Calibri"/>
        </w:rPr>
        <w:footnoteRef/>
      </w:r>
      <w:r w:rsidRPr="000D2691">
        <w:rPr>
          <w:rFonts w:ascii="Calibri" w:hAnsi="Calibri" w:cs="Calibri"/>
        </w:rPr>
        <w:t xml:space="preserve"> Rodney Harrison, 2010, p. 8.</w:t>
      </w:r>
    </w:p>
  </w:footnote>
  <w:footnote w:id="3">
    <w:p w14:paraId="4319F857" w14:textId="7C2BADA2" w:rsidR="00757ED6" w:rsidRPr="000D2691" w:rsidRDefault="00757ED6">
      <w:pPr>
        <w:pStyle w:val="FootnoteText"/>
        <w:rPr>
          <w:rFonts w:ascii="Calibri" w:hAnsi="Calibri" w:cs="Calibri"/>
        </w:rPr>
      </w:pPr>
      <w:r w:rsidRPr="000D2691">
        <w:rPr>
          <w:rStyle w:val="FootnoteReference"/>
          <w:rFonts w:ascii="Calibri" w:hAnsi="Calibri" w:cs="Calibri"/>
        </w:rPr>
        <w:footnoteRef/>
      </w:r>
      <w:r w:rsidRPr="000D2691">
        <w:rPr>
          <w:rFonts w:ascii="Calibri" w:hAnsi="Calibri" w:cs="Calibri"/>
        </w:rPr>
        <w:t xml:space="preserve"> Jan Assmann, 1995, p, 125.</w:t>
      </w:r>
    </w:p>
  </w:footnote>
  <w:footnote w:id="4">
    <w:p w14:paraId="6F63828A" w14:textId="41140675" w:rsidR="00757ED6" w:rsidRPr="000D2691" w:rsidRDefault="00757ED6">
      <w:pPr>
        <w:pStyle w:val="FootnoteText"/>
        <w:rPr>
          <w:rFonts w:ascii="Calibri" w:hAnsi="Calibri" w:cs="Calibri"/>
        </w:rPr>
      </w:pPr>
      <w:r w:rsidRPr="000D2691">
        <w:rPr>
          <w:rStyle w:val="FootnoteReference"/>
          <w:rFonts w:ascii="Calibri" w:hAnsi="Calibri" w:cs="Calibri"/>
        </w:rPr>
        <w:footnoteRef/>
      </w:r>
      <w:r w:rsidRPr="000D2691">
        <w:rPr>
          <w:rFonts w:ascii="Calibri" w:hAnsi="Calibri" w:cs="Calibri"/>
        </w:rPr>
        <w:t xml:space="preserve"> Jan Assmann, 1995, p, 129.</w:t>
      </w:r>
    </w:p>
  </w:footnote>
  <w:footnote w:id="5">
    <w:p w14:paraId="16EBE0B9" w14:textId="751B0BFC" w:rsidR="00757ED6" w:rsidRPr="000D2691" w:rsidRDefault="00757ED6">
      <w:pPr>
        <w:pStyle w:val="FootnoteText"/>
        <w:rPr>
          <w:rFonts w:ascii="Calibri" w:hAnsi="Calibri" w:cs="Calibri"/>
        </w:rPr>
      </w:pPr>
      <w:r w:rsidRPr="000D2691">
        <w:rPr>
          <w:rStyle w:val="FootnoteReference"/>
          <w:rFonts w:ascii="Calibri" w:hAnsi="Calibri" w:cs="Calibri"/>
        </w:rPr>
        <w:footnoteRef/>
      </w:r>
      <w:r w:rsidRPr="000D2691">
        <w:rPr>
          <w:rFonts w:ascii="Calibri" w:hAnsi="Calibri" w:cs="Calibri"/>
        </w:rPr>
        <w:t xml:space="preserve"> Veysel Apaydin, 2020, p. 15.</w:t>
      </w:r>
    </w:p>
  </w:footnote>
  <w:footnote w:id="6">
    <w:p w14:paraId="5DC8D97A" w14:textId="0B33CC38" w:rsidR="00757ED6" w:rsidRPr="000D2691" w:rsidRDefault="00757ED6">
      <w:pPr>
        <w:pStyle w:val="FootnoteText"/>
        <w:rPr>
          <w:rFonts w:ascii="Calibri" w:hAnsi="Calibri" w:cs="Calibri"/>
        </w:rPr>
      </w:pPr>
      <w:r w:rsidRPr="000D2691">
        <w:rPr>
          <w:rStyle w:val="FootnoteReference"/>
          <w:rFonts w:ascii="Calibri" w:hAnsi="Calibri" w:cs="Calibri"/>
        </w:rPr>
        <w:footnoteRef/>
      </w:r>
      <w:r w:rsidRPr="000D2691">
        <w:rPr>
          <w:rFonts w:ascii="Calibri" w:hAnsi="Calibri" w:cs="Calibri"/>
        </w:rPr>
        <w:t xml:space="preserve"> Veysel Apaydin, 2020, p. 17.</w:t>
      </w:r>
    </w:p>
  </w:footnote>
  <w:footnote w:id="7">
    <w:p w14:paraId="753BEFEC" w14:textId="7BD701F0" w:rsidR="003823FA" w:rsidRPr="000D2691" w:rsidRDefault="003823FA">
      <w:pPr>
        <w:pStyle w:val="FootnoteText"/>
        <w:rPr>
          <w:rFonts w:ascii="Calibri" w:hAnsi="Calibri" w:cs="Calibri"/>
        </w:rPr>
      </w:pPr>
      <w:r w:rsidRPr="000D2691">
        <w:rPr>
          <w:rStyle w:val="FootnoteReference"/>
          <w:rFonts w:ascii="Calibri" w:hAnsi="Calibri" w:cs="Calibri"/>
        </w:rPr>
        <w:footnoteRef/>
      </w:r>
      <w:r w:rsidRPr="000D2691">
        <w:rPr>
          <w:rFonts w:ascii="Calibri" w:hAnsi="Calibri" w:cs="Calibri"/>
        </w:rPr>
        <w:t xml:space="preserve"> Eric Hobsbawm, 1992, p. 2.</w:t>
      </w:r>
    </w:p>
  </w:footnote>
  <w:footnote w:id="8">
    <w:p w14:paraId="1CB977B2" w14:textId="1EB8C537" w:rsidR="003823FA" w:rsidRPr="000D2691" w:rsidRDefault="003823FA">
      <w:pPr>
        <w:pStyle w:val="FootnoteText"/>
        <w:rPr>
          <w:rFonts w:ascii="Calibri" w:hAnsi="Calibri" w:cs="Calibri"/>
        </w:rPr>
      </w:pPr>
      <w:r w:rsidRPr="000D2691">
        <w:rPr>
          <w:rStyle w:val="FootnoteReference"/>
          <w:rFonts w:ascii="Calibri" w:hAnsi="Calibri" w:cs="Calibri"/>
        </w:rPr>
        <w:footnoteRef/>
      </w:r>
      <w:r w:rsidRPr="000D2691">
        <w:rPr>
          <w:rFonts w:ascii="Calibri" w:hAnsi="Calibri" w:cs="Calibri"/>
        </w:rPr>
        <w:t xml:space="preserve"> Eric Hobsbawm, 1992, p. 6.</w:t>
      </w:r>
    </w:p>
  </w:footnote>
  <w:footnote w:id="9">
    <w:p w14:paraId="4FB63DF7" w14:textId="756FAA57" w:rsidR="003823FA" w:rsidRPr="000D2691" w:rsidRDefault="003823FA">
      <w:pPr>
        <w:pStyle w:val="FootnoteText"/>
        <w:rPr>
          <w:rFonts w:ascii="Calibri" w:hAnsi="Calibri" w:cs="Calibri"/>
        </w:rPr>
      </w:pPr>
      <w:r w:rsidRPr="000D2691">
        <w:rPr>
          <w:rStyle w:val="FootnoteReference"/>
          <w:rFonts w:ascii="Calibri" w:hAnsi="Calibri" w:cs="Calibri"/>
        </w:rPr>
        <w:footnoteRef/>
      </w:r>
      <w:r w:rsidRPr="000D2691">
        <w:rPr>
          <w:rFonts w:ascii="Calibri" w:hAnsi="Calibri" w:cs="Calibri"/>
        </w:rPr>
        <w:t xml:space="preserve"> Eric Hobsbawm, 1992, pp. 7-10.</w:t>
      </w:r>
    </w:p>
  </w:footnote>
  <w:footnote w:id="10">
    <w:p w14:paraId="47D2D167" w14:textId="2658D00A" w:rsidR="003823FA" w:rsidRPr="000D2691" w:rsidRDefault="003823FA">
      <w:pPr>
        <w:pStyle w:val="FootnoteText"/>
        <w:rPr>
          <w:rFonts w:ascii="Calibri" w:hAnsi="Calibri" w:cs="Calibri"/>
        </w:rPr>
      </w:pPr>
      <w:r w:rsidRPr="000D2691">
        <w:rPr>
          <w:rStyle w:val="FootnoteReference"/>
          <w:rFonts w:ascii="Calibri" w:hAnsi="Calibri" w:cs="Calibri"/>
        </w:rPr>
        <w:footnoteRef/>
      </w:r>
      <w:r w:rsidRPr="000D2691">
        <w:rPr>
          <w:rFonts w:ascii="Calibri" w:hAnsi="Calibri" w:cs="Calibri"/>
        </w:rPr>
        <w:t xml:space="preserve"> Eric Hobsbawm, 1992, pp. 11-14.</w:t>
      </w:r>
    </w:p>
  </w:footnote>
  <w:footnote w:id="11">
    <w:p w14:paraId="7C20208E" w14:textId="5B13C32E" w:rsidR="007E04AF" w:rsidRDefault="007E04AF">
      <w:pPr>
        <w:pStyle w:val="FootnoteText"/>
      </w:pPr>
      <w:r w:rsidRPr="000D2691">
        <w:rPr>
          <w:rStyle w:val="FootnoteReference"/>
          <w:rFonts w:ascii="Calibri" w:hAnsi="Calibri" w:cs="Calibri"/>
        </w:rPr>
        <w:footnoteRef/>
      </w:r>
      <w:r w:rsidRPr="000D2691">
        <w:rPr>
          <w:rFonts w:ascii="Calibri" w:hAnsi="Calibri" w:cs="Calibri"/>
        </w:rPr>
        <w:t xml:space="preserve"> BRIDGES, ‘Telling Adaptations: Living Environmental Stories’.</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A4D"/>
    <w:rsid w:val="00001A46"/>
    <w:rsid w:val="00026E4C"/>
    <w:rsid w:val="000B3670"/>
    <w:rsid w:val="000D2691"/>
    <w:rsid w:val="002544A6"/>
    <w:rsid w:val="00313C99"/>
    <w:rsid w:val="003409A9"/>
    <w:rsid w:val="003823FA"/>
    <w:rsid w:val="003F5657"/>
    <w:rsid w:val="004D74F3"/>
    <w:rsid w:val="00526BED"/>
    <w:rsid w:val="005A34FB"/>
    <w:rsid w:val="00601270"/>
    <w:rsid w:val="00656196"/>
    <w:rsid w:val="00757ED6"/>
    <w:rsid w:val="00787FC2"/>
    <w:rsid w:val="007E04AF"/>
    <w:rsid w:val="00A16A4D"/>
    <w:rsid w:val="00AF2DE4"/>
    <w:rsid w:val="00B123C8"/>
    <w:rsid w:val="00B764BF"/>
    <w:rsid w:val="00BB0ECB"/>
    <w:rsid w:val="00BC1E89"/>
    <w:rsid w:val="00C046B3"/>
    <w:rsid w:val="00C23E1A"/>
    <w:rsid w:val="00D721BE"/>
    <w:rsid w:val="00F638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4FF640"/>
  <w15:chartTrackingRefBased/>
  <w15:docId w15:val="{2FFAEF20-595F-4B56-AA9E-7DBC9D62E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6A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6A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6A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6A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6A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6A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6A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6A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6A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6A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6A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6A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6A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6A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6A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6A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6A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6A4D"/>
    <w:rPr>
      <w:rFonts w:eastAsiaTheme="majorEastAsia" w:cstheme="majorBidi"/>
      <w:color w:val="272727" w:themeColor="text1" w:themeTint="D8"/>
    </w:rPr>
  </w:style>
  <w:style w:type="paragraph" w:styleId="Title">
    <w:name w:val="Title"/>
    <w:basedOn w:val="Normal"/>
    <w:next w:val="Normal"/>
    <w:link w:val="TitleChar"/>
    <w:uiPriority w:val="10"/>
    <w:qFormat/>
    <w:rsid w:val="00A16A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6A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6A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6A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6A4D"/>
    <w:pPr>
      <w:spacing w:before="160"/>
      <w:jc w:val="center"/>
    </w:pPr>
    <w:rPr>
      <w:i/>
      <w:iCs/>
      <w:color w:val="404040" w:themeColor="text1" w:themeTint="BF"/>
    </w:rPr>
  </w:style>
  <w:style w:type="character" w:customStyle="1" w:styleId="QuoteChar">
    <w:name w:val="Quote Char"/>
    <w:basedOn w:val="DefaultParagraphFont"/>
    <w:link w:val="Quote"/>
    <w:uiPriority w:val="29"/>
    <w:rsid w:val="00A16A4D"/>
    <w:rPr>
      <w:i/>
      <w:iCs/>
      <w:color w:val="404040" w:themeColor="text1" w:themeTint="BF"/>
    </w:rPr>
  </w:style>
  <w:style w:type="paragraph" w:styleId="ListParagraph">
    <w:name w:val="List Paragraph"/>
    <w:basedOn w:val="Normal"/>
    <w:uiPriority w:val="34"/>
    <w:qFormat/>
    <w:rsid w:val="00A16A4D"/>
    <w:pPr>
      <w:ind w:left="720"/>
      <w:contextualSpacing/>
    </w:pPr>
  </w:style>
  <w:style w:type="character" w:styleId="IntenseEmphasis">
    <w:name w:val="Intense Emphasis"/>
    <w:basedOn w:val="DefaultParagraphFont"/>
    <w:uiPriority w:val="21"/>
    <w:qFormat/>
    <w:rsid w:val="00A16A4D"/>
    <w:rPr>
      <w:i/>
      <w:iCs/>
      <w:color w:val="0F4761" w:themeColor="accent1" w:themeShade="BF"/>
    </w:rPr>
  </w:style>
  <w:style w:type="paragraph" w:styleId="IntenseQuote">
    <w:name w:val="Intense Quote"/>
    <w:basedOn w:val="Normal"/>
    <w:next w:val="Normal"/>
    <w:link w:val="IntenseQuoteChar"/>
    <w:uiPriority w:val="30"/>
    <w:qFormat/>
    <w:rsid w:val="00A16A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6A4D"/>
    <w:rPr>
      <w:i/>
      <w:iCs/>
      <w:color w:val="0F4761" w:themeColor="accent1" w:themeShade="BF"/>
    </w:rPr>
  </w:style>
  <w:style w:type="character" w:styleId="IntenseReference">
    <w:name w:val="Intense Reference"/>
    <w:basedOn w:val="DefaultParagraphFont"/>
    <w:uiPriority w:val="32"/>
    <w:qFormat/>
    <w:rsid w:val="00A16A4D"/>
    <w:rPr>
      <w:b/>
      <w:bCs/>
      <w:smallCaps/>
      <w:color w:val="0F4761" w:themeColor="accent1" w:themeShade="BF"/>
      <w:spacing w:val="5"/>
    </w:rPr>
  </w:style>
  <w:style w:type="paragraph" w:styleId="FootnoteText">
    <w:name w:val="footnote text"/>
    <w:basedOn w:val="Normal"/>
    <w:link w:val="FootnoteTextChar"/>
    <w:uiPriority w:val="99"/>
    <w:semiHidden/>
    <w:unhideWhenUsed/>
    <w:rsid w:val="00AF2DE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F2DE4"/>
    <w:rPr>
      <w:sz w:val="20"/>
      <w:szCs w:val="20"/>
    </w:rPr>
  </w:style>
  <w:style w:type="character" w:styleId="FootnoteReference">
    <w:name w:val="footnote reference"/>
    <w:basedOn w:val="DefaultParagraphFont"/>
    <w:uiPriority w:val="99"/>
    <w:semiHidden/>
    <w:unhideWhenUsed/>
    <w:rsid w:val="00AF2DE4"/>
    <w:rPr>
      <w:vertAlign w:val="superscript"/>
    </w:rPr>
  </w:style>
  <w:style w:type="character" w:styleId="Hyperlink">
    <w:name w:val="Hyperlink"/>
    <w:basedOn w:val="DefaultParagraphFont"/>
    <w:uiPriority w:val="99"/>
    <w:unhideWhenUsed/>
    <w:rsid w:val="000D269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ridges.earth/projects/coastal-tales/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98F944-4ED3-4C61-B311-E6E2B02A8D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155</TotalTime>
  <Pages>4</Pages>
  <Words>1159</Words>
  <Characters>6611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Esta Lewis</dc:creator>
  <cp:keywords/>
  <dc:description/>
  <cp:lastModifiedBy>Esta Lewis</cp:lastModifiedBy>
  <cp:revision>11</cp:revision>
  <dcterms:created xsi:type="dcterms:W3CDTF">2026-03-11T08:39:00Z</dcterms:created>
  <dcterms:modified xsi:type="dcterms:W3CDTF">2026-03-13T15:18:00Z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51c51d15-a2d1-44a1-a503-4cb28e99f446</vt:lpwstr>
  </property>
</Properties>
</file>