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305DD" w14:textId="0A26B496" w:rsidR="00047558" w:rsidRPr="00BA700B" w:rsidRDefault="00047558">
      <w:pPr>
        <w:rPr>
          <w:rFonts w:asciiTheme="majorHAnsi" w:hAnsiTheme="majorHAnsi" w:cstheme="majorHAnsi"/>
        </w:rPr>
      </w:pPr>
    </w:p>
    <w:p w14:paraId="6E0F19A7" w14:textId="77777777" w:rsidR="00047558" w:rsidRPr="00BA700B" w:rsidRDefault="00047558" w:rsidP="00047558">
      <w:pPr>
        <w:jc w:val="center"/>
        <w:rPr>
          <w:rFonts w:asciiTheme="majorHAnsi" w:hAnsiTheme="majorHAnsi" w:cstheme="majorHAnsi"/>
        </w:rPr>
      </w:pPr>
    </w:p>
    <w:p w14:paraId="2A81C346" w14:textId="5E15CE32" w:rsidR="00934BDA" w:rsidRPr="00934BDA" w:rsidRDefault="00934BDA" w:rsidP="00934BDA">
      <w:pPr>
        <w:jc w:val="center"/>
        <w:rPr>
          <w:rFonts w:asciiTheme="majorHAnsi" w:hAnsiTheme="majorHAnsi" w:cstheme="majorHAnsi"/>
          <w:noProof/>
        </w:rPr>
      </w:pPr>
      <w:r w:rsidRPr="00BA700B">
        <w:rPr>
          <w:rFonts w:asciiTheme="majorHAnsi" w:hAnsiTheme="majorHAnsi" w:cstheme="majorHAnsi"/>
          <w:noProof/>
        </w:rPr>
        <w:drawing>
          <wp:inline distT="0" distB="0" distL="0" distR="0" wp14:anchorId="7B2DE39C" wp14:editId="7E80D8C1">
            <wp:extent cx="4836571" cy="1903228"/>
            <wp:effectExtent l="0" t="0" r="2540" b="1905"/>
            <wp:docPr id="568188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8133" b="22840"/>
                    <a:stretch>
                      <a:fillRect/>
                    </a:stretch>
                  </pic:blipFill>
                  <pic:spPr bwMode="auto">
                    <a:xfrm>
                      <a:off x="0" y="0"/>
                      <a:ext cx="4869157" cy="1916051"/>
                    </a:xfrm>
                    <a:prstGeom prst="rect">
                      <a:avLst/>
                    </a:prstGeom>
                    <a:noFill/>
                    <a:ln>
                      <a:noFill/>
                    </a:ln>
                    <a:extLst>
                      <a:ext uri="{53640926-AAD7-44D8-BBD7-CCE9431645EC}">
                        <a14:shadowObscured xmlns:a14="http://schemas.microsoft.com/office/drawing/2010/main"/>
                      </a:ext>
                    </a:extLst>
                  </pic:spPr>
                </pic:pic>
              </a:graphicData>
            </a:graphic>
          </wp:inline>
        </w:drawing>
      </w:r>
    </w:p>
    <w:p w14:paraId="323E4739" w14:textId="77777777" w:rsidR="00047558" w:rsidRPr="00BA700B" w:rsidRDefault="00047558" w:rsidP="00F05B54">
      <w:pPr>
        <w:rPr>
          <w:rFonts w:asciiTheme="majorHAnsi" w:hAnsiTheme="majorHAnsi" w:cstheme="majorHAnsi"/>
          <w:sz w:val="32"/>
          <w:szCs w:val="32"/>
        </w:rPr>
      </w:pPr>
    </w:p>
    <w:p w14:paraId="49A93133" w14:textId="550EC23B" w:rsidR="00047558" w:rsidRPr="00F05B54" w:rsidRDefault="00047558" w:rsidP="00047558">
      <w:pPr>
        <w:jc w:val="center"/>
        <w:rPr>
          <w:rFonts w:asciiTheme="majorHAnsi" w:hAnsiTheme="majorHAnsi" w:cstheme="majorHAnsi"/>
          <w:b/>
          <w:bCs/>
          <w:sz w:val="40"/>
          <w:szCs w:val="40"/>
        </w:rPr>
      </w:pPr>
      <w:r w:rsidRPr="00F05B54">
        <w:rPr>
          <w:rFonts w:asciiTheme="majorHAnsi" w:hAnsiTheme="majorHAnsi" w:cstheme="majorHAnsi"/>
          <w:b/>
          <w:bCs/>
          <w:sz w:val="40"/>
          <w:szCs w:val="40"/>
        </w:rPr>
        <w:t>Raj Bhatia</w:t>
      </w:r>
    </w:p>
    <w:p w14:paraId="5675A478" w14:textId="30FBDA29" w:rsidR="00047558" w:rsidRPr="00BA700B" w:rsidRDefault="00047558" w:rsidP="00047558">
      <w:pPr>
        <w:jc w:val="center"/>
        <w:rPr>
          <w:rFonts w:asciiTheme="majorHAnsi" w:hAnsiTheme="majorHAnsi" w:cstheme="majorHAnsi"/>
          <w:b/>
          <w:bCs/>
          <w:sz w:val="32"/>
          <w:szCs w:val="32"/>
        </w:rPr>
      </w:pPr>
      <w:r w:rsidRPr="00BA700B">
        <w:rPr>
          <w:rFonts w:asciiTheme="majorHAnsi" w:hAnsiTheme="majorHAnsi" w:cstheme="majorHAnsi"/>
          <w:b/>
          <w:bCs/>
          <w:sz w:val="32"/>
          <w:szCs w:val="32"/>
        </w:rPr>
        <w:t>Cyber Security and Digital Forensic</w:t>
      </w:r>
    </w:p>
    <w:p w14:paraId="525935AE" w14:textId="77777777" w:rsidR="00047558" w:rsidRPr="00BA700B" w:rsidRDefault="00047558" w:rsidP="00047558">
      <w:pPr>
        <w:jc w:val="center"/>
        <w:rPr>
          <w:rFonts w:asciiTheme="majorHAnsi" w:hAnsiTheme="majorHAnsi" w:cstheme="majorHAnsi"/>
          <w:b/>
          <w:bCs/>
          <w:sz w:val="32"/>
          <w:szCs w:val="32"/>
        </w:rPr>
      </w:pPr>
      <w:r w:rsidRPr="00BA700B">
        <w:rPr>
          <w:rFonts w:asciiTheme="majorHAnsi" w:hAnsiTheme="majorHAnsi" w:cstheme="majorHAnsi"/>
          <w:b/>
          <w:bCs/>
          <w:sz w:val="32"/>
          <w:szCs w:val="32"/>
        </w:rPr>
        <w:t>Student ID: 2522682</w:t>
      </w:r>
    </w:p>
    <w:p w14:paraId="442BC18F" w14:textId="77777777" w:rsidR="00F05B54" w:rsidRDefault="00F05B54" w:rsidP="00047558">
      <w:pPr>
        <w:jc w:val="center"/>
        <w:rPr>
          <w:rFonts w:asciiTheme="majorHAnsi" w:hAnsiTheme="majorHAnsi" w:cstheme="majorHAnsi"/>
          <w:b/>
          <w:bCs/>
          <w:sz w:val="32"/>
          <w:szCs w:val="32"/>
        </w:rPr>
      </w:pPr>
    </w:p>
    <w:p w14:paraId="3FCDB9AF" w14:textId="17416E28" w:rsidR="00047558" w:rsidRPr="00BA700B" w:rsidRDefault="00F05B54" w:rsidP="00047558">
      <w:pPr>
        <w:jc w:val="center"/>
        <w:rPr>
          <w:rFonts w:asciiTheme="majorHAnsi" w:hAnsiTheme="majorHAnsi" w:cstheme="majorHAnsi"/>
          <w:b/>
          <w:bCs/>
          <w:sz w:val="32"/>
          <w:szCs w:val="32"/>
        </w:rPr>
      </w:pPr>
      <w:r w:rsidRPr="00F05B54">
        <w:rPr>
          <w:rFonts w:asciiTheme="majorHAnsi" w:hAnsiTheme="majorHAnsi" w:cstheme="majorHAnsi"/>
          <w:b/>
          <w:bCs/>
          <w:sz w:val="32"/>
          <w:szCs w:val="32"/>
        </w:rPr>
        <w:t>Lecturer:</w:t>
      </w:r>
      <w:r>
        <w:rPr>
          <w:rFonts w:asciiTheme="majorHAnsi" w:hAnsiTheme="majorHAnsi" w:cstheme="majorHAnsi"/>
          <w:b/>
          <w:bCs/>
          <w:sz w:val="32"/>
          <w:szCs w:val="32"/>
        </w:rPr>
        <w:t xml:space="preserve"> </w:t>
      </w:r>
      <w:r w:rsidRPr="00F05B54">
        <w:rPr>
          <w:rFonts w:asciiTheme="majorHAnsi" w:hAnsiTheme="majorHAnsi" w:cstheme="majorHAnsi"/>
          <w:b/>
          <w:bCs/>
          <w:sz w:val="32"/>
          <w:szCs w:val="32"/>
        </w:rPr>
        <w:t>Dr. Ayman Al Hajjar</w:t>
      </w:r>
    </w:p>
    <w:p w14:paraId="02697E0E" w14:textId="77777777" w:rsidR="00047558" w:rsidRPr="00BA700B" w:rsidRDefault="00047558" w:rsidP="00047558">
      <w:pPr>
        <w:jc w:val="center"/>
        <w:rPr>
          <w:rFonts w:asciiTheme="majorHAnsi" w:hAnsiTheme="majorHAnsi" w:cstheme="majorHAnsi"/>
          <w:b/>
          <w:bCs/>
          <w:sz w:val="32"/>
          <w:szCs w:val="32"/>
        </w:rPr>
      </w:pPr>
    </w:p>
    <w:p w14:paraId="0C93C3BF" w14:textId="474422B1" w:rsidR="00047558" w:rsidRPr="00BA700B" w:rsidRDefault="00047558" w:rsidP="00047558">
      <w:pPr>
        <w:jc w:val="center"/>
        <w:rPr>
          <w:rFonts w:asciiTheme="majorHAnsi" w:hAnsiTheme="majorHAnsi" w:cstheme="majorHAnsi"/>
          <w:b/>
          <w:bCs/>
          <w:sz w:val="36"/>
          <w:szCs w:val="36"/>
        </w:rPr>
      </w:pPr>
      <w:r w:rsidRPr="00BA700B">
        <w:rPr>
          <w:rFonts w:asciiTheme="majorHAnsi" w:hAnsiTheme="majorHAnsi" w:cstheme="majorHAnsi"/>
          <w:b/>
          <w:bCs/>
          <w:sz w:val="36"/>
          <w:szCs w:val="36"/>
        </w:rPr>
        <w:t>Data Security, Governance and Compliance</w:t>
      </w:r>
    </w:p>
    <w:p w14:paraId="71720716" w14:textId="1BF3BCCD" w:rsidR="00047558" w:rsidRPr="00BA700B" w:rsidRDefault="00047558" w:rsidP="00047558">
      <w:pPr>
        <w:jc w:val="center"/>
        <w:rPr>
          <w:rFonts w:asciiTheme="majorHAnsi" w:hAnsiTheme="majorHAnsi" w:cstheme="majorHAnsi"/>
          <w:b/>
          <w:bCs/>
          <w:sz w:val="32"/>
          <w:szCs w:val="32"/>
        </w:rPr>
      </w:pPr>
      <w:r w:rsidRPr="00BA700B">
        <w:rPr>
          <w:rFonts w:asciiTheme="majorHAnsi" w:hAnsiTheme="majorHAnsi" w:cstheme="majorHAnsi"/>
          <w:b/>
          <w:bCs/>
          <w:sz w:val="32"/>
          <w:szCs w:val="32"/>
        </w:rPr>
        <w:t>Module code: ACCA7028</w:t>
      </w:r>
    </w:p>
    <w:p w14:paraId="6C98997B" w14:textId="02DEF061" w:rsidR="00047558" w:rsidRPr="00BA700B" w:rsidRDefault="00047558" w:rsidP="00047558">
      <w:pPr>
        <w:jc w:val="center"/>
        <w:rPr>
          <w:rFonts w:asciiTheme="majorHAnsi" w:hAnsiTheme="majorHAnsi" w:cstheme="majorHAnsi"/>
          <w:b/>
          <w:bCs/>
          <w:sz w:val="32"/>
          <w:szCs w:val="32"/>
        </w:rPr>
      </w:pPr>
      <w:r w:rsidRPr="00BA700B">
        <w:rPr>
          <w:rFonts w:asciiTheme="majorHAnsi" w:hAnsiTheme="majorHAnsi" w:cstheme="majorHAnsi"/>
          <w:b/>
          <w:bCs/>
          <w:sz w:val="32"/>
          <w:szCs w:val="32"/>
        </w:rPr>
        <w:t>Academic Year 2026 – 2027</w:t>
      </w:r>
    </w:p>
    <w:p w14:paraId="0DDDFF48" w14:textId="4B45729F" w:rsidR="00971B52" w:rsidRPr="00BA700B" w:rsidRDefault="00971B52" w:rsidP="00047558">
      <w:pPr>
        <w:jc w:val="center"/>
        <w:rPr>
          <w:rFonts w:asciiTheme="majorHAnsi" w:hAnsiTheme="majorHAnsi" w:cstheme="majorHAnsi"/>
          <w:b/>
          <w:bCs/>
          <w:sz w:val="32"/>
          <w:szCs w:val="32"/>
        </w:rPr>
      </w:pPr>
      <w:r w:rsidRPr="00BA700B">
        <w:rPr>
          <w:rFonts w:asciiTheme="majorHAnsi" w:hAnsiTheme="majorHAnsi" w:cstheme="majorHAnsi"/>
          <w:b/>
          <w:bCs/>
          <w:sz w:val="32"/>
          <w:szCs w:val="32"/>
        </w:rPr>
        <w:t>Submission date -</w:t>
      </w:r>
      <w:r w:rsidR="008E426E" w:rsidRPr="00BA700B">
        <w:rPr>
          <w:rFonts w:asciiTheme="majorHAnsi" w:hAnsiTheme="majorHAnsi" w:cstheme="majorHAnsi"/>
          <w:b/>
          <w:bCs/>
          <w:sz w:val="32"/>
          <w:szCs w:val="32"/>
        </w:rPr>
        <w:t xml:space="preserve"> 29th April 2026</w:t>
      </w:r>
    </w:p>
    <w:p w14:paraId="74BA5021" w14:textId="5FF00D69" w:rsidR="00047558" w:rsidRPr="00BA700B" w:rsidRDefault="00971B52" w:rsidP="00047558">
      <w:pPr>
        <w:jc w:val="center"/>
        <w:rPr>
          <w:rFonts w:asciiTheme="majorHAnsi" w:hAnsiTheme="majorHAnsi" w:cstheme="majorHAnsi"/>
          <w:sz w:val="32"/>
          <w:szCs w:val="32"/>
        </w:rPr>
      </w:pPr>
      <w:r w:rsidRPr="00BA700B">
        <w:rPr>
          <w:rFonts w:asciiTheme="majorHAnsi" w:hAnsiTheme="majorHAnsi" w:cstheme="majorHAnsi"/>
          <w:b/>
          <w:bCs/>
          <w:sz w:val="32"/>
          <w:szCs w:val="32"/>
        </w:rPr>
        <w:t>Case Study:</w:t>
      </w:r>
      <w:r w:rsidRPr="00BA700B">
        <w:rPr>
          <w:rFonts w:asciiTheme="majorHAnsi" w:hAnsiTheme="majorHAnsi" w:cstheme="majorHAnsi"/>
          <w:sz w:val="32"/>
          <w:szCs w:val="32"/>
        </w:rPr>
        <w:t xml:space="preserve"> FinSure Bank (FSB)</w:t>
      </w:r>
    </w:p>
    <w:p w14:paraId="27A86A83" w14:textId="77777777" w:rsidR="00047558" w:rsidRPr="00BA700B" w:rsidRDefault="00047558">
      <w:pPr>
        <w:rPr>
          <w:rFonts w:asciiTheme="majorHAnsi" w:hAnsiTheme="majorHAnsi" w:cstheme="majorHAnsi"/>
        </w:rPr>
      </w:pPr>
      <w:r w:rsidRPr="00BA700B">
        <w:rPr>
          <w:rFonts w:asciiTheme="majorHAnsi" w:hAnsiTheme="majorHAnsi" w:cstheme="majorHAnsi"/>
        </w:rPr>
        <w:br w:type="page"/>
      </w:r>
    </w:p>
    <w:p w14:paraId="69BE7E29" w14:textId="77777777" w:rsidR="00C20424" w:rsidRPr="00BA700B" w:rsidRDefault="00C20424" w:rsidP="00665976">
      <w:pPr>
        <w:pStyle w:val="Heading1"/>
        <w:jc w:val="center"/>
        <w:rPr>
          <w:rFonts w:cstheme="majorHAnsi"/>
          <w:b/>
          <w:bCs/>
          <w:color w:val="auto"/>
        </w:rPr>
      </w:pPr>
      <w:r w:rsidRPr="00BA700B">
        <w:rPr>
          <w:rFonts w:cstheme="majorHAnsi"/>
          <w:b/>
          <w:bCs/>
          <w:color w:val="auto"/>
        </w:rPr>
        <w:lastRenderedPageBreak/>
        <w:t>Index</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4"/>
        <w:gridCol w:w="571"/>
        <w:gridCol w:w="6873"/>
        <w:gridCol w:w="254"/>
        <w:gridCol w:w="828"/>
      </w:tblGrid>
      <w:tr w:rsidR="00822111" w:rsidRPr="00BA700B" w14:paraId="5D8E247D" w14:textId="77777777" w:rsidTr="007864C2">
        <w:tc>
          <w:tcPr>
            <w:tcW w:w="834" w:type="dxa"/>
          </w:tcPr>
          <w:p w14:paraId="2F870008" w14:textId="0DA4B868" w:rsidR="00822111" w:rsidRPr="00BA700B" w:rsidRDefault="00822111" w:rsidP="00665976">
            <w:pPr>
              <w:pStyle w:val="Heading2"/>
              <w:spacing w:after="0"/>
              <w:jc w:val="center"/>
              <w:rPr>
                <w:rFonts w:cstheme="majorHAnsi"/>
                <w:b/>
                <w:bCs/>
                <w:color w:val="auto"/>
                <w:sz w:val="28"/>
                <w:szCs w:val="28"/>
              </w:rPr>
            </w:pPr>
            <w:r w:rsidRPr="00BA700B">
              <w:rPr>
                <w:rFonts w:cstheme="majorHAnsi"/>
                <w:b/>
                <w:bCs/>
                <w:color w:val="auto"/>
                <w:sz w:val="28"/>
                <w:szCs w:val="28"/>
              </w:rPr>
              <w:t>Sr. No</w:t>
            </w:r>
          </w:p>
        </w:tc>
        <w:tc>
          <w:tcPr>
            <w:tcW w:w="571" w:type="dxa"/>
          </w:tcPr>
          <w:p w14:paraId="565A329A" w14:textId="77777777" w:rsidR="00822111" w:rsidRPr="00BA700B" w:rsidRDefault="00822111" w:rsidP="00665976">
            <w:pPr>
              <w:pStyle w:val="Heading2"/>
              <w:spacing w:after="0"/>
              <w:jc w:val="center"/>
              <w:rPr>
                <w:rFonts w:cstheme="majorHAnsi"/>
                <w:b/>
                <w:bCs/>
                <w:color w:val="auto"/>
              </w:rPr>
            </w:pPr>
          </w:p>
        </w:tc>
        <w:tc>
          <w:tcPr>
            <w:tcW w:w="6873" w:type="dxa"/>
          </w:tcPr>
          <w:p w14:paraId="691902B4" w14:textId="5BE409D6" w:rsidR="00822111" w:rsidRPr="00BA700B" w:rsidRDefault="00822111" w:rsidP="00665976">
            <w:pPr>
              <w:pStyle w:val="Heading2"/>
              <w:spacing w:after="0"/>
              <w:jc w:val="center"/>
              <w:rPr>
                <w:rFonts w:cstheme="majorHAnsi"/>
                <w:b/>
                <w:bCs/>
                <w:color w:val="auto"/>
                <w:sz w:val="28"/>
                <w:szCs w:val="28"/>
              </w:rPr>
            </w:pPr>
            <w:r w:rsidRPr="00BA700B">
              <w:rPr>
                <w:rFonts w:cstheme="majorHAnsi"/>
                <w:b/>
                <w:bCs/>
                <w:color w:val="auto"/>
              </w:rPr>
              <w:t>Topic</w:t>
            </w:r>
          </w:p>
        </w:tc>
        <w:tc>
          <w:tcPr>
            <w:tcW w:w="1082" w:type="dxa"/>
            <w:gridSpan w:val="2"/>
          </w:tcPr>
          <w:p w14:paraId="7F899E62" w14:textId="7FDBBE4A" w:rsidR="00822111" w:rsidRPr="00BA700B" w:rsidRDefault="00822111" w:rsidP="00665976">
            <w:pPr>
              <w:pStyle w:val="Heading2"/>
              <w:spacing w:after="0"/>
              <w:jc w:val="center"/>
              <w:rPr>
                <w:rFonts w:cstheme="majorHAnsi"/>
                <w:b/>
                <w:bCs/>
                <w:color w:val="auto"/>
                <w:sz w:val="28"/>
                <w:szCs w:val="28"/>
              </w:rPr>
            </w:pPr>
            <w:r w:rsidRPr="00BA700B">
              <w:rPr>
                <w:rFonts w:cstheme="majorHAnsi"/>
                <w:b/>
                <w:bCs/>
                <w:color w:val="auto"/>
                <w:sz w:val="28"/>
                <w:szCs w:val="28"/>
              </w:rPr>
              <w:t>Page No.</w:t>
            </w:r>
          </w:p>
        </w:tc>
      </w:tr>
      <w:tr w:rsidR="00822111" w:rsidRPr="00BA700B" w14:paraId="334B3268" w14:textId="77777777" w:rsidTr="00822111">
        <w:tc>
          <w:tcPr>
            <w:tcW w:w="834" w:type="dxa"/>
          </w:tcPr>
          <w:p w14:paraId="311AB83C" w14:textId="40E9AC34" w:rsidR="00822111" w:rsidRPr="00BA700B" w:rsidRDefault="00822111" w:rsidP="008E1A64">
            <w:pPr>
              <w:spacing w:before="240"/>
              <w:jc w:val="center"/>
              <w:rPr>
                <w:rFonts w:asciiTheme="majorHAnsi" w:hAnsiTheme="majorHAnsi" w:cstheme="majorHAnsi"/>
              </w:rPr>
            </w:pPr>
          </w:p>
        </w:tc>
        <w:tc>
          <w:tcPr>
            <w:tcW w:w="571" w:type="dxa"/>
          </w:tcPr>
          <w:p w14:paraId="021ADDEA" w14:textId="77777777" w:rsidR="00822111" w:rsidRPr="00BA700B" w:rsidRDefault="00822111" w:rsidP="008E1A64">
            <w:pPr>
              <w:spacing w:before="240"/>
              <w:rPr>
                <w:rFonts w:asciiTheme="majorHAnsi" w:hAnsiTheme="majorHAnsi" w:cstheme="majorHAnsi"/>
              </w:rPr>
            </w:pPr>
          </w:p>
        </w:tc>
        <w:tc>
          <w:tcPr>
            <w:tcW w:w="7127" w:type="dxa"/>
            <w:gridSpan w:val="2"/>
          </w:tcPr>
          <w:p w14:paraId="691AB40E" w14:textId="5D54324F" w:rsidR="00822111" w:rsidRPr="00BA700B" w:rsidRDefault="00822111" w:rsidP="008E1A64">
            <w:pPr>
              <w:spacing w:before="240"/>
              <w:rPr>
                <w:rFonts w:asciiTheme="majorHAnsi" w:hAnsiTheme="majorHAnsi" w:cstheme="majorHAnsi"/>
              </w:rPr>
            </w:pPr>
            <w:r w:rsidRPr="00BA700B">
              <w:rPr>
                <w:rFonts w:asciiTheme="majorHAnsi" w:hAnsiTheme="majorHAnsi" w:cstheme="majorHAnsi"/>
              </w:rPr>
              <w:t>Abstract</w:t>
            </w:r>
          </w:p>
        </w:tc>
        <w:tc>
          <w:tcPr>
            <w:tcW w:w="828" w:type="dxa"/>
          </w:tcPr>
          <w:p w14:paraId="407A6A42" w14:textId="78EB303A" w:rsidR="00822111" w:rsidRPr="00BA700B" w:rsidRDefault="00822111" w:rsidP="008E1A64">
            <w:pPr>
              <w:spacing w:before="240"/>
              <w:jc w:val="center"/>
              <w:rPr>
                <w:rFonts w:asciiTheme="majorHAnsi" w:hAnsiTheme="majorHAnsi" w:cstheme="majorHAnsi"/>
              </w:rPr>
            </w:pPr>
            <w:r w:rsidRPr="00BA700B">
              <w:rPr>
                <w:rFonts w:asciiTheme="majorHAnsi" w:hAnsiTheme="majorHAnsi" w:cstheme="majorHAnsi"/>
              </w:rPr>
              <w:t>0</w:t>
            </w:r>
            <w:r w:rsidR="007864C2" w:rsidRPr="00BA700B">
              <w:rPr>
                <w:rFonts w:asciiTheme="majorHAnsi" w:hAnsiTheme="majorHAnsi" w:cstheme="majorHAnsi"/>
              </w:rPr>
              <w:t>5</w:t>
            </w:r>
          </w:p>
        </w:tc>
      </w:tr>
      <w:tr w:rsidR="00822111" w:rsidRPr="00BA700B" w14:paraId="1F99E847" w14:textId="77777777" w:rsidTr="00822111">
        <w:tc>
          <w:tcPr>
            <w:tcW w:w="834" w:type="dxa"/>
          </w:tcPr>
          <w:p w14:paraId="66D97DBF" w14:textId="07E32F92" w:rsidR="00822111" w:rsidRPr="00BA700B" w:rsidRDefault="00822111" w:rsidP="007864C2">
            <w:pPr>
              <w:jc w:val="center"/>
              <w:rPr>
                <w:rFonts w:asciiTheme="majorHAnsi" w:hAnsiTheme="majorHAnsi" w:cstheme="majorHAnsi"/>
              </w:rPr>
            </w:pPr>
            <w:r w:rsidRPr="00BA700B">
              <w:rPr>
                <w:rFonts w:asciiTheme="majorHAnsi" w:hAnsiTheme="majorHAnsi" w:cstheme="majorHAnsi"/>
              </w:rPr>
              <w:t>1</w:t>
            </w:r>
          </w:p>
        </w:tc>
        <w:tc>
          <w:tcPr>
            <w:tcW w:w="571" w:type="dxa"/>
          </w:tcPr>
          <w:p w14:paraId="7198A24E" w14:textId="77777777" w:rsidR="00822111" w:rsidRPr="00BA700B" w:rsidRDefault="00822111" w:rsidP="007864C2">
            <w:pPr>
              <w:rPr>
                <w:rFonts w:asciiTheme="majorHAnsi" w:hAnsiTheme="majorHAnsi" w:cstheme="majorHAnsi"/>
              </w:rPr>
            </w:pPr>
          </w:p>
        </w:tc>
        <w:tc>
          <w:tcPr>
            <w:tcW w:w="7127" w:type="dxa"/>
            <w:gridSpan w:val="2"/>
          </w:tcPr>
          <w:p w14:paraId="40B9EA8B" w14:textId="5BC00BFC" w:rsidR="00822111" w:rsidRPr="00BA700B" w:rsidRDefault="00822111" w:rsidP="007864C2">
            <w:pPr>
              <w:rPr>
                <w:rFonts w:asciiTheme="majorHAnsi" w:hAnsiTheme="majorHAnsi" w:cstheme="majorHAnsi"/>
              </w:rPr>
            </w:pPr>
            <w:r w:rsidRPr="00BA700B">
              <w:rPr>
                <w:rFonts w:asciiTheme="majorHAnsi" w:hAnsiTheme="majorHAnsi" w:cstheme="majorHAnsi"/>
              </w:rPr>
              <w:t>Introduction</w:t>
            </w:r>
          </w:p>
        </w:tc>
        <w:tc>
          <w:tcPr>
            <w:tcW w:w="828" w:type="dxa"/>
          </w:tcPr>
          <w:p w14:paraId="3767AE63" w14:textId="0E685FF8" w:rsidR="00822111" w:rsidRPr="00BA700B" w:rsidRDefault="00822111" w:rsidP="007864C2">
            <w:pPr>
              <w:jc w:val="center"/>
              <w:rPr>
                <w:rFonts w:asciiTheme="majorHAnsi" w:hAnsiTheme="majorHAnsi" w:cstheme="majorHAnsi"/>
              </w:rPr>
            </w:pPr>
            <w:r w:rsidRPr="00BA700B">
              <w:rPr>
                <w:rFonts w:asciiTheme="majorHAnsi" w:hAnsiTheme="majorHAnsi" w:cstheme="majorHAnsi"/>
              </w:rPr>
              <w:t>0</w:t>
            </w:r>
            <w:r w:rsidR="007864C2" w:rsidRPr="00BA700B">
              <w:rPr>
                <w:rFonts w:asciiTheme="majorHAnsi" w:hAnsiTheme="majorHAnsi" w:cstheme="majorHAnsi"/>
              </w:rPr>
              <w:t>6</w:t>
            </w:r>
          </w:p>
        </w:tc>
      </w:tr>
      <w:tr w:rsidR="00822111" w:rsidRPr="00BA700B" w14:paraId="23F050DF" w14:textId="77777777" w:rsidTr="00822111">
        <w:tc>
          <w:tcPr>
            <w:tcW w:w="834" w:type="dxa"/>
          </w:tcPr>
          <w:p w14:paraId="6E70BD3D" w14:textId="1353F4CB" w:rsidR="00822111" w:rsidRPr="00BA700B" w:rsidRDefault="00822111" w:rsidP="007864C2">
            <w:pPr>
              <w:jc w:val="center"/>
              <w:rPr>
                <w:rFonts w:asciiTheme="majorHAnsi" w:hAnsiTheme="majorHAnsi" w:cstheme="majorHAnsi"/>
              </w:rPr>
            </w:pPr>
            <w:r w:rsidRPr="00BA700B">
              <w:rPr>
                <w:rFonts w:asciiTheme="majorHAnsi" w:hAnsiTheme="majorHAnsi" w:cstheme="majorHAnsi"/>
              </w:rPr>
              <w:t>2</w:t>
            </w:r>
          </w:p>
        </w:tc>
        <w:tc>
          <w:tcPr>
            <w:tcW w:w="571" w:type="dxa"/>
          </w:tcPr>
          <w:p w14:paraId="5A269343" w14:textId="77777777" w:rsidR="00822111" w:rsidRPr="00BA700B" w:rsidRDefault="00822111" w:rsidP="007864C2">
            <w:pPr>
              <w:rPr>
                <w:rFonts w:asciiTheme="majorHAnsi" w:hAnsiTheme="majorHAnsi" w:cstheme="majorHAnsi"/>
              </w:rPr>
            </w:pPr>
          </w:p>
        </w:tc>
        <w:tc>
          <w:tcPr>
            <w:tcW w:w="7127" w:type="dxa"/>
            <w:gridSpan w:val="2"/>
          </w:tcPr>
          <w:p w14:paraId="7618B801" w14:textId="0797806D" w:rsidR="00822111" w:rsidRPr="00BA700B" w:rsidRDefault="00822111" w:rsidP="007864C2">
            <w:pPr>
              <w:rPr>
                <w:rFonts w:asciiTheme="majorHAnsi" w:hAnsiTheme="majorHAnsi" w:cstheme="majorHAnsi"/>
              </w:rPr>
            </w:pPr>
            <w:r w:rsidRPr="00BA700B">
              <w:rPr>
                <w:rFonts w:asciiTheme="majorHAnsi" w:hAnsiTheme="majorHAnsi" w:cstheme="majorHAnsi"/>
              </w:rPr>
              <w:t xml:space="preserve">Literature Review: Frameworks and Models for Information Security </w:t>
            </w:r>
          </w:p>
        </w:tc>
        <w:tc>
          <w:tcPr>
            <w:tcW w:w="828" w:type="dxa"/>
          </w:tcPr>
          <w:p w14:paraId="2D57FF77" w14:textId="22FE08E2" w:rsidR="00822111" w:rsidRPr="00BA700B" w:rsidRDefault="00822111" w:rsidP="007864C2">
            <w:pPr>
              <w:jc w:val="center"/>
              <w:rPr>
                <w:rFonts w:asciiTheme="majorHAnsi" w:hAnsiTheme="majorHAnsi" w:cstheme="majorHAnsi"/>
              </w:rPr>
            </w:pPr>
            <w:r w:rsidRPr="00BA700B">
              <w:rPr>
                <w:rFonts w:asciiTheme="majorHAnsi" w:hAnsiTheme="majorHAnsi" w:cstheme="majorHAnsi"/>
              </w:rPr>
              <w:t>0</w:t>
            </w:r>
            <w:r w:rsidR="007864C2" w:rsidRPr="00BA700B">
              <w:rPr>
                <w:rFonts w:asciiTheme="majorHAnsi" w:hAnsiTheme="majorHAnsi" w:cstheme="majorHAnsi"/>
              </w:rPr>
              <w:t>7</w:t>
            </w:r>
          </w:p>
        </w:tc>
      </w:tr>
      <w:tr w:rsidR="00822111" w:rsidRPr="00BA700B" w14:paraId="345F4AA3" w14:textId="77777777" w:rsidTr="00822111">
        <w:tc>
          <w:tcPr>
            <w:tcW w:w="834" w:type="dxa"/>
          </w:tcPr>
          <w:p w14:paraId="5DB3112F" w14:textId="00B5E15B" w:rsidR="00822111" w:rsidRPr="00BA700B" w:rsidRDefault="00822111" w:rsidP="007864C2">
            <w:pPr>
              <w:jc w:val="center"/>
              <w:rPr>
                <w:rFonts w:asciiTheme="majorHAnsi" w:hAnsiTheme="majorHAnsi" w:cstheme="majorHAnsi"/>
              </w:rPr>
            </w:pPr>
          </w:p>
        </w:tc>
        <w:tc>
          <w:tcPr>
            <w:tcW w:w="571" w:type="dxa"/>
          </w:tcPr>
          <w:p w14:paraId="4ADE74EC" w14:textId="1F105BC3" w:rsidR="00822111" w:rsidRPr="00BA700B" w:rsidRDefault="00822111" w:rsidP="007864C2">
            <w:pPr>
              <w:rPr>
                <w:rFonts w:asciiTheme="majorHAnsi" w:hAnsiTheme="majorHAnsi" w:cstheme="majorHAnsi"/>
              </w:rPr>
            </w:pPr>
            <w:r w:rsidRPr="00BA700B">
              <w:rPr>
                <w:rFonts w:asciiTheme="majorHAnsi" w:hAnsiTheme="majorHAnsi" w:cstheme="majorHAnsi"/>
              </w:rPr>
              <w:t>2.1</w:t>
            </w:r>
          </w:p>
        </w:tc>
        <w:tc>
          <w:tcPr>
            <w:tcW w:w="7127" w:type="dxa"/>
            <w:gridSpan w:val="2"/>
          </w:tcPr>
          <w:p w14:paraId="39A7180F" w14:textId="14B2D77E" w:rsidR="00822111" w:rsidRPr="00BA700B" w:rsidRDefault="00822111" w:rsidP="007864C2">
            <w:pPr>
              <w:rPr>
                <w:rFonts w:asciiTheme="majorHAnsi" w:hAnsiTheme="majorHAnsi" w:cstheme="majorHAnsi"/>
              </w:rPr>
            </w:pPr>
            <w:r w:rsidRPr="00BA700B">
              <w:rPr>
                <w:rFonts w:asciiTheme="majorHAnsi" w:hAnsiTheme="majorHAnsi" w:cstheme="majorHAnsi"/>
              </w:rPr>
              <w:t>Information Security Frameworks Overview</w:t>
            </w:r>
          </w:p>
        </w:tc>
        <w:tc>
          <w:tcPr>
            <w:tcW w:w="828" w:type="dxa"/>
          </w:tcPr>
          <w:p w14:paraId="5A52C513" w14:textId="66ACFDDC" w:rsidR="00822111" w:rsidRPr="00BA700B" w:rsidRDefault="007864C2" w:rsidP="007864C2">
            <w:pPr>
              <w:jc w:val="center"/>
              <w:rPr>
                <w:rFonts w:asciiTheme="majorHAnsi" w:hAnsiTheme="majorHAnsi" w:cstheme="majorHAnsi"/>
              </w:rPr>
            </w:pPr>
            <w:r w:rsidRPr="00BA700B">
              <w:rPr>
                <w:rFonts w:asciiTheme="majorHAnsi" w:hAnsiTheme="majorHAnsi" w:cstheme="majorHAnsi"/>
              </w:rPr>
              <w:t>07</w:t>
            </w:r>
          </w:p>
        </w:tc>
      </w:tr>
      <w:tr w:rsidR="00822111" w:rsidRPr="00BA700B" w14:paraId="7FA012D7" w14:textId="77777777" w:rsidTr="00822111">
        <w:tc>
          <w:tcPr>
            <w:tcW w:w="834" w:type="dxa"/>
          </w:tcPr>
          <w:p w14:paraId="74EE3613" w14:textId="77777777" w:rsidR="00822111" w:rsidRPr="00BA700B" w:rsidRDefault="00822111" w:rsidP="007864C2">
            <w:pPr>
              <w:jc w:val="center"/>
              <w:rPr>
                <w:rFonts w:asciiTheme="majorHAnsi" w:hAnsiTheme="majorHAnsi" w:cstheme="majorHAnsi"/>
              </w:rPr>
            </w:pPr>
          </w:p>
        </w:tc>
        <w:tc>
          <w:tcPr>
            <w:tcW w:w="571" w:type="dxa"/>
          </w:tcPr>
          <w:p w14:paraId="719D602D" w14:textId="4A3CE4C4" w:rsidR="00822111" w:rsidRPr="00BA700B" w:rsidRDefault="00822111" w:rsidP="007864C2">
            <w:pPr>
              <w:rPr>
                <w:rFonts w:asciiTheme="majorHAnsi" w:hAnsiTheme="majorHAnsi" w:cstheme="majorHAnsi"/>
              </w:rPr>
            </w:pPr>
            <w:r w:rsidRPr="00BA700B">
              <w:rPr>
                <w:rFonts w:asciiTheme="majorHAnsi" w:hAnsiTheme="majorHAnsi" w:cstheme="majorHAnsi"/>
              </w:rPr>
              <w:t>2.2</w:t>
            </w:r>
          </w:p>
        </w:tc>
        <w:tc>
          <w:tcPr>
            <w:tcW w:w="7127" w:type="dxa"/>
            <w:gridSpan w:val="2"/>
          </w:tcPr>
          <w:p w14:paraId="3D7F8021" w14:textId="5206D692" w:rsidR="00822111" w:rsidRPr="00BA700B" w:rsidRDefault="00822111" w:rsidP="007864C2">
            <w:pPr>
              <w:rPr>
                <w:rFonts w:asciiTheme="majorHAnsi" w:hAnsiTheme="majorHAnsi" w:cstheme="majorHAnsi"/>
              </w:rPr>
            </w:pPr>
            <w:r w:rsidRPr="00BA700B">
              <w:rPr>
                <w:rFonts w:asciiTheme="majorHAnsi" w:hAnsiTheme="majorHAnsi" w:cstheme="majorHAnsi"/>
              </w:rPr>
              <w:t>Information Security Management System ISO/IEC 27001</w:t>
            </w:r>
          </w:p>
        </w:tc>
        <w:tc>
          <w:tcPr>
            <w:tcW w:w="828" w:type="dxa"/>
          </w:tcPr>
          <w:p w14:paraId="5F634D79" w14:textId="6336710E" w:rsidR="00822111" w:rsidRPr="00BA700B" w:rsidRDefault="007864C2" w:rsidP="007864C2">
            <w:pPr>
              <w:jc w:val="center"/>
              <w:rPr>
                <w:rFonts w:asciiTheme="majorHAnsi" w:hAnsiTheme="majorHAnsi" w:cstheme="majorHAnsi"/>
              </w:rPr>
            </w:pPr>
            <w:r w:rsidRPr="00BA700B">
              <w:rPr>
                <w:rFonts w:asciiTheme="majorHAnsi" w:hAnsiTheme="majorHAnsi" w:cstheme="majorHAnsi"/>
              </w:rPr>
              <w:t>08</w:t>
            </w:r>
          </w:p>
        </w:tc>
      </w:tr>
      <w:tr w:rsidR="00822111" w:rsidRPr="00BA700B" w14:paraId="4C66FD74" w14:textId="77777777" w:rsidTr="00822111">
        <w:tc>
          <w:tcPr>
            <w:tcW w:w="834" w:type="dxa"/>
          </w:tcPr>
          <w:p w14:paraId="28F63C8B" w14:textId="77777777" w:rsidR="00822111" w:rsidRPr="00BA700B" w:rsidRDefault="00822111" w:rsidP="007864C2">
            <w:pPr>
              <w:jc w:val="center"/>
              <w:rPr>
                <w:rFonts w:asciiTheme="majorHAnsi" w:hAnsiTheme="majorHAnsi" w:cstheme="majorHAnsi"/>
              </w:rPr>
            </w:pPr>
          </w:p>
        </w:tc>
        <w:tc>
          <w:tcPr>
            <w:tcW w:w="571" w:type="dxa"/>
          </w:tcPr>
          <w:p w14:paraId="097D79AA" w14:textId="5195006C" w:rsidR="00822111" w:rsidRPr="00BA700B" w:rsidRDefault="00822111" w:rsidP="007864C2">
            <w:pPr>
              <w:rPr>
                <w:rFonts w:asciiTheme="majorHAnsi" w:hAnsiTheme="majorHAnsi" w:cstheme="majorHAnsi"/>
              </w:rPr>
            </w:pPr>
            <w:r w:rsidRPr="00BA700B">
              <w:rPr>
                <w:rFonts w:asciiTheme="majorHAnsi" w:hAnsiTheme="majorHAnsi" w:cstheme="majorHAnsi"/>
              </w:rPr>
              <w:t>2.3</w:t>
            </w:r>
          </w:p>
        </w:tc>
        <w:tc>
          <w:tcPr>
            <w:tcW w:w="7127" w:type="dxa"/>
            <w:gridSpan w:val="2"/>
          </w:tcPr>
          <w:p w14:paraId="2DB12814" w14:textId="021267FD" w:rsidR="00822111" w:rsidRPr="00BA700B" w:rsidRDefault="00822111" w:rsidP="007864C2">
            <w:pPr>
              <w:rPr>
                <w:rFonts w:asciiTheme="majorHAnsi" w:hAnsiTheme="majorHAnsi" w:cstheme="majorHAnsi"/>
              </w:rPr>
            </w:pPr>
            <w:r w:rsidRPr="00BA700B">
              <w:rPr>
                <w:rFonts w:asciiTheme="majorHAnsi" w:hAnsiTheme="majorHAnsi" w:cstheme="majorHAnsi"/>
              </w:rPr>
              <w:t>Infrastructure Library for Information Technology</w:t>
            </w:r>
          </w:p>
        </w:tc>
        <w:tc>
          <w:tcPr>
            <w:tcW w:w="828" w:type="dxa"/>
          </w:tcPr>
          <w:p w14:paraId="005B5F63" w14:textId="12DA7D8B" w:rsidR="00822111" w:rsidRPr="00BA700B" w:rsidRDefault="007864C2" w:rsidP="007864C2">
            <w:pPr>
              <w:jc w:val="center"/>
              <w:rPr>
                <w:rFonts w:asciiTheme="majorHAnsi" w:hAnsiTheme="majorHAnsi" w:cstheme="majorHAnsi"/>
              </w:rPr>
            </w:pPr>
            <w:r w:rsidRPr="00BA700B">
              <w:rPr>
                <w:rFonts w:asciiTheme="majorHAnsi" w:hAnsiTheme="majorHAnsi" w:cstheme="majorHAnsi"/>
              </w:rPr>
              <w:t>09</w:t>
            </w:r>
          </w:p>
        </w:tc>
      </w:tr>
      <w:tr w:rsidR="00822111" w:rsidRPr="00BA700B" w14:paraId="218D233D" w14:textId="77777777" w:rsidTr="00822111">
        <w:tc>
          <w:tcPr>
            <w:tcW w:w="834" w:type="dxa"/>
          </w:tcPr>
          <w:p w14:paraId="369E8595" w14:textId="13D36D87" w:rsidR="00822111" w:rsidRPr="00BA700B" w:rsidRDefault="00822111" w:rsidP="007864C2">
            <w:pPr>
              <w:jc w:val="center"/>
              <w:rPr>
                <w:rFonts w:asciiTheme="majorHAnsi" w:hAnsiTheme="majorHAnsi" w:cstheme="majorHAnsi"/>
              </w:rPr>
            </w:pPr>
          </w:p>
        </w:tc>
        <w:tc>
          <w:tcPr>
            <w:tcW w:w="571" w:type="dxa"/>
          </w:tcPr>
          <w:p w14:paraId="7A777201" w14:textId="00B19952" w:rsidR="00822111" w:rsidRPr="00BA700B" w:rsidRDefault="00822111" w:rsidP="007864C2">
            <w:pPr>
              <w:rPr>
                <w:rFonts w:asciiTheme="majorHAnsi" w:hAnsiTheme="majorHAnsi" w:cstheme="majorHAnsi"/>
              </w:rPr>
            </w:pPr>
            <w:r w:rsidRPr="00BA700B">
              <w:rPr>
                <w:rFonts w:asciiTheme="majorHAnsi" w:hAnsiTheme="majorHAnsi" w:cstheme="majorHAnsi"/>
              </w:rPr>
              <w:t>2.4</w:t>
            </w:r>
          </w:p>
        </w:tc>
        <w:tc>
          <w:tcPr>
            <w:tcW w:w="7127" w:type="dxa"/>
            <w:gridSpan w:val="2"/>
          </w:tcPr>
          <w:p w14:paraId="535D7823" w14:textId="7ED18CB3" w:rsidR="00822111" w:rsidRPr="00BA700B" w:rsidRDefault="00822111" w:rsidP="007864C2">
            <w:pPr>
              <w:rPr>
                <w:rFonts w:asciiTheme="majorHAnsi" w:hAnsiTheme="majorHAnsi" w:cstheme="majorHAnsi"/>
              </w:rPr>
            </w:pPr>
            <w:r w:rsidRPr="00BA700B">
              <w:rPr>
                <w:rStyle w:val="Heading2Char"/>
                <w:rFonts w:cstheme="majorHAnsi"/>
                <w:color w:val="auto"/>
                <w:sz w:val="24"/>
                <w:szCs w:val="24"/>
              </w:rPr>
              <w:t>NIST Framework for Cybersecurity</w:t>
            </w:r>
          </w:p>
        </w:tc>
        <w:tc>
          <w:tcPr>
            <w:tcW w:w="828" w:type="dxa"/>
          </w:tcPr>
          <w:p w14:paraId="43D6C695" w14:textId="4E08E018"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10</w:t>
            </w:r>
          </w:p>
        </w:tc>
      </w:tr>
      <w:tr w:rsidR="00822111" w:rsidRPr="00BA700B" w14:paraId="36A89273" w14:textId="77777777" w:rsidTr="00822111">
        <w:tc>
          <w:tcPr>
            <w:tcW w:w="834" w:type="dxa"/>
          </w:tcPr>
          <w:p w14:paraId="3D8A7646" w14:textId="77777777" w:rsidR="00822111" w:rsidRPr="00BA700B" w:rsidRDefault="00822111" w:rsidP="007864C2">
            <w:pPr>
              <w:jc w:val="center"/>
              <w:rPr>
                <w:rFonts w:asciiTheme="majorHAnsi" w:hAnsiTheme="majorHAnsi" w:cstheme="majorHAnsi"/>
              </w:rPr>
            </w:pPr>
          </w:p>
        </w:tc>
        <w:tc>
          <w:tcPr>
            <w:tcW w:w="571" w:type="dxa"/>
          </w:tcPr>
          <w:p w14:paraId="03E82B15" w14:textId="01E78742" w:rsidR="00822111" w:rsidRPr="00BA700B" w:rsidRDefault="00822111" w:rsidP="007864C2">
            <w:pPr>
              <w:rPr>
                <w:rFonts w:asciiTheme="majorHAnsi" w:hAnsiTheme="majorHAnsi" w:cstheme="majorHAnsi"/>
              </w:rPr>
            </w:pPr>
            <w:r w:rsidRPr="00BA700B">
              <w:rPr>
                <w:rFonts w:asciiTheme="majorHAnsi" w:hAnsiTheme="majorHAnsi" w:cstheme="majorHAnsi"/>
              </w:rPr>
              <w:t>2.5</w:t>
            </w:r>
          </w:p>
        </w:tc>
        <w:tc>
          <w:tcPr>
            <w:tcW w:w="7127" w:type="dxa"/>
            <w:gridSpan w:val="2"/>
          </w:tcPr>
          <w:p w14:paraId="7CC97B53" w14:textId="1B152B2F" w:rsidR="00822111" w:rsidRPr="00BA700B" w:rsidRDefault="00822111" w:rsidP="007864C2">
            <w:pPr>
              <w:rPr>
                <w:rStyle w:val="Heading2Char"/>
                <w:rFonts w:cstheme="majorHAnsi"/>
                <w:color w:val="auto"/>
                <w:sz w:val="24"/>
                <w:szCs w:val="24"/>
              </w:rPr>
            </w:pPr>
            <w:r w:rsidRPr="00BA700B">
              <w:rPr>
                <w:rFonts w:asciiTheme="majorHAnsi" w:hAnsiTheme="majorHAnsi" w:cstheme="majorHAnsi"/>
              </w:rPr>
              <w:t>Ethical Dilemmas in Information Security</w:t>
            </w:r>
          </w:p>
        </w:tc>
        <w:tc>
          <w:tcPr>
            <w:tcW w:w="828" w:type="dxa"/>
          </w:tcPr>
          <w:p w14:paraId="588D0FEB" w14:textId="56C3A290"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10</w:t>
            </w:r>
          </w:p>
        </w:tc>
      </w:tr>
      <w:tr w:rsidR="00822111" w:rsidRPr="00BA700B" w14:paraId="39BF177D" w14:textId="77777777" w:rsidTr="00822111">
        <w:tc>
          <w:tcPr>
            <w:tcW w:w="834" w:type="dxa"/>
          </w:tcPr>
          <w:p w14:paraId="555B5047" w14:textId="43994EE7" w:rsidR="00822111" w:rsidRPr="00BA700B" w:rsidRDefault="00822111" w:rsidP="007864C2">
            <w:pPr>
              <w:jc w:val="center"/>
              <w:rPr>
                <w:rFonts w:asciiTheme="majorHAnsi" w:hAnsiTheme="majorHAnsi" w:cstheme="majorHAnsi"/>
              </w:rPr>
            </w:pPr>
            <w:r w:rsidRPr="00BA700B">
              <w:rPr>
                <w:rFonts w:asciiTheme="majorHAnsi" w:hAnsiTheme="majorHAnsi" w:cstheme="majorHAnsi"/>
              </w:rPr>
              <w:t>3</w:t>
            </w:r>
          </w:p>
        </w:tc>
        <w:tc>
          <w:tcPr>
            <w:tcW w:w="571" w:type="dxa"/>
          </w:tcPr>
          <w:p w14:paraId="34434665" w14:textId="77777777" w:rsidR="00822111" w:rsidRPr="00BA700B" w:rsidRDefault="00822111" w:rsidP="007864C2">
            <w:pPr>
              <w:rPr>
                <w:rFonts w:asciiTheme="majorHAnsi" w:hAnsiTheme="majorHAnsi" w:cstheme="majorHAnsi"/>
              </w:rPr>
            </w:pPr>
          </w:p>
        </w:tc>
        <w:tc>
          <w:tcPr>
            <w:tcW w:w="7127" w:type="dxa"/>
            <w:gridSpan w:val="2"/>
          </w:tcPr>
          <w:p w14:paraId="2B23A8C2" w14:textId="53385C8C" w:rsidR="00822111" w:rsidRPr="00BA700B" w:rsidRDefault="00822111" w:rsidP="007864C2">
            <w:pPr>
              <w:rPr>
                <w:rFonts w:asciiTheme="majorHAnsi" w:hAnsiTheme="majorHAnsi" w:cstheme="majorHAnsi"/>
              </w:rPr>
            </w:pPr>
            <w:r w:rsidRPr="00BA700B">
              <w:rPr>
                <w:rFonts w:asciiTheme="majorHAnsi" w:hAnsiTheme="majorHAnsi" w:cstheme="majorHAnsi"/>
              </w:rPr>
              <w:t>FinSure Bank's Security Issues</w:t>
            </w:r>
          </w:p>
        </w:tc>
        <w:tc>
          <w:tcPr>
            <w:tcW w:w="828" w:type="dxa"/>
          </w:tcPr>
          <w:p w14:paraId="120DE2B6" w14:textId="0241ADA2" w:rsidR="00822111" w:rsidRPr="00BA700B" w:rsidRDefault="00822111" w:rsidP="007864C2">
            <w:pPr>
              <w:jc w:val="center"/>
              <w:rPr>
                <w:rFonts w:asciiTheme="majorHAnsi" w:hAnsiTheme="majorHAnsi" w:cstheme="majorHAnsi"/>
              </w:rPr>
            </w:pPr>
            <w:r w:rsidRPr="00BA700B">
              <w:rPr>
                <w:rFonts w:asciiTheme="majorHAnsi" w:hAnsiTheme="majorHAnsi" w:cstheme="majorHAnsi"/>
              </w:rPr>
              <w:t>1</w:t>
            </w:r>
            <w:r w:rsidR="007864C2" w:rsidRPr="00BA700B">
              <w:rPr>
                <w:rFonts w:asciiTheme="majorHAnsi" w:hAnsiTheme="majorHAnsi" w:cstheme="majorHAnsi"/>
              </w:rPr>
              <w:t>2</w:t>
            </w:r>
          </w:p>
        </w:tc>
      </w:tr>
      <w:tr w:rsidR="00822111" w:rsidRPr="00BA700B" w14:paraId="1A4EAC4A" w14:textId="77777777" w:rsidTr="00822111">
        <w:tc>
          <w:tcPr>
            <w:tcW w:w="834" w:type="dxa"/>
          </w:tcPr>
          <w:p w14:paraId="4583F807" w14:textId="77777777" w:rsidR="00822111" w:rsidRPr="00BA700B" w:rsidRDefault="00822111" w:rsidP="007864C2">
            <w:pPr>
              <w:jc w:val="center"/>
              <w:rPr>
                <w:rFonts w:asciiTheme="majorHAnsi" w:hAnsiTheme="majorHAnsi" w:cstheme="majorHAnsi"/>
              </w:rPr>
            </w:pPr>
          </w:p>
        </w:tc>
        <w:tc>
          <w:tcPr>
            <w:tcW w:w="571" w:type="dxa"/>
          </w:tcPr>
          <w:p w14:paraId="72CEFBC2" w14:textId="4A907406" w:rsidR="00822111" w:rsidRPr="00BA700B" w:rsidRDefault="00822111" w:rsidP="007864C2">
            <w:pPr>
              <w:rPr>
                <w:rFonts w:asciiTheme="majorHAnsi" w:hAnsiTheme="majorHAnsi" w:cstheme="majorHAnsi"/>
              </w:rPr>
            </w:pPr>
            <w:r w:rsidRPr="00BA700B">
              <w:rPr>
                <w:rFonts w:asciiTheme="majorHAnsi" w:hAnsiTheme="majorHAnsi" w:cstheme="majorHAnsi"/>
              </w:rPr>
              <w:t>3.1</w:t>
            </w:r>
          </w:p>
        </w:tc>
        <w:tc>
          <w:tcPr>
            <w:tcW w:w="7127" w:type="dxa"/>
            <w:gridSpan w:val="2"/>
          </w:tcPr>
          <w:p w14:paraId="099D2BCE" w14:textId="749883BF" w:rsidR="00822111" w:rsidRPr="00BA700B" w:rsidRDefault="00822111" w:rsidP="007864C2">
            <w:pPr>
              <w:rPr>
                <w:rFonts w:asciiTheme="majorHAnsi" w:hAnsiTheme="majorHAnsi" w:cstheme="majorHAnsi"/>
              </w:rPr>
            </w:pPr>
            <w:r w:rsidRPr="00BA700B">
              <w:rPr>
                <w:rFonts w:asciiTheme="majorHAnsi" w:hAnsiTheme="majorHAnsi" w:cstheme="majorHAnsi"/>
              </w:rPr>
              <w:t>Risks to Cloud Infrastructure Security</w:t>
            </w:r>
          </w:p>
        </w:tc>
        <w:tc>
          <w:tcPr>
            <w:tcW w:w="828" w:type="dxa"/>
          </w:tcPr>
          <w:p w14:paraId="6DA627B8" w14:textId="4969D523"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12</w:t>
            </w:r>
          </w:p>
        </w:tc>
      </w:tr>
      <w:tr w:rsidR="00822111" w:rsidRPr="00BA700B" w14:paraId="6FCD17F2" w14:textId="77777777" w:rsidTr="00822111">
        <w:tc>
          <w:tcPr>
            <w:tcW w:w="834" w:type="dxa"/>
          </w:tcPr>
          <w:p w14:paraId="20395BF8" w14:textId="77777777" w:rsidR="00822111" w:rsidRPr="00BA700B" w:rsidRDefault="00822111" w:rsidP="007864C2">
            <w:pPr>
              <w:jc w:val="center"/>
              <w:rPr>
                <w:rFonts w:asciiTheme="majorHAnsi" w:hAnsiTheme="majorHAnsi" w:cstheme="majorHAnsi"/>
              </w:rPr>
            </w:pPr>
          </w:p>
        </w:tc>
        <w:tc>
          <w:tcPr>
            <w:tcW w:w="571" w:type="dxa"/>
          </w:tcPr>
          <w:p w14:paraId="5389FD5A" w14:textId="59D0354E" w:rsidR="00822111" w:rsidRPr="00BA700B" w:rsidRDefault="00822111" w:rsidP="007864C2">
            <w:pPr>
              <w:rPr>
                <w:rFonts w:asciiTheme="majorHAnsi" w:hAnsiTheme="majorHAnsi" w:cstheme="majorHAnsi"/>
              </w:rPr>
            </w:pPr>
            <w:r w:rsidRPr="00BA700B">
              <w:rPr>
                <w:rFonts w:asciiTheme="majorHAnsi" w:hAnsiTheme="majorHAnsi" w:cstheme="majorHAnsi"/>
              </w:rPr>
              <w:t>3.2</w:t>
            </w:r>
          </w:p>
        </w:tc>
        <w:tc>
          <w:tcPr>
            <w:tcW w:w="7127" w:type="dxa"/>
            <w:gridSpan w:val="2"/>
          </w:tcPr>
          <w:p w14:paraId="6FC951BD" w14:textId="132E5A9A" w:rsidR="00822111" w:rsidRPr="00BA700B" w:rsidRDefault="00822111" w:rsidP="007864C2">
            <w:pPr>
              <w:rPr>
                <w:rFonts w:asciiTheme="majorHAnsi" w:hAnsiTheme="majorHAnsi" w:cstheme="majorHAnsi"/>
              </w:rPr>
            </w:pPr>
            <w:r w:rsidRPr="00BA700B">
              <w:rPr>
                <w:rFonts w:asciiTheme="majorHAnsi" w:hAnsiTheme="majorHAnsi" w:cstheme="majorHAnsi"/>
              </w:rPr>
              <w:t>Security Issues with BYOD</w:t>
            </w:r>
          </w:p>
        </w:tc>
        <w:tc>
          <w:tcPr>
            <w:tcW w:w="828" w:type="dxa"/>
          </w:tcPr>
          <w:p w14:paraId="1951BD05" w14:textId="54A90B36"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12</w:t>
            </w:r>
          </w:p>
        </w:tc>
      </w:tr>
      <w:tr w:rsidR="00822111" w:rsidRPr="00BA700B" w14:paraId="4195B436" w14:textId="77777777" w:rsidTr="00822111">
        <w:tc>
          <w:tcPr>
            <w:tcW w:w="834" w:type="dxa"/>
          </w:tcPr>
          <w:p w14:paraId="3B80D418" w14:textId="77777777" w:rsidR="00822111" w:rsidRPr="00BA700B" w:rsidRDefault="00822111" w:rsidP="007864C2">
            <w:pPr>
              <w:jc w:val="center"/>
              <w:rPr>
                <w:rFonts w:asciiTheme="majorHAnsi" w:hAnsiTheme="majorHAnsi" w:cstheme="majorHAnsi"/>
              </w:rPr>
            </w:pPr>
          </w:p>
        </w:tc>
        <w:tc>
          <w:tcPr>
            <w:tcW w:w="571" w:type="dxa"/>
          </w:tcPr>
          <w:p w14:paraId="58557C67" w14:textId="491D5842" w:rsidR="00822111" w:rsidRPr="00BA700B" w:rsidRDefault="00822111" w:rsidP="007864C2">
            <w:pPr>
              <w:rPr>
                <w:rFonts w:asciiTheme="majorHAnsi" w:hAnsiTheme="majorHAnsi" w:cstheme="majorHAnsi"/>
              </w:rPr>
            </w:pPr>
            <w:r w:rsidRPr="00BA700B">
              <w:rPr>
                <w:rFonts w:asciiTheme="majorHAnsi" w:hAnsiTheme="majorHAnsi" w:cstheme="majorHAnsi"/>
              </w:rPr>
              <w:t>3.3</w:t>
            </w:r>
          </w:p>
        </w:tc>
        <w:tc>
          <w:tcPr>
            <w:tcW w:w="7127" w:type="dxa"/>
            <w:gridSpan w:val="2"/>
          </w:tcPr>
          <w:p w14:paraId="62925388" w14:textId="38F073C1" w:rsidR="00822111" w:rsidRPr="00BA700B" w:rsidRDefault="00822111" w:rsidP="007864C2">
            <w:pPr>
              <w:rPr>
                <w:rFonts w:asciiTheme="majorHAnsi" w:hAnsiTheme="majorHAnsi" w:cstheme="majorHAnsi"/>
              </w:rPr>
            </w:pPr>
            <w:r w:rsidRPr="00BA700B">
              <w:rPr>
                <w:rFonts w:asciiTheme="majorHAnsi" w:hAnsiTheme="majorHAnsi" w:cstheme="majorHAnsi"/>
              </w:rPr>
              <w:t>Risks to Mobile Banking Security</w:t>
            </w:r>
          </w:p>
        </w:tc>
        <w:tc>
          <w:tcPr>
            <w:tcW w:w="828" w:type="dxa"/>
          </w:tcPr>
          <w:p w14:paraId="229B79A0" w14:textId="07A65233"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13</w:t>
            </w:r>
          </w:p>
        </w:tc>
      </w:tr>
      <w:tr w:rsidR="00822111" w:rsidRPr="00BA700B" w14:paraId="2395FA3A" w14:textId="77777777" w:rsidTr="00822111">
        <w:tc>
          <w:tcPr>
            <w:tcW w:w="834" w:type="dxa"/>
          </w:tcPr>
          <w:p w14:paraId="5A99FD7D" w14:textId="77777777" w:rsidR="00822111" w:rsidRPr="00BA700B" w:rsidRDefault="00822111" w:rsidP="007864C2">
            <w:pPr>
              <w:jc w:val="center"/>
              <w:rPr>
                <w:rFonts w:asciiTheme="majorHAnsi" w:hAnsiTheme="majorHAnsi" w:cstheme="majorHAnsi"/>
              </w:rPr>
            </w:pPr>
          </w:p>
        </w:tc>
        <w:tc>
          <w:tcPr>
            <w:tcW w:w="571" w:type="dxa"/>
          </w:tcPr>
          <w:p w14:paraId="609E989F" w14:textId="35A992DE" w:rsidR="00822111" w:rsidRPr="00BA700B" w:rsidRDefault="00822111" w:rsidP="007864C2">
            <w:pPr>
              <w:rPr>
                <w:rFonts w:asciiTheme="majorHAnsi" w:hAnsiTheme="majorHAnsi" w:cstheme="majorHAnsi"/>
              </w:rPr>
            </w:pPr>
            <w:r w:rsidRPr="00BA700B">
              <w:rPr>
                <w:rFonts w:asciiTheme="majorHAnsi" w:hAnsiTheme="majorHAnsi" w:cstheme="majorHAnsi"/>
              </w:rPr>
              <w:t>3.4</w:t>
            </w:r>
          </w:p>
        </w:tc>
        <w:tc>
          <w:tcPr>
            <w:tcW w:w="7127" w:type="dxa"/>
            <w:gridSpan w:val="2"/>
          </w:tcPr>
          <w:p w14:paraId="3F520166" w14:textId="17B74EB1" w:rsidR="00822111" w:rsidRPr="00BA700B" w:rsidRDefault="00822111" w:rsidP="007864C2">
            <w:pPr>
              <w:rPr>
                <w:rFonts w:asciiTheme="majorHAnsi" w:hAnsiTheme="majorHAnsi" w:cstheme="majorHAnsi"/>
              </w:rPr>
            </w:pPr>
            <w:r w:rsidRPr="00BA700B">
              <w:rPr>
                <w:rFonts w:asciiTheme="majorHAnsi" w:hAnsiTheme="majorHAnsi" w:cstheme="majorHAnsi"/>
              </w:rPr>
              <w:t>Insufficient Security Governance and Compliance Structure</w:t>
            </w:r>
          </w:p>
        </w:tc>
        <w:tc>
          <w:tcPr>
            <w:tcW w:w="828" w:type="dxa"/>
          </w:tcPr>
          <w:p w14:paraId="480C86A3" w14:textId="6E9BE950"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13</w:t>
            </w:r>
          </w:p>
        </w:tc>
      </w:tr>
      <w:tr w:rsidR="00822111" w:rsidRPr="00BA700B" w14:paraId="2EB82CA5" w14:textId="77777777" w:rsidTr="00822111">
        <w:tc>
          <w:tcPr>
            <w:tcW w:w="834" w:type="dxa"/>
          </w:tcPr>
          <w:p w14:paraId="09BCC0BD" w14:textId="77777777" w:rsidR="00822111" w:rsidRPr="00BA700B" w:rsidRDefault="00822111" w:rsidP="007864C2">
            <w:pPr>
              <w:jc w:val="center"/>
              <w:rPr>
                <w:rFonts w:asciiTheme="majorHAnsi" w:hAnsiTheme="majorHAnsi" w:cstheme="majorHAnsi"/>
              </w:rPr>
            </w:pPr>
          </w:p>
        </w:tc>
        <w:tc>
          <w:tcPr>
            <w:tcW w:w="571" w:type="dxa"/>
          </w:tcPr>
          <w:p w14:paraId="293ACFE1" w14:textId="484565BE" w:rsidR="00822111" w:rsidRPr="00BA700B" w:rsidRDefault="00822111" w:rsidP="007864C2">
            <w:pPr>
              <w:rPr>
                <w:rFonts w:asciiTheme="majorHAnsi" w:hAnsiTheme="majorHAnsi" w:cstheme="majorHAnsi"/>
              </w:rPr>
            </w:pPr>
            <w:r w:rsidRPr="00BA700B">
              <w:rPr>
                <w:rFonts w:asciiTheme="majorHAnsi" w:hAnsiTheme="majorHAnsi" w:cstheme="majorHAnsi"/>
              </w:rPr>
              <w:t>3.5</w:t>
            </w:r>
          </w:p>
        </w:tc>
        <w:tc>
          <w:tcPr>
            <w:tcW w:w="7127" w:type="dxa"/>
            <w:gridSpan w:val="2"/>
          </w:tcPr>
          <w:p w14:paraId="5045AD93" w14:textId="6D707306" w:rsidR="00822111" w:rsidRPr="00BA700B" w:rsidRDefault="00822111" w:rsidP="007864C2">
            <w:pPr>
              <w:rPr>
                <w:rFonts w:asciiTheme="majorHAnsi" w:hAnsiTheme="majorHAnsi" w:cstheme="majorHAnsi"/>
              </w:rPr>
            </w:pPr>
            <w:r w:rsidRPr="00BA700B">
              <w:rPr>
                <w:rFonts w:asciiTheme="majorHAnsi" w:hAnsiTheme="majorHAnsi" w:cstheme="majorHAnsi"/>
              </w:rPr>
              <w:t>Risk Assessment Methodology</w:t>
            </w:r>
          </w:p>
        </w:tc>
        <w:tc>
          <w:tcPr>
            <w:tcW w:w="828" w:type="dxa"/>
          </w:tcPr>
          <w:p w14:paraId="1C20BB25" w14:textId="6F454932"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14</w:t>
            </w:r>
          </w:p>
        </w:tc>
      </w:tr>
      <w:tr w:rsidR="00822111" w:rsidRPr="00BA700B" w14:paraId="7DE414D9" w14:textId="77777777" w:rsidTr="00822111">
        <w:tc>
          <w:tcPr>
            <w:tcW w:w="834" w:type="dxa"/>
          </w:tcPr>
          <w:p w14:paraId="72F4F92A" w14:textId="7B7C37D8" w:rsidR="00822111" w:rsidRPr="00BA700B" w:rsidRDefault="00822111" w:rsidP="007864C2">
            <w:pPr>
              <w:jc w:val="center"/>
              <w:rPr>
                <w:rFonts w:asciiTheme="majorHAnsi" w:hAnsiTheme="majorHAnsi" w:cstheme="majorHAnsi"/>
              </w:rPr>
            </w:pPr>
            <w:r w:rsidRPr="00BA700B">
              <w:rPr>
                <w:rFonts w:asciiTheme="majorHAnsi" w:hAnsiTheme="majorHAnsi" w:cstheme="majorHAnsi"/>
              </w:rPr>
              <w:t>4</w:t>
            </w:r>
          </w:p>
        </w:tc>
        <w:tc>
          <w:tcPr>
            <w:tcW w:w="571" w:type="dxa"/>
          </w:tcPr>
          <w:p w14:paraId="06DAF01C" w14:textId="77777777" w:rsidR="00822111" w:rsidRPr="00BA700B" w:rsidRDefault="00822111" w:rsidP="007864C2">
            <w:pPr>
              <w:rPr>
                <w:rFonts w:asciiTheme="majorHAnsi" w:hAnsiTheme="majorHAnsi" w:cstheme="majorHAnsi"/>
              </w:rPr>
            </w:pPr>
          </w:p>
        </w:tc>
        <w:tc>
          <w:tcPr>
            <w:tcW w:w="7127" w:type="dxa"/>
            <w:gridSpan w:val="2"/>
          </w:tcPr>
          <w:p w14:paraId="3B07A988" w14:textId="13F05AE0" w:rsidR="00822111" w:rsidRPr="00BA700B" w:rsidRDefault="00822111" w:rsidP="007864C2">
            <w:pPr>
              <w:rPr>
                <w:rFonts w:asciiTheme="majorHAnsi" w:hAnsiTheme="majorHAnsi" w:cstheme="majorHAnsi"/>
              </w:rPr>
            </w:pPr>
            <w:r w:rsidRPr="00BA700B">
              <w:rPr>
                <w:rFonts w:asciiTheme="majorHAnsi" w:hAnsiTheme="majorHAnsi" w:cstheme="majorHAnsi"/>
              </w:rPr>
              <w:t>FinSure Bank's suggested security governance and compliance strategy</w:t>
            </w:r>
          </w:p>
        </w:tc>
        <w:tc>
          <w:tcPr>
            <w:tcW w:w="828" w:type="dxa"/>
          </w:tcPr>
          <w:p w14:paraId="2FFFA830" w14:textId="73C06A9B" w:rsidR="00822111" w:rsidRPr="00BA700B" w:rsidRDefault="00822111" w:rsidP="007864C2">
            <w:pPr>
              <w:jc w:val="center"/>
              <w:rPr>
                <w:rFonts w:asciiTheme="majorHAnsi" w:hAnsiTheme="majorHAnsi" w:cstheme="majorHAnsi"/>
              </w:rPr>
            </w:pPr>
            <w:r w:rsidRPr="00BA700B">
              <w:rPr>
                <w:rFonts w:asciiTheme="majorHAnsi" w:hAnsiTheme="majorHAnsi" w:cstheme="majorHAnsi"/>
              </w:rPr>
              <w:t>1</w:t>
            </w:r>
            <w:r w:rsidR="007864C2" w:rsidRPr="00BA700B">
              <w:rPr>
                <w:rFonts w:asciiTheme="majorHAnsi" w:hAnsiTheme="majorHAnsi" w:cstheme="majorHAnsi"/>
              </w:rPr>
              <w:t>6</w:t>
            </w:r>
          </w:p>
        </w:tc>
      </w:tr>
      <w:tr w:rsidR="00822111" w:rsidRPr="00BA700B" w14:paraId="5C27FB40" w14:textId="77777777" w:rsidTr="00822111">
        <w:tc>
          <w:tcPr>
            <w:tcW w:w="834" w:type="dxa"/>
          </w:tcPr>
          <w:p w14:paraId="7B69A533" w14:textId="77777777" w:rsidR="00822111" w:rsidRPr="00BA700B" w:rsidRDefault="00822111" w:rsidP="007864C2">
            <w:pPr>
              <w:jc w:val="center"/>
              <w:rPr>
                <w:rFonts w:asciiTheme="majorHAnsi" w:hAnsiTheme="majorHAnsi" w:cstheme="majorHAnsi"/>
              </w:rPr>
            </w:pPr>
          </w:p>
        </w:tc>
        <w:tc>
          <w:tcPr>
            <w:tcW w:w="571" w:type="dxa"/>
          </w:tcPr>
          <w:p w14:paraId="1EF38459" w14:textId="2D9C56FD" w:rsidR="00822111" w:rsidRPr="00BA700B" w:rsidRDefault="00822111" w:rsidP="007864C2">
            <w:pPr>
              <w:rPr>
                <w:rFonts w:asciiTheme="majorHAnsi" w:hAnsiTheme="majorHAnsi" w:cstheme="majorHAnsi"/>
              </w:rPr>
            </w:pPr>
            <w:r w:rsidRPr="00BA700B">
              <w:rPr>
                <w:rFonts w:asciiTheme="majorHAnsi" w:hAnsiTheme="majorHAnsi" w:cstheme="majorHAnsi"/>
              </w:rPr>
              <w:t>4.1</w:t>
            </w:r>
          </w:p>
        </w:tc>
        <w:tc>
          <w:tcPr>
            <w:tcW w:w="7127" w:type="dxa"/>
            <w:gridSpan w:val="2"/>
          </w:tcPr>
          <w:p w14:paraId="7F2916AE" w14:textId="7F3438DD" w:rsidR="00822111" w:rsidRPr="00BA700B" w:rsidRDefault="00822111" w:rsidP="007864C2">
            <w:pPr>
              <w:rPr>
                <w:rFonts w:asciiTheme="majorHAnsi" w:hAnsiTheme="majorHAnsi" w:cstheme="majorHAnsi"/>
              </w:rPr>
            </w:pPr>
            <w:r w:rsidRPr="00BA700B">
              <w:rPr>
                <w:rFonts w:asciiTheme="majorHAnsi" w:hAnsiTheme="majorHAnsi" w:cstheme="majorHAnsi"/>
              </w:rPr>
              <w:t>Developing a Security Governance Structured Design</w:t>
            </w:r>
          </w:p>
        </w:tc>
        <w:tc>
          <w:tcPr>
            <w:tcW w:w="828" w:type="dxa"/>
          </w:tcPr>
          <w:p w14:paraId="665814EF" w14:textId="5B3B41CA"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16</w:t>
            </w:r>
          </w:p>
        </w:tc>
      </w:tr>
      <w:tr w:rsidR="00822111" w:rsidRPr="00BA700B" w14:paraId="1041F13C" w14:textId="77777777" w:rsidTr="00822111">
        <w:tc>
          <w:tcPr>
            <w:tcW w:w="834" w:type="dxa"/>
          </w:tcPr>
          <w:p w14:paraId="14CA12DE" w14:textId="77777777" w:rsidR="00822111" w:rsidRPr="00BA700B" w:rsidRDefault="00822111" w:rsidP="007864C2">
            <w:pPr>
              <w:jc w:val="center"/>
              <w:rPr>
                <w:rFonts w:asciiTheme="majorHAnsi" w:hAnsiTheme="majorHAnsi" w:cstheme="majorHAnsi"/>
              </w:rPr>
            </w:pPr>
          </w:p>
        </w:tc>
        <w:tc>
          <w:tcPr>
            <w:tcW w:w="571" w:type="dxa"/>
          </w:tcPr>
          <w:p w14:paraId="274297EE" w14:textId="0E422A52" w:rsidR="00822111" w:rsidRPr="00BA700B" w:rsidRDefault="00822111" w:rsidP="007864C2">
            <w:pPr>
              <w:rPr>
                <w:rFonts w:asciiTheme="majorHAnsi" w:hAnsiTheme="majorHAnsi" w:cstheme="majorHAnsi"/>
              </w:rPr>
            </w:pPr>
            <w:r w:rsidRPr="00BA700B">
              <w:rPr>
                <w:rFonts w:asciiTheme="majorHAnsi" w:hAnsiTheme="majorHAnsi" w:cstheme="majorHAnsi"/>
              </w:rPr>
              <w:t>4.2</w:t>
            </w:r>
          </w:p>
        </w:tc>
        <w:tc>
          <w:tcPr>
            <w:tcW w:w="7127" w:type="dxa"/>
            <w:gridSpan w:val="2"/>
          </w:tcPr>
          <w:p w14:paraId="40CB51AA" w14:textId="11BD6AB4" w:rsidR="00822111" w:rsidRPr="00BA700B" w:rsidRDefault="00822111" w:rsidP="007864C2">
            <w:pPr>
              <w:rPr>
                <w:rFonts w:asciiTheme="majorHAnsi" w:hAnsiTheme="majorHAnsi" w:cstheme="majorHAnsi"/>
              </w:rPr>
            </w:pPr>
            <w:r w:rsidRPr="00BA700B">
              <w:rPr>
                <w:rFonts w:asciiTheme="majorHAnsi" w:hAnsiTheme="majorHAnsi" w:cstheme="majorHAnsi"/>
              </w:rPr>
              <w:t>The framework of integrated security should be established</w:t>
            </w:r>
          </w:p>
        </w:tc>
        <w:tc>
          <w:tcPr>
            <w:tcW w:w="828" w:type="dxa"/>
          </w:tcPr>
          <w:p w14:paraId="5308B62E" w14:textId="43B69C05"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17</w:t>
            </w:r>
          </w:p>
        </w:tc>
      </w:tr>
      <w:tr w:rsidR="00822111" w:rsidRPr="00BA700B" w14:paraId="041623AB" w14:textId="77777777" w:rsidTr="00822111">
        <w:tc>
          <w:tcPr>
            <w:tcW w:w="834" w:type="dxa"/>
          </w:tcPr>
          <w:p w14:paraId="0000D292" w14:textId="77777777" w:rsidR="00822111" w:rsidRPr="00BA700B" w:rsidRDefault="00822111" w:rsidP="007864C2">
            <w:pPr>
              <w:jc w:val="center"/>
              <w:rPr>
                <w:rFonts w:asciiTheme="majorHAnsi" w:hAnsiTheme="majorHAnsi" w:cstheme="majorHAnsi"/>
              </w:rPr>
            </w:pPr>
          </w:p>
        </w:tc>
        <w:tc>
          <w:tcPr>
            <w:tcW w:w="571" w:type="dxa"/>
          </w:tcPr>
          <w:p w14:paraId="3A9ADB4B" w14:textId="1B708864" w:rsidR="00822111" w:rsidRPr="00BA700B" w:rsidRDefault="00822111" w:rsidP="007864C2">
            <w:pPr>
              <w:rPr>
                <w:rFonts w:asciiTheme="majorHAnsi" w:hAnsiTheme="majorHAnsi" w:cstheme="majorHAnsi"/>
              </w:rPr>
            </w:pPr>
            <w:r w:rsidRPr="00BA700B">
              <w:rPr>
                <w:rFonts w:asciiTheme="majorHAnsi" w:hAnsiTheme="majorHAnsi" w:cstheme="majorHAnsi"/>
              </w:rPr>
              <w:t>4.3</w:t>
            </w:r>
          </w:p>
        </w:tc>
        <w:tc>
          <w:tcPr>
            <w:tcW w:w="7127" w:type="dxa"/>
            <w:gridSpan w:val="2"/>
          </w:tcPr>
          <w:p w14:paraId="61DBA530" w14:textId="3AD280D7" w:rsidR="00822111" w:rsidRPr="00BA700B" w:rsidRDefault="00822111" w:rsidP="007864C2">
            <w:pPr>
              <w:rPr>
                <w:rFonts w:asciiTheme="majorHAnsi" w:hAnsiTheme="majorHAnsi" w:cstheme="majorHAnsi"/>
              </w:rPr>
            </w:pPr>
            <w:r w:rsidRPr="00BA700B">
              <w:rPr>
                <w:rFonts w:asciiTheme="majorHAnsi" w:hAnsiTheme="majorHAnsi" w:cstheme="majorHAnsi"/>
              </w:rPr>
              <w:t>GDPR Data Protection and Compliance</w:t>
            </w:r>
          </w:p>
        </w:tc>
        <w:tc>
          <w:tcPr>
            <w:tcW w:w="828" w:type="dxa"/>
          </w:tcPr>
          <w:p w14:paraId="425CFB01" w14:textId="542AE643" w:rsidR="00822111" w:rsidRPr="00BA700B" w:rsidRDefault="007864C2" w:rsidP="007864C2">
            <w:pPr>
              <w:jc w:val="center"/>
              <w:rPr>
                <w:rFonts w:asciiTheme="majorHAnsi" w:hAnsiTheme="majorHAnsi" w:cstheme="majorHAnsi"/>
              </w:rPr>
            </w:pPr>
            <w:r w:rsidRPr="00BA700B">
              <w:rPr>
                <w:rFonts w:asciiTheme="majorHAnsi" w:hAnsiTheme="majorHAnsi" w:cstheme="majorHAnsi"/>
              </w:rPr>
              <w:t>17</w:t>
            </w:r>
          </w:p>
        </w:tc>
      </w:tr>
      <w:tr w:rsidR="00822111" w:rsidRPr="00BA700B" w14:paraId="18F5A72C" w14:textId="77777777" w:rsidTr="00822111">
        <w:tc>
          <w:tcPr>
            <w:tcW w:w="834" w:type="dxa"/>
          </w:tcPr>
          <w:p w14:paraId="139C58A3" w14:textId="77777777" w:rsidR="00822111" w:rsidRPr="00BA700B" w:rsidRDefault="00822111" w:rsidP="007864C2">
            <w:pPr>
              <w:jc w:val="center"/>
              <w:rPr>
                <w:rFonts w:asciiTheme="majorHAnsi" w:hAnsiTheme="majorHAnsi" w:cstheme="majorHAnsi"/>
              </w:rPr>
            </w:pPr>
          </w:p>
        </w:tc>
        <w:tc>
          <w:tcPr>
            <w:tcW w:w="571" w:type="dxa"/>
          </w:tcPr>
          <w:p w14:paraId="70012D71" w14:textId="175453E4" w:rsidR="00822111" w:rsidRPr="00BA700B" w:rsidRDefault="00822111" w:rsidP="007864C2">
            <w:pPr>
              <w:rPr>
                <w:rFonts w:asciiTheme="majorHAnsi" w:hAnsiTheme="majorHAnsi" w:cstheme="majorHAnsi"/>
              </w:rPr>
            </w:pPr>
            <w:r w:rsidRPr="00BA700B">
              <w:rPr>
                <w:rFonts w:asciiTheme="majorHAnsi" w:hAnsiTheme="majorHAnsi" w:cstheme="majorHAnsi"/>
              </w:rPr>
              <w:t>4.4</w:t>
            </w:r>
          </w:p>
        </w:tc>
        <w:tc>
          <w:tcPr>
            <w:tcW w:w="7127" w:type="dxa"/>
            <w:gridSpan w:val="2"/>
          </w:tcPr>
          <w:p w14:paraId="78394C25" w14:textId="5F2A7F19" w:rsidR="00822111" w:rsidRPr="00BA700B" w:rsidRDefault="00822111" w:rsidP="007864C2">
            <w:pPr>
              <w:rPr>
                <w:rFonts w:asciiTheme="majorHAnsi" w:hAnsiTheme="majorHAnsi" w:cstheme="majorHAnsi"/>
              </w:rPr>
            </w:pPr>
            <w:r w:rsidRPr="00BA700B">
              <w:rPr>
                <w:rFonts w:asciiTheme="majorHAnsi" w:hAnsiTheme="majorHAnsi" w:cstheme="majorHAnsi"/>
              </w:rPr>
              <w:t>Unchanging Security Surveillance and Risk Management</w:t>
            </w:r>
          </w:p>
        </w:tc>
        <w:tc>
          <w:tcPr>
            <w:tcW w:w="828" w:type="dxa"/>
          </w:tcPr>
          <w:p w14:paraId="492B30A3" w14:textId="78081BAE" w:rsidR="00822111" w:rsidRPr="00BA700B" w:rsidRDefault="00F01218" w:rsidP="007864C2">
            <w:pPr>
              <w:jc w:val="center"/>
              <w:rPr>
                <w:rFonts w:asciiTheme="majorHAnsi" w:hAnsiTheme="majorHAnsi" w:cstheme="majorHAnsi"/>
              </w:rPr>
            </w:pPr>
            <w:r w:rsidRPr="00BA700B">
              <w:rPr>
                <w:rFonts w:asciiTheme="majorHAnsi" w:hAnsiTheme="majorHAnsi" w:cstheme="majorHAnsi"/>
              </w:rPr>
              <w:t>18</w:t>
            </w:r>
          </w:p>
        </w:tc>
      </w:tr>
      <w:tr w:rsidR="00822111" w:rsidRPr="00BA700B" w14:paraId="7E49583E" w14:textId="77777777" w:rsidTr="00822111">
        <w:tc>
          <w:tcPr>
            <w:tcW w:w="834" w:type="dxa"/>
          </w:tcPr>
          <w:p w14:paraId="7ACF60AC" w14:textId="77777777" w:rsidR="00822111" w:rsidRPr="00BA700B" w:rsidRDefault="00822111" w:rsidP="007864C2">
            <w:pPr>
              <w:jc w:val="center"/>
              <w:rPr>
                <w:rFonts w:asciiTheme="majorHAnsi" w:hAnsiTheme="majorHAnsi" w:cstheme="majorHAnsi"/>
              </w:rPr>
            </w:pPr>
          </w:p>
        </w:tc>
        <w:tc>
          <w:tcPr>
            <w:tcW w:w="571" w:type="dxa"/>
          </w:tcPr>
          <w:p w14:paraId="00BCAB1D" w14:textId="4651ED41" w:rsidR="00822111" w:rsidRPr="00BA700B" w:rsidRDefault="00822111" w:rsidP="007864C2">
            <w:pPr>
              <w:rPr>
                <w:rFonts w:asciiTheme="majorHAnsi" w:hAnsiTheme="majorHAnsi" w:cstheme="majorHAnsi"/>
              </w:rPr>
            </w:pPr>
            <w:r w:rsidRPr="00BA700B">
              <w:rPr>
                <w:rFonts w:asciiTheme="majorHAnsi" w:hAnsiTheme="majorHAnsi" w:cstheme="majorHAnsi"/>
              </w:rPr>
              <w:t>4.5</w:t>
            </w:r>
          </w:p>
        </w:tc>
        <w:tc>
          <w:tcPr>
            <w:tcW w:w="7127" w:type="dxa"/>
            <w:gridSpan w:val="2"/>
          </w:tcPr>
          <w:p w14:paraId="60FD1821" w14:textId="1EE6E597" w:rsidR="00822111" w:rsidRPr="00BA700B" w:rsidRDefault="00822111" w:rsidP="007864C2">
            <w:pPr>
              <w:rPr>
                <w:rFonts w:asciiTheme="majorHAnsi" w:hAnsiTheme="majorHAnsi" w:cstheme="majorHAnsi"/>
              </w:rPr>
            </w:pPr>
            <w:r w:rsidRPr="00BA700B">
              <w:rPr>
                <w:rFonts w:asciiTheme="majorHAnsi" w:hAnsiTheme="majorHAnsi" w:cstheme="majorHAnsi"/>
              </w:rPr>
              <w:t>Information Security Policy and Contingency Planning</w:t>
            </w:r>
          </w:p>
        </w:tc>
        <w:tc>
          <w:tcPr>
            <w:tcW w:w="828" w:type="dxa"/>
          </w:tcPr>
          <w:p w14:paraId="6893845A" w14:textId="25DCBDB4" w:rsidR="00822111" w:rsidRPr="00BA700B" w:rsidRDefault="00F01218" w:rsidP="007864C2">
            <w:pPr>
              <w:jc w:val="center"/>
              <w:rPr>
                <w:rFonts w:asciiTheme="majorHAnsi" w:hAnsiTheme="majorHAnsi" w:cstheme="majorHAnsi"/>
              </w:rPr>
            </w:pPr>
            <w:r w:rsidRPr="00BA700B">
              <w:rPr>
                <w:rFonts w:asciiTheme="majorHAnsi" w:hAnsiTheme="majorHAnsi" w:cstheme="majorHAnsi"/>
              </w:rPr>
              <w:t>18</w:t>
            </w:r>
          </w:p>
        </w:tc>
      </w:tr>
      <w:tr w:rsidR="00822111" w:rsidRPr="00BA700B" w14:paraId="04C41019" w14:textId="77777777" w:rsidTr="00822111">
        <w:tc>
          <w:tcPr>
            <w:tcW w:w="834" w:type="dxa"/>
          </w:tcPr>
          <w:p w14:paraId="00155A4C" w14:textId="77777777" w:rsidR="00822111" w:rsidRPr="00BA700B" w:rsidRDefault="00822111" w:rsidP="007864C2">
            <w:pPr>
              <w:jc w:val="center"/>
              <w:rPr>
                <w:rFonts w:asciiTheme="majorHAnsi" w:hAnsiTheme="majorHAnsi" w:cstheme="majorHAnsi"/>
              </w:rPr>
            </w:pPr>
          </w:p>
        </w:tc>
        <w:tc>
          <w:tcPr>
            <w:tcW w:w="571" w:type="dxa"/>
          </w:tcPr>
          <w:p w14:paraId="4E35B6CD" w14:textId="6CC1D324" w:rsidR="00822111" w:rsidRPr="00BA700B" w:rsidRDefault="00822111" w:rsidP="007864C2">
            <w:pPr>
              <w:rPr>
                <w:rFonts w:asciiTheme="majorHAnsi" w:hAnsiTheme="majorHAnsi" w:cstheme="majorHAnsi"/>
              </w:rPr>
            </w:pPr>
            <w:r w:rsidRPr="00BA700B">
              <w:rPr>
                <w:rFonts w:asciiTheme="majorHAnsi" w:hAnsiTheme="majorHAnsi" w:cstheme="majorHAnsi"/>
              </w:rPr>
              <w:t>4.6</w:t>
            </w:r>
          </w:p>
        </w:tc>
        <w:tc>
          <w:tcPr>
            <w:tcW w:w="7127" w:type="dxa"/>
            <w:gridSpan w:val="2"/>
          </w:tcPr>
          <w:p w14:paraId="7DB2C238" w14:textId="4615F4B1" w:rsidR="00822111" w:rsidRPr="00BA700B" w:rsidRDefault="00822111" w:rsidP="007864C2">
            <w:pPr>
              <w:rPr>
                <w:rFonts w:asciiTheme="majorHAnsi" w:hAnsiTheme="majorHAnsi" w:cstheme="majorHAnsi"/>
              </w:rPr>
            </w:pPr>
            <w:r w:rsidRPr="00BA700B">
              <w:rPr>
                <w:rFonts w:asciiTheme="majorHAnsi" w:hAnsiTheme="majorHAnsi" w:cstheme="majorHAnsi"/>
              </w:rPr>
              <w:t>Network and Perimeter Security</w:t>
            </w:r>
          </w:p>
        </w:tc>
        <w:tc>
          <w:tcPr>
            <w:tcW w:w="828" w:type="dxa"/>
          </w:tcPr>
          <w:p w14:paraId="4DD1CD76" w14:textId="1362FB85" w:rsidR="00822111" w:rsidRPr="00BA700B" w:rsidRDefault="00F01218" w:rsidP="007864C2">
            <w:pPr>
              <w:jc w:val="center"/>
              <w:rPr>
                <w:rFonts w:asciiTheme="majorHAnsi" w:hAnsiTheme="majorHAnsi" w:cstheme="majorHAnsi"/>
              </w:rPr>
            </w:pPr>
            <w:r w:rsidRPr="00BA700B">
              <w:rPr>
                <w:rFonts w:asciiTheme="majorHAnsi" w:hAnsiTheme="majorHAnsi" w:cstheme="majorHAnsi"/>
              </w:rPr>
              <w:t>19</w:t>
            </w:r>
          </w:p>
        </w:tc>
      </w:tr>
      <w:tr w:rsidR="00822111" w:rsidRPr="00BA700B" w14:paraId="20AEBD38" w14:textId="77777777" w:rsidTr="00822111">
        <w:tc>
          <w:tcPr>
            <w:tcW w:w="834" w:type="dxa"/>
          </w:tcPr>
          <w:p w14:paraId="63ABC320" w14:textId="665688A5" w:rsidR="00822111" w:rsidRPr="00BA700B" w:rsidRDefault="00822111" w:rsidP="007864C2">
            <w:pPr>
              <w:jc w:val="center"/>
              <w:rPr>
                <w:rFonts w:asciiTheme="majorHAnsi" w:hAnsiTheme="majorHAnsi" w:cstheme="majorHAnsi"/>
              </w:rPr>
            </w:pPr>
            <w:r w:rsidRPr="00BA700B">
              <w:rPr>
                <w:rFonts w:asciiTheme="majorHAnsi" w:hAnsiTheme="majorHAnsi" w:cstheme="majorHAnsi"/>
              </w:rPr>
              <w:t>5</w:t>
            </w:r>
          </w:p>
        </w:tc>
        <w:tc>
          <w:tcPr>
            <w:tcW w:w="571" w:type="dxa"/>
          </w:tcPr>
          <w:p w14:paraId="09E415E2" w14:textId="77777777" w:rsidR="00822111" w:rsidRPr="00BA700B" w:rsidRDefault="00822111" w:rsidP="007864C2">
            <w:pPr>
              <w:rPr>
                <w:rFonts w:asciiTheme="majorHAnsi" w:hAnsiTheme="majorHAnsi" w:cstheme="majorHAnsi"/>
              </w:rPr>
            </w:pPr>
          </w:p>
        </w:tc>
        <w:tc>
          <w:tcPr>
            <w:tcW w:w="7127" w:type="dxa"/>
            <w:gridSpan w:val="2"/>
          </w:tcPr>
          <w:p w14:paraId="4F698202" w14:textId="183A2682" w:rsidR="00822111" w:rsidRPr="00BA700B" w:rsidRDefault="00822111" w:rsidP="007864C2">
            <w:pPr>
              <w:rPr>
                <w:rFonts w:asciiTheme="majorHAnsi" w:hAnsiTheme="majorHAnsi" w:cstheme="majorHAnsi"/>
              </w:rPr>
            </w:pPr>
            <w:r w:rsidRPr="00BA700B">
              <w:rPr>
                <w:rFonts w:asciiTheme="majorHAnsi" w:hAnsiTheme="majorHAnsi" w:cstheme="majorHAnsi"/>
              </w:rPr>
              <w:t>The Significance of Reviving Information Security Rules and Standards</w:t>
            </w:r>
          </w:p>
        </w:tc>
        <w:tc>
          <w:tcPr>
            <w:tcW w:w="828" w:type="dxa"/>
          </w:tcPr>
          <w:p w14:paraId="1DAD6956" w14:textId="5E53B488" w:rsidR="00822111" w:rsidRPr="00BA700B" w:rsidRDefault="00822111" w:rsidP="007864C2">
            <w:pPr>
              <w:jc w:val="center"/>
              <w:rPr>
                <w:rFonts w:asciiTheme="majorHAnsi" w:hAnsiTheme="majorHAnsi" w:cstheme="majorHAnsi"/>
              </w:rPr>
            </w:pPr>
            <w:r w:rsidRPr="00BA700B">
              <w:rPr>
                <w:rFonts w:asciiTheme="majorHAnsi" w:hAnsiTheme="majorHAnsi" w:cstheme="majorHAnsi"/>
              </w:rPr>
              <w:t>2</w:t>
            </w:r>
            <w:r w:rsidR="00F01218" w:rsidRPr="00BA700B">
              <w:rPr>
                <w:rFonts w:asciiTheme="majorHAnsi" w:hAnsiTheme="majorHAnsi" w:cstheme="majorHAnsi"/>
              </w:rPr>
              <w:t>2</w:t>
            </w:r>
          </w:p>
        </w:tc>
      </w:tr>
      <w:tr w:rsidR="007864C2" w:rsidRPr="00BA700B" w14:paraId="7A151C29" w14:textId="77777777" w:rsidTr="00822111">
        <w:tc>
          <w:tcPr>
            <w:tcW w:w="834" w:type="dxa"/>
          </w:tcPr>
          <w:p w14:paraId="74EFF46B" w14:textId="77777777" w:rsidR="007864C2" w:rsidRPr="00BA700B" w:rsidRDefault="007864C2" w:rsidP="007864C2">
            <w:pPr>
              <w:jc w:val="center"/>
              <w:rPr>
                <w:rFonts w:asciiTheme="majorHAnsi" w:hAnsiTheme="majorHAnsi" w:cstheme="majorHAnsi"/>
              </w:rPr>
            </w:pPr>
          </w:p>
        </w:tc>
        <w:tc>
          <w:tcPr>
            <w:tcW w:w="571" w:type="dxa"/>
          </w:tcPr>
          <w:p w14:paraId="3480A282" w14:textId="2E410F23" w:rsidR="007864C2" w:rsidRPr="00BA700B" w:rsidRDefault="007864C2" w:rsidP="007864C2">
            <w:pPr>
              <w:rPr>
                <w:rFonts w:asciiTheme="majorHAnsi" w:hAnsiTheme="majorHAnsi" w:cstheme="majorHAnsi"/>
              </w:rPr>
            </w:pPr>
            <w:r w:rsidRPr="00BA700B">
              <w:rPr>
                <w:rFonts w:asciiTheme="majorHAnsi" w:hAnsiTheme="majorHAnsi" w:cstheme="majorHAnsi"/>
              </w:rPr>
              <w:t>5.1</w:t>
            </w:r>
          </w:p>
        </w:tc>
        <w:tc>
          <w:tcPr>
            <w:tcW w:w="7127" w:type="dxa"/>
            <w:gridSpan w:val="2"/>
          </w:tcPr>
          <w:p w14:paraId="45E735F5" w14:textId="2CA87CFC" w:rsidR="007864C2" w:rsidRPr="00BA700B" w:rsidRDefault="007864C2" w:rsidP="007864C2">
            <w:pPr>
              <w:rPr>
                <w:rFonts w:asciiTheme="majorHAnsi" w:hAnsiTheme="majorHAnsi" w:cstheme="majorHAnsi"/>
              </w:rPr>
            </w:pPr>
            <w:r w:rsidRPr="00BA700B">
              <w:rPr>
                <w:rFonts w:asciiTheme="majorHAnsi" w:hAnsiTheme="majorHAnsi" w:cstheme="majorHAnsi"/>
              </w:rPr>
              <w:t>Taking Action Against New Cybersecurity Risks</w:t>
            </w:r>
          </w:p>
        </w:tc>
        <w:tc>
          <w:tcPr>
            <w:tcW w:w="828" w:type="dxa"/>
          </w:tcPr>
          <w:p w14:paraId="520DE4F3" w14:textId="0BEEAC6B" w:rsidR="007864C2" w:rsidRPr="00BA700B" w:rsidRDefault="00F01218" w:rsidP="007864C2">
            <w:pPr>
              <w:jc w:val="center"/>
              <w:rPr>
                <w:rFonts w:asciiTheme="majorHAnsi" w:hAnsiTheme="majorHAnsi" w:cstheme="majorHAnsi"/>
              </w:rPr>
            </w:pPr>
            <w:r w:rsidRPr="00BA700B">
              <w:rPr>
                <w:rFonts w:asciiTheme="majorHAnsi" w:hAnsiTheme="majorHAnsi" w:cstheme="majorHAnsi"/>
              </w:rPr>
              <w:t>22</w:t>
            </w:r>
          </w:p>
        </w:tc>
      </w:tr>
      <w:tr w:rsidR="007864C2" w:rsidRPr="00BA700B" w14:paraId="23DB120E" w14:textId="77777777" w:rsidTr="00822111">
        <w:tc>
          <w:tcPr>
            <w:tcW w:w="834" w:type="dxa"/>
          </w:tcPr>
          <w:p w14:paraId="7F7719FE" w14:textId="77777777" w:rsidR="007864C2" w:rsidRPr="00BA700B" w:rsidRDefault="007864C2" w:rsidP="007864C2">
            <w:pPr>
              <w:jc w:val="center"/>
              <w:rPr>
                <w:rFonts w:asciiTheme="majorHAnsi" w:hAnsiTheme="majorHAnsi" w:cstheme="majorHAnsi"/>
              </w:rPr>
            </w:pPr>
          </w:p>
        </w:tc>
        <w:tc>
          <w:tcPr>
            <w:tcW w:w="571" w:type="dxa"/>
          </w:tcPr>
          <w:p w14:paraId="172D1A17" w14:textId="0224FC98" w:rsidR="007864C2" w:rsidRPr="00BA700B" w:rsidRDefault="007864C2" w:rsidP="007864C2">
            <w:pPr>
              <w:rPr>
                <w:rFonts w:asciiTheme="majorHAnsi" w:hAnsiTheme="majorHAnsi" w:cstheme="majorHAnsi"/>
              </w:rPr>
            </w:pPr>
            <w:r w:rsidRPr="00BA700B">
              <w:rPr>
                <w:rFonts w:asciiTheme="majorHAnsi" w:hAnsiTheme="majorHAnsi" w:cstheme="majorHAnsi"/>
              </w:rPr>
              <w:t>5.2</w:t>
            </w:r>
          </w:p>
        </w:tc>
        <w:tc>
          <w:tcPr>
            <w:tcW w:w="7127" w:type="dxa"/>
            <w:gridSpan w:val="2"/>
          </w:tcPr>
          <w:p w14:paraId="384E9EBA" w14:textId="352E2CC5" w:rsidR="007864C2" w:rsidRPr="00BA700B" w:rsidRDefault="007864C2" w:rsidP="007864C2">
            <w:pPr>
              <w:rPr>
                <w:rFonts w:asciiTheme="majorHAnsi" w:hAnsiTheme="majorHAnsi" w:cstheme="majorHAnsi"/>
              </w:rPr>
            </w:pPr>
            <w:r w:rsidRPr="00BA700B">
              <w:rPr>
                <w:rFonts w:asciiTheme="majorHAnsi" w:hAnsiTheme="majorHAnsi" w:cstheme="majorHAnsi"/>
              </w:rPr>
              <w:t>Ensuring Adherence to Legal and Regulatory Conditions</w:t>
            </w:r>
          </w:p>
        </w:tc>
        <w:tc>
          <w:tcPr>
            <w:tcW w:w="828" w:type="dxa"/>
          </w:tcPr>
          <w:p w14:paraId="3B2C0C27" w14:textId="1DFEF516" w:rsidR="007864C2" w:rsidRPr="00BA700B" w:rsidRDefault="00F01218" w:rsidP="007864C2">
            <w:pPr>
              <w:jc w:val="center"/>
              <w:rPr>
                <w:rFonts w:asciiTheme="majorHAnsi" w:hAnsiTheme="majorHAnsi" w:cstheme="majorHAnsi"/>
              </w:rPr>
            </w:pPr>
            <w:r w:rsidRPr="00BA700B">
              <w:rPr>
                <w:rFonts w:asciiTheme="majorHAnsi" w:hAnsiTheme="majorHAnsi" w:cstheme="majorHAnsi"/>
              </w:rPr>
              <w:t>22</w:t>
            </w:r>
          </w:p>
        </w:tc>
      </w:tr>
      <w:tr w:rsidR="007864C2" w:rsidRPr="00BA700B" w14:paraId="38F48176" w14:textId="77777777" w:rsidTr="00822111">
        <w:tc>
          <w:tcPr>
            <w:tcW w:w="834" w:type="dxa"/>
          </w:tcPr>
          <w:p w14:paraId="6A94DF4F" w14:textId="77777777" w:rsidR="007864C2" w:rsidRPr="00BA700B" w:rsidRDefault="007864C2" w:rsidP="007864C2">
            <w:pPr>
              <w:jc w:val="center"/>
              <w:rPr>
                <w:rFonts w:asciiTheme="majorHAnsi" w:hAnsiTheme="majorHAnsi" w:cstheme="majorHAnsi"/>
              </w:rPr>
            </w:pPr>
          </w:p>
        </w:tc>
        <w:tc>
          <w:tcPr>
            <w:tcW w:w="571" w:type="dxa"/>
          </w:tcPr>
          <w:p w14:paraId="6C47C0F3" w14:textId="5588E3BD" w:rsidR="007864C2" w:rsidRPr="00BA700B" w:rsidRDefault="007864C2" w:rsidP="007864C2">
            <w:pPr>
              <w:rPr>
                <w:rFonts w:asciiTheme="majorHAnsi" w:hAnsiTheme="majorHAnsi" w:cstheme="majorHAnsi"/>
              </w:rPr>
            </w:pPr>
            <w:r w:rsidRPr="00BA700B">
              <w:rPr>
                <w:rFonts w:asciiTheme="majorHAnsi" w:hAnsiTheme="majorHAnsi" w:cstheme="majorHAnsi"/>
              </w:rPr>
              <w:t>5.3</w:t>
            </w:r>
          </w:p>
        </w:tc>
        <w:tc>
          <w:tcPr>
            <w:tcW w:w="7127" w:type="dxa"/>
            <w:gridSpan w:val="2"/>
          </w:tcPr>
          <w:p w14:paraId="17C20FA8" w14:textId="7313CA5F" w:rsidR="007864C2" w:rsidRPr="00BA700B" w:rsidRDefault="007864C2" w:rsidP="007864C2">
            <w:pPr>
              <w:rPr>
                <w:rFonts w:asciiTheme="majorHAnsi" w:hAnsiTheme="majorHAnsi" w:cstheme="majorHAnsi"/>
              </w:rPr>
            </w:pPr>
            <w:r w:rsidRPr="00BA700B">
              <w:rPr>
                <w:rFonts w:asciiTheme="majorHAnsi" w:hAnsiTheme="majorHAnsi" w:cstheme="majorHAnsi"/>
              </w:rPr>
              <w:t>Enhancing Governance for Organizational Security</w:t>
            </w:r>
          </w:p>
        </w:tc>
        <w:tc>
          <w:tcPr>
            <w:tcW w:w="828" w:type="dxa"/>
          </w:tcPr>
          <w:p w14:paraId="0ADF70BC" w14:textId="65B4CC49" w:rsidR="007864C2" w:rsidRPr="00BA700B" w:rsidRDefault="00F01218" w:rsidP="007864C2">
            <w:pPr>
              <w:jc w:val="center"/>
              <w:rPr>
                <w:rFonts w:asciiTheme="majorHAnsi" w:hAnsiTheme="majorHAnsi" w:cstheme="majorHAnsi"/>
              </w:rPr>
            </w:pPr>
            <w:r w:rsidRPr="00BA700B">
              <w:rPr>
                <w:rFonts w:asciiTheme="majorHAnsi" w:hAnsiTheme="majorHAnsi" w:cstheme="majorHAnsi"/>
              </w:rPr>
              <w:t>23</w:t>
            </w:r>
          </w:p>
        </w:tc>
      </w:tr>
      <w:tr w:rsidR="00822111" w:rsidRPr="00BA700B" w14:paraId="1556999B" w14:textId="77777777" w:rsidTr="00822111">
        <w:tc>
          <w:tcPr>
            <w:tcW w:w="834" w:type="dxa"/>
          </w:tcPr>
          <w:p w14:paraId="55C06D0E" w14:textId="45685ADD" w:rsidR="00822111" w:rsidRPr="00BA700B" w:rsidRDefault="00822111" w:rsidP="007864C2">
            <w:pPr>
              <w:jc w:val="center"/>
              <w:rPr>
                <w:rFonts w:asciiTheme="majorHAnsi" w:hAnsiTheme="majorHAnsi" w:cstheme="majorHAnsi"/>
              </w:rPr>
            </w:pPr>
            <w:r w:rsidRPr="00BA700B">
              <w:rPr>
                <w:rFonts w:asciiTheme="majorHAnsi" w:hAnsiTheme="majorHAnsi" w:cstheme="majorHAnsi"/>
              </w:rPr>
              <w:t>6</w:t>
            </w:r>
          </w:p>
        </w:tc>
        <w:tc>
          <w:tcPr>
            <w:tcW w:w="571" w:type="dxa"/>
          </w:tcPr>
          <w:p w14:paraId="361DD577" w14:textId="77777777" w:rsidR="00822111" w:rsidRPr="00BA700B" w:rsidRDefault="00822111" w:rsidP="007864C2">
            <w:pPr>
              <w:rPr>
                <w:rFonts w:asciiTheme="majorHAnsi" w:hAnsiTheme="majorHAnsi" w:cstheme="majorHAnsi"/>
              </w:rPr>
            </w:pPr>
          </w:p>
        </w:tc>
        <w:tc>
          <w:tcPr>
            <w:tcW w:w="7127" w:type="dxa"/>
            <w:gridSpan w:val="2"/>
          </w:tcPr>
          <w:p w14:paraId="52249930" w14:textId="0E282B9D" w:rsidR="00822111" w:rsidRPr="00BA700B" w:rsidRDefault="00822111" w:rsidP="007864C2">
            <w:pPr>
              <w:rPr>
                <w:rFonts w:asciiTheme="majorHAnsi" w:hAnsiTheme="majorHAnsi" w:cstheme="majorHAnsi"/>
              </w:rPr>
            </w:pPr>
            <w:r w:rsidRPr="00BA700B">
              <w:rPr>
                <w:rFonts w:asciiTheme="majorHAnsi" w:hAnsiTheme="majorHAnsi" w:cstheme="majorHAnsi"/>
              </w:rPr>
              <w:t>Conclusion</w:t>
            </w:r>
          </w:p>
        </w:tc>
        <w:tc>
          <w:tcPr>
            <w:tcW w:w="828" w:type="dxa"/>
          </w:tcPr>
          <w:p w14:paraId="61159DE1" w14:textId="07B7E1A7" w:rsidR="00822111" w:rsidRPr="00BA700B" w:rsidRDefault="00822111" w:rsidP="007864C2">
            <w:pPr>
              <w:jc w:val="center"/>
              <w:rPr>
                <w:rFonts w:asciiTheme="majorHAnsi" w:hAnsiTheme="majorHAnsi" w:cstheme="majorHAnsi"/>
              </w:rPr>
            </w:pPr>
            <w:r w:rsidRPr="00BA700B">
              <w:rPr>
                <w:rFonts w:asciiTheme="majorHAnsi" w:hAnsiTheme="majorHAnsi" w:cstheme="majorHAnsi"/>
              </w:rPr>
              <w:t>2</w:t>
            </w:r>
            <w:r w:rsidR="00F01218" w:rsidRPr="00BA700B">
              <w:rPr>
                <w:rFonts w:asciiTheme="majorHAnsi" w:hAnsiTheme="majorHAnsi" w:cstheme="majorHAnsi"/>
              </w:rPr>
              <w:t>4</w:t>
            </w:r>
          </w:p>
        </w:tc>
      </w:tr>
      <w:tr w:rsidR="00822111" w:rsidRPr="00BA700B" w14:paraId="08298292" w14:textId="77777777" w:rsidTr="00822111">
        <w:tc>
          <w:tcPr>
            <w:tcW w:w="834" w:type="dxa"/>
          </w:tcPr>
          <w:p w14:paraId="301EFF22" w14:textId="7D8DB870" w:rsidR="00822111" w:rsidRPr="00BA700B" w:rsidRDefault="00822111" w:rsidP="007864C2">
            <w:pPr>
              <w:jc w:val="center"/>
              <w:rPr>
                <w:rFonts w:asciiTheme="majorHAnsi" w:hAnsiTheme="majorHAnsi" w:cstheme="majorHAnsi"/>
              </w:rPr>
            </w:pPr>
            <w:r w:rsidRPr="00BA700B">
              <w:rPr>
                <w:rFonts w:asciiTheme="majorHAnsi" w:hAnsiTheme="majorHAnsi" w:cstheme="majorHAnsi"/>
              </w:rPr>
              <w:t>7</w:t>
            </w:r>
          </w:p>
        </w:tc>
        <w:tc>
          <w:tcPr>
            <w:tcW w:w="571" w:type="dxa"/>
          </w:tcPr>
          <w:p w14:paraId="71BCB5A1" w14:textId="77777777" w:rsidR="00822111" w:rsidRPr="00BA700B" w:rsidRDefault="00822111" w:rsidP="007864C2">
            <w:pPr>
              <w:rPr>
                <w:rFonts w:asciiTheme="majorHAnsi" w:hAnsiTheme="majorHAnsi" w:cstheme="majorHAnsi"/>
              </w:rPr>
            </w:pPr>
          </w:p>
        </w:tc>
        <w:tc>
          <w:tcPr>
            <w:tcW w:w="7127" w:type="dxa"/>
            <w:gridSpan w:val="2"/>
          </w:tcPr>
          <w:p w14:paraId="302E99D6" w14:textId="31930F3F" w:rsidR="00822111" w:rsidRPr="00BA700B" w:rsidRDefault="00822111" w:rsidP="007864C2">
            <w:pPr>
              <w:rPr>
                <w:rFonts w:asciiTheme="majorHAnsi" w:hAnsiTheme="majorHAnsi" w:cstheme="majorHAnsi"/>
              </w:rPr>
            </w:pPr>
            <w:r w:rsidRPr="00BA700B">
              <w:rPr>
                <w:rFonts w:asciiTheme="majorHAnsi" w:hAnsiTheme="majorHAnsi" w:cstheme="majorHAnsi"/>
              </w:rPr>
              <w:t>References</w:t>
            </w:r>
          </w:p>
        </w:tc>
        <w:tc>
          <w:tcPr>
            <w:tcW w:w="828" w:type="dxa"/>
          </w:tcPr>
          <w:p w14:paraId="06D08275" w14:textId="422A293E" w:rsidR="00822111" w:rsidRPr="00BA700B" w:rsidRDefault="00822111" w:rsidP="007864C2">
            <w:pPr>
              <w:jc w:val="center"/>
              <w:rPr>
                <w:rFonts w:asciiTheme="majorHAnsi" w:hAnsiTheme="majorHAnsi" w:cstheme="majorHAnsi"/>
              </w:rPr>
            </w:pPr>
            <w:r w:rsidRPr="00BA700B">
              <w:rPr>
                <w:rFonts w:asciiTheme="majorHAnsi" w:hAnsiTheme="majorHAnsi" w:cstheme="majorHAnsi"/>
              </w:rPr>
              <w:t>2</w:t>
            </w:r>
            <w:r w:rsidR="00F01218" w:rsidRPr="00BA700B">
              <w:rPr>
                <w:rFonts w:asciiTheme="majorHAnsi" w:hAnsiTheme="majorHAnsi" w:cstheme="majorHAnsi"/>
              </w:rPr>
              <w:t>5</w:t>
            </w:r>
          </w:p>
        </w:tc>
      </w:tr>
    </w:tbl>
    <w:p w14:paraId="18BAE1B7" w14:textId="77777777" w:rsidR="00F10994" w:rsidRPr="00BA700B" w:rsidRDefault="00F10994">
      <w:pPr>
        <w:rPr>
          <w:rFonts w:asciiTheme="majorHAnsi" w:hAnsiTheme="majorHAnsi" w:cstheme="majorHAnsi"/>
        </w:rPr>
      </w:pPr>
      <w:r w:rsidRPr="00BA700B">
        <w:rPr>
          <w:rFonts w:asciiTheme="majorHAnsi" w:hAnsiTheme="majorHAnsi" w:cstheme="majorHAnsi"/>
        </w:rPr>
        <w:br/>
      </w:r>
    </w:p>
    <w:p w14:paraId="2F7E5172" w14:textId="77777777" w:rsidR="00F10994" w:rsidRPr="00BA700B" w:rsidRDefault="00F10994">
      <w:pPr>
        <w:rPr>
          <w:rFonts w:asciiTheme="majorHAnsi" w:hAnsiTheme="majorHAnsi" w:cstheme="majorHAnsi"/>
        </w:rPr>
      </w:pPr>
      <w:r w:rsidRPr="00BA700B">
        <w:rPr>
          <w:rFonts w:asciiTheme="majorHAnsi" w:hAnsiTheme="majorHAnsi" w:cstheme="majorHAnsi"/>
        </w:rPr>
        <w:br w:type="page"/>
      </w:r>
    </w:p>
    <w:p w14:paraId="71336B9D" w14:textId="5A6DE645" w:rsidR="009B6207" w:rsidRPr="00BA700B" w:rsidRDefault="00F10994" w:rsidP="000176D3">
      <w:pPr>
        <w:pStyle w:val="Heading1"/>
        <w:jc w:val="center"/>
        <w:rPr>
          <w:rFonts w:cstheme="majorHAnsi"/>
          <w:b/>
          <w:bCs/>
          <w:color w:val="auto"/>
        </w:rPr>
      </w:pPr>
      <w:r w:rsidRPr="00BA700B">
        <w:rPr>
          <w:rFonts w:cstheme="majorHAnsi"/>
          <w:b/>
          <w:bCs/>
          <w:color w:val="auto"/>
        </w:rPr>
        <w:lastRenderedPageBreak/>
        <w:t>Table Content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6809"/>
        <w:gridCol w:w="1553"/>
      </w:tblGrid>
      <w:tr w:rsidR="009B6207" w:rsidRPr="00BA700B" w14:paraId="61ADB574" w14:textId="77777777" w:rsidTr="000176D3">
        <w:tc>
          <w:tcPr>
            <w:tcW w:w="988" w:type="dxa"/>
          </w:tcPr>
          <w:p w14:paraId="4C0D4641" w14:textId="622CB44B" w:rsidR="009B6207" w:rsidRPr="00BA700B" w:rsidRDefault="009B6207" w:rsidP="00E476A8">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Sr. No</w:t>
            </w:r>
          </w:p>
        </w:tc>
        <w:tc>
          <w:tcPr>
            <w:tcW w:w="6809" w:type="dxa"/>
          </w:tcPr>
          <w:p w14:paraId="344D07DA" w14:textId="701E8EE0" w:rsidR="009B6207" w:rsidRPr="00BA700B" w:rsidRDefault="009B6207" w:rsidP="007864C2">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Topic</w:t>
            </w:r>
          </w:p>
        </w:tc>
        <w:tc>
          <w:tcPr>
            <w:tcW w:w="1553" w:type="dxa"/>
          </w:tcPr>
          <w:p w14:paraId="0A3300AD" w14:textId="7064E0B9" w:rsidR="009B6207" w:rsidRPr="00BA700B" w:rsidRDefault="009B6207" w:rsidP="00E476A8">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Page No.</w:t>
            </w:r>
          </w:p>
        </w:tc>
      </w:tr>
      <w:tr w:rsidR="009B6207" w:rsidRPr="00BA700B" w14:paraId="03A2D5AC" w14:textId="77777777" w:rsidTr="000176D3">
        <w:tc>
          <w:tcPr>
            <w:tcW w:w="988" w:type="dxa"/>
          </w:tcPr>
          <w:p w14:paraId="6016FD5A" w14:textId="690E1CDB" w:rsidR="009B6207" w:rsidRPr="00BA700B" w:rsidRDefault="009B6207" w:rsidP="004738A3">
            <w:pPr>
              <w:jc w:val="center"/>
              <w:rPr>
                <w:rFonts w:asciiTheme="majorHAnsi" w:hAnsiTheme="majorHAnsi" w:cstheme="majorHAnsi"/>
              </w:rPr>
            </w:pPr>
            <w:r w:rsidRPr="00BA700B">
              <w:rPr>
                <w:rFonts w:asciiTheme="majorHAnsi" w:hAnsiTheme="majorHAnsi" w:cstheme="majorHAnsi"/>
              </w:rPr>
              <w:t>1</w:t>
            </w:r>
          </w:p>
        </w:tc>
        <w:tc>
          <w:tcPr>
            <w:tcW w:w="6809" w:type="dxa"/>
          </w:tcPr>
          <w:p w14:paraId="6D025A35" w14:textId="21A2B401" w:rsidR="009B6207" w:rsidRPr="00BA700B" w:rsidRDefault="009B6207" w:rsidP="004738A3">
            <w:pPr>
              <w:rPr>
                <w:rFonts w:asciiTheme="majorHAnsi" w:hAnsiTheme="majorHAnsi" w:cstheme="majorHAnsi"/>
              </w:rPr>
            </w:pPr>
            <w:r w:rsidRPr="00BA700B">
              <w:rPr>
                <w:rFonts w:asciiTheme="majorHAnsi" w:hAnsiTheme="majorHAnsi" w:cstheme="majorHAnsi"/>
              </w:rPr>
              <w:t>Comparison of Major Information Security Frameworks</w:t>
            </w:r>
          </w:p>
        </w:tc>
        <w:tc>
          <w:tcPr>
            <w:tcW w:w="1553" w:type="dxa"/>
          </w:tcPr>
          <w:p w14:paraId="0E4B8E68" w14:textId="66596B35" w:rsidR="009B6207" w:rsidRPr="00BA700B" w:rsidRDefault="00E476A8" w:rsidP="004738A3">
            <w:pPr>
              <w:jc w:val="center"/>
              <w:rPr>
                <w:rFonts w:asciiTheme="majorHAnsi" w:hAnsiTheme="majorHAnsi" w:cstheme="majorHAnsi"/>
              </w:rPr>
            </w:pPr>
            <w:r w:rsidRPr="00BA700B">
              <w:rPr>
                <w:rFonts w:asciiTheme="majorHAnsi" w:hAnsiTheme="majorHAnsi" w:cstheme="majorHAnsi"/>
              </w:rPr>
              <w:t>7</w:t>
            </w:r>
          </w:p>
        </w:tc>
      </w:tr>
      <w:tr w:rsidR="009B6207" w:rsidRPr="00BA700B" w14:paraId="08F4725A" w14:textId="77777777" w:rsidTr="000176D3">
        <w:tc>
          <w:tcPr>
            <w:tcW w:w="988" w:type="dxa"/>
          </w:tcPr>
          <w:p w14:paraId="18EBC934" w14:textId="5D75DCF1" w:rsidR="009B6207" w:rsidRPr="00BA700B" w:rsidRDefault="009B6207" w:rsidP="004738A3">
            <w:pPr>
              <w:jc w:val="center"/>
              <w:rPr>
                <w:rFonts w:asciiTheme="majorHAnsi" w:hAnsiTheme="majorHAnsi" w:cstheme="majorHAnsi"/>
              </w:rPr>
            </w:pPr>
            <w:r w:rsidRPr="00BA700B">
              <w:rPr>
                <w:rFonts w:asciiTheme="majorHAnsi" w:hAnsiTheme="majorHAnsi" w:cstheme="majorHAnsi"/>
              </w:rPr>
              <w:t>2</w:t>
            </w:r>
          </w:p>
        </w:tc>
        <w:tc>
          <w:tcPr>
            <w:tcW w:w="6809" w:type="dxa"/>
          </w:tcPr>
          <w:p w14:paraId="28929FB1" w14:textId="73D3C91D" w:rsidR="009B6207" w:rsidRPr="00BA700B" w:rsidRDefault="009B6207" w:rsidP="004738A3">
            <w:pPr>
              <w:rPr>
                <w:rFonts w:asciiTheme="majorHAnsi" w:hAnsiTheme="majorHAnsi" w:cstheme="majorHAnsi"/>
              </w:rPr>
            </w:pPr>
            <w:r w:rsidRPr="00BA700B">
              <w:rPr>
                <w:rFonts w:asciiTheme="majorHAnsi" w:hAnsiTheme="majorHAnsi" w:cstheme="majorHAnsi"/>
              </w:rPr>
              <w:t>ITIL Service Lifecycle Stages</w:t>
            </w:r>
          </w:p>
        </w:tc>
        <w:tc>
          <w:tcPr>
            <w:tcW w:w="1553" w:type="dxa"/>
          </w:tcPr>
          <w:p w14:paraId="1C050DF0" w14:textId="2C50DFEA" w:rsidR="009B6207" w:rsidRPr="00BA700B" w:rsidRDefault="00E476A8" w:rsidP="004738A3">
            <w:pPr>
              <w:jc w:val="center"/>
              <w:rPr>
                <w:rFonts w:asciiTheme="majorHAnsi" w:hAnsiTheme="majorHAnsi" w:cstheme="majorHAnsi"/>
              </w:rPr>
            </w:pPr>
            <w:r w:rsidRPr="00BA700B">
              <w:rPr>
                <w:rFonts w:asciiTheme="majorHAnsi" w:hAnsiTheme="majorHAnsi" w:cstheme="majorHAnsi"/>
              </w:rPr>
              <w:t>9</w:t>
            </w:r>
          </w:p>
        </w:tc>
      </w:tr>
      <w:tr w:rsidR="009B6207" w:rsidRPr="00BA700B" w14:paraId="1157F6D0" w14:textId="77777777" w:rsidTr="000176D3">
        <w:tc>
          <w:tcPr>
            <w:tcW w:w="988" w:type="dxa"/>
          </w:tcPr>
          <w:p w14:paraId="24D3A915" w14:textId="0DA9EC29" w:rsidR="009B6207" w:rsidRPr="00BA700B" w:rsidRDefault="009B6207" w:rsidP="004738A3">
            <w:pPr>
              <w:jc w:val="center"/>
              <w:rPr>
                <w:rFonts w:asciiTheme="majorHAnsi" w:hAnsiTheme="majorHAnsi" w:cstheme="majorHAnsi"/>
              </w:rPr>
            </w:pPr>
            <w:r w:rsidRPr="00BA700B">
              <w:rPr>
                <w:rFonts w:asciiTheme="majorHAnsi" w:hAnsiTheme="majorHAnsi" w:cstheme="majorHAnsi"/>
              </w:rPr>
              <w:t>3</w:t>
            </w:r>
          </w:p>
        </w:tc>
        <w:tc>
          <w:tcPr>
            <w:tcW w:w="6809" w:type="dxa"/>
          </w:tcPr>
          <w:p w14:paraId="670A61EB" w14:textId="04EAFC5E" w:rsidR="009B6207" w:rsidRPr="00BA700B" w:rsidRDefault="009B6207" w:rsidP="004738A3">
            <w:pPr>
              <w:rPr>
                <w:rFonts w:asciiTheme="majorHAnsi" w:hAnsiTheme="majorHAnsi" w:cstheme="majorHAnsi"/>
              </w:rPr>
            </w:pPr>
            <w:r w:rsidRPr="00BA700B">
              <w:rPr>
                <w:rFonts w:asciiTheme="majorHAnsi" w:hAnsiTheme="majorHAnsi" w:cstheme="majorHAnsi"/>
              </w:rPr>
              <w:t>Risk Assessment for FinSure Bank</w:t>
            </w:r>
          </w:p>
        </w:tc>
        <w:tc>
          <w:tcPr>
            <w:tcW w:w="1553" w:type="dxa"/>
          </w:tcPr>
          <w:p w14:paraId="145B65AA" w14:textId="48F6561F"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13</w:t>
            </w:r>
          </w:p>
        </w:tc>
      </w:tr>
      <w:tr w:rsidR="009B6207" w:rsidRPr="00BA700B" w14:paraId="5CCE8738" w14:textId="77777777" w:rsidTr="000176D3">
        <w:tc>
          <w:tcPr>
            <w:tcW w:w="988" w:type="dxa"/>
          </w:tcPr>
          <w:p w14:paraId="59D1420E" w14:textId="7A26486E" w:rsidR="009B6207" w:rsidRPr="00BA700B" w:rsidRDefault="009B6207" w:rsidP="004738A3">
            <w:pPr>
              <w:jc w:val="center"/>
              <w:rPr>
                <w:rFonts w:asciiTheme="majorHAnsi" w:hAnsiTheme="majorHAnsi" w:cstheme="majorHAnsi"/>
              </w:rPr>
            </w:pPr>
            <w:r w:rsidRPr="00BA700B">
              <w:rPr>
                <w:rFonts w:asciiTheme="majorHAnsi" w:hAnsiTheme="majorHAnsi" w:cstheme="majorHAnsi"/>
              </w:rPr>
              <w:t>4</w:t>
            </w:r>
          </w:p>
        </w:tc>
        <w:tc>
          <w:tcPr>
            <w:tcW w:w="6809" w:type="dxa"/>
          </w:tcPr>
          <w:p w14:paraId="4BE0061A" w14:textId="2E3CF492" w:rsidR="009B6207" w:rsidRPr="00BA700B" w:rsidRDefault="009B6207" w:rsidP="004738A3">
            <w:pPr>
              <w:rPr>
                <w:rFonts w:asciiTheme="majorHAnsi" w:hAnsiTheme="majorHAnsi" w:cstheme="majorHAnsi"/>
              </w:rPr>
            </w:pPr>
            <w:r w:rsidRPr="00BA700B">
              <w:rPr>
                <w:rFonts w:asciiTheme="majorHAnsi" w:hAnsiTheme="majorHAnsi" w:cstheme="majorHAnsi"/>
              </w:rPr>
              <w:t>Example Cybersecurity Risk Assessment for FinSure Bank</w:t>
            </w:r>
          </w:p>
        </w:tc>
        <w:tc>
          <w:tcPr>
            <w:tcW w:w="1553" w:type="dxa"/>
          </w:tcPr>
          <w:p w14:paraId="6C56E650" w14:textId="5A867C1B"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14</w:t>
            </w:r>
          </w:p>
        </w:tc>
      </w:tr>
      <w:tr w:rsidR="009B6207" w:rsidRPr="00BA700B" w14:paraId="5FBA4C2E" w14:textId="77777777" w:rsidTr="000176D3">
        <w:tc>
          <w:tcPr>
            <w:tcW w:w="988" w:type="dxa"/>
          </w:tcPr>
          <w:p w14:paraId="26E989F4" w14:textId="09096BF0" w:rsidR="009B6207" w:rsidRPr="00BA700B" w:rsidRDefault="009B6207" w:rsidP="004738A3">
            <w:pPr>
              <w:jc w:val="center"/>
              <w:rPr>
                <w:rFonts w:asciiTheme="majorHAnsi" w:hAnsiTheme="majorHAnsi" w:cstheme="majorHAnsi"/>
              </w:rPr>
            </w:pPr>
            <w:r w:rsidRPr="00BA700B">
              <w:rPr>
                <w:rFonts w:asciiTheme="majorHAnsi" w:hAnsiTheme="majorHAnsi" w:cstheme="majorHAnsi"/>
              </w:rPr>
              <w:t>5</w:t>
            </w:r>
          </w:p>
        </w:tc>
        <w:tc>
          <w:tcPr>
            <w:tcW w:w="6809" w:type="dxa"/>
          </w:tcPr>
          <w:p w14:paraId="685E2D9B" w14:textId="7298AE50" w:rsidR="009B6207" w:rsidRPr="00BA700B" w:rsidRDefault="009B6207" w:rsidP="004738A3">
            <w:pPr>
              <w:rPr>
                <w:rFonts w:asciiTheme="majorHAnsi" w:hAnsiTheme="majorHAnsi" w:cstheme="majorHAnsi"/>
              </w:rPr>
            </w:pPr>
            <w:r w:rsidRPr="00BA700B">
              <w:rPr>
                <w:rFonts w:asciiTheme="majorHAnsi" w:hAnsiTheme="majorHAnsi" w:cstheme="majorHAnsi"/>
              </w:rPr>
              <w:t>Security Governance Roles Proposed</w:t>
            </w:r>
          </w:p>
        </w:tc>
        <w:tc>
          <w:tcPr>
            <w:tcW w:w="1553" w:type="dxa"/>
          </w:tcPr>
          <w:p w14:paraId="00087698" w14:textId="408841A7"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16</w:t>
            </w:r>
          </w:p>
        </w:tc>
      </w:tr>
      <w:tr w:rsidR="009B6207" w:rsidRPr="00BA700B" w14:paraId="296DBF55" w14:textId="77777777" w:rsidTr="000176D3">
        <w:tc>
          <w:tcPr>
            <w:tcW w:w="988" w:type="dxa"/>
          </w:tcPr>
          <w:p w14:paraId="3B8D33C1" w14:textId="7251F4B2" w:rsidR="009B6207" w:rsidRPr="00BA700B" w:rsidRDefault="009B6207" w:rsidP="004738A3">
            <w:pPr>
              <w:jc w:val="center"/>
              <w:rPr>
                <w:rFonts w:asciiTheme="majorHAnsi" w:hAnsiTheme="majorHAnsi" w:cstheme="majorHAnsi"/>
              </w:rPr>
            </w:pPr>
            <w:r w:rsidRPr="00BA700B">
              <w:rPr>
                <w:rFonts w:asciiTheme="majorHAnsi" w:hAnsiTheme="majorHAnsi" w:cstheme="majorHAnsi"/>
              </w:rPr>
              <w:t>6</w:t>
            </w:r>
          </w:p>
        </w:tc>
        <w:tc>
          <w:tcPr>
            <w:tcW w:w="6809" w:type="dxa"/>
          </w:tcPr>
          <w:p w14:paraId="330755F2" w14:textId="29149A24" w:rsidR="009B6207" w:rsidRPr="00BA700B" w:rsidRDefault="009B6207" w:rsidP="004738A3">
            <w:pPr>
              <w:rPr>
                <w:rFonts w:asciiTheme="majorHAnsi" w:hAnsiTheme="majorHAnsi" w:cstheme="majorHAnsi"/>
              </w:rPr>
            </w:pPr>
            <w:r w:rsidRPr="00BA700B">
              <w:rPr>
                <w:rFonts w:asciiTheme="majorHAnsi" w:hAnsiTheme="majorHAnsi" w:cstheme="majorHAnsi"/>
              </w:rPr>
              <w:t>Integrated Security Framework Strategy</w:t>
            </w:r>
          </w:p>
        </w:tc>
        <w:tc>
          <w:tcPr>
            <w:tcW w:w="1553" w:type="dxa"/>
          </w:tcPr>
          <w:p w14:paraId="3B78EECB" w14:textId="55E1BB04"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17</w:t>
            </w:r>
          </w:p>
        </w:tc>
      </w:tr>
      <w:tr w:rsidR="009B6207" w:rsidRPr="00BA700B" w14:paraId="4755335A" w14:textId="77777777" w:rsidTr="000176D3">
        <w:tc>
          <w:tcPr>
            <w:tcW w:w="988" w:type="dxa"/>
          </w:tcPr>
          <w:p w14:paraId="0DA70AC3" w14:textId="2A9FF07E" w:rsidR="009B6207" w:rsidRPr="00BA700B" w:rsidRDefault="009B6207" w:rsidP="004738A3">
            <w:pPr>
              <w:jc w:val="center"/>
              <w:rPr>
                <w:rFonts w:asciiTheme="majorHAnsi" w:hAnsiTheme="majorHAnsi" w:cstheme="majorHAnsi"/>
              </w:rPr>
            </w:pPr>
            <w:r w:rsidRPr="00BA700B">
              <w:rPr>
                <w:rFonts w:asciiTheme="majorHAnsi" w:hAnsiTheme="majorHAnsi" w:cstheme="majorHAnsi"/>
              </w:rPr>
              <w:t>7</w:t>
            </w:r>
          </w:p>
        </w:tc>
        <w:tc>
          <w:tcPr>
            <w:tcW w:w="6809" w:type="dxa"/>
          </w:tcPr>
          <w:p w14:paraId="5C549C1A" w14:textId="12F2AC50" w:rsidR="009B6207" w:rsidRPr="00BA700B" w:rsidRDefault="009B6207" w:rsidP="004738A3">
            <w:pPr>
              <w:rPr>
                <w:rFonts w:asciiTheme="majorHAnsi" w:hAnsiTheme="majorHAnsi" w:cstheme="majorHAnsi"/>
              </w:rPr>
            </w:pPr>
            <w:r w:rsidRPr="00BA700B">
              <w:rPr>
                <w:rFonts w:asciiTheme="majorHAnsi" w:hAnsiTheme="majorHAnsi" w:cstheme="majorHAnsi"/>
              </w:rPr>
              <w:t>Recommended Data Protection Controls</w:t>
            </w:r>
          </w:p>
        </w:tc>
        <w:tc>
          <w:tcPr>
            <w:tcW w:w="1553" w:type="dxa"/>
          </w:tcPr>
          <w:p w14:paraId="34F5734D" w14:textId="074C54F3"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18</w:t>
            </w:r>
          </w:p>
        </w:tc>
      </w:tr>
      <w:tr w:rsidR="009B6207" w:rsidRPr="00BA700B" w14:paraId="7E3F1DD9" w14:textId="77777777" w:rsidTr="000176D3">
        <w:tc>
          <w:tcPr>
            <w:tcW w:w="988" w:type="dxa"/>
          </w:tcPr>
          <w:p w14:paraId="51A58721" w14:textId="56690CFC" w:rsidR="009B6207" w:rsidRPr="00BA700B" w:rsidRDefault="009B6207" w:rsidP="004738A3">
            <w:pPr>
              <w:jc w:val="center"/>
              <w:rPr>
                <w:rFonts w:asciiTheme="majorHAnsi" w:hAnsiTheme="majorHAnsi" w:cstheme="majorHAnsi"/>
              </w:rPr>
            </w:pPr>
            <w:r w:rsidRPr="00BA700B">
              <w:rPr>
                <w:rFonts w:asciiTheme="majorHAnsi" w:hAnsiTheme="majorHAnsi" w:cstheme="majorHAnsi"/>
              </w:rPr>
              <w:t>8</w:t>
            </w:r>
          </w:p>
        </w:tc>
        <w:tc>
          <w:tcPr>
            <w:tcW w:w="6809" w:type="dxa"/>
          </w:tcPr>
          <w:p w14:paraId="563DE849" w14:textId="7737D937" w:rsidR="009B6207" w:rsidRPr="00BA700B" w:rsidRDefault="009B6207" w:rsidP="004738A3">
            <w:pPr>
              <w:rPr>
                <w:rFonts w:asciiTheme="majorHAnsi" w:hAnsiTheme="majorHAnsi" w:cstheme="majorHAnsi"/>
              </w:rPr>
            </w:pPr>
            <w:r w:rsidRPr="00BA700B">
              <w:rPr>
                <w:rFonts w:asciiTheme="majorHAnsi" w:hAnsiTheme="majorHAnsi" w:cstheme="majorHAnsi"/>
              </w:rPr>
              <w:t>Updating Security Rules and Standards Has Advantages</w:t>
            </w:r>
          </w:p>
        </w:tc>
        <w:tc>
          <w:tcPr>
            <w:tcW w:w="1553" w:type="dxa"/>
          </w:tcPr>
          <w:p w14:paraId="2005168F" w14:textId="07219C36" w:rsidR="009B6207" w:rsidRPr="00BA700B" w:rsidRDefault="00E476A8" w:rsidP="004738A3">
            <w:pPr>
              <w:jc w:val="center"/>
              <w:rPr>
                <w:rFonts w:asciiTheme="majorHAnsi" w:hAnsiTheme="majorHAnsi" w:cstheme="majorHAnsi"/>
              </w:rPr>
            </w:pPr>
            <w:r w:rsidRPr="00BA700B">
              <w:rPr>
                <w:rFonts w:asciiTheme="majorHAnsi" w:hAnsiTheme="majorHAnsi" w:cstheme="majorHAnsi"/>
              </w:rPr>
              <w:t>23</w:t>
            </w:r>
          </w:p>
        </w:tc>
      </w:tr>
    </w:tbl>
    <w:p w14:paraId="59C4152B" w14:textId="77777777" w:rsidR="009B6207" w:rsidRPr="00BA700B" w:rsidRDefault="009B6207">
      <w:pPr>
        <w:rPr>
          <w:rFonts w:asciiTheme="majorHAnsi" w:hAnsiTheme="majorHAnsi" w:cstheme="majorHAnsi"/>
        </w:rPr>
      </w:pPr>
    </w:p>
    <w:p w14:paraId="20E927C4" w14:textId="77777777" w:rsidR="007E544B" w:rsidRPr="00BA700B" w:rsidRDefault="007E544B">
      <w:pPr>
        <w:rPr>
          <w:rFonts w:asciiTheme="majorHAnsi" w:hAnsiTheme="majorHAnsi" w:cstheme="majorHAnsi"/>
        </w:rPr>
      </w:pPr>
    </w:p>
    <w:p w14:paraId="4F84D41F" w14:textId="4527CE57" w:rsidR="009B6207" w:rsidRPr="00BA700B" w:rsidRDefault="000176D3" w:rsidP="000176D3">
      <w:pPr>
        <w:pStyle w:val="Heading1"/>
        <w:jc w:val="center"/>
        <w:rPr>
          <w:rFonts w:cstheme="majorHAnsi"/>
          <w:b/>
          <w:bCs/>
          <w:color w:val="auto"/>
        </w:rPr>
      </w:pPr>
      <w:r w:rsidRPr="00BA700B">
        <w:rPr>
          <w:rFonts w:cstheme="majorHAnsi"/>
          <w:b/>
          <w:bCs/>
          <w:color w:val="auto"/>
        </w:rPr>
        <w:t>Figure Content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3"/>
        <w:gridCol w:w="6804"/>
        <w:gridCol w:w="1553"/>
      </w:tblGrid>
      <w:tr w:rsidR="009B6207" w:rsidRPr="00BA700B" w14:paraId="061FCA3C" w14:textId="77777777" w:rsidTr="00E476A8">
        <w:tc>
          <w:tcPr>
            <w:tcW w:w="993" w:type="dxa"/>
          </w:tcPr>
          <w:p w14:paraId="58C7C85A" w14:textId="17E53475" w:rsidR="009B6207" w:rsidRPr="00BA700B" w:rsidRDefault="009B6207" w:rsidP="00E476A8">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Sr. No</w:t>
            </w:r>
          </w:p>
        </w:tc>
        <w:tc>
          <w:tcPr>
            <w:tcW w:w="6804" w:type="dxa"/>
          </w:tcPr>
          <w:p w14:paraId="035E0D13" w14:textId="49CCBBE2" w:rsidR="009B6207" w:rsidRPr="00BA700B" w:rsidRDefault="009B6207" w:rsidP="000176D3">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Topic</w:t>
            </w:r>
          </w:p>
        </w:tc>
        <w:tc>
          <w:tcPr>
            <w:tcW w:w="1553" w:type="dxa"/>
          </w:tcPr>
          <w:p w14:paraId="4A28465A" w14:textId="370DB034" w:rsidR="009B6207" w:rsidRPr="00BA700B" w:rsidRDefault="009B6207" w:rsidP="00E476A8">
            <w:pPr>
              <w:spacing w:line="480" w:lineRule="auto"/>
              <w:jc w:val="center"/>
              <w:rPr>
                <w:rFonts w:asciiTheme="majorHAnsi" w:hAnsiTheme="majorHAnsi" w:cstheme="majorHAnsi"/>
                <w:b/>
                <w:bCs/>
                <w:sz w:val="28"/>
                <w:szCs w:val="28"/>
              </w:rPr>
            </w:pPr>
            <w:r w:rsidRPr="00BA700B">
              <w:rPr>
                <w:rFonts w:asciiTheme="majorHAnsi" w:hAnsiTheme="majorHAnsi" w:cstheme="majorHAnsi"/>
                <w:b/>
                <w:bCs/>
                <w:sz w:val="28"/>
                <w:szCs w:val="28"/>
              </w:rPr>
              <w:t>Page No.</w:t>
            </w:r>
          </w:p>
        </w:tc>
      </w:tr>
      <w:tr w:rsidR="009B6207" w:rsidRPr="00BA700B" w14:paraId="0DB6D198" w14:textId="77777777" w:rsidTr="00E476A8">
        <w:tc>
          <w:tcPr>
            <w:tcW w:w="993" w:type="dxa"/>
          </w:tcPr>
          <w:p w14:paraId="0C9E039E" w14:textId="0E5A4105" w:rsidR="009B6207" w:rsidRPr="00BA700B" w:rsidRDefault="00B6159A" w:rsidP="004738A3">
            <w:pPr>
              <w:jc w:val="center"/>
              <w:rPr>
                <w:rFonts w:asciiTheme="majorHAnsi" w:hAnsiTheme="majorHAnsi" w:cstheme="majorHAnsi"/>
              </w:rPr>
            </w:pPr>
            <w:r w:rsidRPr="00BA700B">
              <w:rPr>
                <w:rFonts w:asciiTheme="majorHAnsi" w:hAnsiTheme="majorHAnsi" w:cstheme="majorHAnsi"/>
              </w:rPr>
              <w:t>1</w:t>
            </w:r>
          </w:p>
        </w:tc>
        <w:tc>
          <w:tcPr>
            <w:tcW w:w="6804" w:type="dxa"/>
          </w:tcPr>
          <w:p w14:paraId="24FD7122" w14:textId="47258AF9" w:rsidR="009B6207" w:rsidRPr="00BA700B" w:rsidRDefault="00B6159A" w:rsidP="004738A3">
            <w:pPr>
              <w:rPr>
                <w:rFonts w:asciiTheme="majorHAnsi" w:hAnsiTheme="majorHAnsi" w:cstheme="majorHAnsi"/>
              </w:rPr>
            </w:pPr>
            <w:r w:rsidRPr="00BA700B">
              <w:rPr>
                <w:rFonts w:asciiTheme="majorHAnsi" w:hAnsiTheme="majorHAnsi" w:cstheme="majorHAnsi"/>
              </w:rPr>
              <w:t>Key Components of ISO/IEC 27001 ISMS</w:t>
            </w:r>
          </w:p>
        </w:tc>
        <w:tc>
          <w:tcPr>
            <w:tcW w:w="1553" w:type="dxa"/>
          </w:tcPr>
          <w:p w14:paraId="29E9E9B0" w14:textId="668C3818" w:rsidR="009B6207" w:rsidRPr="00BA700B" w:rsidRDefault="00E476A8" w:rsidP="004738A3">
            <w:pPr>
              <w:jc w:val="center"/>
              <w:rPr>
                <w:rFonts w:asciiTheme="majorHAnsi" w:hAnsiTheme="majorHAnsi" w:cstheme="majorHAnsi"/>
              </w:rPr>
            </w:pPr>
            <w:r w:rsidRPr="00BA700B">
              <w:rPr>
                <w:rFonts w:asciiTheme="majorHAnsi" w:hAnsiTheme="majorHAnsi" w:cstheme="majorHAnsi"/>
              </w:rPr>
              <w:t>8</w:t>
            </w:r>
          </w:p>
        </w:tc>
      </w:tr>
      <w:tr w:rsidR="009B6207" w:rsidRPr="00BA700B" w14:paraId="3C0E2F38" w14:textId="77777777" w:rsidTr="00E476A8">
        <w:tc>
          <w:tcPr>
            <w:tcW w:w="993" w:type="dxa"/>
          </w:tcPr>
          <w:p w14:paraId="399360BA" w14:textId="3A18F4D1" w:rsidR="009B6207" w:rsidRPr="00BA700B" w:rsidRDefault="00B6159A" w:rsidP="004738A3">
            <w:pPr>
              <w:jc w:val="center"/>
              <w:rPr>
                <w:rFonts w:asciiTheme="majorHAnsi" w:hAnsiTheme="majorHAnsi" w:cstheme="majorHAnsi"/>
              </w:rPr>
            </w:pPr>
            <w:r w:rsidRPr="00BA700B">
              <w:rPr>
                <w:rFonts w:asciiTheme="majorHAnsi" w:hAnsiTheme="majorHAnsi" w:cstheme="majorHAnsi"/>
              </w:rPr>
              <w:t>2</w:t>
            </w:r>
          </w:p>
        </w:tc>
        <w:tc>
          <w:tcPr>
            <w:tcW w:w="6804" w:type="dxa"/>
          </w:tcPr>
          <w:p w14:paraId="65F2955C" w14:textId="44BF3CA9" w:rsidR="009B6207" w:rsidRPr="00BA700B" w:rsidRDefault="00B6159A" w:rsidP="004738A3">
            <w:pPr>
              <w:rPr>
                <w:rFonts w:asciiTheme="majorHAnsi" w:hAnsiTheme="majorHAnsi" w:cstheme="majorHAnsi"/>
              </w:rPr>
            </w:pPr>
            <w:r w:rsidRPr="00BA700B">
              <w:rPr>
                <w:rFonts w:asciiTheme="majorHAnsi" w:hAnsiTheme="majorHAnsi" w:cstheme="majorHAnsi"/>
              </w:rPr>
              <w:t>The Cybersecurity Framework of NIST</w:t>
            </w:r>
          </w:p>
        </w:tc>
        <w:tc>
          <w:tcPr>
            <w:tcW w:w="1553" w:type="dxa"/>
          </w:tcPr>
          <w:p w14:paraId="2658E9CD" w14:textId="3238FAAF" w:rsidR="009B6207" w:rsidRPr="00BA700B" w:rsidRDefault="00E476A8" w:rsidP="004738A3">
            <w:pPr>
              <w:jc w:val="center"/>
              <w:rPr>
                <w:rFonts w:asciiTheme="majorHAnsi" w:hAnsiTheme="majorHAnsi" w:cstheme="majorHAnsi"/>
              </w:rPr>
            </w:pPr>
            <w:r w:rsidRPr="00BA700B">
              <w:rPr>
                <w:rFonts w:asciiTheme="majorHAnsi" w:hAnsiTheme="majorHAnsi" w:cstheme="majorHAnsi"/>
              </w:rPr>
              <w:t>10</w:t>
            </w:r>
          </w:p>
        </w:tc>
      </w:tr>
      <w:tr w:rsidR="00E476A8" w:rsidRPr="00BA700B" w14:paraId="4432C66A" w14:textId="77777777" w:rsidTr="00E476A8">
        <w:tc>
          <w:tcPr>
            <w:tcW w:w="993" w:type="dxa"/>
          </w:tcPr>
          <w:p w14:paraId="6446AC6C" w14:textId="6AF2972A" w:rsidR="00E476A8" w:rsidRPr="00BA700B" w:rsidRDefault="00E476A8" w:rsidP="004738A3">
            <w:pPr>
              <w:jc w:val="center"/>
              <w:rPr>
                <w:rFonts w:asciiTheme="majorHAnsi" w:hAnsiTheme="majorHAnsi" w:cstheme="majorHAnsi"/>
              </w:rPr>
            </w:pPr>
            <w:r w:rsidRPr="00BA700B">
              <w:rPr>
                <w:rFonts w:asciiTheme="majorHAnsi" w:hAnsiTheme="majorHAnsi" w:cstheme="majorHAnsi"/>
              </w:rPr>
              <w:t>3</w:t>
            </w:r>
          </w:p>
        </w:tc>
        <w:tc>
          <w:tcPr>
            <w:tcW w:w="6804" w:type="dxa"/>
          </w:tcPr>
          <w:p w14:paraId="06519A95" w14:textId="779E0B1C" w:rsidR="00E476A8" w:rsidRPr="00BA700B" w:rsidRDefault="00E476A8" w:rsidP="004738A3">
            <w:pPr>
              <w:rPr>
                <w:rFonts w:asciiTheme="majorHAnsi" w:hAnsiTheme="majorHAnsi" w:cstheme="majorHAnsi"/>
              </w:rPr>
            </w:pPr>
            <w:r w:rsidRPr="00BA700B">
              <w:rPr>
                <w:rFonts w:asciiTheme="majorHAnsi" w:hAnsiTheme="majorHAnsi" w:cstheme="majorHAnsi"/>
              </w:rPr>
              <w:t>Risk Assessment and Mitigation Lifecycle</w:t>
            </w:r>
          </w:p>
        </w:tc>
        <w:tc>
          <w:tcPr>
            <w:tcW w:w="1553" w:type="dxa"/>
          </w:tcPr>
          <w:p w14:paraId="03A3F676" w14:textId="470A202C" w:rsidR="00E476A8" w:rsidRPr="00BA700B" w:rsidRDefault="00E476A8" w:rsidP="004738A3">
            <w:pPr>
              <w:jc w:val="center"/>
              <w:rPr>
                <w:rFonts w:asciiTheme="majorHAnsi" w:hAnsiTheme="majorHAnsi" w:cstheme="majorHAnsi"/>
              </w:rPr>
            </w:pPr>
            <w:r w:rsidRPr="00BA700B">
              <w:rPr>
                <w:rFonts w:asciiTheme="majorHAnsi" w:hAnsiTheme="majorHAnsi" w:cstheme="majorHAnsi"/>
              </w:rPr>
              <w:t>14</w:t>
            </w:r>
          </w:p>
        </w:tc>
      </w:tr>
      <w:tr w:rsidR="009B6207" w:rsidRPr="00BA700B" w14:paraId="2655CB29" w14:textId="77777777" w:rsidTr="00E476A8">
        <w:tc>
          <w:tcPr>
            <w:tcW w:w="993" w:type="dxa"/>
          </w:tcPr>
          <w:p w14:paraId="073657B5" w14:textId="42C41E45" w:rsidR="009B6207" w:rsidRPr="00BA700B" w:rsidRDefault="00E476A8" w:rsidP="004738A3">
            <w:pPr>
              <w:jc w:val="center"/>
              <w:rPr>
                <w:rFonts w:asciiTheme="majorHAnsi" w:hAnsiTheme="majorHAnsi" w:cstheme="majorHAnsi"/>
              </w:rPr>
            </w:pPr>
            <w:r w:rsidRPr="00BA700B">
              <w:rPr>
                <w:rFonts w:asciiTheme="majorHAnsi" w:hAnsiTheme="majorHAnsi" w:cstheme="majorHAnsi"/>
              </w:rPr>
              <w:t>4</w:t>
            </w:r>
          </w:p>
        </w:tc>
        <w:tc>
          <w:tcPr>
            <w:tcW w:w="6804" w:type="dxa"/>
          </w:tcPr>
          <w:p w14:paraId="4ACF5E7F" w14:textId="5B80FFA9" w:rsidR="009B6207" w:rsidRPr="00BA700B" w:rsidRDefault="00B6159A" w:rsidP="004738A3">
            <w:pPr>
              <w:rPr>
                <w:rFonts w:asciiTheme="majorHAnsi" w:hAnsiTheme="majorHAnsi" w:cstheme="majorHAnsi"/>
              </w:rPr>
            </w:pPr>
            <w:r w:rsidRPr="00BA700B">
              <w:rPr>
                <w:rFonts w:asciiTheme="majorHAnsi" w:hAnsiTheme="majorHAnsi" w:cstheme="majorHAnsi"/>
              </w:rPr>
              <w:t>Layered Network Security Architecture</w:t>
            </w:r>
          </w:p>
        </w:tc>
        <w:tc>
          <w:tcPr>
            <w:tcW w:w="1553" w:type="dxa"/>
          </w:tcPr>
          <w:p w14:paraId="1068FA44" w14:textId="2B790B87" w:rsidR="009B6207" w:rsidRPr="00BA700B" w:rsidRDefault="00E476A8" w:rsidP="004738A3">
            <w:pPr>
              <w:jc w:val="center"/>
              <w:rPr>
                <w:rFonts w:asciiTheme="majorHAnsi" w:hAnsiTheme="majorHAnsi" w:cstheme="majorHAnsi"/>
              </w:rPr>
            </w:pPr>
            <w:r w:rsidRPr="00BA700B">
              <w:rPr>
                <w:rFonts w:asciiTheme="majorHAnsi" w:hAnsiTheme="majorHAnsi" w:cstheme="majorHAnsi"/>
              </w:rPr>
              <w:t>20</w:t>
            </w:r>
          </w:p>
        </w:tc>
      </w:tr>
      <w:tr w:rsidR="00B6159A" w:rsidRPr="00BA700B" w14:paraId="4A585746" w14:textId="77777777" w:rsidTr="00E476A8">
        <w:tc>
          <w:tcPr>
            <w:tcW w:w="993" w:type="dxa"/>
          </w:tcPr>
          <w:p w14:paraId="12E15D11" w14:textId="7D8420F0" w:rsidR="00B6159A" w:rsidRPr="00BA700B" w:rsidRDefault="00E476A8" w:rsidP="004738A3">
            <w:pPr>
              <w:jc w:val="center"/>
              <w:rPr>
                <w:rFonts w:asciiTheme="majorHAnsi" w:hAnsiTheme="majorHAnsi" w:cstheme="majorHAnsi"/>
              </w:rPr>
            </w:pPr>
            <w:r w:rsidRPr="00BA700B">
              <w:rPr>
                <w:rFonts w:asciiTheme="majorHAnsi" w:hAnsiTheme="majorHAnsi" w:cstheme="majorHAnsi"/>
              </w:rPr>
              <w:t>5</w:t>
            </w:r>
          </w:p>
        </w:tc>
        <w:tc>
          <w:tcPr>
            <w:tcW w:w="6804" w:type="dxa"/>
          </w:tcPr>
          <w:p w14:paraId="6ABC2280" w14:textId="62F29DF0" w:rsidR="00B6159A" w:rsidRPr="00BA700B" w:rsidRDefault="00B6159A" w:rsidP="004738A3">
            <w:pPr>
              <w:rPr>
                <w:rFonts w:asciiTheme="majorHAnsi" w:hAnsiTheme="majorHAnsi" w:cstheme="majorHAnsi"/>
              </w:rPr>
            </w:pPr>
            <w:r w:rsidRPr="00BA700B">
              <w:rPr>
                <w:rFonts w:asciiTheme="majorHAnsi" w:hAnsiTheme="majorHAnsi" w:cstheme="majorHAnsi"/>
              </w:rPr>
              <w:t>Zero Trust architectures</w:t>
            </w:r>
          </w:p>
        </w:tc>
        <w:tc>
          <w:tcPr>
            <w:tcW w:w="1553" w:type="dxa"/>
          </w:tcPr>
          <w:p w14:paraId="4E8473B9" w14:textId="1378F518" w:rsidR="00B6159A" w:rsidRPr="00BA700B" w:rsidRDefault="00E476A8" w:rsidP="004738A3">
            <w:pPr>
              <w:jc w:val="center"/>
              <w:rPr>
                <w:rFonts w:asciiTheme="majorHAnsi" w:hAnsiTheme="majorHAnsi" w:cstheme="majorHAnsi"/>
              </w:rPr>
            </w:pPr>
            <w:r w:rsidRPr="00BA700B">
              <w:rPr>
                <w:rFonts w:asciiTheme="majorHAnsi" w:hAnsiTheme="majorHAnsi" w:cstheme="majorHAnsi"/>
              </w:rPr>
              <w:t>20</w:t>
            </w:r>
          </w:p>
        </w:tc>
      </w:tr>
    </w:tbl>
    <w:p w14:paraId="709ED7D8" w14:textId="38222AF1" w:rsidR="00C20424" w:rsidRPr="00BA700B" w:rsidRDefault="00C20424">
      <w:pPr>
        <w:rPr>
          <w:rFonts w:asciiTheme="majorHAnsi" w:hAnsiTheme="majorHAnsi" w:cstheme="majorHAnsi"/>
        </w:rPr>
      </w:pPr>
      <w:r w:rsidRPr="00BA700B">
        <w:rPr>
          <w:rFonts w:asciiTheme="majorHAnsi" w:hAnsiTheme="majorHAnsi" w:cstheme="majorHAnsi"/>
        </w:rPr>
        <w:br w:type="page"/>
      </w:r>
    </w:p>
    <w:p w14:paraId="2EC301BE" w14:textId="27455F98" w:rsidR="00047558" w:rsidRPr="00BA700B" w:rsidRDefault="00047558" w:rsidP="007864C2">
      <w:pPr>
        <w:pStyle w:val="Heading1"/>
        <w:jc w:val="center"/>
        <w:rPr>
          <w:rFonts w:cstheme="majorHAnsi"/>
          <w:b/>
          <w:bCs/>
          <w:color w:val="auto"/>
        </w:rPr>
      </w:pPr>
      <w:r w:rsidRPr="00BA700B">
        <w:rPr>
          <w:rFonts w:cstheme="majorHAnsi"/>
          <w:b/>
          <w:bCs/>
          <w:color w:val="auto"/>
        </w:rPr>
        <w:lastRenderedPageBreak/>
        <w:t>Abstract</w:t>
      </w:r>
    </w:p>
    <w:p w14:paraId="596B47D2" w14:textId="77777777" w:rsidR="002F4BA7" w:rsidRPr="002F4BA7" w:rsidRDefault="002F4BA7" w:rsidP="002F4BA7">
      <w:pPr>
        <w:jc w:val="both"/>
        <w:rPr>
          <w:rFonts w:asciiTheme="majorHAnsi" w:hAnsiTheme="majorHAnsi" w:cstheme="majorHAnsi"/>
        </w:rPr>
      </w:pPr>
      <w:r w:rsidRPr="002F4BA7">
        <w:rPr>
          <w:rFonts w:asciiTheme="majorHAnsi" w:hAnsiTheme="majorHAnsi" w:cstheme="majorHAnsi"/>
        </w:rPr>
        <w:t>Cloud-based design and online technology are not only transforming the finance sector and now effective and scalable online banking is now possible. Despite making a significant improvement, it has also led to the subsequent cyber vulnerability among the protection of sensitive financial, transactional, and PII data. The financial sector requires good governance, enterprise risk management and compliance framework to support the confidentiality, integrity and availability (CIA triad) of important information of the critical assets.</w:t>
      </w:r>
    </w:p>
    <w:p w14:paraId="03AF278C" w14:textId="77777777" w:rsidR="002F4BA7" w:rsidRPr="002F4BA7" w:rsidRDefault="002F4BA7" w:rsidP="002F4BA7">
      <w:pPr>
        <w:jc w:val="both"/>
        <w:rPr>
          <w:rFonts w:asciiTheme="majorHAnsi" w:hAnsiTheme="majorHAnsi" w:cstheme="majorHAnsi"/>
        </w:rPr>
      </w:pPr>
      <w:r w:rsidRPr="002F4BA7">
        <w:rPr>
          <w:rFonts w:asciiTheme="majorHAnsi" w:hAnsiTheme="majorHAnsi" w:cstheme="majorHAnsi"/>
        </w:rPr>
        <w:t>The article uses the FinSure Bank case study to analyze how institutionalized systems of cybersecurity governance could mitigate cyber dangers in online banking systems. The evaluation comprises of world models such as COBIT, ISO/IEC 27001, and the NIST Cybersecurity Framework as well as ITIL. Such models find application in the process of risk assessment, regulatory compliance, and deployments of Information Security Management Systems or ISMS.</w:t>
      </w:r>
    </w:p>
    <w:p w14:paraId="5A7363AD" w14:textId="718CDAAE" w:rsidR="00047558" w:rsidRPr="00BA700B" w:rsidRDefault="002F4BA7" w:rsidP="002F4BA7">
      <w:pPr>
        <w:jc w:val="both"/>
        <w:rPr>
          <w:rFonts w:asciiTheme="majorHAnsi" w:hAnsiTheme="majorHAnsi" w:cstheme="majorHAnsi"/>
        </w:rPr>
      </w:pPr>
      <w:r w:rsidRPr="002F4BA7">
        <w:rPr>
          <w:rFonts w:asciiTheme="majorHAnsi" w:hAnsiTheme="majorHAnsi" w:cstheme="majorHAnsi"/>
        </w:rPr>
        <w:t>According to the report, there is a range of critical weaknesses in the service environment of FinSure Bank. They are threats to the bank cloud service, BYOD policy, mobile banking solutions, and non-existent governance structure. In the light of these concerns, the suggested study integrates a Governance, Risk and Compliance (GRC) model to empower cyber resilience in financial information systems to ensure an establishment of law compliance, and further maximize the security of the ever-evolving digital banking.</w:t>
      </w:r>
      <w:r w:rsidR="00047558" w:rsidRPr="00BA700B">
        <w:rPr>
          <w:rFonts w:asciiTheme="majorHAnsi" w:hAnsiTheme="majorHAnsi" w:cstheme="majorHAnsi"/>
        </w:rPr>
        <w:br w:type="page"/>
      </w:r>
    </w:p>
    <w:p w14:paraId="5C6A0E8F" w14:textId="3619572E" w:rsidR="00047558" w:rsidRPr="00BA700B" w:rsidRDefault="00047558" w:rsidP="0078125A">
      <w:pPr>
        <w:pStyle w:val="Heading1"/>
        <w:numPr>
          <w:ilvl w:val="0"/>
          <w:numId w:val="2"/>
        </w:numPr>
        <w:jc w:val="center"/>
        <w:rPr>
          <w:rFonts w:cstheme="majorHAnsi"/>
          <w:b/>
          <w:bCs/>
          <w:color w:val="auto"/>
        </w:rPr>
      </w:pPr>
      <w:r w:rsidRPr="00BA700B">
        <w:rPr>
          <w:rFonts w:cstheme="majorHAnsi"/>
          <w:b/>
          <w:bCs/>
          <w:color w:val="auto"/>
        </w:rPr>
        <w:lastRenderedPageBreak/>
        <w:t>Introduction</w:t>
      </w:r>
    </w:p>
    <w:p w14:paraId="5B75AF78" w14:textId="400C389F" w:rsidR="00AD51DD" w:rsidRPr="00BA700B" w:rsidRDefault="00AD51DD" w:rsidP="00AD51DD">
      <w:pPr>
        <w:jc w:val="both"/>
        <w:rPr>
          <w:rFonts w:asciiTheme="majorHAnsi" w:hAnsiTheme="majorHAnsi" w:cstheme="majorHAnsi"/>
        </w:rPr>
      </w:pPr>
      <w:r w:rsidRPr="00BA700B">
        <w:rPr>
          <w:rFonts w:asciiTheme="majorHAnsi" w:hAnsiTheme="majorHAnsi" w:cstheme="majorHAnsi"/>
        </w:rPr>
        <w:t>The rapid pace of digital technologies and growth of internet-oriented services has influenced the functioning of financial institutions. While digital banking platforms enable better service delivery, efficiency and accessibility, they are believed to cause significant cyber and data security issues. As organisations increasingly rely on increasingly on cloud networks and mobile technology, as well as their interconnected networks, their organisational attack surface increases which can expose their systems to cyber-attacks such as data breaches and unauthorised access to sensitive financial and personally identifiable data [1].</w:t>
      </w:r>
    </w:p>
    <w:p w14:paraId="4CD9795E" w14:textId="77777777" w:rsidR="00AD51DD" w:rsidRPr="00BA700B" w:rsidRDefault="00AD51DD" w:rsidP="00AD51DD">
      <w:pPr>
        <w:jc w:val="both"/>
        <w:rPr>
          <w:rFonts w:asciiTheme="majorHAnsi" w:hAnsiTheme="majorHAnsi" w:cstheme="majorHAnsi"/>
        </w:rPr>
      </w:pPr>
      <w:r w:rsidRPr="00BA700B">
        <w:rPr>
          <w:rFonts w:asciiTheme="majorHAnsi" w:hAnsiTheme="majorHAnsi" w:cstheme="majorHAnsi"/>
        </w:rPr>
        <w:t>As a result, inclusion of information security in the risk management ensures that the security is reliable for the corporate governance. As per Basie and Johan, cyber security strategies, should have technology protection that upholds the CIA of information assets, and governance in place.  [2]</w:t>
      </w:r>
    </w:p>
    <w:p w14:paraId="4E11DEC5" w14:textId="77777777" w:rsidR="00AD51DD" w:rsidRPr="00BA700B" w:rsidRDefault="00AD51DD" w:rsidP="00AD51DD">
      <w:pPr>
        <w:jc w:val="both"/>
        <w:rPr>
          <w:rFonts w:asciiTheme="majorHAnsi" w:hAnsiTheme="majorHAnsi" w:cstheme="majorHAnsi"/>
        </w:rPr>
      </w:pPr>
      <w:r w:rsidRPr="00BA700B">
        <w:rPr>
          <w:rFonts w:asciiTheme="majorHAnsi" w:hAnsiTheme="majorHAnsi" w:cstheme="majorHAnsi"/>
        </w:rPr>
        <w:t>To avoid these threats and create information security management system (ISMS) and continual security improvement, organizations also use well-known standards such as ISO/IEC 27001, ITIL, and COBIT [3][4].</w:t>
      </w:r>
    </w:p>
    <w:p w14:paraId="1E9BFA52" w14:textId="77777777" w:rsidR="00AD51DD" w:rsidRPr="00BA700B" w:rsidRDefault="00AD51DD" w:rsidP="00AD51DD">
      <w:pPr>
        <w:jc w:val="both"/>
        <w:rPr>
          <w:rFonts w:asciiTheme="majorHAnsi" w:hAnsiTheme="majorHAnsi" w:cstheme="majorHAnsi"/>
        </w:rPr>
      </w:pPr>
      <w:r w:rsidRPr="00BA700B">
        <w:rPr>
          <w:rFonts w:asciiTheme="majorHAnsi" w:hAnsiTheme="majorHAnsi" w:cstheme="majorHAnsi"/>
        </w:rPr>
        <w:t xml:space="preserve">The case of FinSure Bank illustrates the complexity of cybersecurity associated with cloud computing infrastructures, remote work and BYOD which increase the threat and risk of facing identities theft, fraud, insider threat, </w:t>
      </w:r>
      <w:proofErr w:type="spellStart"/>
      <w:r w:rsidRPr="00BA700B">
        <w:rPr>
          <w:rFonts w:asciiTheme="majorHAnsi" w:hAnsiTheme="majorHAnsi" w:cstheme="majorHAnsi"/>
        </w:rPr>
        <w:t>etc</w:t>
      </w:r>
      <w:proofErr w:type="spellEnd"/>
      <w:r w:rsidRPr="00BA700B">
        <w:rPr>
          <w:rFonts w:asciiTheme="majorHAnsi" w:hAnsiTheme="majorHAnsi" w:cstheme="majorHAnsi"/>
        </w:rPr>
        <w:t xml:space="preserve"> [5].</w:t>
      </w:r>
    </w:p>
    <w:p w14:paraId="3E2E2AD0" w14:textId="60DECB97" w:rsidR="00047558" w:rsidRPr="00BA700B" w:rsidRDefault="00AD51DD" w:rsidP="00AD51DD">
      <w:pPr>
        <w:jc w:val="both"/>
        <w:rPr>
          <w:rFonts w:asciiTheme="majorHAnsi" w:hAnsiTheme="majorHAnsi" w:cstheme="majorHAnsi"/>
        </w:rPr>
      </w:pPr>
      <w:r w:rsidRPr="00BA700B">
        <w:rPr>
          <w:rFonts w:asciiTheme="majorHAnsi" w:hAnsiTheme="majorHAnsi" w:cstheme="majorHAnsi"/>
        </w:rPr>
        <w:t>In this regard, the paper will evaluate the existing security systems and provide a proposal for an integrated Governance, Risk and Compliance (GRC) model that can be implemented to enhance organisational cybersecurity resiliency and compliance.</w:t>
      </w:r>
      <w:r w:rsidR="00047558" w:rsidRPr="00BA700B">
        <w:rPr>
          <w:rFonts w:asciiTheme="majorHAnsi" w:hAnsiTheme="majorHAnsi" w:cstheme="majorHAnsi"/>
        </w:rPr>
        <w:br w:type="page"/>
      </w:r>
    </w:p>
    <w:p w14:paraId="36764BBF" w14:textId="78D154F1" w:rsidR="007D1EF4" w:rsidRPr="00BA700B" w:rsidRDefault="002F3554" w:rsidP="0078125A">
      <w:pPr>
        <w:pStyle w:val="Heading1"/>
        <w:numPr>
          <w:ilvl w:val="0"/>
          <w:numId w:val="2"/>
        </w:numPr>
        <w:jc w:val="center"/>
        <w:rPr>
          <w:rFonts w:cstheme="majorHAnsi"/>
          <w:b/>
          <w:bCs/>
          <w:color w:val="auto"/>
        </w:rPr>
      </w:pPr>
      <w:r w:rsidRPr="00BA700B">
        <w:rPr>
          <w:rFonts w:cstheme="majorHAnsi"/>
          <w:b/>
          <w:bCs/>
          <w:color w:val="auto"/>
        </w:rPr>
        <w:lastRenderedPageBreak/>
        <w:t>Literature Review: Frameworks and Models for Information Security</w:t>
      </w:r>
    </w:p>
    <w:p w14:paraId="35DB1132" w14:textId="588A1BB8" w:rsidR="0078125A" w:rsidRPr="00BA700B" w:rsidRDefault="00A21614" w:rsidP="00AD51DD">
      <w:pPr>
        <w:jc w:val="both"/>
        <w:rPr>
          <w:rFonts w:asciiTheme="majorHAnsi" w:hAnsiTheme="majorHAnsi" w:cstheme="majorHAnsi"/>
        </w:rPr>
      </w:pPr>
      <w:r w:rsidRPr="00BA700B">
        <w:rPr>
          <w:rFonts w:asciiTheme="majorHAnsi" w:hAnsiTheme="majorHAnsi" w:cstheme="majorHAnsi"/>
        </w:rPr>
        <w:t xml:space="preserve">Digital infrastructures develop exponentially and the need to comply with regulations is required to implement structured information security architectures and governance frameworks to protect vital information assets and maintain regulatory responsibility. These frameworks provide structure methodologies of detecting, </w:t>
      </w:r>
      <w:r w:rsidR="00C70DEC" w:rsidRPr="00BA700B">
        <w:rPr>
          <w:rFonts w:asciiTheme="majorHAnsi" w:hAnsiTheme="majorHAnsi" w:cstheme="majorHAnsi"/>
        </w:rPr>
        <w:t>analyzing</w:t>
      </w:r>
      <w:r w:rsidRPr="00BA700B">
        <w:rPr>
          <w:rFonts w:asciiTheme="majorHAnsi" w:hAnsiTheme="majorHAnsi" w:cstheme="majorHAnsi"/>
        </w:rPr>
        <w:t xml:space="preserve">, and treating cybersecurity threats thus defining control governance and technical protection controls. Evidence-based research has shown that organisations with formal security governance are more resilient to cyberattacks and increased resilience in risk-management, and in highly regulated industries like the financial services, such as financial services [6]. </w:t>
      </w:r>
      <w:r w:rsidR="00C70DEC" w:rsidRPr="00BA700B">
        <w:rPr>
          <w:rFonts w:asciiTheme="majorHAnsi" w:hAnsiTheme="majorHAnsi" w:cstheme="majorHAnsi"/>
        </w:rPr>
        <w:t xml:space="preserve"> </w:t>
      </w:r>
      <w:r w:rsidRPr="00BA700B">
        <w:rPr>
          <w:rFonts w:asciiTheme="majorHAnsi" w:hAnsiTheme="majorHAnsi" w:cstheme="majorHAnsi"/>
        </w:rPr>
        <w:t>Enterprise risk management, compliance with regulations and the ongoing enhancement of organisational security governance are facilitated by frameworks such as ISO/IEC 23501, ITIL, COBIT, and the NIST Cybersecurity Framework [7].</w:t>
      </w:r>
    </w:p>
    <w:p w14:paraId="7C45FB2B" w14:textId="30D1E380" w:rsidR="0066232D" w:rsidRPr="00BA700B" w:rsidRDefault="0066232D" w:rsidP="00AD51DD">
      <w:pPr>
        <w:jc w:val="both"/>
        <w:rPr>
          <w:rFonts w:asciiTheme="majorHAnsi" w:hAnsiTheme="majorHAnsi" w:cstheme="majorHAnsi"/>
          <w:b/>
          <w:bCs/>
          <w:sz w:val="22"/>
          <w:szCs w:val="22"/>
        </w:rPr>
      </w:pPr>
      <w:r w:rsidRPr="00BA700B">
        <w:rPr>
          <w:rStyle w:val="Heading2Char"/>
          <w:rFonts w:cstheme="majorHAnsi"/>
          <w:b/>
          <w:bCs/>
          <w:color w:val="auto"/>
          <w:sz w:val="28"/>
          <w:szCs w:val="28"/>
        </w:rPr>
        <w:t xml:space="preserve">2.1 </w:t>
      </w:r>
      <w:r w:rsidR="00EF6F15" w:rsidRPr="00BA700B">
        <w:rPr>
          <w:rStyle w:val="Heading2Char"/>
          <w:rFonts w:cstheme="majorHAnsi"/>
          <w:b/>
          <w:bCs/>
          <w:color w:val="auto"/>
          <w:sz w:val="28"/>
          <w:szCs w:val="28"/>
        </w:rPr>
        <w:t>Information Security Frameworks Overview</w:t>
      </w:r>
    </w:p>
    <w:p w14:paraId="0DB341C5" w14:textId="77777777" w:rsidR="00EF6F15" w:rsidRPr="00BA700B" w:rsidRDefault="00EF6F15" w:rsidP="00AD51DD">
      <w:pPr>
        <w:jc w:val="both"/>
        <w:rPr>
          <w:rFonts w:asciiTheme="majorHAnsi" w:hAnsiTheme="majorHAnsi" w:cstheme="majorHAnsi"/>
        </w:rPr>
      </w:pPr>
      <w:r w:rsidRPr="00BA700B">
        <w:rPr>
          <w:rFonts w:asciiTheme="majorHAnsi" w:hAnsiTheme="majorHAnsi" w:cstheme="majorHAnsi"/>
        </w:rPr>
        <w:t xml:space="preserve">Formal governance procedures called information security frameworks are designed to safeguard an organization's information systems. The frameworks support the use of accepted standards, best practices, and operational guidelines in the development of security policies, governance structures, and technical and administrative controls. </w:t>
      </w:r>
      <w:r w:rsidR="00A21614" w:rsidRPr="00BA700B">
        <w:rPr>
          <w:rFonts w:asciiTheme="majorHAnsi" w:hAnsiTheme="majorHAnsi" w:cstheme="majorHAnsi"/>
        </w:rPr>
        <w:t xml:space="preserve">Empirical data indicates that formal frameworks enable more effective organisations to determine the vulnerabilities and introduce risk-based controls, as well as sustain uniform security operations within complex working settings [8]. Multi-framework approach is widely used by financial services institutions, which integrate the ISO/IEC 27 001, ITIL, COBIT, and </w:t>
      </w:r>
      <w:r w:rsidRPr="00BA700B">
        <w:rPr>
          <w:rFonts w:asciiTheme="majorHAnsi" w:hAnsiTheme="majorHAnsi" w:cstheme="majorHAnsi"/>
        </w:rPr>
        <w:t>The NIST Cybersecurity Framework aims to enhance enterprise risk management, governance, and regulatory compliance in order to address the complex cybersecurity challenge.</w:t>
      </w:r>
    </w:p>
    <w:tbl>
      <w:tblPr>
        <w:tblStyle w:val="GridTable1Light"/>
        <w:tblW w:w="0" w:type="auto"/>
        <w:tblLook w:val="04A0" w:firstRow="1" w:lastRow="0" w:firstColumn="1" w:lastColumn="0" w:noHBand="0" w:noVBand="1"/>
      </w:tblPr>
      <w:tblGrid>
        <w:gridCol w:w="1696"/>
        <w:gridCol w:w="2242"/>
        <w:gridCol w:w="2649"/>
        <w:gridCol w:w="2763"/>
      </w:tblGrid>
      <w:tr w:rsidR="007D1EF4" w:rsidRPr="00BA700B" w14:paraId="2EC92E38" w14:textId="77777777" w:rsidTr="00F109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46294221" w14:textId="77777777" w:rsidR="007D1EF4" w:rsidRPr="00BA700B" w:rsidRDefault="007D1EF4" w:rsidP="009F0D8C">
            <w:pPr>
              <w:spacing w:after="160" w:line="278" w:lineRule="auto"/>
              <w:jc w:val="center"/>
              <w:rPr>
                <w:rFonts w:asciiTheme="majorHAnsi" w:hAnsiTheme="majorHAnsi" w:cstheme="majorHAnsi"/>
              </w:rPr>
            </w:pPr>
            <w:r w:rsidRPr="00BA700B">
              <w:rPr>
                <w:rFonts w:asciiTheme="majorHAnsi" w:hAnsiTheme="majorHAnsi" w:cstheme="majorHAnsi"/>
              </w:rPr>
              <w:t>Framework</w:t>
            </w:r>
          </w:p>
        </w:tc>
        <w:tc>
          <w:tcPr>
            <w:tcW w:w="2242" w:type="dxa"/>
            <w:hideMark/>
          </w:tcPr>
          <w:p w14:paraId="37DAC7DA" w14:textId="2F630C6D" w:rsidR="007D1EF4" w:rsidRPr="00BA700B" w:rsidRDefault="00A96B37" w:rsidP="009F0D8C">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 xml:space="preserve">Main Focus </w:t>
            </w:r>
          </w:p>
        </w:tc>
        <w:tc>
          <w:tcPr>
            <w:tcW w:w="2649" w:type="dxa"/>
            <w:hideMark/>
          </w:tcPr>
          <w:p w14:paraId="5F31C432" w14:textId="74D10407" w:rsidR="007D1EF4" w:rsidRPr="00BA700B" w:rsidRDefault="00A96B37" w:rsidP="009F0D8C">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Characteristic Features</w:t>
            </w:r>
          </w:p>
        </w:tc>
        <w:tc>
          <w:tcPr>
            <w:tcW w:w="0" w:type="auto"/>
            <w:hideMark/>
          </w:tcPr>
          <w:p w14:paraId="13408F61" w14:textId="77777777" w:rsidR="007D1EF4" w:rsidRPr="00BA700B" w:rsidRDefault="007D1EF4" w:rsidP="009F0D8C">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Organisational Benefits</w:t>
            </w:r>
          </w:p>
        </w:tc>
      </w:tr>
      <w:tr w:rsidR="007D1EF4" w:rsidRPr="00BA700B" w14:paraId="1852B530" w14:textId="77777777" w:rsidTr="00F10994">
        <w:tc>
          <w:tcPr>
            <w:cnfStyle w:val="001000000000" w:firstRow="0" w:lastRow="0" w:firstColumn="1" w:lastColumn="0" w:oddVBand="0" w:evenVBand="0" w:oddHBand="0" w:evenHBand="0" w:firstRowFirstColumn="0" w:firstRowLastColumn="0" w:lastRowFirstColumn="0" w:lastRowLastColumn="0"/>
            <w:tcW w:w="1696" w:type="dxa"/>
            <w:hideMark/>
          </w:tcPr>
          <w:p w14:paraId="76FED3BC" w14:textId="77777777" w:rsidR="007D1EF4" w:rsidRPr="00BA700B" w:rsidRDefault="007D1EF4" w:rsidP="0078125A">
            <w:pPr>
              <w:spacing w:after="160" w:line="278" w:lineRule="auto"/>
              <w:rPr>
                <w:rFonts w:asciiTheme="majorHAnsi" w:hAnsiTheme="majorHAnsi" w:cstheme="majorHAnsi"/>
              </w:rPr>
            </w:pPr>
            <w:r w:rsidRPr="00BA700B">
              <w:rPr>
                <w:rFonts w:asciiTheme="majorHAnsi" w:hAnsiTheme="majorHAnsi" w:cstheme="majorHAnsi"/>
              </w:rPr>
              <w:t>ISO/IEC 27001</w:t>
            </w:r>
          </w:p>
        </w:tc>
        <w:tc>
          <w:tcPr>
            <w:tcW w:w="2242" w:type="dxa"/>
            <w:hideMark/>
          </w:tcPr>
          <w:p w14:paraId="290DD8BF"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Information security management</w:t>
            </w:r>
          </w:p>
        </w:tc>
        <w:tc>
          <w:tcPr>
            <w:tcW w:w="2649" w:type="dxa"/>
            <w:hideMark/>
          </w:tcPr>
          <w:p w14:paraId="1340DE32" w14:textId="603B1668" w:rsidR="007D1EF4" w:rsidRPr="00BA700B" w:rsidRDefault="00A96B37"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Security controls, risk assessment, and implementation of ISMS.</w:t>
            </w:r>
          </w:p>
        </w:tc>
        <w:tc>
          <w:tcPr>
            <w:tcW w:w="0" w:type="auto"/>
            <w:hideMark/>
          </w:tcPr>
          <w:p w14:paraId="3A98F097" w14:textId="4E501672" w:rsidR="007D1EF4" w:rsidRPr="00BA700B" w:rsidRDefault="00A96B37"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Secures and safeguards information resources and maintains regulatory control.</w:t>
            </w:r>
          </w:p>
        </w:tc>
      </w:tr>
      <w:tr w:rsidR="007D1EF4" w:rsidRPr="00BA700B" w14:paraId="66274AB2" w14:textId="77777777" w:rsidTr="00F10994">
        <w:tc>
          <w:tcPr>
            <w:cnfStyle w:val="001000000000" w:firstRow="0" w:lastRow="0" w:firstColumn="1" w:lastColumn="0" w:oddVBand="0" w:evenVBand="0" w:oddHBand="0" w:evenHBand="0" w:firstRowFirstColumn="0" w:firstRowLastColumn="0" w:lastRowFirstColumn="0" w:lastRowLastColumn="0"/>
            <w:tcW w:w="1696" w:type="dxa"/>
            <w:hideMark/>
          </w:tcPr>
          <w:p w14:paraId="37FDAE3B" w14:textId="77777777" w:rsidR="007D1EF4" w:rsidRPr="00BA700B" w:rsidRDefault="007D1EF4" w:rsidP="0078125A">
            <w:pPr>
              <w:spacing w:after="160" w:line="278" w:lineRule="auto"/>
              <w:rPr>
                <w:rFonts w:asciiTheme="majorHAnsi" w:hAnsiTheme="majorHAnsi" w:cstheme="majorHAnsi"/>
              </w:rPr>
            </w:pPr>
            <w:r w:rsidRPr="00BA700B">
              <w:rPr>
                <w:rFonts w:asciiTheme="majorHAnsi" w:hAnsiTheme="majorHAnsi" w:cstheme="majorHAnsi"/>
              </w:rPr>
              <w:t>ITIL</w:t>
            </w:r>
          </w:p>
        </w:tc>
        <w:tc>
          <w:tcPr>
            <w:tcW w:w="2242" w:type="dxa"/>
            <w:hideMark/>
          </w:tcPr>
          <w:p w14:paraId="1A11E554"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IT service management</w:t>
            </w:r>
          </w:p>
        </w:tc>
        <w:tc>
          <w:tcPr>
            <w:tcW w:w="2649" w:type="dxa"/>
            <w:hideMark/>
          </w:tcPr>
          <w:p w14:paraId="3B977D77" w14:textId="44AB4774" w:rsidR="007D1EF4" w:rsidRPr="00BA700B" w:rsidRDefault="00A96B37"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Lifecycle management and process optimization of services.</w:t>
            </w:r>
          </w:p>
        </w:tc>
        <w:tc>
          <w:tcPr>
            <w:tcW w:w="0" w:type="auto"/>
            <w:hideMark/>
          </w:tcPr>
          <w:p w14:paraId="3DB50FAE" w14:textId="4EDD007D" w:rsidR="007D1EF4" w:rsidRPr="00BA700B" w:rsidRDefault="00A96B37"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Enhances reliability of service and adopts security as an operations concern.</w:t>
            </w:r>
          </w:p>
        </w:tc>
      </w:tr>
      <w:tr w:rsidR="007D1EF4" w:rsidRPr="00BA700B" w14:paraId="5656F0B4" w14:textId="77777777" w:rsidTr="00F10994">
        <w:tc>
          <w:tcPr>
            <w:cnfStyle w:val="001000000000" w:firstRow="0" w:lastRow="0" w:firstColumn="1" w:lastColumn="0" w:oddVBand="0" w:evenVBand="0" w:oddHBand="0" w:evenHBand="0" w:firstRowFirstColumn="0" w:firstRowLastColumn="0" w:lastRowFirstColumn="0" w:lastRowLastColumn="0"/>
            <w:tcW w:w="1696" w:type="dxa"/>
            <w:hideMark/>
          </w:tcPr>
          <w:p w14:paraId="0C696941" w14:textId="77777777" w:rsidR="007D1EF4" w:rsidRPr="00BA700B" w:rsidRDefault="007D1EF4" w:rsidP="0078125A">
            <w:pPr>
              <w:spacing w:after="160" w:line="278" w:lineRule="auto"/>
              <w:rPr>
                <w:rFonts w:asciiTheme="majorHAnsi" w:hAnsiTheme="majorHAnsi" w:cstheme="majorHAnsi"/>
              </w:rPr>
            </w:pPr>
            <w:r w:rsidRPr="00BA700B">
              <w:rPr>
                <w:rFonts w:asciiTheme="majorHAnsi" w:hAnsiTheme="majorHAnsi" w:cstheme="majorHAnsi"/>
              </w:rPr>
              <w:lastRenderedPageBreak/>
              <w:t>COBIT</w:t>
            </w:r>
          </w:p>
        </w:tc>
        <w:tc>
          <w:tcPr>
            <w:tcW w:w="2242" w:type="dxa"/>
            <w:hideMark/>
          </w:tcPr>
          <w:p w14:paraId="42F7AD3E"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IT governance</w:t>
            </w:r>
          </w:p>
        </w:tc>
        <w:tc>
          <w:tcPr>
            <w:tcW w:w="2649" w:type="dxa"/>
            <w:hideMark/>
          </w:tcPr>
          <w:p w14:paraId="32BDFA11"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Alignment of IT with business objectives</w:t>
            </w:r>
          </w:p>
        </w:tc>
        <w:tc>
          <w:tcPr>
            <w:tcW w:w="0" w:type="auto"/>
            <w:hideMark/>
          </w:tcPr>
          <w:p w14:paraId="3D2F3026"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Strengthens governance and accountability</w:t>
            </w:r>
          </w:p>
        </w:tc>
      </w:tr>
      <w:tr w:rsidR="007D1EF4" w:rsidRPr="00BA700B" w14:paraId="5189B029" w14:textId="77777777" w:rsidTr="00F10994">
        <w:trPr>
          <w:trHeight w:val="983"/>
        </w:trPr>
        <w:tc>
          <w:tcPr>
            <w:cnfStyle w:val="001000000000" w:firstRow="0" w:lastRow="0" w:firstColumn="1" w:lastColumn="0" w:oddVBand="0" w:evenVBand="0" w:oddHBand="0" w:evenHBand="0" w:firstRowFirstColumn="0" w:firstRowLastColumn="0" w:lastRowFirstColumn="0" w:lastRowLastColumn="0"/>
            <w:tcW w:w="1696" w:type="dxa"/>
            <w:hideMark/>
          </w:tcPr>
          <w:p w14:paraId="605D0D7E" w14:textId="77777777" w:rsidR="007D1EF4" w:rsidRPr="00BA700B" w:rsidRDefault="007D1EF4" w:rsidP="0078125A">
            <w:pPr>
              <w:spacing w:after="160" w:line="278" w:lineRule="auto"/>
              <w:rPr>
                <w:rFonts w:asciiTheme="majorHAnsi" w:hAnsiTheme="majorHAnsi" w:cstheme="majorHAnsi"/>
              </w:rPr>
            </w:pPr>
            <w:r w:rsidRPr="00BA700B">
              <w:rPr>
                <w:rFonts w:asciiTheme="majorHAnsi" w:hAnsiTheme="majorHAnsi" w:cstheme="majorHAnsi"/>
              </w:rPr>
              <w:t>NIST Cybersecurity Framework</w:t>
            </w:r>
          </w:p>
        </w:tc>
        <w:tc>
          <w:tcPr>
            <w:tcW w:w="2242" w:type="dxa"/>
            <w:hideMark/>
          </w:tcPr>
          <w:p w14:paraId="6CDB8E63"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Cybersecurity risk management</w:t>
            </w:r>
          </w:p>
        </w:tc>
        <w:tc>
          <w:tcPr>
            <w:tcW w:w="2649" w:type="dxa"/>
            <w:hideMark/>
          </w:tcPr>
          <w:p w14:paraId="3DF25038"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Identify, Protect, Detect, Respond, Recover functions</w:t>
            </w:r>
          </w:p>
        </w:tc>
        <w:tc>
          <w:tcPr>
            <w:tcW w:w="0" w:type="auto"/>
            <w:hideMark/>
          </w:tcPr>
          <w:p w14:paraId="13FC4FAF" w14:textId="77777777" w:rsidR="007D1EF4" w:rsidRPr="00BA700B" w:rsidRDefault="007D1EF4" w:rsidP="0078125A">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Provides structured cybersecurity risk management</w:t>
            </w:r>
          </w:p>
        </w:tc>
      </w:tr>
    </w:tbl>
    <w:p w14:paraId="1643D92A" w14:textId="3B481344" w:rsidR="007D1EF4" w:rsidRPr="00BA700B" w:rsidRDefault="007D1EF4" w:rsidP="00C70DEC">
      <w:pPr>
        <w:jc w:val="center"/>
        <w:rPr>
          <w:rFonts w:asciiTheme="majorHAnsi" w:hAnsiTheme="majorHAnsi" w:cstheme="majorHAnsi"/>
        </w:rPr>
      </w:pPr>
      <w:r w:rsidRPr="00BA700B">
        <w:rPr>
          <w:rFonts w:asciiTheme="majorHAnsi" w:hAnsiTheme="majorHAnsi" w:cstheme="majorHAnsi"/>
          <w:b/>
          <w:bCs/>
        </w:rPr>
        <w:t>Table 1:</w:t>
      </w:r>
      <w:r w:rsidRPr="00BA700B">
        <w:rPr>
          <w:rFonts w:asciiTheme="majorHAnsi" w:hAnsiTheme="majorHAnsi" w:cstheme="majorHAnsi"/>
        </w:rPr>
        <w:t xml:space="preserve"> Comparison of Major Information Security Frameworks</w:t>
      </w:r>
    </w:p>
    <w:p w14:paraId="32D1092E" w14:textId="7E5B168C" w:rsidR="0078125A" w:rsidRPr="00BA700B" w:rsidRDefault="00842B88" w:rsidP="0078356B">
      <w:pPr>
        <w:jc w:val="both"/>
        <w:rPr>
          <w:rFonts w:asciiTheme="majorHAnsi" w:hAnsiTheme="majorHAnsi" w:cstheme="majorHAnsi"/>
        </w:rPr>
      </w:pPr>
      <w:r w:rsidRPr="00BA700B">
        <w:rPr>
          <w:rFonts w:asciiTheme="majorHAnsi" w:hAnsiTheme="majorHAnsi" w:cstheme="majorHAnsi"/>
        </w:rPr>
        <w:t>Operationalization</w:t>
      </w:r>
      <w:r w:rsidR="00A21614" w:rsidRPr="00BA700B">
        <w:rPr>
          <w:rFonts w:asciiTheme="majorHAnsi" w:hAnsiTheme="majorHAnsi" w:cstheme="majorHAnsi"/>
        </w:rPr>
        <w:t xml:space="preserve"> assists organisations in designing informative security </w:t>
      </w:r>
      <w:r w:rsidR="00C70DEC" w:rsidRPr="00BA700B">
        <w:rPr>
          <w:rFonts w:asciiTheme="majorHAnsi" w:hAnsiTheme="majorHAnsi" w:cstheme="majorHAnsi"/>
        </w:rPr>
        <w:t>programmers</w:t>
      </w:r>
      <w:r w:rsidR="00A21614" w:rsidRPr="00BA700B">
        <w:rPr>
          <w:rFonts w:asciiTheme="majorHAnsi" w:hAnsiTheme="majorHAnsi" w:cstheme="majorHAnsi"/>
        </w:rPr>
        <w:t xml:space="preserve"> aimed at countering the organisational as well as the technological frailties. Governance of overall security and functional efficacy can be promoted in the context of an online banking organisation like the FinSure Bank with the integration of these concepts.</w:t>
      </w:r>
    </w:p>
    <w:p w14:paraId="60B532F6" w14:textId="61C241AC" w:rsidR="007D1EF4" w:rsidRPr="00BA700B" w:rsidRDefault="007D1EF4" w:rsidP="0078356B">
      <w:pPr>
        <w:pStyle w:val="Heading2"/>
        <w:jc w:val="both"/>
        <w:rPr>
          <w:rFonts w:cstheme="majorHAnsi"/>
          <w:b/>
          <w:bCs/>
          <w:color w:val="auto"/>
          <w:sz w:val="28"/>
          <w:szCs w:val="28"/>
        </w:rPr>
      </w:pPr>
      <w:r w:rsidRPr="00BA700B">
        <w:rPr>
          <w:rFonts w:cstheme="majorHAnsi"/>
          <w:b/>
          <w:bCs/>
          <w:color w:val="auto"/>
          <w:sz w:val="28"/>
          <w:szCs w:val="28"/>
        </w:rPr>
        <w:t xml:space="preserve">2.2 </w:t>
      </w:r>
      <w:r w:rsidR="00DD2F22" w:rsidRPr="00DD2F22">
        <w:rPr>
          <w:rFonts w:cstheme="majorHAnsi"/>
          <w:b/>
          <w:bCs/>
          <w:color w:val="auto"/>
          <w:sz w:val="28"/>
          <w:szCs w:val="28"/>
        </w:rPr>
        <w:t>System Document Standard ISO/IEC 27001.</w:t>
      </w:r>
    </w:p>
    <w:p w14:paraId="033CDDFE" w14:textId="13EBCAFE" w:rsidR="00EF6F15" w:rsidRPr="00BA700B" w:rsidRDefault="00F05B54" w:rsidP="00EF6F15">
      <w:pPr>
        <w:jc w:val="both"/>
        <w:rPr>
          <w:rFonts w:asciiTheme="majorHAnsi" w:hAnsiTheme="majorHAnsi" w:cstheme="majorHAnsi"/>
        </w:rPr>
      </w:pPr>
      <w:r w:rsidRPr="00F05B54">
        <w:rPr>
          <w:rFonts w:asciiTheme="majorHAnsi" w:hAnsiTheme="majorHAnsi" w:cstheme="majorHAnsi"/>
        </w:rPr>
        <w:t>One of the most notorious information security management and control standards in an organization is the ISO/IEC 27001.</w:t>
      </w:r>
      <w:r>
        <w:rPr>
          <w:rFonts w:asciiTheme="majorHAnsi" w:hAnsiTheme="majorHAnsi" w:cstheme="majorHAnsi"/>
        </w:rPr>
        <w:t xml:space="preserve"> </w:t>
      </w:r>
      <w:r w:rsidR="00EF6F15" w:rsidRPr="00BA700B">
        <w:rPr>
          <w:rFonts w:asciiTheme="majorHAnsi" w:hAnsiTheme="majorHAnsi" w:cstheme="majorHAnsi"/>
        </w:rPr>
        <w:t>It suggests a methodical approach to creating, putting into practice, preserving, and improving an information security management system (ISMS). The framework's primary goal is to protect organizational information assets by preserving information's secrecy, integrity, and availability (CIA trinity) through stringent risk-management procedures and the implementation of appropriate security controls [9].</w:t>
      </w:r>
    </w:p>
    <w:p w14:paraId="3FB9F9ED" w14:textId="34B39B02" w:rsidR="008507A3" w:rsidRPr="00BA700B" w:rsidRDefault="008507A3" w:rsidP="00417D1D">
      <w:pPr>
        <w:jc w:val="center"/>
        <w:rPr>
          <w:rFonts w:asciiTheme="majorHAnsi" w:hAnsiTheme="majorHAnsi" w:cstheme="majorHAnsi"/>
          <w:b/>
          <w:bCs/>
        </w:rPr>
      </w:pPr>
      <w:r w:rsidRPr="00BA700B">
        <w:rPr>
          <w:rFonts w:asciiTheme="majorHAnsi" w:hAnsiTheme="majorHAnsi" w:cstheme="majorHAnsi"/>
          <w:noProof/>
        </w:rPr>
        <w:drawing>
          <wp:inline distT="0" distB="0" distL="0" distR="0" wp14:anchorId="70E4D0E8" wp14:editId="33B15E56">
            <wp:extent cx="3800723" cy="2068470"/>
            <wp:effectExtent l="0" t="0" r="0" b="8255"/>
            <wp:docPr id="1270904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8539" cy="2072724"/>
                    </a:xfrm>
                    <a:prstGeom prst="rect">
                      <a:avLst/>
                    </a:prstGeom>
                    <a:noFill/>
                    <a:ln>
                      <a:noFill/>
                    </a:ln>
                  </pic:spPr>
                </pic:pic>
              </a:graphicData>
            </a:graphic>
          </wp:inline>
        </w:drawing>
      </w:r>
    </w:p>
    <w:p w14:paraId="379600BA" w14:textId="348BA638" w:rsidR="00665976" w:rsidRPr="00BA700B" w:rsidRDefault="00B6159A" w:rsidP="00417D1D">
      <w:pPr>
        <w:jc w:val="center"/>
        <w:rPr>
          <w:rFonts w:asciiTheme="majorHAnsi" w:hAnsiTheme="majorHAnsi" w:cstheme="majorHAnsi"/>
        </w:rPr>
      </w:pPr>
      <w:r w:rsidRPr="00BA700B">
        <w:rPr>
          <w:rFonts w:asciiTheme="majorHAnsi" w:hAnsiTheme="majorHAnsi" w:cstheme="majorHAnsi"/>
          <w:b/>
          <w:bCs/>
        </w:rPr>
        <w:t>Figure</w:t>
      </w:r>
      <w:r w:rsidR="00665976" w:rsidRPr="00BA700B">
        <w:rPr>
          <w:rFonts w:asciiTheme="majorHAnsi" w:hAnsiTheme="majorHAnsi" w:cstheme="majorHAnsi"/>
          <w:b/>
          <w:bCs/>
        </w:rPr>
        <w:t xml:space="preserve"> </w:t>
      </w:r>
      <w:r w:rsidRPr="00BA700B">
        <w:rPr>
          <w:rFonts w:asciiTheme="majorHAnsi" w:hAnsiTheme="majorHAnsi" w:cstheme="majorHAnsi"/>
          <w:b/>
          <w:bCs/>
        </w:rPr>
        <w:t>1</w:t>
      </w:r>
      <w:r w:rsidR="00665976" w:rsidRPr="00BA700B">
        <w:rPr>
          <w:rFonts w:asciiTheme="majorHAnsi" w:hAnsiTheme="majorHAnsi" w:cstheme="majorHAnsi"/>
          <w:b/>
          <w:bCs/>
        </w:rPr>
        <w:t>:</w:t>
      </w:r>
      <w:r w:rsidR="00665976" w:rsidRPr="00BA700B">
        <w:rPr>
          <w:rFonts w:asciiTheme="majorHAnsi" w:hAnsiTheme="majorHAnsi" w:cstheme="majorHAnsi"/>
        </w:rPr>
        <w:t xml:space="preserve"> Key Components of ISO/IEC 27001 ISMS</w:t>
      </w:r>
    </w:p>
    <w:p w14:paraId="2238515B" w14:textId="2683FA31" w:rsidR="00EF6F15" w:rsidRPr="00BA700B" w:rsidRDefault="0097230E" w:rsidP="00EF6F15">
      <w:pPr>
        <w:jc w:val="both"/>
        <w:rPr>
          <w:rFonts w:asciiTheme="majorHAnsi" w:hAnsiTheme="majorHAnsi" w:cstheme="majorHAnsi"/>
        </w:rPr>
      </w:pPr>
      <w:r w:rsidRPr="0097230E">
        <w:rPr>
          <w:rFonts w:asciiTheme="majorHAnsi" w:hAnsiTheme="majorHAnsi" w:cstheme="majorHAnsi"/>
        </w:rPr>
        <w:t>The introduction of the ISO/IEC 27001 to financial institutions like FinSure Bank is especially alarming as it creates systemic protection to sensitive financial information and adherence to many of the legislations including General Data Protection Regulation (GDPR). The standard also enables organizations to detect threats, assess weaknesses and offer relevant technical, administrative, and physical controls due to the risk-based methodology it embraces.</w:t>
      </w:r>
      <w:r>
        <w:rPr>
          <w:rFonts w:asciiTheme="majorHAnsi" w:hAnsiTheme="majorHAnsi" w:cstheme="majorHAnsi"/>
        </w:rPr>
        <w:t xml:space="preserve"> </w:t>
      </w:r>
      <w:r w:rsidR="00EF6F15" w:rsidRPr="00BA700B">
        <w:rPr>
          <w:rFonts w:asciiTheme="majorHAnsi" w:hAnsiTheme="majorHAnsi" w:cstheme="majorHAnsi"/>
        </w:rPr>
        <w:t xml:space="preserve">In order to remain adaptable to evolving cyber risks, ISO/IEC 27001 ensures a continuous monitoring process, accountability to </w:t>
      </w:r>
      <w:r w:rsidR="00EF6F15" w:rsidRPr="00BA700B">
        <w:rPr>
          <w:rFonts w:asciiTheme="majorHAnsi" w:hAnsiTheme="majorHAnsi" w:cstheme="majorHAnsi"/>
        </w:rPr>
        <w:lastRenderedPageBreak/>
        <w:t>governance, and responsive security management through the use of the Plan-Do-</w:t>
      </w:r>
      <w:r w:rsidR="00842B88" w:rsidRPr="00BA700B">
        <w:rPr>
          <w:rFonts w:asciiTheme="majorHAnsi" w:hAnsiTheme="majorHAnsi" w:cstheme="majorHAnsi"/>
        </w:rPr>
        <w:t>Check</w:t>
      </w:r>
      <w:r w:rsidR="00EF6F15" w:rsidRPr="00BA700B">
        <w:rPr>
          <w:rFonts w:asciiTheme="majorHAnsi" w:hAnsiTheme="majorHAnsi" w:cstheme="majorHAnsi"/>
        </w:rPr>
        <w:t>-Act (PDCA) model of continuous improvement [10].</w:t>
      </w:r>
    </w:p>
    <w:p w14:paraId="156A8F04" w14:textId="7E0F0FA5" w:rsidR="0066232D" w:rsidRPr="00BA700B" w:rsidRDefault="0066232D" w:rsidP="0078356B">
      <w:pPr>
        <w:pStyle w:val="Heading2"/>
        <w:jc w:val="both"/>
        <w:rPr>
          <w:rStyle w:val="Heading2Char"/>
          <w:rFonts w:cstheme="majorHAnsi"/>
          <w:b/>
          <w:bCs/>
          <w:color w:val="auto"/>
          <w:sz w:val="28"/>
          <w:szCs w:val="28"/>
        </w:rPr>
      </w:pPr>
      <w:r w:rsidRPr="00BA700B">
        <w:rPr>
          <w:rStyle w:val="Heading2Char"/>
          <w:rFonts w:cstheme="majorHAnsi"/>
          <w:b/>
          <w:bCs/>
          <w:color w:val="auto"/>
          <w:sz w:val="28"/>
          <w:szCs w:val="28"/>
        </w:rPr>
        <w:t xml:space="preserve">2.3 </w:t>
      </w:r>
      <w:r w:rsidR="00EF6F15" w:rsidRPr="00BA700B">
        <w:rPr>
          <w:rFonts w:cstheme="majorHAnsi"/>
          <w:b/>
          <w:bCs/>
          <w:color w:val="auto"/>
          <w:sz w:val="28"/>
          <w:szCs w:val="28"/>
        </w:rPr>
        <w:t>Infrastructure Library for Information Technology</w:t>
      </w:r>
    </w:p>
    <w:p w14:paraId="74803338" w14:textId="77777777" w:rsidR="00F05B54" w:rsidRDefault="00F05B54" w:rsidP="0078356B">
      <w:pPr>
        <w:jc w:val="both"/>
        <w:rPr>
          <w:rFonts w:asciiTheme="majorHAnsi" w:hAnsiTheme="majorHAnsi" w:cstheme="majorHAnsi"/>
        </w:rPr>
      </w:pPr>
      <w:r w:rsidRPr="00F05B54">
        <w:rPr>
          <w:rFonts w:asciiTheme="majorHAnsi" w:hAnsiTheme="majorHAnsi" w:cstheme="majorHAnsi"/>
        </w:rPr>
        <w:t>One of the established models of managing, delivering and supervising information technology (IT) services in companies is the Information Technology Infrastructure Library (ITIL). It is essential that ITIL assists in bringing the idea of information-security to the activities of any organization, though its overall purpose may be to achieve a better administration of IT services (ITSM). By assisting in structuring service-management processes and establishing governance systems, ITIL would allow companies to increase the reliability of services, improve business processes and better mitigate risks pertaining to IT. Empirical studies have demonstrated that enterprises that have ITIL-conformant procedures have greater propensity to demonstrate improved incident-management response, enhanced service performance and better control of IT resources and associated risk exposures [11].</w:t>
      </w:r>
    </w:p>
    <w:p w14:paraId="2ADA4231" w14:textId="05F3C95A" w:rsidR="0078125A" w:rsidRPr="00BA700B" w:rsidRDefault="00A21614" w:rsidP="0078356B">
      <w:pPr>
        <w:jc w:val="both"/>
        <w:rPr>
          <w:rFonts w:asciiTheme="majorHAnsi" w:hAnsiTheme="majorHAnsi" w:cstheme="majorHAnsi"/>
        </w:rPr>
      </w:pPr>
      <w:r w:rsidRPr="00BA700B">
        <w:rPr>
          <w:rFonts w:asciiTheme="majorHAnsi" w:hAnsiTheme="majorHAnsi" w:cstheme="majorHAnsi"/>
        </w:rPr>
        <w:t>ITIL Service Lifecycle model is a model that supports the process of strategic planning, design, transition, operation and a continuous improvement of IT services based on interdependent phases. The stages are all aimed at providing IT services via effective, controlled, and dependable operations. In its lifecycle, ITIL science accommodates information-security aspects, placing controls on data protection, access management and risk management in the design and functional management. In turn, such a combined approach towards information-protection measures is one of the central elements of service delivery and information technology governance in companies.</w:t>
      </w:r>
    </w:p>
    <w:tbl>
      <w:tblPr>
        <w:tblStyle w:val="GridTable1Light"/>
        <w:tblW w:w="0" w:type="auto"/>
        <w:tblLook w:val="04A0" w:firstRow="1" w:lastRow="0" w:firstColumn="1" w:lastColumn="0" w:noHBand="0" w:noVBand="1"/>
      </w:tblPr>
      <w:tblGrid>
        <w:gridCol w:w="2122"/>
        <w:gridCol w:w="7228"/>
      </w:tblGrid>
      <w:tr w:rsidR="00D8551F" w:rsidRPr="00BA700B" w14:paraId="3E10EBE8" w14:textId="77777777" w:rsidTr="009F0D8C">
        <w:trPr>
          <w:cnfStyle w:val="100000000000" w:firstRow="1" w:lastRow="0" w:firstColumn="0" w:lastColumn="0" w:oddVBand="0" w:evenVBand="0" w:oddHBand="0"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2122" w:type="dxa"/>
            <w:hideMark/>
          </w:tcPr>
          <w:p w14:paraId="10BA61AA" w14:textId="77777777" w:rsidR="00D8551F" w:rsidRPr="00BA700B" w:rsidRDefault="00D8551F" w:rsidP="009F0D8C">
            <w:pPr>
              <w:spacing w:after="160" w:line="278" w:lineRule="auto"/>
              <w:jc w:val="center"/>
              <w:rPr>
                <w:rFonts w:asciiTheme="majorHAnsi" w:hAnsiTheme="majorHAnsi" w:cstheme="majorHAnsi"/>
              </w:rPr>
            </w:pPr>
            <w:r w:rsidRPr="00BA700B">
              <w:rPr>
                <w:rFonts w:asciiTheme="majorHAnsi" w:hAnsiTheme="majorHAnsi" w:cstheme="majorHAnsi"/>
              </w:rPr>
              <w:t>Stage</w:t>
            </w:r>
          </w:p>
        </w:tc>
        <w:tc>
          <w:tcPr>
            <w:tcW w:w="7228" w:type="dxa"/>
            <w:hideMark/>
          </w:tcPr>
          <w:p w14:paraId="59416D74" w14:textId="77777777" w:rsidR="00D8551F" w:rsidRPr="00BA700B" w:rsidRDefault="00D8551F" w:rsidP="009F0D8C">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Description</w:t>
            </w:r>
          </w:p>
        </w:tc>
      </w:tr>
      <w:tr w:rsidR="00D8551F" w:rsidRPr="00BA700B" w14:paraId="72FE5A8C" w14:textId="77777777" w:rsidTr="005E61E4">
        <w:tc>
          <w:tcPr>
            <w:cnfStyle w:val="001000000000" w:firstRow="0" w:lastRow="0" w:firstColumn="1" w:lastColumn="0" w:oddVBand="0" w:evenVBand="0" w:oddHBand="0" w:evenHBand="0" w:firstRowFirstColumn="0" w:firstRowLastColumn="0" w:lastRowFirstColumn="0" w:lastRowLastColumn="0"/>
            <w:tcW w:w="2122" w:type="dxa"/>
            <w:hideMark/>
          </w:tcPr>
          <w:p w14:paraId="2A370B49" w14:textId="3A162597" w:rsidR="00D8551F" w:rsidRPr="00BA700B" w:rsidRDefault="00A96B37" w:rsidP="0078356B">
            <w:pPr>
              <w:spacing w:after="160" w:line="278" w:lineRule="auto"/>
              <w:jc w:val="both"/>
              <w:rPr>
                <w:rFonts w:asciiTheme="majorHAnsi" w:hAnsiTheme="majorHAnsi" w:cstheme="majorHAnsi"/>
              </w:rPr>
            </w:pPr>
            <w:r w:rsidRPr="00A96B37">
              <w:rPr>
                <w:rFonts w:asciiTheme="majorHAnsi" w:hAnsiTheme="majorHAnsi" w:cstheme="majorHAnsi"/>
              </w:rPr>
              <w:t>Service Strategy</w:t>
            </w:r>
          </w:p>
        </w:tc>
        <w:tc>
          <w:tcPr>
            <w:tcW w:w="7228" w:type="dxa"/>
            <w:hideMark/>
          </w:tcPr>
          <w:p w14:paraId="1CB8A77E" w14:textId="548D98D7" w:rsidR="00D8551F" w:rsidRPr="00BA700B" w:rsidRDefault="00A96B37"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Determines organisational objectives and goals in service.</w:t>
            </w:r>
          </w:p>
        </w:tc>
      </w:tr>
      <w:tr w:rsidR="00D8551F" w:rsidRPr="00BA700B" w14:paraId="31BB53E5" w14:textId="77777777" w:rsidTr="005E61E4">
        <w:tc>
          <w:tcPr>
            <w:cnfStyle w:val="001000000000" w:firstRow="0" w:lastRow="0" w:firstColumn="1" w:lastColumn="0" w:oddVBand="0" w:evenVBand="0" w:oddHBand="0" w:evenHBand="0" w:firstRowFirstColumn="0" w:firstRowLastColumn="0" w:lastRowFirstColumn="0" w:lastRowLastColumn="0"/>
            <w:tcW w:w="2122" w:type="dxa"/>
            <w:hideMark/>
          </w:tcPr>
          <w:p w14:paraId="22E49B88" w14:textId="77777777" w:rsidR="00D8551F" w:rsidRPr="00BA700B" w:rsidRDefault="00D8551F" w:rsidP="0078356B">
            <w:pPr>
              <w:spacing w:after="160" w:line="278" w:lineRule="auto"/>
              <w:jc w:val="both"/>
              <w:rPr>
                <w:rFonts w:asciiTheme="majorHAnsi" w:hAnsiTheme="majorHAnsi" w:cstheme="majorHAnsi"/>
              </w:rPr>
            </w:pPr>
            <w:r w:rsidRPr="00BA700B">
              <w:rPr>
                <w:rFonts w:asciiTheme="majorHAnsi" w:hAnsiTheme="majorHAnsi" w:cstheme="majorHAnsi"/>
              </w:rPr>
              <w:t>Service Design</w:t>
            </w:r>
          </w:p>
        </w:tc>
        <w:tc>
          <w:tcPr>
            <w:tcW w:w="7228" w:type="dxa"/>
            <w:hideMark/>
          </w:tcPr>
          <w:p w14:paraId="372F6ED3" w14:textId="5C5961DD" w:rsidR="00D8551F" w:rsidRPr="00BA700B" w:rsidRDefault="00A96B37"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Designs efficient IT services ensuring safety.</w:t>
            </w:r>
          </w:p>
        </w:tc>
      </w:tr>
      <w:tr w:rsidR="00D8551F" w:rsidRPr="00BA700B" w14:paraId="242F9C3B" w14:textId="77777777" w:rsidTr="005E61E4">
        <w:tc>
          <w:tcPr>
            <w:cnfStyle w:val="001000000000" w:firstRow="0" w:lastRow="0" w:firstColumn="1" w:lastColumn="0" w:oddVBand="0" w:evenVBand="0" w:oddHBand="0" w:evenHBand="0" w:firstRowFirstColumn="0" w:firstRowLastColumn="0" w:lastRowFirstColumn="0" w:lastRowLastColumn="0"/>
            <w:tcW w:w="2122" w:type="dxa"/>
            <w:hideMark/>
          </w:tcPr>
          <w:p w14:paraId="7A8E375A" w14:textId="77777777" w:rsidR="00D8551F" w:rsidRPr="00BA700B" w:rsidRDefault="00D8551F" w:rsidP="0078356B">
            <w:pPr>
              <w:spacing w:after="160" w:line="278" w:lineRule="auto"/>
              <w:jc w:val="both"/>
              <w:rPr>
                <w:rFonts w:asciiTheme="majorHAnsi" w:hAnsiTheme="majorHAnsi" w:cstheme="majorHAnsi"/>
              </w:rPr>
            </w:pPr>
            <w:r w:rsidRPr="00BA700B">
              <w:rPr>
                <w:rFonts w:asciiTheme="majorHAnsi" w:hAnsiTheme="majorHAnsi" w:cstheme="majorHAnsi"/>
              </w:rPr>
              <w:t>Service Transition</w:t>
            </w:r>
          </w:p>
        </w:tc>
        <w:tc>
          <w:tcPr>
            <w:tcW w:w="7228" w:type="dxa"/>
            <w:hideMark/>
          </w:tcPr>
          <w:p w14:paraId="3CEE7C9E" w14:textId="0CE976DB" w:rsidR="00D8551F" w:rsidRPr="00BA700B" w:rsidRDefault="00A96B37"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Adapts new or modified services into working conditions.</w:t>
            </w:r>
          </w:p>
        </w:tc>
      </w:tr>
      <w:tr w:rsidR="00D8551F" w:rsidRPr="00BA700B" w14:paraId="792F5C1F" w14:textId="77777777" w:rsidTr="005E61E4">
        <w:tc>
          <w:tcPr>
            <w:cnfStyle w:val="001000000000" w:firstRow="0" w:lastRow="0" w:firstColumn="1" w:lastColumn="0" w:oddVBand="0" w:evenVBand="0" w:oddHBand="0" w:evenHBand="0" w:firstRowFirstColumn="0" w:firstRowLastColumn="0" w:lastRowFirstColumn="0" w:lastRowLastColumn="0"/>
            <w:tcW w:w="2122" w:type="dxa"/>
            <w:hideMark/>
          </w:tcPr>
          <w:p w14:paraId="51894D50" w14:textId="77777777" w:rsidR="00D8551F" w:rsidRPr="00BA700B" w:rsidRDefault="00D8551F" w:rsidP="0078356B">
            <w:pPr>
              <w:spacing w:after="160" w:line="278" w:lineRule="auto"/>
              <w:jc w:val="both"/>
              <w:rPr>
                <w:rFonts w:asciiTheme="majorHAnsi" w:hAnsiTheme="majorHAnsi" w:cstheme="majorHAnsi"/>
              </w:rPr>
            </w:pPr>
            <w:r w:rsidRPr="00BA700B">
              <w:rPr>
                <w:rFonts w:asciiTheme="majorHAnsi" w:hAnsiTheme="majorHAnsi" w:cstheme="majorHAnsi"/>
              </w:rPr>
              <w:t>Service Operation</w:t>
            </w:r>
          </w:p>
        </w:tc>
        <w:tc>
          <w:tcPr>
            <w:tcW w:w="7228" w:type="dxa"/>
            <w:hideMark/>
          </w:tcPr>
          <w:p w14:paraId="1B67D3A7" w14:textId="74A60087" w:rsidR="00D8551F" w:rsidRPr="00BA700B" w:rsidRDefault="00A96B37"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A96B37">
              <w:rPr>
                <w:rFonts w:asciiTheme="majorHAnsi" w:hAnsiTheme="majorHAnsi" w:cstheme="majorHAnsi"/>
              </w:rPr>
              <w:t>Day to day service delivery and support.</w:t>
            </w:r>
          </w:p>
        </w:tc>
      </w:tr>
      <w:tr w:rsidR="00D8551F" w:rsidRPr="00BA700B" w14:paraId="2887EB9C" w14:textId="77777777" w:rsidTr="005E61E4">
        <w:tc>
          <w:tcPr>
            <w:cnfStyle w:val="001000000000" w:firstRow="0" w:lastRow="0" w:firstColumn="1" w:lastColumn="0" w:oddVBand="0" w:evenVBand="0" w:oddHBand="0" w:evenHBand="0" w:firstRowFirstColumn="0" w:firstRowLastColumn="0" w:lastRowFirstColumn="0" w:lastRowLastColumn="0"/>
            <w:tcW w:w="2122" w:type="dxa"/>
            <w:hideMark/>
          </w:tcPr>
          <w:p w14:paraId="28EE02C8" w14:textId="6E26D5A3" w:rsidR="005E61E4" w:rsidRPr="00BA700B" w:rsidRDefault="00D8551F" w:rsidP="0078356B">
            <w:pPr>
              <w:spacing w:after="160" w:line="278" w:lineRule="auto"/>
              <w:jc w:val="both"/>
              <w:rPr>
                <w:rFonts w:asciiTheme="majorHAnsi" w:hAnsiTheme="majorHAnsi" w:cstheme="majorHAnsi"/>
                <w:b w:val="0"/>
                <w:bCs w:val="0"/>
              </w:rPr>
            </w:pPr>
            <w:r w:rsidRPr="00BA700B">
              <w:rPr>
                <w:rFonts w:asciiTheme="majorHAnsi" w:hAnsiTheme="majorHAnsi" w:cstheme="majorHAnsi"/>
              </w:rPr>
              <w:t>Continual Service Improvement</w:t>
            </w:r>
          </w:p>
        </w:tc>
        <w:tc>
          <w:tcPr>
            <w:tcW w:w="7228" w:type="dxa"/>
            <w:hideMark/>
          </w:tcPr>
          <w:p w14:paraId="4DED6D53" w14:textId="69E19B94" w:rsidR="00D8551F" w:rsidRPr="00BA700B" w:rsidRDefault="00134D11"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34D11">
              <w:rPr>
                <w:rFonts w:asciiTheme="majorHAnsi" w:hAnsiTheme="majorHAnsi" w:cstheme="majorHAnsi"/>
              </w:rPr>
              <w:t>Serves to improve service performance by continuously assessing services.</w:t>
            </w:r>
          </w:p>
        </w:tc>
      </w:tr>
    </w:tbl>
    <w:p w14:paraId="4462B9C6" w14:textId="356F076B" w:rsidR="00D8551F" w:rsidRPr="00BA700B" w:rsidRDefault="00D8551F" w:rsidP="00417D1D">
      <w:pPr>
        <w:jc w:val="center"/>
        <w:rPr>
          <w:rFonts w:asciiTheme="majorHAnsi" w:hAnsiTheme="majorHAnsi" w:cstheme="majorHAnsi"/>
        </w:rPr>
      </w:pPr>
      <w:r w:rsidRPr="00BA700B">
        <w:rPr>
          <w:rFonts w:asciiTheme="majorHAnsi" w:hAnsiTheme="majorHAnsi" w:cstheme="majorHAnsi"/>
          <w:b/>
          <w:bCs/>
        </w:rPr>
        <w:t xml:space="preserve">Table </w:t>
      </w:r>
      <w:r w:rsidR="009B6207" w:rsidRPr="00BA700B">
        <w:rPr>
          <w:rFonts w:asciiTheme="majorHAnsi" w:hAnsiTheme="majorHAnsi" w:cstheme="majorHAnsi"/>
          <w:b/>
          <w:bCs/>
        </w:rPr>
        <w:t>2</w:t>
      </w:r>
      <w:r w:rsidRPr="00BA700B">
        <w:rPr>
          <w:rFonts w:asciiTheme="majorHAnsi" w:hAnsiTheme="majorHAnsi" w:cstheme="majorHAnsi"/>
        </w:rPr>
        <w:t>: ITIL Service Lifecycle Stages</w:t>
      </w:r>
    </w:p>
    <w:p w14:paraId="010B792D" w14:textId="0CA79893" w:rsidR="0078125A" w:rsidRPr="00BA700B" w:rsidRDefault="00A21614" w:rsidP="0078356B">
      <w:pPr>
        <w:jc w:val="both"/>
        <w:rPr>
          <w:rFonts w:asciiTheme="majorHAnsi" w:hAnsiTheme="majorHAnsi" w:cstheme="majorHAnsi"/>
        </w:rPr>
      </w:pPr>
      <w:r w:rsidRPr="00BA700B">
        <w:rPr>
          <w:rFonts w:asciiTheme="majorHAnsi" w:hAnsiTheme="majorHAnsi" w:cstheme="majorHAnsi"/>
        </w:rPr>
        <w:t xml:space="preserve">Moreover, the idea of security being a part of the IT activities, not a separate </w:t>
      </w:r>
      <w:r w:rsidR="00842B88" w:rsidRPr="00BA700B">
        <w:rPr>
          <w:rFonts w:asciiTheme="majorHAnsi" w:hAnsiTheme="majorHAnsi" w:cstheme="majorHAnsi"/>
        </w:rPr>
        <w:t>practice</w:t>
      </w:r>
      <w:r w:rsidRPr="00BA700B">
        <w:rPr>
          <w:rFonts w:asciiTheme="majorHAnsi" w:hAnsiTheme="majorHAnsi" w:cstheme="majorHAnsi"/>
        </w:rPr>
        <w:t xml:space="preserve">, is enabled by ITIL since it conducts security </w:t>
      </w:r>
      <w:r w:rsidR="00842B88" w:rsidRPr="00BA700B">
        <w:rPr>
          <w:rFonts w:asciiTheme="majorHAnsi" w:hAnsiTheme="majorHAnsi" w:cstheme="majorHAnsi"/>
        </w:rPr>
        <w:t>practices</w:t>
      </w:r>
      <w:r w:rsidRPr="00BA700B">
        <w:rPr>
          <w:rFonts w:asciiTheme="majorHAnsi" w:hAnsiTheme="majorHAnsi" w:cstheme="majorHAnsi"/>
        </w:rPr>
        <w:t xml:space="preserve"> as part of the IT service management. The strategy is </w:t>
      </w:r>
      <w:r w:rsidRPr="00BA700B">
        <w:rPr>
          <w:rFonts w:asciiTheme="majorHAnsi" w:hAnsiTheme="majorHAnsi" w:cstheme="majorHAnsi"/>
        </w:rPr>
        <w:lastRenderedPageBreak/>
        <w:t>especially beneficial to cloud-financial-based companies like FinSure Bank whose IT services provide the basis of online banking activities.</w:t>
      </w:r>
    </w:p>
    <w:p w14:paraId="42BA56B5" w14:textId="77777777" w:rsidR="00B5217D" w:rsidRPr="00BA700B" w:rsidRDefault="006F1CD7" w:rsidP="0078356B">
      <w:pPr>
        <w:pStyle w:val="Heading2"/>
        <w:jc w:val="both"/>
        <w:rPr>
          <w:rFonts w:cstheme="majorHAnsi"/>
          <w:sz w:val="28"/>
          <w:szCs w:val="28"/>
        </w:rPr>
      </w:pPr>
      <w:r w:rsidRPr="00BA700B">
        <w:rPr>
          <w:rStyle w:val="Heading2Char"/>
          <w:rFonts w:cstheme="majorHAnsi"/>
          <w:b/>
          <w:bCs/>
          <w:color w:val="auto"/>
          <w:sz w:val="28"/>
          <w:szCs w:val="28"/>
        </w:rPr>
        <w:t>2.4 NIST Framework for Cybersecurity</w:t>
      </w:r>
      <w:r w:rsidRPr="00BA700B">
        <w:rPr>
          <w:rFonts w:cstheme="majorHAnsi"/>
          <w:sz w:val="28"/>
          <w:szCs w:val="28"/>
        </w:rPr>
        <w:t xml:space="preserve"> </w:t>
      </w:r>
    </w:p>
    <w:p w14:paraId="46F874D5" w14:textId="023D135F" w:rsidR="00EF6F15" w:rsidRPr="00BA700B" w:rsidRDefault="00EF6F15" w:rsidP="00EF6F15">
      <w:pPr>
        <w:jc w:val="both"/>
        <w:rPr>
          <w:rFonts w:asciiTheme="majorHAnsi" w:hAnsiTheme="majorHAnsi" w:cstheme="majorHAnsi"/>
        </w:rPr>
      </w:pPr>
      <w:r w:rsidRPr="00BA700B">
        <w:rPr>
          <w:rFonts w:asciiTheme="majorHAnsi" w:hAnsiTheme="majorHAnsi" w:cstheme="majorHAnsi"/>
        </w:rPr>
        <w:t>The NIST Cybersecurity Framework (CSF) is a widely recognized theory that is used worldwide to address issues pertaining to organizations and how to manage and reduce cybersecurity threats inside them. The National Institute of Standards and Technology created the CSF, a risk-based and adaptable technique that can be tailored to an organization's unique environment, threat landscape, and regulatory requirements. The framework's five primary functional areas—Identify, Protect, Detect, Respond, and Recover—provide the general foundation for a system-wide reaction to cybersecurity threats [12].</w:t>
      </w:r>
    </w:p>
    <w:p w14:paraId="77C63C68" w14:textId="251297EF" w:rsidR="00665976" w:rsidRPr="00BA700B" w:rsidRDefault="007E34B8" w:rsidP="0078356B">
      <w:pPr>
        <w:jc w:val="both"/>
        <w:rPr>
          <w:rFonts w:asciiTheme="majorHAnsi" w:hAnsiTheme="majorHAnsi" w:cstheme="majorHAnsi"/>
        </w:rPr>
      </w:pPr>
      <w:r w:rsidRPr="00BA700B">
        <w:rPr>
          <w:rFonts w:asciiTheme="majorHAnsi" w:hAnsiTheme="majorHAnsi" w:cstheme="majorHAnsi"/>
          <w:noProof/>
        </w:rPr>
        <w:drawing>
          <wp:inline distT="0" distB="0" distL="0" distR="0" wp14:anchorId="65E71C06" wp14:editId="45E2B3A5">
            <wp:extent cx="5943600" cy="603885"/>
            <wp:effectExtent l="0" t="0" r="0" b="5715"/>
            <wp:docPr id="104687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03885"/>
                    </a:xfrm>
                    <a:prstGeom prst="rect">
                      <a:avLst/>
                    </a:prstGeom>
                    <a:noFill/>
                    <a:ln>
                      <a:noFill/>
                    </a:ln>
                  </pic:spPr>
                </pic:pic>
              </a:graphicData>
            </a:graphic>
          </wp:inline>
        </w:drawing>
      </w:r>
    </w:p>
    <w:p w14:paraId="7F077DA1" w14:textId="176F5EE6" w:rsidR="00EF6F15" w:rsidRPr="00BA700B" w:rsidRDefault="00CE7008" w:rsidP="00417D1D">
      <w:pPr>
        <w:jc w:val="center"/>
        <w:rPr>
          <w:rFonts w:asciiTheme="majorHAnsi" w:hAnsiTheme="majorHAnsi" w:cstheme="majorHAnsi"/>
        </w:rPr>
      </w:pPr>
      <w:r w:rsidRPr="00BA700B">
        <w:rPr>
          <w:rFonts w:asciiTheme="majorHAnsi" w:hAnsiTheme="majorHAnsi" w:cstheme="majorHAnsi"/>
          <w:b/>
          <w:bCs/>
        </w:rPr>
        <w:t xml:space="preserve">Figure </w:t>
      </w:r>
      <w:r w:rsidR="00B6159A" w:rsidRPr="00BA700B">
        <w:rPr>
          <w:rFonts w:asciiTheme="majorHAnsi" w:hAnsiTheme="majorHAnsi" w:cstheme="majorHAnsi"/>
          <w:b/>
          <w:bCs/>
        </w:rPr>
        <w:t>2</w:t>
      </w:r>
      <w:r w:rsidRPr="00BA700B">
        <w:rPr>
          <w:rFonts w:asciiTheme="majorHAnsi" w:hAnsiTheme="majorHAnsi" w:cstheme="majorHAnsi"/>
          <w:b/>
          <w:bCs/>
        </w:rPr>
        <w:t>:</w:t>
      </w:r>
      <w:r w:rsidRPr="00BA700B">
        <w:rPr>
          <w:rFonts w:asciiTheme="majorHAnsi" w:hAnsiTheme="majorHAnsi" w:cstheme="majorHAnsi"/>
        </w:rPr>
        <w:t xml:space="preserve"> </w:t>
      </w:r>
      <w:r w:rsidR="00EF6F15" w:rsidRPr="00BA700B">
        <w:rPr>
          <w:rFonts w:asciiTheme="majorHAnsi" w:hAnsiTheme="majorHAnsi" w:cstheme="majorHAnsi"/>
        </w:rPr>
        <w:t>The Cybersecurity Framework of NIST</w:t>
      </w:r>
    </w:p>
    <w:p w14:paraId="1BF5B323" w14:textId="77777777" w:rsidR="0078125A" w:rsidRPr="00BA700B" w:rsidRDefault="00EF6F15" w:rsidP="0078356B">
      <w:pPr>
        <w:jc w:val="both"/>
        <w:rPr>
          <w:rFonts w:asciiTheme="majorHAnsi" w:hAnsiTheme="majorHAnsi" w:cstheme="majorHAnsi"/>
        </w:rPr>
      </w:pPr>
      <w:r w:rsidRPr="00BA700B">
        <w:rPr>
          <w:rFonts w:asciiTheme="majorHAnsi" w:hAnsiTheme="majorHAnsi" w:cstheme="majorHAnsi"/>
        </w:rPr>
        <w:t xml:space="preserve">Identify, Protect, Detect, Respond, and Recover is the five-function lifecycle model of cybersecurity risk and incident management, according to the NIST CSF. These activities result in the development of organizational risk awareness, the enforcement of critical asset protection, the ability to promptly identify abnormalities, the coordination of incident response and containment, and the restoration of services after a cyber intrusion. </w:t>
      </w:r>
      <w:r w:rsidR="00755261" w:rsidRPr="00BA700B">
        <w:rPr>
          <w:rFonts w:asciiTheme="majorHAnsi" w:hAnsiTheme="majorHAnsi" w:cstheme="majorHAnsi"/>
        </w:rPr>
        <w:t>Empirical evidence shows that the implementation of the NIST CSF promotes the efficacy of early risk detection, tracking threats, and the coordination of incident management, which, in their turn, lead to better resilient cybersecurity infrastructures [13]. The framework, when applied to financial institutions like FinSure Bank, improves the cyber resilience through a well-defined approach to risk management, ongoing security protection and management, and efficient incident management in addition to continuity in operations and regulatory adherence.</w:t>
      </w:r>
    </w:p>
    <w:p w14:paraId="3C74F17C" w14:textId="48EBDFCE" w:rsidR="00E05CB2" w:rsidRPr="00BA700B" w:rsidRDefault="00E05CB2" w:rsidP="00822111">
      <w:pPr>
        <w:pStyle w:val="Heading2"/>
        <w:rPr>
          <w:rFonts w:cstheme="majorHAnsi"/>
          <w:b/>
          <w:bCs/>
          <w:color w:val="auto"/>
          <w:sz w:val="28"/>
          <w:szCs w:val="28"/>
        </w:rPr>
      </w:pPr>
      <w:r w:rsidRPr="00BA700B">
        <w:rPr>
          <w:rFonts w:cstheme="majorHAnsi"/>
          <w:b/>
          <w:bCs/>
          <w:color w:val="auto"/>
          <w:sz w:val="28"/>
          <w:szCs w:val="28"/>
        </w:rPr>
        <w:t xml:space="preserve">2.5 Ethical Dilemmas in Information Security </w:t>
      </w:r>
    </w:p>
    <w:p w14:paraId="3C3761F3" w14:textId="77777777" w:rsidR="00755261" w:rsidRPr="00BA700B" w:rsidRDefault="00755261" w:rsidP="0078356B">
      <w:pPr>
        <w:jc w:val="both"/>
        <w:rPr>
          <w:rFonts w:asciiTheme="majorHAnsi" w:hAnsiTheme="majorHAnsi" w:cstheme="majorHAnsi"/>
        </w:rPr>
      </w:pPr>
      <w:r w:rsidRPr="00BA700B">
        <w:rPr>
          <w:rFonts w:asciiTheme="majorHAnsi" w:hAnsiTheme="majorHAnsi" w:cstheme="majorHAnsi"/>
        </w:rPr>
        <w:t>The operations of financial institutions operate within very controlled environments, the protection of sensitive financial information, and personally identifiable information (PII) is a must. However, implementing strict cybersecurity measures may create ethical conflicts in the areas of privacy, disclosure, and accountability of the organisations. This in turn forces organisations to strike a compromise between prevention of cybercrimes and affordance of the right to privacy of individuals, in digital banking environments like FinSure Bank that rely on cloud systems, mobile applications and remote access spaces.</w:t>
      </w:r>
    </w:p>
    <w:p w14:paraId="281455C9" w14:textId="77777777" w:rsidR="00755261" w:rsidRPr="00BA700B" w:rsidRDefault="00755261" w:rsidP="0078356B">
      <w:pPr>
        <w:jc w:val="both"/>
        <w:rPr>
          <w:rFonts w:asciiTheme="majorHAnsi" w:hAnsiTheme="majorHAnsi" w:cstheme="majorHAnsi"/>
        </w:rPr>
      </w:pPr>
      <w:r w:rsidRPr="00BA700B">
        <w:rPr>
          <w:rFonts w:asciiTheme="majorHAnsi" w:hAnsiTheme="majorHAnsi" w:cstheme="majorHAnsi"/>
        </w:rPr>
        <w:lastRenderedPageBreak/>
        <w:t>One of the critical ethical issues concerns the conflict between monitoring the employees and their privacy. In as much as network activity surveillance is an effective way to identify insider threats and a good measure of regulatory compliance, excessive surveillance can undermine employee trust. Based on this, transparent monitoring policies are essential especially in the Bring Your Own Device (BYOD) settings where policies should focus on protecting organisational data rather than personal use [14].</w:t>
      </w:r>
    </w:p>
    <w:p w14:paraId="43CBD21C" w14:textId="1861A571" w:rsidR="00755261" w:rsidRPr="00BA700B" w:rsidRDefault="00755261" w:rsidP="00755261">
      <w:pPr>
        <w:jc w:val="both"/>
        <w:rPr>
          <w:rFonts w:asciiTheme="majorHAnsi" w:hAnsiTheme="majorHAnsi" w:cstheme="majorHAnsi"/>
        </w:rPr>
      </w:pPr>
      <w:r w:rsidRPr="00BA700B">
        <w:rPr>
          <w:rFonts w:asciiTheme="majorHAnsi" w:hAnsiTheme="majorHAnsi" w:cstheme="majorHAnsi"/>
        </w:rPr>
        <w:t xml:space="preserve">Ethical considerations also emerge when it comes to using customer financial information to detect their fraud, where sophisticated analytics should be done in an open and informed manner [15]. </w:t>
      </w:r>
      <w:r w:rsidR="002D5C30" w:rsidRPr="00BA700B">
        <w:rPr>
          <w:rFonts w:asciiTheme="majorHAnsi" w:hAnsiTheme="majorHAnsi" w:cstheme="majorHAnsi"/>
        </w:rPr>
        <w:t>In order to guarantee privacy and compliance with the General Data security Regulation (GDPR), organizational data governance necessitates secure data storage, authorized access to the data, and data security measures including encryption and access restrictions [16].</w:t>
      </w:r>
      <w:r w:rsidRPr="00BA700B">
        <w:rPr>
          <w:rFonts w:asciiTheme="majorHAnsi" w:hAnsiTheme="majorHAnsi" w:cstheme="majorHAnsi"/>
        </w:rPr>
        <w:t xml:space="preserve"> Organizations become more resilient and increase trust by incorporating such ethical standards into Governance, Risk, and Compliance (GRC) systems.</w:t>
      </w:r>
    </w:p>
    <w:p w14:paraId="7F15E0EE" w14:textId="7D4861B2" w:rsidR="0078356B" w:rsidRPr="00BA700B" w:rsidRDefault="0078356B" w:rsidP="0078356B">
      <w:pPr>
        <w:jc w:val="both"/>
        <w:rPr>
          <w:rFonts w:asciiTheme="majorHAnsi" w:hAnsiTheme="majorHAnsi" w:cstheme="majorHAnsi"/>
          <w:b/>
          <w:bCs/>
          <w:highlight w:val="yellow"/>
        </w:rPr>
      </w:pPr>
    </w:p>
    <w:p w14:paraId="12D3CB8A" w14:textId="6CC838EF" w:rsidR="0078125A" w:rsidRPr="00BA700B" w:rsidRDefault="0078125A" w:rsidP="00417D1D">
      <w:pPr>
        <w:jc w:val="both"/>
        <w:rPr>
          <w:rFonts w:asciiTheme="majorHAnsi" w:hAnsiTheme="majorHAnsi" w:cstheme="majorHAnsi"/>
          <w:highlight w:val="yellow"/>
        </w:rPr>
      </w:pPr>
      <w:r w:rsidRPr="00BA700B">
        <w:rPr>
          <w:rFonts w:asciiTheme="majorHAnsi" w:hAnsiTheme="majorHAnsi" w:cstheme="majorHAnsi"/>
          <w:highlight w:val="yellow"/>
        </w:rPr>
        <w:br w:type="page"/>
      </w:r>
    </w:p>
    <w:p w14:paraId="17636AC6" w14:textId="6CC33E4E" w:rsidR="00846278" w:rsidRPr="00BA700B" w:rsidRDefault="006F1CD7" w:rsidP="0078125A">
      <w:pPr>
        <w:pStyle w:val="Heading1"/>
        <w:numPr>
          <w:ilvl w:val="0"/>
          <w:numId w:val="2"/>
        </w:numPr>
        <w:jc w:val="center"/>
        <w:rPr>
          <w:rStyle w:val="Heading1Char"/>
          <w:rFonts w:cstheme="majorHAnsi"/>
          <w:b/>
          <w:bCs/>
          <w:color w:val="auto"/>
        </w:rPr>
      </w:pPr>
      <w:r w:rsidRPr="00BA700B">
        <w:rPr>
          <w:rStyle w:val="Heading1Char"/>
          <w:rFonts w:cstheme="majorHAnsi"/>
          <w:b/>
          <w:bCs/>
          <w:color w:val="auto"/>
        </w:rPr>
        <w:lastRenderedPageBreak/>
        <w:t>FinSure Bank's Security Issues</w:t>
      </w:r>
    </w:p>
    <w:p w14:paraId="077DB978" w14:textId="77777777" w:rsidR="0078125A" w:rsidRPr="00BA700B" w:rsidRDefault="00755261" w:rsidP="0078356B">
      <w:pPr>
        <w:jc w:val="both"/>
        <w:rPr>
          <w:rFonts w:asciiTheme="majorHAnsi" w:hAnsiTheme="majorHAnsi" w:cstheme="majorHAnsi"/>
        </w:rPr>
      </w:pPr>
      <w:r w:rsidRPr="00BA700B">
        <w:rPr>
          <w:rFonts w:asciiTheme="majorHAnsi" w:hAnsiTheme="majorHAnsi" w:cstheme="majorHAnsi"/>
        </w:rPr>
        <w:t>The fast development of FinSure Bank (FSB) as near a fully digital financial service provider has brought a lot of focus on the issues of cybersecurity and governance, one that can be explained by its much more dynamic growth rate. Protection of confidential financial and consumer data is complicated by the introduction of cloud-based infrastructures, personal devices. On their part, institutional systems have the attribute of aggregating financial and personally identifiable information (PII), which makes them appealing to malicious actors. Therefore, the threats of cloud computing, BYOD policy, mobile banking services, and lack of established governing processes increase the susceptibility of the organisation to cyber-attack, data theft, and the probability of regulatory non-conformity.</w:t>
      </w:r>
    </w:p>
    <w:p w14:paraId="1BA8D8B5" w14:textId="7FFDBE61" w:rsidR="0066232D" w:rsidRPr="00BA700B" w:rsidRDefault="0066232D" w:rsidP="0078356B">
      <w:pPr>
        <w:pStyle w:val="Heading2"/>
        <w:jc w:val="both"/>
        <w:rPr>
          <w:rFonts w:cstheme="majorHAnsi"/>
          <w:b/>
          <w:bCs/>
          <w:color w:val="auto"/>
          <w:sz w:val="28"/>
          <w:szCs w:val="28"/>
        </w:rPr>
      </w:pPr>
      <w:r w:rsidRPr="00BA700B">
        <w:rPr>
          <w:rStyle w:val="Heading2Char"/>
          <w:rFonts w:cstheme="majorHAnsi"/>
          <w:b/>
          <w:bCs/>
          <w:color w:val="auto"/>
          <w:sz w:val="28"/>
          <w:szCs w:val="28"/>
        </w:rPr>
        <w:t xml:space="preserve">3.1 </w:t>
      </w:r>
      <w:r w:rsidR="006F1CD7" w:rsidRPr="00BA700B">
        <w:rPr>
          <w:rStyle w:val="Heading2Char"/>
          <w:rFonts w:cstheme="majorHAnsi"/>
          <w:b/>
          <w:bCs/>
          <w:color w:val="auto"/>
          <w:sz w:val="28"/>
          <w:szCs w:val="28"/>
        </w:rPr>
        <w:t>Risks to Cloud Infrastructure Security</w:t>
      </w:r>
    </w:p>
    <w:p w14:paraId="2FF476CE" w14:textId="25C71F48" w:rsidR="00755261" w:rsidRPr="00BA700B" w:rsidRDefault="00755261" w:rsidP="0078356B">
      <w:pPr>
        <w:pStyle w:val="Heading2"/>
        <w:jc w:val="both"/>
        <w:rPr>
          <w:rFonts w:eastAsiaTheme="minorHAnsi" w:cstheme="majorHAnsi"/>
          <w:color w:val="auto"/>
          <w:sz w:val="24"/>
          <w:szCs w:val="24"/>
        </w:rPr>
      </w:pPr>
      <w:r w:rsidRPr="00BA700B">
        <w:rPr>
          <w:rFonts w:eastAsiaTheme="minorHAnsi" w:cstheme="majorHAnsi"/>
          <w:color w:val="auto"/>
          <w:sz w:val="24"/>
          <w:szCs w:val="24"/>
        </w:rPr>
        <w:t>FinSure Bank has positioned about 90 percent of its systems in third party cloud environments, which creates ineffectiveness in creating high dependency on cloud providers. Despite the advantages of cloud adoption: scalability, operational efficiency, and remote accessibility, a shared infrastructure, third-party dependencies, and configuration management are all security concerns brought by cloud adoption. Misconfigured services, poor access controls, and lack of monitoring are the major vectors of data breaches related to the cloud as identified by empirical research [1</w:t>
      </w:r>
      <w:r w:rsidR="00B1630E" w:rsidRPr="00BA700B">
        <w:rPr>
          <w:rFonts w:eastAsiaTheme="minorHAnsi" w:cstheme="majorHAnsi"/>
          <w:color w:val="auto"/>
          <w:sz w:val="24"/>
          <w:szCs w:val="24"/>
        </w:rPr>
        <w:t>7</w:t>
      </w:r>
      <w:r w:rsidRPr="00BA700B">
        <w:rPr>
          <w:rFonts w:eastAsiaTheme="minorHAnsi" w:cstheme="majorHAnsi"/>
          <w:color w:val="auto"/>
          <w:sz w:val="24"/>
          <w:szCs w:val="24"/>
        </w:rPr>
        <w:t xml:space="preserve">]. The disclosure of confidential financial information by these vulnerabilities can trigger financial damages, damage to reputation and regulatory penalties. Based on this, organisations are advised to have well established governance controls, strong identity and access controls infrastructures, and continuous monitoring of </w:t>
      </w:r>
      <w:r w:rsidR="0078125A" w:rsidRPr="00BA700B">
        <w:rPr>
          <w:rFonts w:eastAsiaTheme="minorHAnsi" w:cstheme="majorHAnsi"/>
          <w:color w:val="auto"/>
          <w:sz w:val="24"/>
          <w:szCs w:val="24"/>
        </w:rPr>
        <w:t>third-party</w:t>
      </w:r>
      <w:r w:rsidRPr="00BA700B">
        <w:rPr>
          <w:rFonts w:eastAsiaTheme="minorHAnsi" w:cstheme="majorHAnsi"/>
          <w:color w:val="auto"/>
          <w:sz w:val="24"/>
          <w:szCs w:val="24"/>
        </w:rPr>
        <w:t xml:space="preserve"> risk in order to protect cloud operations and comply with data protection laws.</w:t>
      </w:r>
    </w:p>
    <w:p w14:paraId="24EB7C46" w14:textId="507E9C5E" w:rsidR="004B04E6" w:rsidRPr="00BA700B" w:rsidRDefault="004B04E6" w:rsidP="0078356B">
      <w:pPr>
        <w:pStyle w:val="Heading2"/>
        <w:jc w:val="both"/>
        <w:rPr>
          <w:rFonts w:cstheme="majorHAnsi"/>
          <w:b/>
          <w:bCs/>
          <w:color w:val="auto"/>
          <w:sz w:val="28"/>
          <w:szCs w:val="28"/>
        </w:rPr>
      </w:pPr>
      <w:r w:rsidRPr="00BA700B">
        <w:rPr>
          <w:rFonts w:cstheme="majorHAnsi"/>
          <w:b/>
          <w:bCs/>
          <w:color w:val="auto"/>
          <w:sz w:val="28"/>
          <w:szCs w:val="28"/>
        </w:rPr>
        <w:t>3.2 Security Issues with BYOD</w:t>
      </w:r>
    </w:p>
    <w:p w14:paraId="27F0F756" w14:textId="3BA99632" w:rsidR="00870EAD" w:rsidRPr="00BA700B" w:rsidRDefault="002D5C30" w:rsidP="0078356B">
      <w:pPr>
        <w:jc w:val="both"/>
        <w:rPr>
          <w:rFonts w:asciiTheme="majorHAnsi" w:eastAsiaTheme="majorEastAsia" w:hAnsiTheme="majorHAnsi" w:cstheme="majorHAnsi"/>
          <w:b/>
          <w:bCs/>
          <w:sz w:val="32"/>
          <w:szCs w:val="32"/>
        </w:rPr>
      </w:pPr>
      <w:r w:rsidRPr="00BA700B">
        <w:rPr>
          <w:rFonts w:asciiTheme="majorHAnsi" w:hAnsiTheme="majorHAnsi" w:cstheme="majorHAnsi"/>
        </w:rPr>
        <w:t xml:space="preserve">Employees, contractors, and outside partners can connect to internal systems using their own devices thanks to FinSure Bank's implementation of the Bring Your Own Device (BYOD) concept. </w:t>
      </w:r>
      <w:r w:rsidR="00755261" w:rsidRPr="00BA700B">
        <w:rPr>
          <w:rFonts w:asciiTheme="majorHAnsi" w:hAnsiTheme="majorHAnsi" w:cstheme="majorHAnsi"/>
        </w:rPr>
        <w:t>Although this model can enhance the flexibility of the workforce and reduce the financial costs of operations, it also reveals significant security threats at the same time. Personal devices are too often not configured with the security provisions standard to the enterprise, just as this increases their vulnerability to malware, intruder gain into the system, and possible data leaks. There is empirical evidence that personal devices that are not controlled increase the likelihood of insider threats and data leaks [1</w:t>
      </w:r>
      <w:r w:rsidR="00B1630E" w:rsidRPr="00BA700B">
        <w:rPr>
          <w:rFonts w:asciiTheme="majorHAnsi" w:hAnsiTheme="majorHAnsi" w:cstheme="majorHAnsi"/>
        </w:rPr>
        <w:t>8</w:t>
      </w:r>
      <w:r w:rsidR="00755261" w:rsidRPr="00BA700B">
        <w:rPr>
          <w:rFonts w:asciiTheme="majorHAnsi" w:hAnsiTheme="majorHAnsi" w:cstheme="majorHAnsi"/>
        </w:rPr>
        <w:t>]. Unless there are sufficient controls, including mobile device management (MDM), device encryption, endpoint protection, and sophisticated authentication systems, BYOD settings can become the vulnerabilities of crucial strength in the organisational information systems.</w:t>
      </w:r>
    </w:p>
    <w:p w14:paraId="1F554C97" w14:textId="2EB16577" w:rsidR="0066232D" w:rsidRPr="00BA700B" w:rsidRDefault="006F1CD7" w:rsidP="0078356B">
      <w:pPr>
        <w:pStyle w:val="Heading2"/>
        <w:jc w:val="both"/>
        <w:rPr>
          <w:rFonts w:cstheme="majorHAnsi"/>
          <w:b/>
          <w:bCs/>
          <w:color w:val="auto"/>
          <w:sz w:val="28"/>
          <w:szCs w:val="28"/>
        </w:rPr>
      </w:pPr>
      <w:r w:rsidRPr="00BA700B">
        <w:rPr>
          <w:rFonts w:cstheme="majorHAnsi"/>
          <w:b/>
          <w:bCs/>
          <w:color w:val="auto"/>
          <w:sz w:val="28"/>
          <w:szCs w:val="28"/>
        </w:rPr>
        <w:lastRenderedPageBreak/>
        <w:t>3.3 Risks to Mobile Banking Security</w:t>
      </w:r>
    </w:p>
    <w:p w14:paraId="0E1C8D30" w14:textId="5305A376" w:rsidR="00755261" w:rsidRPr="00BA700B" w:rsidRDefault="00755261" w:rsidP="00755261">
      <w:pPr>
        <w:jc w:val="both"/>
        <w:rPr>
          <w:rFonts w:asciiTheme="majorHAnsi" w:hAnsiTheme="majorHAnsi" w:cstheme="majorHAnsi"/>
        </w:rPr>
      </w:pPr>
      <w:r w:rsidRPr="00BA700B">
        <w:rPr>
          <w:rFonts w:asciiTheme="majorHAnsi" w:hAnsiTheme="majorHAnsi" w:cstheme="majorHAnsi"/>
        </w:rPr>
        <w:t xml:space="preserve">The availability of mobile banking services has significantly increased the digital attack front of financial organisations. Extensive use of smart phone and banking apps has put systems at the end of a continuum of cyber threats such as phishing, malware, identity theft as attackers </w:t>
      </w:r>
      <w:r w:rsidR="00C70DEC" w:rsidRPr="00BA700B">
        <w:rPr>
          <w:rFonts w:asciiTheme="majorHAnsi" w:hAnsiTheme="majorHAnsi" w:cstheme="majorHAnsi"/>
        </w:rPr>
        <w:t>uses</w:t>
      </w:r>
      <w:r w:rsidRPr="00BA700B">
        <w:rPr>
          <w:rFonts w:asciiTheme="majorHAnsi" w:hAnsiTheme="majorHAnsi" w:cstheme="majorHAnsi"/>
        </w:rPr>
        <w:t xml:space="preserve"> the weak points in applications and authentication systems to gain unauthorised access to customer accounts. According to research, the rapid growth of digital banking and the increasing complexity of attacks on mobile ecosystems have also led to the development of mobile banking fraud cases in the world [1</w:t>
      </w:r>
      <w:r w:rsidR="00B1630E" w:rsidRPr="00BA700B">
        <w:rPr>
          <w:rFonts w:asciiTheme="majorHAnsi" w:hAnsiTheme="majorHAnsi" w:cstheme="majorHAnsi"/>
        </w:rPr>
        <w:t>9</w:t>
      </w:r>
      <w:r w:rsidRPr="00BA700B">
        <w:rPr>
          <w:rFonts w:asciiTheme="majorHAnsi" w:hAnsiTheme="majorHAnsi" w:cstheme="majorHAnsi"/>
        </w:rPr>
        <w:t xml:space="preserve">]. Without strong security applications like multi-factor authentication (MFA), development </w:t>
      </w:r>
      <w:r w:rsidR="00C70DEC" w:rsidRPr="00BA700B">
        <w:rPr>
          <w:rFonts w:asciiTheme="majorHAnsi" w:hAnsiTheme="majorHAnsi" w:cstheme="majorHAnsi"/>
        </w:rPr>
        <w:t>practices</w:t>
      </w:r>
      <w:r w:rsidRPr="00BA700B">
        <w:rPr>
          <w:rFonts w:asciiTheme="majorHAnsi" w:hAnsiTheme="majorHAnsi" w:cstheme="majorHAnsi"/>
        </w:rPr>
        <w:t xml:space="preserve"> of secure applications, and real-time fraud detection, there is a high probability of operational, financial, and reputational risks at institutions like FinSure Bank.</w:t>
      </w:r>
    </w:p>
    <w:p w14:paraId="79BB0932" w14:textId="624D6041" w:rsidR="0066232D" w:rsidRPr="00BA700B" w:rsidRDefault="006F1CD7" w:rsidP="0078356B">
      <w:pPr>
        <w:pStyle w:val="Heading2"/>
        <w:jc w:val="both"/>
        <w:rPr>
          <w:rStyle w:val="Heading2Char"/>
          <w:rFonts w:cstheme="majorHAnsi"/>
          <w:b/>
          <w:bCs/>
          <w:color w:val="auto"/>
          <w:sz w:val="28"/>
          <w:szCs w:val="28"/>
        </w:rPr>
      </w:pPr>
      <w:r w:rsidRPr="00BA700B">
        <w:rPr>
          <w:rStyle w:val="Heading2Char"/>
          <w:rFonts w:cstheme="majorHAnsi"/>
          <w:b/>
          <w:bCs/>
          <w:color w:val="auto"/>
          <w:sz w:val="28"/>
          <w:szCs w:val="28"/>
        </w:rPr>
        <w:t>3.4 Insufficient Security Governance and Compliance Structure</w:t>
      </w:r>
    </w:p>
    <w:p w14:paraId="695D854A" w14:textId="7BC51579" w:rsidR="006F1CD7" w:rsidRPr="00BA700B" w:rsidRDefault="00755261" w:rsidP="0078356B">
      <w:pPr>
        <w:jc w:val="both"/>
        <w:rPr>
          <w:rFonts w:asciiTheme="majorHAnsi" w:hAnsiTheme="majorHAnsi" w:cstheme="majorHAnsi"/>
        </w:rPr>
      </w:pPr>
      <w:r w:rsidRPr="00BA700B">
        <w:rPr>
          <w:rFonts w:asciiTheme="majorHAnsi" w:hAnsiTheme="majorHAnsi" w:cstheme="majorHAnsi"/>
        </w:rPr>
        <w:t xml:space="preserve">The gaps within the current enterprise risk management plan and information security governance package are inherent organisation issues that FinSure Bank is faced with. It is not possible to establish good governance systems without aligning the strategic risk goals with the risk management procedures, roles and laid down security standards. </w:t>
      </w:r>
      <w:r w:rsidR="002D5C30" w:rsidRPr="00BA700B">
        <w:rPr>
          <w:rFonts w:asciiTheme="majorHAnsi" w:hAnsiTheme="majorHAnsi" w:cstheme="majorHAnsi"/>
        </w:rPr>
        <w:t>The implementation of security measures, risk assessment procedures, and regulatory compliance continue to be difficult for them, even though their financial capacity is limited in comparison to organizations with robust governance frameworks.</w:t>
      </w:r>
      <w:r w:rsidRPr="00BA700B">
        <w:rPr>
          <w:rFonts w:asciiTheme="majorHAnsi" w:hAnsiTheme="majorHAnsi" w:cstheme="majorHAnsi"/>
        </w:rPr>
        <w:t xml:space="preserve"> According to empirical evidence [</w:t>
      </w:r>
      <w:r w:rsidR="00B1630E" w:rsidRPr="00BA700B">
        <w:rPr>
          <w:rFonts w:asciiTheme="majorHAnsi" w:hAnsiTheme="majorHAnsi" w:cstheme="majorHAnsi"/>
        </w:rPr>
        <w:t>20</w:t>
      </w:r>
      <w:r w:rsidRPr="00BA700B">
        <w:rPr>
          <w:rFonts w:asciiTheme="majorHAnsi" w:hAnsiTheme="majorHAnsi" w:cstheme="majorHAnsi"/>
        </w:rPr>
        <w:t xml:space="preserve">], organisations that lack such frameworks are </w:t>
      </w:r>
      <w:r w:rsidR="00C70DEC" w:rsidRPr="00BA700B">
        <w:rPr>
          <w:rFonts w:asciiTheme="majorHAnsi" w:hAnsiTheme="majorHAnsi" w:cstheme="majorHAnsi"/>
        </w:rPr>
        <w:t>characterized</w:t>
      </w:r>
      <w:r w:rsidRPr="00BA700B">
        <w:rPr>
          <w:rFonts w:asciiTheme="majorHAnsi" w:hAnsiTheme="majorHAnsi" w:cstheme="majorHAnsi"/>
        </w:rPr>
        <w:t xml:space="preserve"> by high vulnerability to cybercrimes and regulatory breaches. Breaches of data protection and financial security policies can be a very crucial failure domain, as they will be unrelated to effective governance in the financial sector, which will undermine the institutional integrity and lead to a dire durative punishment and reputation losses.</w:t>
      </w:r>
    </w:p>
    <w:tbl>
      <w:tblPr>
        <w:tblStyle w:val="GridTable1Light"/>
        <w:tblW w:w="0" w:type="auto"/>
        <w:tblLook w:val="04A0" w:firstRow="1" w:lastRow="0" w:firstColumn="1" w:lastColumn="0" w:noHBand="0" w:noVBand="1"/>
      </w:tblPr>
      <w:tblGrid>
        <w:gridCol w:w="1696"/>
        <w:gridCol w:w="3969"/>
        <w:gridCol w:w="2322"/>
        <w:gridCol w:w="1363"/>
      </w:tblGrid>
      <w:tr w:rsidR="00C16CDA" w:rsidRPr="00BA700B" w14:paraId="0E1CE0B8" w14:textId="77777777" w:rsidTr="009F0D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9BC64EF" w14:textId="77777777" w:rsidR="00C16CDA" w:rsidRPr="00BA700B" w:rsidRDefault="00C16CDA" w:rsidP="00B1630E">
            <w:pPr>
              <w:spacing w:after="160" w:line="278" w:lineRule="auto"/>
              <w:jc w:val="center"/>
              <w:rPr>
                <w:rFonts w:asciiTheme="majorHAnsi" w:hAnsiTheme="majorHAnsi" w:cstheme="majorHAnsi"/>
              </w:rPr>
            </w:pPr>
            <w:r w:rsidRPr="00BA700B">
              <w:rPr>
                <w:rFonts w:asciiTheme="majorHAnsi" w:hAnsiTheme="majorHAnsi" w:cstheme="majorHAnsi"/>
              </w:rPr>
              <w:t>Threat Category</w:t>
            </w:r>
          </w:p>
        </w:tc>
        <w:tc>
          <w:tcPr>
            <w:tcW w:w="3969" w:type="dxa"/>
            <w:hideMark/>
          </w:tcPr>
          <w:p w14:paraId="6B78F73E" w14:textId="77777777" w:rsidR="00C16CDA" w:rsidRPr="00BA700B" w:rsidRDefault="00C16CDA" w:rsidP="00B1630E">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Description</w:t>
            </w:r>
          </w:p>
        </w:tc>
        <w:tc>
          <w:tcPr>
            <w:tcW w:w="2322" w:type="dxa"/>
            <w:hideMark/>
          </w:tcPr>
          <w:p w14:paraId="1AB1FE3C" w14:textId="77777777" w:rsidR="00C16CDA" w:rsidRPr="00BA700B" w:rsidRDefault="00C16CDA" w:rsidP="00B1630E">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Potential Impact</w:t>
            </w:r>
          </w:p>
        </w:tc>
        <w:tc>
          <w:tcPr>
            <w:tcW w:w="0" w:type="auto"/>
            <w:hideMark/>
          </w:tcPr>
          <w:p w14:paraId="39730F40" w14:textId="77777777" w:rsidR="00C16CDA" w:rsidRPr="00BA700B" w:rsidRDefault="00C16CDA" w:rsidP="00B1630E">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Risk Level</w:t>
            </w:r>
          </w:p>
        </w:tc>
      </w:tr>
      <w:tr w:rsidR="00C16CDA" w:rsidRPr="00BA700B" w14:paraId="4A471F61" w14:textId="77777777" w:rsidTr="009F0D8C">
        <w:tc>
          <w:tcPr>
            <w:cnfStyle w:val="001000000000" w:firstRow="0" w:lastRow="0" w:firstColumn="1" w:lastColumn="0" w:oddVBand="0" w:evenVBand="0" w:oddHBand="0" w:evenHBand="0" w:firstRowFirstColumn="0" w:firstRowLastColumn="0" w:lastRowFirstColumn="0" w:lastRowLastColumn="0"/>
            <w:tcW w:w="1696" w:type="dxa"/>
            <w:hideMark/>
          </w:tcPr>
          <w:p w14:paraId="04E5BDDA"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Cloud Security Breaches</w:t>
            </w:r>
          </w:p>
        </w:tc>
        <w:tc>
          <w:tcPr>
            <w:tcW w:w="3969" w:type="dxa"/>
            <w:hideMark/>
          </w:tcPr>
          <w:p w14:paraId="7CB100D9"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Misconfigured cloud systems or weak access control</w:t>
            </w:r>
          </w:p>
        </w:tc>
        <w:tc>
          <w:tcPr>
            <w:tcW w:w="2322" w:type="dxa"/>
            <w:hideMark/>
          </w:tcPr>
          <w:p w14:paraId="2D7A8EED"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Exposure of financial data</w:t>
            </w:r>
          </w:p>
        </w:tc>
        <w:tc>
          <w:tcPr>
            <w:tcW w:w="0" w:type="auto"/>
            <w:hideMark/>
          </w:tcPr>
          <w:p w14:paraId="51C9EAF2"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r w:rsidR="00C16CDA" w:rsidRPr="00BA700B" w14:paraId="08B7A806" w14:textId="77777777" w:rsidTr="009F0D8C">
        <w:tc>
          <w:tcPr>
            <w:cnfStyle w:val="001000000000" w:firstRow="0" w:lastRow="0" w:firstColumn="1" w:lastColumn="0" w:oddVBand="0" w:evenVBand="0" w:oddHBand="0" w:evenHBand="0" w:firstRowFirstColumn="0" w:firstRowLastColumn="0" w:lastRowFirstColumn="0" w:lastRowLastColumn="0"/>
            <w:tcW w:w="1696" w:type="dxa"/>
            <w:hideMark/>
          </w:tcPr>
          <w:p w14:paraId="258BA16F"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BYOD Vulnerabilities</w:t>
            </w:r>
          </w:p>
        </w:tc>
        <w:tc>
          <w:tcPr>
            <w:tcW w:w="3969" w:type="dxa"/>
            <w:hideMark/>
          </w:tcPr>
          <w:p w14:paraId="78BCE6F4"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Unsecured personal devices accessing corporate systems</w:t>
            </w:r>
          </w:p>
        </w:tc>
        <w:tc>
          <w:tcPr>
            <w:tcW w:w="2322" w:type="dxa"/>
            <w:hideMark/>
          </w:tcPr>
          <w:p w14:paraId="01F5115C"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Data leakage or malware infection</w:t>
            </w:r>
          </w:p>
        </w:tc>
        <w:tc>
          <w:tcPr>
            <w:tcW w:w="0" w:type="auto"/>
            <w:hideMark/>
          </w:tcPr>
          <w:p w14:paraId="31A7AD7F"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r w:rsidR="00C16CDA" w:rsidRPr="00BA700B" w14:paraId="5281CD67" w14:textId="77777777" w:rsidTr="009F0D8C">
        <w:tc>
          <w:tcPr>
            <w:cnfStyle w:val="001000000000" w:firstRow="0" w:lastRow="0" w:firstColumn="1" w:lastColumn="0" w:oddVBand="0" w:evenVBand="0" w:oddHBand="0" w:evenHBand="0" w:firstRowFirstColumn="0" w:firstRowLastColumn="0" w:lastRowFirstColumn="0" w:lastRowLastColumn="0"/>
            <w:tcW w:w="1696" w:type="dxa"/>
            <w:hideMark/>
          </w:tcPr>
          <w:p w14:paraId="08B5B238"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Mobile Banking Attacks</w:t>
            </w:r>
          </w:p>
        </w:tc>
        <w:tc>
          <w:tcPr>
            <w:tcW w:w="3969" w:type="dxa"/>
            <w:hideMark/>
          </w:tcPr>
          <w:p w14:paraId="3D82BF1F"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Phishing, malware, and fraudulent mobile applications</w:t>
            </w:r>
          </w:p>
        </w:tc>
        <w:tc>
          <w:tcPr>
            <w:tcW w:w="2322" w:type="dxa"/>
            <w:hideMark/>
          </w:tcPr>
          <w:p w14:paraId="5BEAEB9E"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Customer account compromise</w:t>
            </w:r>
          </w:p>
        </w:tc>
        <w:tc>
          <w:tcPr>
            <w:tcW w:w="0" w:type="auto"/>
            <w:hideMark/>
          </w:tcPr>
          <w:p w14:paraId="5E5DE0B1"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r w:rsidR="00C16CDA" w:rsidRPr="00BA700B" w14:paraId="53C188C6" w14:textId="77777777" w:rsidTr="009F0D8C">
        <w:tc>
          <w:tcPr>
            <w:cnfStyle w:val="001000000000" w:firstRow="0" w:lastRow="0" w:firstColumn="1" w:lastColumn="0" w:oddVBand="0" w:evenVBand="0" w:oddHBand="0" w:evenHBand="0" w:firstRowFirstColumn="0" w:firstRowLastColumn="0" w:lastRowFirstColumn="0" w:lastRowLastColumn="0"/>
            <w:tcW w:w="1696" w:type="dxa"/>
            <w:hideMark/>
          </w:tcPr>
          <w:p w14:paraId="58B1BFDC"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Insider Threats</w:t>
            </w:r>
          </w:p>
        </w:tc>
        <w:tc>
          <w:tcPr>
            <w:tcW w:w="3969" w:type="dxa"/>
            <w:hideMark/>
          </w:tcPr>
          <w:p w14:paraId="361A33CA"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Employees or partners misusing system access</w:t>
            </w:r>
          </w:p>
        </w:tc>
        <w:tc>
          <w:tcPr>
            <w:tcW w:w="2322" w:type="dxa"/>
            <w:hideMark/>
          </w:tcPr>
          <w:p w14:paraId="26419032"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Financial fraud or data theft</w:t>
            </w:r>
          </w:p>
        </w:tc>
        <w:tc>
          <w:tcPr>
            <w:tcW w:w="0" w:type="auto"/>
            <w:hideMark/>
          </w:tcPr>
          <w:p w14:paraId="3C459067"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Medium–High</w:t>
            </w:r>
          </w:p>
        </w:tc>
      </w:tr>
      <w:tr w:rsidR="00C16CDA" w:rsidRPr="00BA700B" w14:paraId="491DCFB0" w14:textId="77777777" w:rsidTr="009F0D8C">
        <w:trPr>
          <w:trHeight w:val="853"/>
        </w:trPr>
        <w:tc>
          <w:tcPr>
            <w:cnfStyle w:val="001000000000" w:firstRow="0" w:lastRow="0" w:firstColumn="1" w:lastColumn="0" w:oddVBand="0" w:evenVBand="0" w:oddHBand="0" w:evenHBand="0" w:firstRowFirstColumn="0" w:firstRowLastColumn="0" w:lastRowFirstColumn="0" w:lastRowLastColumn="0"/>
            <w:tcW w:w="1696" w:type="dxa"/>
            <w:hideMark/>
          </w:tcPr>
          <w:p w14:paraId="42A8E71A"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lastRenderedPageBreak/>
              <w:t>Lack of Governance</w:t>
            </w:r>
          </w:p>
        </w:tc>
        <w:tc>
          <w:tcPr>
            <w:tcW w:w="3969" w:type="dxa"/>
            <w:hideMark/>
          </w:tcPr>
          <w:p w14:paraId="64B69BBF"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Absence of structured security policies and audits</w:t>
            </w:r>
          </w:p>
        </w:tc>
        <w:tc>
          <w:tcPr>
            <w:tcW w:w="2322" w:type="dxa"/>
            <w:hideMark/>
          </w:tcPr>
          <w:p w14:paraId="4C81DD48"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Regulatory non-compliance</w:t>
            </w:r>
          </w:p>
        </w:tc>
        <w:tc>
          <w:tcPr>
            <w:tcW w:w="0" w:type="auto"/>
            <w:hideMark/>
          </w:tcPr>
          <w:p w14:paraId="2D12E667" w14:textId="77777777" w:rsidR="00C16CDA" w:rsidRPr="00BA700B" w:rsidRDefault="00C16CDA"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bl>
    <w:p w14:paraId="5893FB75" w14:textId="3D5AB12B" w:rsidR="00C16CDA" w:rsidRPr="00BA700B" w:rsidRDefault="00C16CDA" w:rsidP="00B1630E">
      <w:pPr>
        <w:jc w:val="center"/>
        <w:rPr>
          <w:rFonts w:asciiTheme="majorHAnsi" w:hAnsiTheme="majorHAnsi" w:cstheme="majorHAnsi"/>
        </w:rPr>
      </w:pPr>
      <w:r w:rsidRPr="00BA700B">
        <w:rPr>
          <w:rFonts w:asciiTheme="majorHAnsi" w:hAnsiTheme="majorHAnsi" w:cstheme="majorHAnsi"/>
          <w:b/>
          <w:bCs/>
        </w:rPr>
        <w:t xml:space="preserve">Table </w:t>
      </w:r>
      <w:r w:rsidR="009B6207" w:rsidRPr="00BA700B">
        <w:rPr>
          <w:rFonts w:asciiTheme="majorHAnsi" w:hAnsiTheme="majorHAnsi" w:cstheme="majorHAnsi"/>
          <w:b/>
          <w:bCs/>
        </w:rPr>
        <w:t>3</w:t>
      </w:r>
      <w:r w:rsidRPr="00BA700B">
        <w:rPr>
          <w:rFonts w:asciiTheme="majorHAnsi" w:hAnsiTheme="majorHAnsi" w:cstheme="majorHAnsi"/>
        </w:rPr>
        <w:t>: Risk Assessment for FinSure Bank</w:t>
      </w:r>
    </w:p>
    <w:p w14:paraId="6B1B5032" w14:textId="77777777" w:rsidR="00413706" w:rsidRPr="00BA700B" w:rsidRDefault="00755261" w:rsidP="0078356B">
      <w:pPr>
        <w:jc w:val="both"/>
        <w:rPr>
          <w:rFonts w:asciiTheme="majorHAnsi" w:hAnsiTheme="majorHAnsi" w:cstheme="majorHAnsi"/>
        </w:rPr>
      </w:pPr>
      <w:r w:rsidRPr="00BA700B">
        <w:rPr>
          <w:rFonts w:asciiTheme="majorHAnsi" w:hAnsiTheme="majorHAnsi" w:cstheme="majorHAnsi"/>
        </w:rPr>
        <w:t>In this respect, the creation of a strong information-security governance architecture based on formal enterprise risk management can be done in FinSure Bank. Mitigation should be conducted by the use of availed security criteria and a suitable technical and administrative control coupled with tough governance and compliance mechanisms to address the identified vulnerabilities. Such actions will be critical in achieving regulatory compliance, good risk management, and developing cyber resilience over the long term to the organisation.</w:t>
      </w:r>
    </w:p>
    <w:p w14:paraId="476BEDE4" w14:textId="70B8582B" w:rsidR="00E05CB2" w:rsidRPr="00BA700B" w:rsidRDefault="00E05CB2" w:rsidP="00413706">
      <w:pPr>
        <w:pStyle w:val="Heading2"/>
        <w:rPr>
          <w:rFonts w:cstheme="majorHAnsi"/>
          <w:b/>
          <w:bCs/>
          <w:color w:val="auto"/>
          <w:sz w:val="28"/>
          <w:szCs w:val="28"/>
        </w:rPr>
      </w:pPr>
      <w:r w:rsidRPr="00BA700B">
        <w:rPr>
          <w:rFonts w:cstheme="majorHAnsi"/>
          <w:b/>
          <w:bCs/>
          <w:color w:val="auto"/>
          <w:sz w:val="28"/>
          <w:szCs w:val="28"/>
        </w:rPr>
        <w:t>3.5 Risk Assessment Methodology</w:t>
      </w:r>
    </w:p>
    <w:p w14:paraId="04FA1A7F" w14:textId="7E5AE6B1" w:rsidR="0078356B" w:rsidRPr="00BA700B" w:rsidRDefault="00755261" w:rsidP="0078356B">
      <w:pPr>
        <w:jc w:val="both"/>
        <w:rPr>
          <w:rFonts w:asciiTheme="majorHAnsi" w:hAnsiTheme="majorHAnsi" w:cstheme="majorHAnsi"/>
        </w:rPr>
      </w:pPr>
      <w:r w:rsidRPr="00BA700B">
        <w:rPr>
          <w:rFonts w:asciiTheme="majorHAnsi" w:hAnsiTheme="majorHAnsi" w:cstheme="majorHAnsi"/>
        </w:rPr>
        <w:t xml:space="preserve">The financiers that will be working in such a complex digital space should conduct a systematic cybersecurity risk evaluation. Banking institutions like FinSure Bank make transactions of large volumes of sensitive financial and personal information on cloud platforms, mobile banking, and distributed systems of access. Without systematic risk management, these institutions are vulnerable to data breaches, fraud, and non-compliance by the regulations. The formal risk assessment methods permit organisations to detect, </w:t>
      </w:r>
      <w:r w:rsidR="00B1630E" w:rsidRPr="00BA700B">
        <w:rPr>
          <w:rFonts w:asciiTheme="majorHAnsi" w:hAnsiTheme="majorHAnsi" w:cstheme="majorHAnsi"/>
        </w:rPr>
        <w:t>analyses</w:t>
      </w:r>
      <w:r w:rsidRPr="00BA700B">
        <w:rPr>
          <w:rFonts w:asciiTheme="majorHAnsi" w:hAnsiTheme="majorHAnsi" w:cstheme="majorHAnsi"/>
        </w:rPr>
        <w:t xml:space="preserve"> risks, and provide adequate security controls. ISO/IEC 27005 and NIST Risk Management Framework are standards that are available to provide a detailed approach to risk management in terms of cybersecurity [</w:t>
      </w:r>
      <w:r w:rsidR="00B1630E" w:rsidRPr="00BA700B">
        <w:rPr>
          <w:rFonts w:asciiTheme="majorHAnsi" w:hAnsiTheme="majorHAnsi" w:cstheme="majorHAnsi"/>
        </w:rPr>
        <w:t>21</w:t>
      </w:r>
      <w:r w:rsidRPr="00BA700B">
        <w:rPr>
          <w:rFonts w:asciiTheme="majorHAnsi" w:hAnsiTheme="majorHAnsi" w:cstheme="majorHAnsi"/>
        </w:rPr>
        <w:t>].</w:t>
      </w:r>
    </w:p>
    <w:p w14:paraId="5D01B2E5" w14:textId="54F91E11" w:rsidR="00E05CB2" w:rsidRPr="00BA700B" w:rsidRDefault="002D5C30" w:rsidP="0078356B">
      <w:pPr>
        <w:jc w:val="both"/>
        <w:rPr>
          <w:rFonts w:asciiTheme="majorHAnsi" w:hAnsiTheme="majorHAnsi" w:cstheme="majorHAnsi"/>
        </w:rPr>
      </w:pPr>
      <w:r w:rsidRPr="00BA700B">
        <w:rPr>
          <w:rFonts w:asciiTheme="majorHAnsi" w:hAnsiTheme="majorHAnsi" w:cstheme="majorHAnsi"/>
        </w:rPr>
        <w:t>Threat and vulnerability analysis, which covers threats including phishing, malware, misconfigured organizational systems, and poor authentication, follows risk identification, which is the first step in defining important assets and potential threats [</w:t>
      </w:r>
      <w:r w:rsidR="00B1630E" w:rsidRPr="00BA700B">
        <w:rPr>
          <w:rFonts w:asciiTheme="majorHAnsi" w:hAnsiTheme="majorHAnsi" w:cstheme="majorHAnsi"/>
        </w:rPr>
        <w:t>22]</w:t>
      </w:r>
      <w:r w:rsidRPr="00BA700B">
        <w:rPr>
          <w:rFonts w:asciiTheme="majorHAnsi" w:hAnsiTheme="majorHAnsi" w:cstheme="majorHAnsi"/>
        </w:rPr>
        <w:t>. Using both qualitative and quantitative techniques, risk analysis and prioritization are carried out to ascertain the impact and likelihood [</w:t>
      </w:r>
      <w:r w:rsidR="00E72A1F" w:rsidRPr="00BA700B">
        <w:rPr>
          <w:rFonts w:asciiTheme="majorHAnsi" w:hAnsiTheme="majorHAnsi" w:cstheme="majorHAnsi"/>
        </w:rPr>
        <w:t>23</w:t>
      </w:r>
      <w:r w:rsidRPr="00BA700B">
        <w:rPr>
          <w:rFonts w:asciiTheme="majorHAnsi" w:hAnsiTheme="majorHAnsi" w:cstheme="majorHAnsi"/>
        </w:rPr>
        <w:t xml:space="preserve">]. </w:t>
      </w:r>
      <w:r w:rsidR="006336A4" w:rsidRPr="006336A4">
        <w:rPr>
          <w:rFonts w:asciiTheme="majorHAnsi" w:hAnsiTheme="majorHAnsi" w:cstheme="majorHAnsi"/>
        </w:rPr>
        <w:t>Finally, to make cybersecurity more resilient and within the regulatory framework, the risk treatment methods of mitigation, transfer, avoidance, and acceptance offer a control mechanism including the additions of multi-factor authentication, encryption, and constant monitoring.</w:t>
      </w:r>
    </w:p>
    <w:p w14:paraId="32A5F355" w14:textId="4C747383" w:rsidR="00E455A4" w:rsidRPr="00BA700B" w:rsidRDefault="00077639" w:rsidP="0078356B">
      <w:pPr>
        <w:jc w:val="both"/>
        <w:rPr>
          <w:rFonts w:asciiTheme="majorHAnsi" w:hAnsiTheme="majorHAnsi" w:cstheme="majorHAnsi"/>
          <w:highlight w:val="yellow"/>
        </w:rPr>
      </w:pPr>
      <w:r w:rsidRPr="00BA700B">
        <w:rPr>
          <w:rFonts w:asciiTheme="majorHAnsi" w:hAnsiTheme="majorHAnsi" w:cstheme="majorHAnsi"/>
          <w:noProof/>
        </w:rPr>
        <w:drawing>
          <wp:inline distT="0" distB="0" distL="0" distR="0" wp14:anchorId="42B19040" wp14:editId="4D0BA795">
            <wp:extent cx="5943600" cy="903605"/>
            <wp:effectExtent l="0" t="0" r="0" b="0"/>
            <wp:docPr id="114563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903605"/>
                    </a:xfrm>
                    <a:prstGeom prst="rect">
                      <a:avLst/>
                    </a:prstGeom>
                    <a:noFill/>
                    <a:ln>
                      <a:noFill/>
                    </a:ln>
                  </pic:spPr>
                </pic:pic>
              </a:graphicData>
            </a:graphic>
          </wp:inline>
        </w:drawing>
      </w:r>
    </w:p>
    <w:p w14:paraId="5F1A09EB" w14:textId="6464FE5D" w:rsidR="003C7014" w:rsidRDefault="00E476A8" w:rsidP="009F0D8C">
      <w:pPr>
        <w:jc w:val="center"/>
        <w:rPr>
          <w:rFonts w:asciiTheme="majorHAnsi" w:hAnsiTheme="majorHAnsi" w:cstheme="majorHAnsi"/>
        </w:rPr>
      </w:pPr>
      <w:r w:rsidRPr="003C7014">
        <w:rPr>
          <w:rFonts w:asciiTheme="majorHAnsi" w:hAnsiTheme="majorHAnsi" w:cstheme="majorHAnsi"/>
          <w:b/>
          <w:bCs/>
        </w:rPr>
        <w:t>Figure</w:t>
      </w:r>
      <w:r w:rsidR="009F0D8C" w:rsidRPr="003C7014">
        <w:rPr>
          <w:rFonts w:asciiTheme="majorHAnsi" w:hAnsiTheme="majorHAnsi" w:cstheme="majorHAnsi"/>
          <w:b/>
          <w:bCs/>
        </w:rPr>
        <w:t xml:space="preserve"> </w:t>
      </w:r>
      <w:r w:rsidRPr="003C7014">
        <w:rPr>
          <w:rFonts w:asciiTheme="majorHAnsi" w:hAnsiTheme="majorHAnsi" w:cstheme="majorHAnsi"/>
          <w:b/>
          <w:bCs/>
        </w:rPr>
        <w:t>3</w:t>
      </w:r>
      <w:r w:rsidR="009F0D8C" w:rsidRPr="003C7014">
        <w:rPr>
          <w:rFonts w:asciiTheme="majorHAnsi" w:hAnsiTheme="majorHAnsi" w:cstheme="majorHAnsi"/>
          <w:b/>
          <w:bCs/>
        </w:rPr>
        <w:t>:</w:t>
      </w:r>
      <w:r w:rsidR="009F0D8C" w:rsidRPr="00BA700B">
        <w:rPr>
          <w:rFonts w:asciiTheme="majorHAnsi" w:hAnsiTheme="majorHAnsi" w:cstheme="majorHAnsi"/>
        </w:rPr>
        <w:t xml:space="preserve"> </w:t>
      </w:r>
      <w:r w:rsidR="006336A4" w:rsidRPr="006336A4">
        <w:rPr>
          <w:rFonts w:asciiTheme="majorHAnsi" w:hAnsiTheme="majorHAnsi" w:cstheme="majorHAnsi"/>
        </w:rPr>
        <w:t>Risk Lifecycle of Assessment and Mitigation.</w:t>
      </w:r>
    </w:p>
    <w:p w14:paraId="64040B79" w14:textId="77777777" w:rsidR="003C7014" w:rsidRDefault="003C7014">
      <w:pPr>
        <w:rPr>
          <w:rFonts w:asciiTheme="majorHAnsi" w:hAnsiTheme="majorHAnsi" w:cstheme="majorHAnsi"/>
        </w:rPr>
      </w:pPr>
      <w:r>
        <w:rPr>
          <w:rFonts w:asciiTheme="majorHAnsi" w:hAnsiTheme="majorHAnsi" w:cstheme="majorHAnsi"/>
        </w:rPr>
        <w:br w:type="page"/>
      </w:r>
    </w:p>
    <w:tbl>
      <w:tblPr>
        <w:tblStyle w:val="GridTable1Light"/>
        <w:tblW w:w="0" w:type="auto"/>
        <w:tblLook w:val="04A0" w:firstRow="1" w:lastRow="0" w:firstColumn="1" w:lastColumn="0" w:noHBand="0" w:noVBand="1"/>
      </w:tblPr>
      <w:tblGrid>
        <w:gridCol w:w="2125"/>
        <w:gridCol w:w="3860"/>
        <w:gridCol w:w="1030"/>
        <w:gridCol w:w="1193"/>
        <w:gridCol w:w="1142"/>
      </w:tblGrid>
      <w:tr w:rsidR="00E96000" w:rsidRPr="00BA700B" w14:paraId="345E44EA" w14:textId="77777777" w:rsidTr="00337A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60555" w14:textId="314286A0" w:rsidR="00E96000" w:rsidRPr="00BA700B" w:rsidRDefault="00E96000" w:rsidP="005E61E4">
            <w:pPr>
              <w:spacing w:line="480" w:lineRule="auto"/>
              <w:jc w:val="both"/>
              <w:rPr>
                <w:rFonts w:asciiTheme="majorHAnsi" w:hAnsiTheme="majorHAnsi" w:cstheme="majorHAnsi"/>
                <w:b w:val="0"/>
                <w:bCs w:val="0"/>
              </w:rPr>
            </w:pPr>
            <w:r w:rsidRPr="00BA700B">
              <w:rPr>
                <w:rFonts w:asciiTheme="majorHAnsi" w:hAnsiTheme="majorHAnsi" w:cstheme="majorHAnsi"/>
              </w:rPr>
              <w:lastRenderedPageBreak/>
              <w:t xml:space="preserve">Risk </w:t>
            </w:r>
            <w:r w:rsidR="003C7014">
              <w:rPr>
                <w:rFonts w:asciiTheme="majorHAnsi" w:hAnsiTheme="majorHAnsi" w:cstheme="majorHAnsi"/>
              </w:rPr>
              <w:t>Type</w:t>
            </w:r>
          </w:p>
        </w:tc>
        <w:tc>
          <w:tcPr>
            <w:tcW w:w="0" w:type="auto"/>
            <w:hideMark/>
          </w:tcPr>
          <w:p w14:paraId="757756EE" w14:textId="77777777" w:rsidR="00E96000" w:rsidRPr="00BA700B" w:rsidRDefault="00E96000" w:rsidP="005E61E4">
            <w:pPr>
              <w:spacing w:line="48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rPr>
            </w:pPr>
            <w:r w:rsidRPr="00BA700B">
              <w:rPr>
                <w:rFonts w:asciiTheme="majorHAnsi" w:hAnsiTheme="majorHAnsi" w:cstheme="majorHAnsi"/>
              </w:rPr>
              <w:t>Threat Example</w:t>
            </w:r>
          </w:p>
        </w:tc>
        <w:tc>
          <w:tcPr>
            <w:tcW w:w="0" w:type="auto"/>
            <w:hideMark/>
          </w:tcPr>
          <w:p w14:paraId="7E4EEC7B" w14:textId="77777777" w:rsidR="00E96000" w:rsidRPr="00BA700B" w:rsidRDefault="00E96000" w:rsidP="005E61E4">
            <w:pPr>
              <w:spacing w:line="48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rPr>
            </w:pPr>
            <w:r w:rsidRPr="00BA700B">
              <w:rPr>
                <w:rFonts w:asciiTheme="majorHAnsi" w:hAnsiTheme="majorHAnsi" w:cstheme="majorHAnsi"/>
              </w:rPr>
              <w:t>Impact</w:t>
            </w:r>
          </w:p>
        </w:tc>
        <w:tc>
          <w:tcPr>
            <w:tcW w:w="0" w:type="auto"/>
            <w:hideMark/>
          </w:tcPr>
          <w:p w14:paraId="34D32CFC" w14:textId="77777777" w:rsidR="00E96000" w:rsidRPr="00BA700B" w:rsidRDefault="00E96000" w:rsidP="005E61E4">
            <w:pPr>
              <w:spacing w:line="48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rPr>
            </w:pPr>
            <w:r w:rsidRPr="00BA700B">
              <w:rPr>
                <w:rFonts w:asciiTheme="majorHAnsi" w:hAnsiTheme="majorHAnsi" w:cstheme="majorHAnsi"/>
              </w:rPr>
              <w:t>Likelihood</w:t>
            </w:r>
          </w:p>
        </w:tc>
        <w:tc>
          <w:tcPr>
            <w:tcW w:w="0" w:type="auto"/>
            <w:hideMark/>
          </w:tcPr>
          <w:p w14:paraId="24719498" w14:textId="77777777" w:rsidR="00E96000" w:rsidRPr="00BA700B" w:rsidRDefault="00E96000" w:rsidP="005E61E4">
            <w:pPr>
              <w:spacing w:line="48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rPr>
            </w:pPr>
            <w:r w:rsidRPr="00BA700B">
              <w:rPr>
                <w:rFonts w:asciiTheme="majorHAnsi" w:hAnsiTheme="majorHAnsi" w:cstheme="majorHAnsi"/>
              </w:rPr>
              <w:t>Risk Level</w:t>
            </w:r>
          </w:p>
        </w:tc>
      </w:tr>
      <w:tr w:rsidR="00E96000" w:rsidRPr="00BA700B" w14:paraId="2E2C1473" w14:textId="77777777" w:rsidTr="00337AAA">
        <w:tc>
          <w:tcPr>
            <w:cnfStyle w:val="001000000000" w:firstRow="0" w:lastRow="0" w:firstColumn="1" w:lastColumn="0" w:oddVBand="0" w:evenVBand="0" w:oddHBand="0" w:evenHBand="0" w:firstRowFirstColumn="0" w:firstRowLastColumn="0" w:lastRowFirstColumn="0" w:lastRowLastColumn="0"/>
            <w:tcW w:w="0" w:type="auto"/>
            <w:hideMark/>
          </w:tcPr>
          <w:p w14:paraId="1F86999B" w14:textId="77777777" w:rsidR="00E96000" w:rsidRPr="00BA700B" w:rsidRDefault="00E96000" w:rsidP="005E61E4">
            <w:pPr>
              <w:spacing w:line="480" w:lineRule="auto"/>
              <w:jc w:val="both"/>
              <w:rPr>
                <w:rFonts w:asciiTheme="majorHAnsi" w:hAnsiTheme="majorHAnsi" w:cstheme="majorHAnsi"/>
              </w:rPr>
            </w:pPr>
            <w:r w:rsidRPr="00BA700B">
              <w:rPr>
                <w:rFonts w:asciiTheme="majorHAnsi" w:hAnsiTheme="majorHAnsi" w:cstheme="majorHAnsi"/>
              </w:rPr>
              <w:t>Cloud Security Risk</w:t>
            </w:r>
          </w:p>
        </w:tc>
        <w:tc>
          <w:tcPr>
            <w:tcW w:w="0" w:type="auto"/>
            <w:hideMark/>
          </w:tcPr>
          <w:p w14:paraId="09BF858F"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Misconfigured cloud storage</w:t>
            </w:r>
          </w:p>
        </w:tc>
        <w:tc>
          <w:tcPr>
            <w:tcW w:w="0" w:type="auto"/>
            <w:hideMark/>
          </w:tcPr>
          <w:p w14:paraId="137385E9"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51E4EFA5"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w:t>
            </w:r>
          </w:p>
        </w:tc>
        <w:tc>
          <w:tcPr>
            <w:tcW w:w="0" w:type="auto"/>
            <w:hideMark/>
          </w:tcPr>
          <w:p w14:paraId="56CA6907"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r w:rsidR="00E96000" w:rsidRPr="00BA700B" w14:paraId="2CB137FD" w14:textId="77777777" w:rsidTr="00337AAA">
        <w:tc>
          <w:tcPr>
            <w:cnfStyle w:val="001000000000" w:firstRow="0" w:lastRow="0" w:firstColumn="1" w:lastColumn="0" w:oddVBand="0" w:evenVBand="0" w:oddHBand="0" w:evenHBand="0" w:firstRowFirstColumn="0" w:firstRowLastColumn="0" w:lastRowFirstColumn="0" w:lastRowLastColumn="0"/>
            <w:tcW w:w="0" w:type="auto"/>
            <w:hideMark/>
          </w:tcPr>
          <w:p w14:paraId="6C19509F" w14:textId="77777777" w:rsidR="00E96000" w:rsidRPr="00BA700B" w:rsidRDefault="00E96000" w:rsidP="005E61E4">
            <w:pPr>
              <w:spacing w:line="480" w:lineRule="auto"/>
              <w:jc w:val="both"/>
              <w:rPr>
                <w:rFonts w:asciiTheme="majorHAnsi" w:hAnsiTheme="majorHAnsi" w:cstheme="majorHAnsi"/>
              </w:rPr>
            </w:pPr>
            <w:r w:rsidRPr="00BA700B">
              <w:rPr>
                <w:rFonts w:asciiTheme="majorHAnsi" w:hAnsiTheme="majorHAnsi" w:cstheme="majorHAnsi"/>
              </w:rPr>
              <w:t>Mobile Banking Risk</w:t>
            </w:r>
          </w:p>
        </w:tc>
        <w:tc>
          <w:tcPr>
            <w:tcW w:w="0" w:type="auto"/>
            <w:hideMark/>
          </w:tcPr>
          <w:p w14:paraId="2236E397"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Malware targeting mobile applications</w:t>
            </w:r>
          </w:p>
        </w:tc>
        <w:tc>
          <w:tcPr>
            <w:tcW w:w="0" w:type="auto"/>
            <w:hideMark/>
          </w:tcPr>
          <w:p w14:paraId="2EC5ED33"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7A299318"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27FCEA32"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Critical</w:t>
            </w:r>
          </w:p>
        </w:tc>
      </w:tr>
      <w:tr w:rsidR="00E96000" w:rsidRPr="00BA700B" w14:paraId="468AB000" w14:textId="77777777" w:rsidTr="00337AAA">
        <w:tc>
          <w:tcPr>
            <w:cnfStyle w:val="001000000000" w:firstRow="0" w:lastRow="0" w:firstColumn="1" w:lastColumn="0" w:oddVBand="0" w:evenVBand="0" w:oddHBand="0" w:evenHBand="0" w:firstRowFirstColumn="0" w:firstRowLastColumn="0" w:lastRowFirstColumn="0" w:lastRowLastColumn="0"/>
            <w:tcW w:w="0" w:type="auto"/>
            <w:hideMark/>
          </w:tcPr>
          <w:p w14:paraId="25BDA4C0" w14:textId="77777777" w:rsidR="00E96000" w:rsidRPr="00BA700B" w:rsidRDefault="00E96000" w:rsidP="005E61E4">
            <w:pPr>
              <w:spacing w:line="480" w:lineRule="auto"/>
              <w:jc w:val="both"/>
              <w:rPr>
                <w:rFonts w:asciiTheme="majorHAnsi" w:hAnsiTheme="majorHAnsi" w:cstheme="majorHAnsi"/>
              </w:rPr>
            </w:pPr>
            <w:r w:rsidRPr="00BA700B">
              <w:rPr>
                <w:rFonts w:asciiTheme="majorHAnsi" w:hAnsiTheme="majorHAnsi" w:cstheme="majorHAnsi"/>
              </w:rPr>
              <w:t>Insider Threat</w:t>
            </w:r>
          </w:p>
        </w:tc>
        <w:tc>
          <w:tcPr>
            <w:tcW w:w="0" w:type="auto"/>
            <w:hideMark/>
          </w:tcPr>
          <w:p w14:paraId="77662A4B"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Unauthorised employee access</w:t>
            </w:r>
          </w:p>
        </w:tc>
        <w:tc>
          <w:tcPr>
            <w:tcW w:w="0" w:type="auto"/>
            <w:hideMark/>
          </w:tcPr>
          <w:p w14:paraId="25718991"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w:t>
            </w:r>
          </w:p>
        </w:tc>
        <w:tc>
          <w:tcPr>
            <w:tcW w:w="0" w:type="auto"/>
            <w:hideMark/>
          </w:tcPr>
          <w:p w14:paraId="0FB73F25"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w:t>
            </w:r>
          </w:p>
        </w:tc>
        <w:tc>
          <w:tcPr>
            <w:tcW w:w="0" w:type="auto"/>
            <w:hideMark/>
          </w:tcPr>
          <w:p w14:paraId="03FE1C27"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w:t>
            </w:r>
          </w:p>
        </w:tc>
      </w:tr>
      <w:tr w:rsidR="00E96000" w:rsidRPr="00BA700B" w14:paraId="7B964B62" w14:textId="77777777" w:rsidTr="00337AAA">
        <w:tc>
          <w:tcPr>
            <w:cnfStyle w:val="001000000000" w:firstRow="0" w:lastRow="0" w:firstColumn="1" w:lastColumn="0" w:oddVBand="0" w:evenVBand="0" w:oddHBand="0" w:evenHBand="0" w:firstRowFirstColumn="0" w:firstRowLastColumn="0" w:lastRowFirstColumn="0" w:lastRowLastColumn="0"/>
            <w:tcW w:w="0" w:type="auto"/>
            <w:hideMark/>
          </w:tcPr>
          <w:p w14:paraId="518ED3CE" w14:textId="77777777" w:rsidR="00E96000" w:rsidRPr="00BA700B" w:rsidRDefault="00E96000" w:rsidP="005E61E4">
            <w:pPr>
              <w:spacing w:line="480" w:lineRule="auto"/>
              <w:jc w:val="both"/>
              <w:rPr>
                <w:rFonts w:asciiTheme="majorHAnsi" w:hAnsiTheme="majorHAnsi" w:cstheme="majorHAnsi"/>
              </w:rPr>
            </w:pPr>
            <w:r w:rsidRPr="00BA700B">
              <w:rPr>
                <w:rFonts w:asciiTheme="majorHAnsi" w:hAnsiTheme="majorHAnsi" w:cstheme="majorHAnsi"/>
              </w:rPr>
              <w:t>BYOD Risk</w:t>
            </w:r>
          </w:p>
        </w:tc>
        <w:tc>
          <w:tcPr>
            <w:tcW w:w="0" w:type="auto"/>
            <w:hideMark/>
          </w:tcPr>
          <w:p w14:paraId="6F605D93"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Insecure personal devices</w:t>
            </w:r>
          </w:p>
        </w:tc>
        <w:tc>
          <w:tcPr>
            <w:tcW w:w="0" w:type="auto"/>
            <w:hideMark/>
          </w:tcPr>
          <w:p w14:paraId="5EF2C524"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Medium</w:t>
            </w:r>
          </w:p>
        </w:tc>
        <w:tc>
          <w:tcPr>
            <w:tcW w:w="0" w:type="auto"/>
            <w:hideMark/>
          </w:tcPr>
          <w:p w14:paraId="2281CFEB"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69123C0A"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r>
      <w:tr w:rsidR="00E96000" w:rsidRPr="00BA700B" w14:paraId="6A424783" w14:textId="77777777" w:rsidTr="00337AAA">
        <w:tc>
          <w:tcPr>
            <w:cnfStyle w:val="001000000000" w:firstRow="0" w:lastRow="0" w:firstColumn="1" w:lastColumn="0" w:oddVBand="0" w:evenVBand="0" w:oddHBand="0" w:evenHBand="0" w:firstRowFirstColumn="0" w:firstRowLastColumn="0" w:lastRowFirstColumn="0" w:lastRowLastColumn="0"/>
            <w:tcW w:w="0" w:type="auto"/>
            <w:hideMark/>
          </w:tcPr>
          <w:p w14:paraId="4FD6E330" w14:textId="77777777" w:rsidR="00E96000" w:rsidRPr="00BA700B" w:rsidRDefault="00E96000" w:rsidP="005E61E4">
            <w:pPr>
              <w:spacing w:line="480" w:lineRule="auto"/>
              <w:jc w:val="both"/>
              <w:rPr>
                <w:rFonts w:asciiTheme="majorHAnsi" w:hAnsiTheme="majorHAnsi" w:cstheme="majorHAnsi"/>
              </w:rPr>
            </w:pPr>
            <w:r w:rsidRPr="00BA700B">
              <w:rPr>
                <w:rFonts w:asciiTheme="majorHAnsi" w:hAnsiTheme="majorHAnsi" w:cstheme="majorHAnsi"/>
              </w:rPr>
              <w:t>Phishing Attacks</w:t>
            </w:r>
          </w:p>
        </w:tc>
        <w:tc>
          <w:tcPr>
            <w:tcW w:w="0" w:type="auto"/>
            <w:hideMark/>
          </w:tcPr>
          <w:p w14:paraId="01D69A8F"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Fraudulent customer emails</w:t>
            </w:r>
          </w:p>
        </w:tc>
        <w:tc>
          <w:tcPr>
            <w:tcW w:w="0" w:type="auto"/>
            <w:hideMark/>
          </w:tcPr>
          <w:p w14:paraId="20F40591"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4C864632"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High</w:t>
            </w:r>
          </w:p>
        </w:tc>
        <w:tc>
          <w:tcPr>
            <w:tcW w:w="0" w:type="auto"/>
            <w:hideMark/>
          </w:tcPr>
          <w:p w14:paraId="563FD7AF" w14:textId="77777777" w:rsidR="00E96000" w:rsidRPr="00BA700B" w:rsidRDefault="00E96000" w:rsidP="005E61E4">
            <w:pPr>
              <w:spacing w:line="48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Critical</w:t>
            </w:r>
          </w:p>
        </w:tc>
      </w:tr>
    </w:tbl>
    <w:p w14:paraId="68299F41" w14:textId="48C62117" w:rsidR="00413706" w:rsidRPr="00BA700B" w:rsidRDefault="005E61E4" w:rsidP="005E61E4">
      <w:pPr>
        <w:jc w:val="center"/>
        <w:rPr>
          <w:rFonts w:asciiTheme="majorHAnsi" w:hAnsiTheme="majorHAnsi" w:cstheme="majorHAnsi"/>
        </w:rPr>
      </w:pPr>
      <w:r w:rsidRPr="00BA700B">
        <w:rPr>
          <w:rFonts w:asciiTheme="majorHAnsi" w:hAnsiTheme="majorHAnsi" w:cstheme="majorHAnsi"/>
          <w:b/>
          <w:bCs/>
        </w:rPr>
        <w:t xml:space="preserve">Table </w:t>
      </w:r>
      <w:r w:rsidR="009B6207" w:rsidRPr="00BA700B">
        <w:rPr>
          <w:rFonts w:asciiTheme="majorHAnsi" w:hAnsiTheme="majorHAnsi" w:cstheme="majorHAnsi"/>
          <w:b/>
          <w:bCs/>
        </w:rPr>
        <w:t>4</w:t>
      </w:r>
      <w:r w:rsidRPr="00BA700B">
        <w:rPr>
          <w:rFonts w:asciiTheme="majorHAnsi" w:hAnsiTheme="majorHAnsi" w:cstheme="majorHAnsi"/>
          <w:b/>
          <w:bCs/>
        </w:rPr>
        <w:t xml:space="preserve">: </w:t>
      </w:r>
      <w:r w:rsidR="003C7014" w:rsidRPr="003C7014">
        <w:rPr>
          <w:rFonts w:asciiTheme="majorHAnsi" w:hAnsiTheme="majorHAnsi" w:cstheme="majorHAnsi"/>
        </w:rPr>
        <w:t>Sample Cybersecurity Risk Assessment of FinSure Bank.</w:t>
      </w:r>
    </w:p>
    <w:p w14:paraId="273BA8DE" w14:textId="77777777" w:rsidR="00413706" w:rsidRPr="00BA700B" w:rsidRDefault="00413706">
      <w:pPr>
        <w:rPr>
          <w:rFonts w:asciiTheme="majorHAnsi" w:hAnsiTheme="majorHAnsi" w:cstheme="majorHAnsi"/>
        </w:rPr>
      </w:pPr>
      <w:r w:rsidRPr="00BA700B">
        <w:rPr>
          <w:rFonts w:asciiTheme="majorHAnsi" w:hAnsiTheme="majorHAnsi" w:cstheme="majorHAnsi"/>
        </w:rPr>
        <w:br w:type="page"/>
      </w:r>
    </w:p>
    <w:p w14:paraId="4FC4985B" w14:textId="3733DFFE" w:rsidR="00846278" w:rsidRPr="00BA700B" w:rsidRDefault="00D01456" w:rsidP="00E72A1F">
      <w:pPr>
        <w:pStyle w:val="Heading1"/>
        <w:numPr>
          <w:ilvl w:val="0"/>
          <w:numId w:val="2"/>
        </w:numPr>
        <w:jc w:val="center"/>
        <w:rPr>
          <w:rFonts w:cstheme="majorHAnsi"/>
          <w:b/>
          <w:bCs/>
          <w:color w:val="auto"/>
        </w:rPr>
      </w:pPr>
      <w:r w:rsidRPr="00BA700B">
        <w:rPr>
          <w:rFonts w:cstheme="majorHAnsi"/>
          <w:b/>
          <w:bCs/>
          <w:color w:val="auto"/>
        </w:rPr>
        <w:lastRenderedPageBreak/>
        <w:t>The proposed security governance and compliance plan of FinSure Bank.</w:t>
      </w:r>
    </w:p>
    <w:p w14:paraId="01232722" w14:textId="526D4137" w:rsidR="002D5C30" w:rsidRPr="00BA700B" w:rsidRDefault="00484696" w:rsidP="002D5C30">
      <w:pPr>
        <w:jc w:val="both"/>
        <w:rPr>
          <w:rFonts w:asciiTheme="majorHAnsi" w:hAnsiTheme="majorHAnsi" w:cstheme="majorHAnsi"/>
        </w:rPr>
      </w:pPr>
      <w:r w:rsidRPr="00BA700B">
        <w:rPr>
          <w:rFonts w:asciiTheme="majorHAnsi" w:hAnsiTheme="majorHAnsi" w:cstheme="majorHAnsi"/>
        </w:rPr>
        <w:t xml:space="preserve">To address the specified cybersecurity risks, FinSure Bank will have to have a comprehensive information security governance and compliance structure. Formal style of governance will make sure that security policies are congruent with organisational goals, regulatory provisions and emerging threats to cybersecurity. Good governance requires well-articulated policies, the accountability frameworks, and the enterprise risk management procedures that reinforce the ongoing process of </w:t>
      </w:r>
      <w:r w:rsidR="00842B88" w:rsidRPr="00BA700B">
        <w:rPr>
          <w:rFonts w:asciiTheme="majorHAnsi" w:hAnsiTheme="majorHAnsi" w:cstheme="majorHAnsi"/>
        </w:rPr>
        <w:t xml:space="preserve">Check </w:t>
      </w:r>
      <w:r w:rsidRPr="00BA700B">
        <w:rPr>
          <w:rFonts w:asciiTheme="majorHAnsi" w:hAnsiTheme="majorHAnsi" w:cstheme="majorHAnsi"/>
        </w:rPr>
        <w:t xml:space="preserve">and refreezing of the security </w:t>
      </w:r>
      <w:r w:rsidR="00842B88" w:rsidRPr="00BA700B">
        <w:rPr>
          <w:rFonts w:asciiTheme="majorHAnsi" w:hAnsiTheme="majorHAnsi" w:cstheme="majorHAnsi"/>
        </w:rPr>
        <w:t>practices</w:t>
      </w:r>
      <w:r w:rsidRPr="00BA700B">
        <w:rPr>
          <w:rFonts w:asciiTheme="majorHAnsi" w:hAnsiTheme="majorHAnsi" w:cstheme="majorHAnsi"/>
        </w:rPr>
        <w:t xml:space="preserve"> in order to improve regulatory compliance and cyber resilience [</w:t>
      </w:r>
      <w:r w:rsidR="00E72A1F" w:rsidRPr="00BA700B">
        <w:rPr>
          <w:rFonts w:asciiTheme="majorHAnsi" w:hAnsiTheme="majorHAnsi" w:cstheme="majorHAnsi"/>
        </w:rPr>
        <w:t>24</w:t>
      </w:r>
      <w:r w:rsidRPr="00BA700B">
        <w:rPr>
          <w:rFonts w:asciiTheme="majorHAnsi" w:hAnsiTheme="majorHAnsi" w:cstheme="majorHAnsi"/>
        </w:rPr>
        <w:t xml:space="preserve">]. </w:t>
      </w:r>
      <w:r w:rsidR="003C7014" w:rsidRPr="003C7014">
        <w:rPr>
          <w:rFonts w:asciiTheme="majorHAnsi" w:hAnsiTheme="majorHAnsi" w:cstheme="majorHAnsi"/>
        </w:rPr>
        <w:t>In order to develop a comprehensive governance framework, there should be established standards that are based on the known standards like the ISO/IEC 27001, COBIT, ITIL, and the NIST Cybersecurity Framework.</w:t>
      </w:r>
    </w:p>
    <w:p w14:paraId="2CDAC3A6" w14:textId="30D77C80" w:rsidR="0066232D" w:rsidRPr="00BA700B" w:rsidRDefault="00C16CDA" w:rsidP="0078356B">
      <w:pPr>
        <w:pStyle w:val="Heading2"/>
        <w:jc w:val="both"/>
        <w:rPr>
          <w:rFonts w:cstheme="majorHAnsi"/>
          <w:b/>
          <w:bCs/>
          <w:color w:val="auto"/>
          <w:sz w:val="28"/>
          <w:szCs w:val="28"/>
        </w:rPr>
      </w:pPr>
      <w:r w:rsidRPr="00BA700B">
        <w:rPr>
          <w:rFonts w:cstheme="majorHAnsi"/>
          <w:b/>
          <w:bCs/>
          <w:color w:val="auto"/>
          <w:sz w:val="28"/>
          <w:szCs w:val="28"/>
        </w:rPr>
        <w:t xml:space="preserve">4.1 </w:t>
      </w:r>
      <w:r w:rsidR="00D01456" w:rsidRPr="00BA700B">
        <w:rPr>
          <w:rFonts w:cstheme="majorHAnsi"/>
          <w:b/>
          <w:bCs/>
          <w:color w:val="auto"/>
          <w:sz w:val="28"/>
          <w:szCs w:val="28"/>
        </w:rPr>
        <w:t>Developing a Security Governance Structured Design</w:t>
      </w:r>
    </w:p>
    <w:p w14:paraId="32D45FF6" w14:textId="147AB1D4" w:rsidR="002D5C30" w:rsidRPr="00BA700B" w:rsidRDefault="00484696" w:rsidP="002D5C30">
      <w:pPr>
        <w:jc w:val="both"/>
        <w:rPr>
          <w:rFonts w:asciiTheme="majorHAnsi" w:hAnsiTheme="majorHAnsi" w:cstheme="majorHAnsi"/>
        </w:rPr>
      </w:pPr>
      <w:r w:rsidRPr="00BA700B">
        <w:rPr>
          <w:rFonts w:asciiTheme="majorHAnsi" w:hAnsiTheme="majorHAnsi" w:cstheme="majorHAnsi"/>
        </w:rPr>
        <w:t>Building a formal information security governance framework is inseparable in strengthening the cybersecurity stance of FinSure Bank. Good governance also guarantees that the security roles, granting powers, and accountability systems are well defined and the aspect of cybersecurity is integrated in the organisational decision-making processes. IT governance studies have also shown that organisations having articulated security leadership has a better management of risks and also importance to security policy implementation [</w:t>
      </w:r>
      <w:r w:rsidR="00E72A1F" w:rsidRPr="00BA700B">
        <w:rPr>
          <w:rFonts w:asciiTheme="majorHAnsi" w:hAnsiTheme="majorHAnsi" w:cstheme="majorHAnsi"/>
        </w:rPr>
        <w:t>25</w:t>
      </w:r>
      <w:r w:rsidRPr="00BA700B">
        <w:rPr>
          <w:rFonts w:asciiTheme="majorHAnsi" w:hAnsiTheme="majorHAnsi" w:cstheme="majorHAnsi"/>
        </w:rPr>
        <w:t xml:space="preserve">]. </w:t>
      </w:r>
      <w:r w:rsidR="002D5C30" w:rsidRPr="00BA700B">
        <w:rPr>
          <w:rFonts w:asciiTheme="majorHAnsi" w:hAnsiTheme="majorHAnsi" w:cstheme="majorHAnsi"/>
        </w:rPr>
        <w:t>Since cybersecurity must be incorporated into both operational and strategic decision-making, the organization structure must include a Chief Information Security Officer who would be in charge of security strategy, policy execution, and regulatory compliance. This person would report directly to the executive staff.</w:t>
      </w:r>
    </w:p>
    <w:tbl>
      <w:tblPr>
        <w:tblStyle w:val="GridTable1Light"/>
        <w:tblW w:w="0" w:type="auto"/>
        <w:tblLook w:val="04A0" w:firstRow="1" w:lastRow="0" w:firstColumn="1" w:lastColumn="0" w:noHBand="0" w:noVBand="1"/>
      </w:tblPr>
      <w:tblGrid>
        <w:gridCol w:w="2830"/>
        <w:gridCol w:w="6520"/>
      </w:tblGrid>
      <w:tr w:rsidR="00C16CDA" w:rsidRPr="00BA700B" w14:paraId="25F41465" w14:textId="77777777" w:rsidTr="005E61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hideMark/>
          </w:tcPr>
          <w:p w14:paraId="16ACDF43"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Role</w:t>
            </w:r>
          </w:p>
        </w:tc>
        <w:tc>
          <w:tcPr>
            <w:tcW w:w="6520" w:type="dxa"/>
            <w:hideMark/>
          </w:tcPr>
          <w:p w14:paraId="00FDDC2B" w14:textId="77777777" w:rsidR="00C16CDA" w:rsidRPr="00BA700B" w:rsidRDefault="00C16CDA" w:rsidP="0078356B">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Responsibility</w:t>
            </w:r>
          </w:p>
        </w:tc>
      </w:tr>
      <w:tr w:rsidR="00C16CDA" w:rsidRPr="00BA700B" w14:paraId="17BF1E29" w14:textId="77777777" w:rsidTr="005E61E4">
        <w:tc>
          <w:tcPr>
            <w:cnfStyle w:val="001000000000" w:firstRow="0" w:lastRow="0" w:firstColumn="1" w:lastColumn="0" w:oddVBand="0" w:evenVBand="0" w:oddHBand="0" w:evenHBand="0" w:firstRowFirstColumn="0" w:firstRowLastColumn="0" w:lastRowFirstColumn="0" w:lastRowLastColumn="0"/>
            <w:tcW w:w="2830" w:type="dxa"/>
            <w:hideMark/>
          </w:tcPr>
          <w:p w14:paraId="1FBF3811" w14:textId="77777777" w:rsidR="00C16CDA" w:rsidRPr="00BA700B" w:rsidRDefault="00C16CDA" w:rsidP="0078356B">
            <w:pPr>
              <w:spacing w:after="160" w:line="278" w:lineRule="auto"/>
              <w:jc w:val="both"/>
              <w:rPr>
                <w:rFonts w:asciiTheme="majorHAnsi" w:hAnsiTheme="majorHAnsi" w:cstheme="majorHAnsi"/>
              </w:rPr>
            </w:pPr>
            <w:r w:rsidRPr="00BA700B">
              <w:rPr>
                <w:rFonts w:asciiTheme="majorHAnsi" w:hAnsiTheme="majorHAnsi" w:cstheme="majorHAnsi"/>
              </w:rPr>
              <w:t>Board of Directors</w:t>
            </w:r>
          </w:p>
        </w:tc>
        <w:tc>
          <w:tcPr>
            <w:tcW w:w="6520" w:type="dxa"/>
            <w:hideMark/>
          </w:tcPr>
          <w:p w14:paraId="05D6AD33" w14:textId="58069B58" w:rsidR="00C16CDA" w:rsidRPr="00BA700B" w:rsidRDefault="002D5C30"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Controls information security governance strategically.</w:t>
            </w:r>
          </w:p>
        </w:tc>
      </w:tr>
      <w:tr w:rsidR="00C16CDA" w:rsidRPr="00BA700B" w14:paraId="1D8C2DA0" w14:textId="77777777" w:rsidTr="005E61E4">
        <w:tc>
          <w:tcPr>
            <w:cnfStyle w:val="001000000000" w:firstRow="0" w:lastRow="0" w:firstColumn="1" w:lastColumn="0" w:oddVBand="0" w:evenVBand="0" w:oddHBand="0" w:evenHBand="0" w:firstRowFirstColumn="0" w:firstRowLastColumn="0" w:lastRowFirstColumn="0" w:lastRowLastColumn="0"/>
            <w:tcW w:w="2830" w:type="dxa"/>
            <w:hideMark/>
          </w:tcPr>
          <w:p w14:paraId="19F4D590" w14:textId="05F2655A" w:rsidR="00C16CDA" w:rsidRPr="00BA700B" w:rsidRDefault="007638A3" w:rsidP="0078356B">
            <w:pPr>
              <w:spacing w:after="160" w:line="278" w:lineRule="auto"/>
              <w:jc w:val="both"/>
              <w:rPr>
                <w:rFonts w:asciiTheme="majorHAnsi" w:hAnsiTheme="majorHAnsi" w:cstheme="majorHAnsi"/>
              </w:rPr>
            </w:pPr>
            <w:r w:rsidRPr="007638A3">
              <w:rPr>
                <w:rFonts w:asciiTheme="majorHAnsi" w:hAnsiTheme="majorHAnsi" w:cstheme="majorHAnsi"/>
              </w:rPr>
              <w:t>CISO, or chief information security officer UNKNOWN</w:t>
            </w:r>
          </w:p>
        </w:tc>
        <w:tc>
          <w:tcPr>
            <w:tcW w:w="6520" w:type="dxa"/>
            <w:hideMark/>
          </w:tcPr>
          <w:p w14:paraId="60B1BC28" w14:textId="7246D622" w:rsidR="00C16CDA" w:rsidRPr="00BA700B" w:rsidRDefault="007638A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7638A3">
              <w:rPr>
                <w:rFonts w:asciiTheme="majorHAnsi" w:hAnsiTheme="majorHAnsi" w:cstheme="majorHAnsi"/>
              </w:rPr>
              <w:t>Develops and manages security regulations and policies.</w:t>
            </w:r>
          </w:p>
        </w:tc>
      </w:tr>
      <w:tr w:rsidR="00C16CDA" w:rsidRPr="00BA700B" w14:paraId="63150F71" w14:textId="77777777" w:rsidTr="005E61E4">
        <w:tc>
          <w:tcPr>
            <w:cnfStyle w:val="001000000000" w:firstRow="0" w:lastRow="0" w:firstColumn="1" w:lastColumn="0" w:oddVBand="0" w:evenVBand="0" w:oddHBand="0" w:evenHBand="0" w:firstRowFirstColumn="0" w:firstRowLastColumn="0" w:lastRowFirstColumn="0" w:lastRowLastColumn="0"/>
            <w:tcW w:w="2830" w:type="dxa"/>
            <w:hideMark/>
          </w:tcPr>
          <w:p w14:paraId="25BF2240" w14:textId="34DC22F8" w:rsidR="00C16CDA" w:rsidRPr="00BA700B" w:rsidRDefault="007638A3" w:rsidP="0078356B">
            <w:pPr>
              <w:spacing w:after="160" w:line="278" w:lineRule="auto"/>
              <w:jc w:val="both"/>
              <w:rPr>
                <w:rFonts w:asciiTheme="majorHAnsi" w:hAnsiTheme="majorHAnsi" w:cstheme="majorHAnsi"/>
              </w:rPr>
            </w:pPr>
            <w:r w:rsidRPr="007638A3">
              <w:rPr>
                <w:rFonts w:asciiTheme="majorHAnsi" w:hAnsiTheme="majorHAnsi" w:cstheme="majorHAnsi"/>
              </w:rPr>
              <w:t>Committee on Security Governance</w:t>
            </w:r>
          </w:p>
        </w:tc>
        <w:tc>
          <w:tcPr>
            <w:tcW w:w="6520" w:type="dxa"/>
            <w:hideMark/>
          </w:tcPr>
          <w:p w14:paraId="3091C3E6" w14:textId="6AD127F0" w:rsidR="00C16CDA" w:rsidRPr="00BA700B" w:rsidRDefault="007638A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7638A3">
              <w:rPr>
                <w:rFonts w:asciiTheme="majorHAnsi" w:hAnsiTheme="majorHAnsi" w:cstheme="majorHAnsi"/>
              </w:rPr>
              <w:t>Verifies regulatory compliance and evaluates security procedures</w:t>
            </w:r>
            <w:r>
              <w:rPr>
                <w:rFonts w:asciiTheme="majorHAnsi" w:hAnsiTheme="majorHAnsi" w:cstheme="majorHAnsi"/>
              </w:rPr>
              <w:t>.</w:t>
            </w:r>
          </w:p>
        </w:tc>
      </w:tr>
      <w:tr w:rsidR="00C16CDA" w:rsidRPr="00BA700B" w14:paraId="0A209A0E" w14:textId="77777777" w:rsidTr="005E61E4">
        <w:tc>
          <w:tcPr>
            <w:cnfStyle w:val="001000000000" w:firstRow="0" w:lastRow="0" w:firstColumn="1" w:lastColumn="0" w:oddVBand="0" w:evenVBand="0" w:oddHBand="0" w:evenHBand="0" w:firstRowFirstColumn="0" w:firstRowLastColumn="0" w:lastRowFirstColumn="0" w:lastRowLastColumn="0"/>
            <w:tcW w:w="2830" w:type="dxa"/>
            <w:hideMark/>
          </w:tcPr>
          <w:p w14:paraId="39FE476E" w14:textId="200CB740" w:rsidR="00C16CDA" w:rsidRPr="00BA700B" w:rsidRDefault="002D5C30" w:rsidP="0078356B">
            <w:pPr>
              <w:spacing w:after="160" w:line="278" w:lineRule="auto"/>
              <w:jc w:val="both"/>
              <w:rPr>
                <w:rFonts w:asciiTheme="majorHAnsi" w:hAnsiTheme="majorHAnsi" w:cstheme="majorHAnsi"/>
              </w:rPr>
            </w:pPr>
            <w:r w:rsidRPr="00BA700B">
              <w:rPr>
                <w:rFonts w:asciiTheme="majorHAnsi" w:hAnsiTheme="majorHAnsi" w:cstheme="majorHAnsi"/>
              </w:rPr>
              <w:t>Team for IT Security</w:t>
            </w:r>
          </w:p>
        </w:tc>
        <w:tc>
          <w:tcPr>
            <w:tcW w:w="6520" w:type="dxa"/>
            <w:hideMark/>
          </w:tcPr>
          <w:p w14:paraId="6B071795" w14:textId="0FB3D596" w:rsidR="00C16CDA" w:rsidRPr="00BA700B" w:rsidRDefault="002D5C30"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Monitoring threats and puts security procedures in place.</w:t>
            </w:r>
          </w:p>
        </w:tc>
      </w:tr>
      <w:tr w:rsidR="00C16CDA" w:rsidRPr="00BA700B" w14:paraId="56778090" w14:textId="77777777" w:rsidTr="005E61E4">
        <w:tc>
          <w:tcPr>
            <w:cnfStyle w:val="001000000000" w:firstRow="0" w:lastRow="0" w:firstColumn="1" w:lastColumn="0" w:oddVBand="0" w:evenVBand="0" w:oddHBand="0" w:evenHBand="0" w:firstRowFirstColumn="0" w:firstRowLastColumn="0" w:lastRowFirstColumn="0" w:lastRowLastColumn="0"/>
            <w:tcW w:w="2830" w:type="dxa"/>
            <w:hideMark/>
          </w:tcPr>
          <w:p w14:paraId="1FC2C65B" w14:textId="7B176CD9" w:rsidR="00C16CDA" w:rsidRPr="00BA700B" w:rsidRDefault="002D5C30" w:rsidP="0078356B">
            <w:pPr>
              <w:spacing w:after="160" w:line="278" w:lineRule="auto"/>
              <w:jc w:val="both"/>
              <w:rPr>
                <w:rFonts w:asciiTheme="majorHAnsi" w:hAnsiTheme="majorHAnsi" w:cstheme="majorHAnsi"/>
              </w:rPr>
            </w:pPr>
            <w:r w:rsidRPr="00BA700B">
              <w:rPr>
                <w:rFonts w:asciiTheme="majorHAnsi" w:hAnsiTheme="majorHAnsi" w:cstheme="majorHAnsi"/>
              </w:rPr>
              <w:t>Team for Compliance and Risk</w:t>
            </w:r>
          </w:p>
        </w:tc>
        <w:tc>
          <w:tcPr>
            <w:tcW w:w="6520" w:type="dxa"/>
            <w:hideMark/>
          </w:tcPr>
          <w:p w14:paraId="0E405E8A" w14:textId="42A9CE1B" w:rsidR="00C16CDA" w:rsidRPr="00BA700B" w:rsidRDefault="00D01456"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Task Force Audits and regulates.</w:t>
            </w:r>
          </w:p>
        </w:tc>
      </w:tr>
    </w:tbl>
    <w:p w14:paraId="095667F9" w14:textId="51247566" w:rsidR="00C16CDA" w:rsidRPr="00BA700B" w:rsidRDefault="00C16CDA" w:rsidP="005E61E4">
      <w:pPr>
        <w:jc w:val="center"/>
        <w:rPr>
          <w:rFonts w:asciiTheme="majorHAnsi" w:hAnsiTheme="majorHAnsi" w:cstheme="majorHAnsi"/>
          <w:b/>
          <w:bCs/>
        </w:rPr>
      </w:pPr>
      <w:r w:rsidRPr="00BA700B">
        <w:rPr>
          <w:rFonts w:asciiTheme="majorHAnsi" w:hAnsiTheme="majorHAnsi" w:cstheme="majorHAnsi"/>
          <w:b/>
          <w:bCs/>
        </w:rPr>
        <w:t xml:space="preserve">Table 5: </w:t>
      </w:r>
      <w:r w:rsidR="00D01456" w:rsidRPr="00BA700B">
        <w:rPr>
          <w:rFonts w:asciiTheme="majorHAnsi" w:hAnsiTheme="majorHAnsi" w:cstheme="majorHAnsi"/>
        </w:rPr>
        <w:t>Security Governance Roles Proposed.</w:t>
      </w:r>
    </w:p>
    <w:p w14:paraId="72EED8CC" w14:textId="77777777" w:rsidR="0078125A" w:rsidRPr="00BA700B" w:rsidRDefault="00D01456" w:rsidP="0078356B">
      <w:pPr>
        <w:jc w:val="both"/>
        <w:rPr>
          <w:rFonts w:asciiTheme="majorHAnsi" w:hAnsiTheme="majorHAnsi" w:cstheme="majorHAnsi"/>
        </w:rPr>
      </w:pPr>
      <w:r w:rsidRPr="00BA700B">
        <w:rPr>
          <w:rFonts w:asciiTheme="majorHAnsi" w:hAnsiTheme="majorHAnsi" w:cstheme="majorHAnsi"/>
        </w:rPr>
        <w:lastRenderedPageBreak/>
        <w:t>The system of governing this way makes sure that the security management tasks are shared among corresponding organisational levels and increasing the element of responsibility.</w:t>
      </w:r>
    </w:p>
    <w:p w14:paraId="64721FAD" w14:textId="5DDE3656" w:rsidR="0066232D" w:rsidRPr="00BA700B" w:rsidRDefault="00C16CDA" w:rsidP="0078356B">
      <w:pPr>
        <w:pStyle w:val="Heading2"/>
        <w:jc w:val="both"/>
        <w:rPr>
          <w:rFonts w:cstheme="majorHAnsi"/>
          <w:b/>
          <w:bCs/>
          <w:color w:val="auto"/>
          <w:sz w:val="28"/>
          <w:szCs w:val="28"/>
        </w:rPr>
      </w:pPr>
      <w:r w:rsidRPr="00BA700B">
        <w:rPr>
          <w:rFonts w:cstheme="majorHAnsi"/>
          <w:b/>
          <w:bCs/>
          <w:color w:val="auto"/>
          <w:sz w:val="28"/>
          <w:szCs w:val="28"/>
        </w:rPr>
        <w:t xml:space="preserve">4.2 </w:t>
      </w:r>
      <w:r w:rsidR="0000682A" w:rsidRPr="00BA700B">
        <w:rPr>
          <w:rFonts w:cstheme="majorHAnsi"/>
          <w:b/>
          <w:bCs/>
          <w:color w:val="auto"/>
          <w:sz w:val="28"/>
          <w:szCs w:val="28"/>
        </w:rPr>
        <w:t>The framework of integrated security should be established</w:t>
      </w:r>
    </w:p>
    <w:p w14:paraId="0DF9525F" w14:textId="4C47A62E" w:rsidR="002D5C30" w:rsidRPr="00BA700B" w:rsidRDefault="002D5C30" w:rsidP="002D5C30">
      <w:pPr>
        <w:jc w:val="both"/>
        <w:rPr>
          <w:rFonts w:asciiTheme="majorHAnsi" w:hAnsiTheme="majorHAnsi" w:cstheme="majorHAnsi"/>
        </w:rPr>
      </w:pPr>
      <w:r w:rsidRPr="00BA700B">
        <w:rPr>
          <w:rFonts w:asciiTheme="majorHAnsi" w:hAnsiTheme="majorHAnsi" w:cstheme="majorHAnsi"/>
        </w:rPr>
        <w:t>In order to mitigate cybersecurity threats, FinSure Bank should think about putting in place an integrated security architecture that makes use of globally recognized frameworks. The ISO/IEC 27001 standard, which offers a risk-based approach to control implementation and continuous potential security improvement, must serve as the foundation for the organization's information security management system (ISMS) [</w:t>
      </w:r>
      <w:r w:rsidR="00E72A1F" w:rsidRPr="00BA700B">
        <w:rPr>
          <w:rFonts w:asciiTheme="majorHAnsi" w:hAnsiTheme="majorHAnsi" w:cstheme="majorHAnsi"/>
        </w:rPr>
        <w:t>26</w:t>
      </w:r>
      <w:r w:rsidRPr="00BA700B">
        <w:rPr>
          <w:rFonts w:asciiTheme="majorHAnsi" w:hAnsiTheme="majorHAnsi" w:cstheme="majorHAnsi"/>
        </w:rPr>
        <w:t>].</w:t>
      </w:r>
      <w:r w:rsidRPr="00BA700B">
        <w:rPr>
          <w:rFonts w:asciiTheme="majorHAnsi" w:eastAsia="Times New Roman" w:hAnsiTheme="majorHAnsi" w:cstheme="majorHAnsi"/>
          <w:kern w:val="0"/>
          <w14:ligatures w14:val="none"/>
        </w:rPr>
        <w:t xml:space="preserve"> </w:t>
      </w:r>
      <w:r w:rsidRPr="00BA700B">
        <w:rPr>
          <w:rFonts w:asciiTheme="majorHAnsi" w:hAnsiTheme="majorHAnsi" w:cstheme="majorHAnsi"/>
        </w:rPr>
        <w:t>The NIST Cybersecurity Framework, which incorporates operational functions including Identify, Protect, Detect, Respond, and Recover, helps enhance threat detection and incident response [2</w:t>
      </w:r>
      <w:r w:rsidR="00E72A1F" w:rsidRPr="00BA700B">
        <w:rPr>
          <w:rFonts w:asciiTheme="majorHAnsi" w:hAnsiTheme="majorHAnsi" w:cstheme="majorHAnsi"/>
        </w:rPr>
        <w:t>7</w:t>
      </w:r>
      <w:r w:rsidRPr="00BA700B">
        <w:rPr>
          <w:rFonts w:asciiTheme="majorHAnsi" w:hAnsiTheme="majorHAnsi" w:cstheme="majorHAnsi"/>
        </w:rPr>
        <w:t>]. Additionally, integrating ITIL practices will ensure uniformity of governance during cloud-based and digital banking activities and integrate security controls throughout the IT service management lifecycle.</w:t>
      </w:r>
    </w:p>
    <w:tbl>
      <w:tblPr>
        <w:tblStyle w:val="GridTable1Light"/>
        <w:tblW w:w="0" w:type="auto"/>
        <w:tblLook w:val="04A0" w:firstRow="1" w:lastRow="0" w:firstColumn="1" w:lastColumn="0" w:noHBand="0" w:noVBand="1"/>
      </w:tblPr>
      <w:tblGrid>
        <w:gridCol w:w="2263"/>
        <w:gridCol w:w="7087"/>
      </w:tblGrid>
      <w:tr w:rsidR="00F80193" w:rsidRPr="00BA700B" w14:paraId="18A6178C" w14:textId="77777777" w:rsidTr="00B521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ECB3791"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Framework</w:t>
            </w:r>
          </w:p>
        </w:tc>
        <w:tc>
          <w:tcPr>
            <w:tcW w:w="7087" w:type="dxa"/>
            <w:hideMark/>
          </w:tcPr>
          <w:p w14:paraId="351F9BBB" w14:textId="77777777" w:rsidR="00F80193" w:rsidRPr="00BA700B" w:rsidRDefault="00F80193" w:rsidP="0078356B">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Role in Security Strategy</w:t>
            </w:r>
          </w:p>
        </w:tc>
      </w:tr>
      <w:tr w:rsidR="00F80193" w:rsidRPr="00BA700B" w14:paraId="7CBFB69B" w14:textId="77777777" w:rsidTr="00B5217D">
        <w:tc>
          <w:tcPr>
            <w:cnfStyle w:val="001000000000" w:firstRow="0" w:lastRow="0" w:firstColumn="1" w:lastColumn="0" w:oddVBand="0" w:evenVBand="0" w:oddHBand="0" w:evenHBand="0" w:firstRowFirstColumn="0" w:firstRowLastColumn="0" w:lastRowFirstColumn="0" w:lastRowLastColumn="0"/>
            <w:tcW w:w="2263" w:type="dxa"/>
            <w:hideMark/>
          </w:tcPr>
          <w:p w14:paraId="36E21BB2"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ISO/IEC 27001</w:t>
            </w:r>
          </w:p>
        </w:tc>
        <w:tc>
          <w:tcPr>
            <w:tcW w:w="7087" w:type="dxa"/>
            <w:hideMark/>
          </w:tcPr>
          <w:p w14:paraId="1B4D3A3B" w14:textId="5127F2FF" w:rsidR="00F80193" w:rsidRPr="00BA700B" w:rsidRDefault="002D5C30"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Creates a system for managing information security</w:t>
            </w:r>
          </w:p>
        </w:tc>
      </w:tr>
      <w:tr w:rsidR="00F80193" w:rsidRPr="00BA700B" w14:paraId="23CEA993" w14:textId="77777777" w:rsidTr="00B5217D">
        <w:tc>
          <w:tcPr>
            <w:cnfStyle w:val="001000000000" w:firstRow="0" w:lastRow="0" w:firstColumn="1" w:lastColumn="0" w:oddVBand="0" w:evenVBand="0" w:oddHBand="0" w:evenHBand="0" w:firstRowFirstColumn="0" w:firstRowLastColumn="0" w:lastRowFirstColumn="0" w:lastRowLastColumn="0"/>
            <w:tcW w:w="2263" w:type="dxa"/>
            <w:hideMark/>
          </w:tcPr>
          <w:p w14:paraId="61CD5BF5"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NIST Cybersecurity Framework</w:t>
            </w:r>
          </w:p>
        </w:tc>
        <w:tc>
          <w:tcPr>
            <w:tcW w:w="7087" w:type="dxa"/>
            <w:hideMark/>
          </w:tcPr>
          <w:p w14:paraId="1E4DA564" w14:textId="77777777" w:rsidR="00F80193" w:rsidRPr="00BA700B" w:rsidRDefault="00F8019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Strengthens cybersecurity risk management</w:t>
            </w:r>
          </w:p>
        </w:tc>
      </w:tr>
      <w:tr w:rsidR="00F80193" w:rsidRPr="00BA700B" w14:paraId="2A81F759" w14:textId="77777777" w:rsidTr="00B5217D">
        <w:tc>
          <w:tcPr>
            <w:cnfStyle w:val="001000000000" w:firstRow="0" w:lastRow="0" w:firstColumn="1" w:lastColumn="0" w:oddVBand="0" w:evenVBand="0" w:oddHBand="0" w:evenHBand="0" w:firstRowFirstColumn="0" w:firstRowLastColumn="0" w:lastRowFirstColumn="0" w:lastRowLastColumn="0"/>
            <w:tcW w:w="2263" w:type="dxa"/>
            <w:hideMark/>
          </w:tcPr>
          <w:p w14:paraId="4A4C2160"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ITIL</w:t>
            </w:r>
          </w:p>
        </w:tc>
        <w:tc>
          <w:tcPr>
            <w:tcW w:w="7087" w:type="dxa"/>
            <w:hideMark/>
          </w:tcPr>
          <w:p w14:paraId="65A949D2" w14:textId="77777777" w:rsidR="00F80193" w:rsidRPr="00BA700B" w:rsidRDefault="00F8019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Integrates security within IT service lifecycle</w:t>
            </w:r>
          </w:p>
        </w:tc>
      </w:tr>
      <w:tr w:rsidR="00F80193" w:rsidRPr="00BA700B" w14:paraId="0129EE70" w14:textId="77777777" w:rsidTr="00B5217D">
        <w:tc>
          <w:tcPr>
            <w:cnfStyle w:val="001000000000" w:firstRow="0" w:lastRow="0" w:firstColumn="1" w:lastColumn="0" w:oddVBand="0" w:evenVBand="0" w:oddHBand="0" w:evenHBand="0" w:firstRowFirstColumn="0" w:firstRowLastColumn="0" w:lastRowFirstColumn="0" w:lastRowLastColumn="0"/>
            <w:tcW w:w="2263" w:type="dxa"/>
            <w:hideMark/>
          </w:tcPr>
          <w:p w14:paraId="56FAE70D"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COBIT</w:t>
            </w:r>
          </w:p>
        </w:tc>
        <w:tc>
          <w:tcPr>
            <w:tcW w:w="7087" w:type="dxa"/>
            <w:hideMark/>
          </w:tcPr>
          <w:p w14:paraId="727EAFC4" w14:textId="77777777" w:rsidR="00F80193" w:rsidRPr="00BA700B" w:rsidRDefault="00F8019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Provides governance and alignment with business objectives</w:t>
            </w:r>
          </w:p>
        </w:tc>
      </w:tr>
    </w:tbl>
    <w:p w14:paraId="00571CD5" w14:textId="77777777" w:rsidR="00F80193" w:rsidRPr="00BA700B" w:rsidRDefault="00F80193" w:rsidP="005E61E4">
      <w:pPr>
        <w:jc w:val="center"/>
        <w:rPr>
          <w:rFonts w:asciiTheme="majorHAnsi" w:hAnsiTheme="majorHAnsi" w:cstheme="majorHAnsi"/>
        </w:rPr>
      </w:pPr>
      <w:r w:rsidRPr="00BA700B">
        <w:rPr>
          <w:rFonts w:asciiTheme="majorHAnsi" w:hAnsiTheme="majorHAnsi" w:cstheme="majorHAnsi"/>
          <w:b/>
          <w:bCs/>
        </w:rPr>
        <w:t>Table 6:</w:t>
      </w:r>
      <w:r w:rsidRPr="00BA700B">
        <w:rPr>
          <w:rFonts w:asciiTheme="majorHAnsi" w:hAnsiTheme="majorHAnsi" w:cstheme="majorHAnsi"/>
        </w:rPr>
        <w:t xml:space="preserve"> Integrated Security Framework Strategy</w:t>
      </w:r>
    </w:p>
    <w:p w14:paraId="3E0EE18C" w14:textId="3998036C" w:rsidR="00F80193" w:rsidRPr="00BA700B" w:rsidRDefault="0000682A" w:rsidP="0078356B">
      <w:pPr>
        <w:jc w:val="both"/>
        <w:rPr>
          <w:rFonts w:asciiTheme="majorHAnsi" w:hAnsiTheme="majorHAnsi" w:cstheme="majorHAnsi"/>
          <w:highlight w:val="yellow"/>
        </w:rPr>
      </w:pPr>
      <w:r w:rsidRPr="00BA700B">
        <w:rPr>
          <w:rFonts w:asciiTheme="majorHAnsi" w:hAnsiTheme="majorHAnsi" w:cstheme="majorHAnsi"/>
        </w:rPr>
        <w:t>As a result, these frameworks can be unified to allow FinSure Bank to build a unified and scalable security architecture that can support the operational and strategic security challenges.</w:t>
      </w:r>
    </w:p>
    <w:p w14:paraId="6A3F8A45" w14:textId="63C37EA4" w:rsidR="000F3664" w:rsidRPr="00BA700B" w:rsidRDefault="00F80193" w:rsidP="0078356B">
      <w:pPr>
        <w:pStyle w:val="Heading2"/>
        <w:jc w:val="both"/>
        <w:rPr>
          <w:rFonts w:cstheme="majorHAnsi"/>
          <w:b/>
          <w:bCs/>
          <w:color w:val="auto"/>
          <w:sz w:val="28"/>
          <w:szCs w:val="28"/>
        </w:rPr>
      </w:pPr>
      <w:r w:rsidRPr="00BA700B">
        <w:rPr>
          <w:rFonts w:cstheme="majorHAnsi"/>
          <w:b/>
          <w:bCs/>
          <w:color w:val="auto"/>
          <w:sz w:val="28"/>
          <w:szCs w:val="28"/>
        </w:rPr>
        <w:t xml:space="preserve">4.3 </w:t>
      </w:r>
      <w:r w:rsidR="0000682A" w:rsidRPr="00BA700B">
        <w:rPr>
          <w:rFonts w:cstheme="majorHAnsi"/>
          <w:b/>
          <w:bCs/>
          <w:color w:val="auto"/>
          <w:sz w:val="28"/>
          <w:szCs w:val="28"/>
        </w:rPr>
        <w:t>GDPR Data Protection and Compliance</w:t>
      </w:r>
    </w:p>
    <w:p w14:paraId="359C3F10" w14:textId="06900986" w:rsidR="002D5C30" w:rsidRPr="00BA700B" w:rsidRDefault="002D5C30" w:rsidP="002D5C30">
      <w:pPr>
        <w:jc w:val="both"/>
        <w:rPr>
          <w:rFonts w:asciiTheme="majorHAnsi" w:hAnsiTheme="majorHAnsi" w:cstheme="majorHAnsi"/>
        </w:rPr>
      </w:pPr>
      <w:r w:rsidRPr="00BA700B">
        <w:rPr>
          <w:rFonts w:asciiTheme="majorHAnsi" w:hAnsiTheme="majorHAnsi" w:cstheme="majorHAnsi"/>
        </w:rPr>
        <w:t xml:space="preserve">The General Data Protection Regulation (GDPR), which requires the protection of customer information, is one of the worldwide data protection requirements that FinSure Bank must adhere to as a multinational financial organization. </w:t>
      </w:r>
      <w:r w:rsidR="00484696" w:rsidRPr="00BA700B">
        <w:rPr>
          <w:rFonts w:asciiTheme="majorHAnsi" w:hAnsiTheme="majorHAnsi" w:cstheme="majorHAnsi"/>
        </w:rPr>
        <w:t xml:space="preserve">The area of compliance requires the adoption of effective controls to promote the security of sensitive and personally identifiable data, promote transparency in data processing, and avoid unauthorised access. Some of the effective measures are role-based access control (RBAC) and structured data classification systems, as well as data encryption. </w:t>
      </w:r>
      <w:r w:rsidRPr="00BA700B">
        <w:rPr>
          <w:rFonts w:asciiTheme="majorHAnsi" w:hAnsiTheme="majorHAnsi" w:cstheme="majorHAnsi"/>
        </w:rPr>
        <w:t>Strong authentication and encryption solutions significantly reduce the likelihood of data breaches and improve overall data security management in financial systems, according to empirical research [2</w:t>
      </w:r>
      <w:r w:rsidR="00E72A1F" w:rsidRPr="00BA700B">
        <w:rPr>
          <w:rFonts w:asciiTheme="majorHAnsi" w:hAnsiTheme="majorHAnsi" w:cstheme="majorHAnsi"/>
        </w:rPr>
        <w:t>8</w:t>
      </w:r>
      <w:r w:rsidRPr="00BA700B">
        <w:rPr>
          <w:rFonts w:asciiTheme="majorHAnsi" w:hAnsiTheme="majorHAnsi" w:cstheme="majorHAnsi"/>
        </w:rPr>
        <w:t>].</w:t>
      </w:r>
    </w:p>
    <w:tbl>
      <w:tblPr>
        <w:tblStyle w:val="GridTable1Light"/>
        <w:tblW w:w="9351" w:type="dxa"/>
        <w:tblLook w:val="04A0" w:firstRow="1" w:lastRow="0" w:firstColumn="1" w:lastColumn="0" w:noHBand="0" w:noVBand="1"/>
      </w:tblPr>
      <w:tblGrid>
        <w:gridCol w:w="3643"/>
        <w:gridCol w:w="5708"/>
      </w:tblGrid>
      <w:tr w:rsidR="00F80193" w:rsidRPr="00BA700B" w14:paraId="1CC5C3F0" w14:textId="77777777" w:rsidTr="007812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3" w:type="dxa"/>
            <w:hideMark/>
          </w:tcPr>
          <w:p w14:paraId="751FAE5D"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lastRenderedPageBreak/>
              <w:t>Security Control</w:t>
            </w:r>
          </w:p>
        </w:tc>
        <w:tc>
          <w:tcPr>
            <w:tcW w:w="5708" w:type="dxa"/>
            <w:hideMark/>
          </w:tcPr>
          <w:p w14:paraId="5B711880" w14:textId="77777777" w:rsidR="00F80193" w:rsidRPr="00BA700B" w:rsidRDefault="00F80193" w:rsidP="0078356B">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Purpose</w:t>
            </w:r>
          </w:p>
        </w:tc>
      </w:tr>
      <w:tr w:rsidR="00F80193" w:rsidRPr="00BA700B" w14:paraId="1E51FF09"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69FA9511"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Data Encryption</w:t>
            </w:r>
          </w:p>
        </w:tc>
        <w:tc>
          <w:tcPr>
            <w:tcW w:w="5708" w:type="dxa"/>
            <w:hideMark/>
          </w:tcPr>
          <w:p w14:paraId="4D35A6EF" w14:textId="7B6CC778" w:rsidR="00F80193" w:rsidRPr="00BA700B" w:rsidRDefault="00C864D7"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864D7">
              <w:rPr>
                <w:rFonts w:asciiTheme="majorHAnsi" w:hAnsiTheme="majorHAnsi" w:cstheme="majorHAnsi"/>
              </w:rPr>
              <w:t>Secures the financial and personal data.</w:t>
            </w:r>
          </w:p>
        </w:tc>
      </w:tr>
      <w:tr w:rsidR="00F80193" w:rsidRPr="00BA700B" w14:paraId="7C808827"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4AB1B870"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Multi-Factor Authentication (MFA)</w:t>
            </w:r>
          </w:p>
        </w:tc>
        <w:tc>
          <w:tcPr>
            <w:tcW w:w="5708" w:type="dxa"/>
            <w:hideMark/>
          </w:tcPr>
          <w:p w14:paraId="1EFD750F" w14:textId="19C16CD9" w:rsidR="00F80193"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Prevents unauthorised access of the system.</w:t>
            </w:r>
          </w:p>
        </w:tc>
      </w:tr>
      <w:tr w:rsidR="00F80193" w:rsidRPr="00BA700B" w14:paraId="42143DFA"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69F439D9"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Data Classification</w:t>
            </w:r>
          </w:p>
        </w:tc>
        <w:tc>
          <w:tcPr>
            <w:tcW w:w="5708" w:type="dxa"/>
            <w:hideMark/>
          </w:tcPr>
          <w:p w14:paraId="595C396F" w14:textId="27755C87" w:rsidR="00F80193" w:rsidRPr="00BA700B" w:rsidRDefault="00B0192C"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Organizes</w:t>
            </w:r>
            <w:r w:rsidR="00F80193" w:rsidRPr="00BA700B">
              <w:rPr>
                <w:rFonts w:asciiTheme="majorHAnsi" w:hAnsiTheme="majorHAnsi" w:cstheme="majorHAnsi"/>
              </w:rPr>
              <w:t xml:space="preserve"> data based on sensitivity levels</w:t>
            </w:r>
          </w:p>
        </w:tc>
      </w:tr>
      <w:tr w:rsidR="00F80193" w:rsidRPr="00BA700B" w14:paraId="18929419"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1D9A73D1" w14:textId="0412F311" w:rsidR="00F80193" w:rsidRPr="00BA700B" w:rsidRDefault="003C3922" w:rsidP="0078356B">
            <w:pPr>
              <w:spacing w:after="160" w:line="278" w:lineRule="auto"/>
              <w:jc w:val="both"/>
              <w:rPr>
                <w:rFonts w:asciiTheme="majorHAnsi" w:hAnsiTheme="majorHAnsi" w:cstheme="majorHAnsi"/>
              </w:rPr>
            </w:pPr>
            <w:r w:rsidRPr="003C3922">
              <w:rPr>
                <w:rFonts w:asciiTheme="majorHAnsi" w:hAnsiTheme="majorHAnsi" w:cstheme="majorHAnsi"/>
              </w:rPr>
              <w:t>Security Monitoring systems</w:t>
            </w:r>
            <w:r w:rsidR="007638A3">
              <w:rPr>
                <w:rFonts w:asciiTheme="majorHAnsi" w:hAnsiTheme="majorHAnsi" w:cstheme="majorHAnsi"/>
              </w:rPr>
              <w:t>.</w:t>
            </w:r>
          </w:p>
        </w:tc>
        <w:tc>
          <w:tcPr>
            <w:tcW w:w="5708" w:type="dxa"/>
            <w:hideMark/>
          </w:tcPr>
          <w:p w14:paraId="4959E427" w14:textId="6879E146" w:rsidR="00F80193"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Identifies the suspicious activities on the fly.</w:t>
            </w:r>
          </w:p>
        </w:tc>
      </w:tr>
      <w:tr w:rsidR="00F80193" w:rsidRPr="00BA700B" w14:paraId="416C4FC2"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4A483416" w14:textId="060855EE" w:rsidR="00F80193" w:rsidRPr="00BA700B" w:rsidRDefault="003C3922" w:rsidP="0078356B">
            <w:pPr>
              <w:spacing w:after="160" w:line="278" w:lineRule="auto"/>
              <w:jc w:val="both"/>
              <w:rPr>
                <w:rFonts w:asciiTheme="majorHAnsi" w:hAnsiTheme="majorHAnsi" w:cstheme="majorHAnsi"/>
              </w:rPr>
            </w:pPr>
            <w:r w:rsidRPr="003C3922">
              <w:rPr>
                <w:rFonts w:asciiTheme="majorHAnsi" w:hAnsiTheme="majorHAnsi" w:cstheme="majorHAnsi"/>
              </w:rPr>
              <w:t>Periodic Compliance Audit</w:t>
            </w:r>
          </w:p>
        </w:tc>
        <w:tc>
          <w:tcPr>
            <w:tcW w:w="5708" w:type="dxa"/>
            <w:hideMark/>
          </w:tcPr>
          <w:p w14:paraId="4F0301E3" w14:textId="25CEF5C8" w:rsidR="00F80193"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Oversight that they are compliant with the rules.</w:t>
            </w:r>
          </w:p>
        </w:tc>
      </w:tr>
      <w:tr w:rsidR="00F80193" w:rsidRPr="00BA700B" w14:paraId="6B0BE30C"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000FEAFF"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Security Control</w:t>
            </w:r>
          </w:p>
        </w:tc>
        <w:tc>
          <w:tcPr>
            <w:tcW w:w="5708" w:type="dxa"/>
            <w:hideMark/>
          </w:tcPr>
          <w:p w14:paraId="7DB6DB66" w14:textId="77777777" w:rsidR="00F80193" w:rsidRPr="00BA700B" w:rsidRDefault="00F8019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Purpose</w:t>
            </w:r>
          </w:p>
        </w:tc>
      </w:tr>
      <w:tr w:rsidR="00F80193" w:rsidRPr="00BA700B" w14:paraId="3407B3F3"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421228BD"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Data Encryption</w:t>
            </w:r>
          </w:p>
        </w:tc>
        <w:tc>
          <w:tcPr>
            <w:tcW w:w="5708" w:type="dxa"/>
            <w:hideMark/>
          </w:tcPr>
          <w:p w14:paraId="4DB1AB5B" w14:textId="77777777" w:rsidR="00F80193" w:rsidRPr="00BA700B" w:rsidRDefault="00F80193"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Protects financial and personal information</w:t>
            </w:r>
          </w:p>
        </w:tc>
      </w:tr>
      <w:tr w:rsidR="00F80193" w:rsidRPr="00BA700B" w14:paraId="0ABF135E" w14:textId="77777777" w:rsidTr="0078125A">
        <w:tc>
          <w:tcPr>
            <w:cnfStyle w:val="001000000000" w:firstRow="0" w:lastRow="0" w:firstColumn="1" w:lastColumn="0" w:oddVBand="0" w:evenVBand="0" w:oddHBand="0" w:evenHBand="0" w:firstRowFirstColumn="0" w:firstRowLastColumn="0" w:lastRowFirstColumn="0" w:lastRowLastColumn="0"/>
            <w:tcW w:w="3643" w:type="dxa"/>
            <w:hideMark/>
          </w:tcPr>
          <w:p w14:paraId="79B22CEA" w14:textId="77777777" w:rsidR="00F80193" w:rsidRPr="00BA700B" w:rsidRDefault="00F80193" w:rsidP="0078356B">
            <w:pPr>
              <w:spacing w:after="160" w:line="278" w:lineRule="auto"/>
              <w:jc w:val="both"/>
              <w:rPr>
                <w:rFonts w:asciiTheme="majorHAnsi" w:hAnsiTheme="majorHAnsi" w:cstheme="majorHAnsi"/>
              </w:rPr>
            </w:pPr>
            <w:r w:rsidRPr="00BA700B">
              <w:rPr>
                <w:rFonts w:asciiTheme="majorHAnsi" w:hAnsiTheme="majorHAnsi" w:cstheme="majorHAnsi"/>
              </w:rPr>
              <w:t>Data Classification</w:t>
            </w:r>
          </w:p>
        </w:tc>
        <w:tc>
          <w:tcPr>
            <w:tcW w:w="5708" w:type="dxa"/>
            <w:hideMark/>
          </w:tcPr>
          <w:p w14:paraId="437215E7" w14:textId="529837D3" w:rsidR="00F80193" w:rsidRPr="00BA700B" w:rsidRDefault="00E476A8"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Organizes</w:t>
            </w:r>
            <w:r w:rsidR="00F80193" w:rsidRPr="00BA700B">
              <w:rPr>
                <w:rFonts w:asciiTheme="majorHAnsi" w:hAnsiTheme="majorHAnsi" w:cstheme="majorHAnsi"/>
              </w:rPr>
              <w:t xml:space="preserve"> data based on sensitivity levels</w:t>
            </w:r>
          </w:p>
        </w:tc>
      </w:tr>
    </w:tbl>
    <w:p w14:paraId="2C7C46B5" w14:textId="77777777" w:rsidR="00F80193" w:rsidRPr="00BA700B" w:rsidRDefault="00F80193" w:rsidP="0078125A">
      <w:pPr>
        <w:jc w:val="center"/>
        <w:rPr>
          <w:rFonts w:asciiTheme="majorHAnsi" w:hAnsiTheme="majorHAnsi" w:cstheme="majorHAnsi"/>
        </w:rPr>
      </w:pPr>
      <w:r w:rsidRPr="00BA700B">
        <w:rPr>
          <w:rFonts w:asciiTheme="majorHAnsi" w:hAnsiTheme="majorHAnsi" w:cstheme="majorHAnsi"/>
          <w:b/>
          <w:bCs/>
        </w:rPr>
        <w:t xml:space="preserve">Table 7: </w:t>
      </w:r>
      <w:r w:rsidRPr="00BA700B">
        <w:rPr>
          <w:rFonts w:asciiTheme="majorHAnsi" w:hAnsiTheme="majorHAnsi" w:cstheme="majorHAnsi"/>
        </w:rPr>
        <w:t>Recommended Data Protection Controls</w:t>
      </w:r>
    </w:p>
    <w:p w14:paraId="271864E2" w14:textId="4B8F6038" w:rsidR="00F80193" w:rsidRPr="00BA700B" w:rsidRDefault="0000682A" w:rsidP="0078356B">
      <w:pPr>
        <w:jc w:val="both"/>
        <w:rPr>
          <w:rFonts w:asciiTheme="majorHAnsi" w:hAnsiTheme="majorHAnsi" w:cstheme="majorHAnsi"/>
        </w:rPr>
      </w:pPr>
      <w:r w:rsidRPr="00BA700B">
        <w:rPr>
          <w:rFonts w:asciiTheme="majorHAnsi" w:hAnsiTheme="majorHAnsi" w:cstheme="majorHAnsi"/>
        </w:rPr>
        <w:t xml:space="preserve">These measures should enable FinSure Bank to keep </w:t>
      </w:r>
      <w:r w:rsidR="00337AAA" w:rsidRPr="00BA700B">
        <w:rPr>
          <w:rFonts w:asciiTheme="majorHAnsi" w:hAnsiTheme="majorHAnsi" w:cstheme="majorHAnsi"/>
        </w:rPr>
        <w:t>client’s</w:t>
      </w:r>
      <w:r w:rsidRPr="00BA700B">
        <w:rPr>
          <w:rFonts w:asciiTheme="majorHAnsi" w:hAnsiTheme="majorHAnsi" w:cstheme="majorHAnsi"/>
        </w:rPr>
        <w:t xml:space="preserve"> information safe and at the same time incur data-protection regulations in the global sphere.</w:t>
      </w:r>
    </w:p>
    <w:p w14:paraId="2360E954" w14:textId="667CFB59" w:rsidR="000F3664" w:rsidRPr="00BA700B" w:rsidRDefault="00F80193" w:rsidP="00413706">
      <w:pPr>
        <w:pStyle w:val="Heading2"/>
        <w:rPr>
          <w:rFonts w:cstheme="majorHAnsi"/>
          <w:b/>
          <w:bCs/>
          <w:color w:val="auto"/>
          <w:sz w:val="28"/>
          <w:szCs w:val="28"/>
          <w:highlight w:val="yellow"/>
        </w:rPr>
      </w:pPr>
      <w:r w:rsidRPr="00BA700B">
        <w:rPr>
          <w:rFonts w:cstheme="majorHAnsi"/>
          <w:b/>
          <w:bCs/>
          <w:color w:val="auto"/>
          <w:sz w:val="28"/>
          <w:szCs w:val="28"/>
        </w:rPr>
        <w:t xml:space="preserve">4.4 </w:t>
      </w:r>
      <w:r w:rsidR="00E129FD" w:rsidRPr="00BA700B">
        <w:rPr>
          <w:rFonts w:cstheme="majorHAnsi"/>
          <w:b/>
          <w:bCs/>
          <w:color w:val="auto"/>
          <w:sz w:val="28"/>
          <w:szCs w:val="28"/>
        </w:rPr>
        <w:t>Unchanging Security Surveillance and Risk Management</w:t>
      </w:r>
    </w:p>
    <w:p w14:paraId="15366D48" w14:textId="2B1350F3" w:rsidR="0078125A" w:rsidRPr="00BA700B" w:rsidRDefault="00484696" w:rsidP="0078356B">
      <w:pPr>
        <w:jc w:val="both"/>
        <w:rPr>
          <w:rFonts w:asciiTheme="majorHAnsi" w:hAnsiTheme="majorHAnsi" w:cstheme="majorHAnsi"/>
        </w:rPr>
      </w:pPr>
      <w:r w:rsidRPr="00BA700B">
        <w:rPr>
          <w:rFonts w:asciiTheme="majorHAnsi" w:hAnsiTheme="majorHAnsi" w:cstheme="majorHAnsi"/>
        </w:rPr>
        <w:t xml:space="preserve">With this dynamism in the cybersecurity threats, organisations have to incorporate dynamic and proactive risk management processes. Even the vulnerabilities are pointed out and the security incidents arising dealt with effectively with regular security audits and risk assessment. </w:t>
      </w:r>
      <w:r w:rsidR="002D5C30" w:rsidRPr="00BA700B">
        <w:rPr>
          <w:rFonts w:asciiTheme="majorHAnsi" w:hAnsiTheme="majorHAnsi" w:cstheme="majorHAnsi"/>
        </w:rPr>
        <w:t>According to empirical studies, companies that implement continuous monitoring significantly reduce their exposure to cyber threats and improve their capacity to identify and handle events [2</w:t>
      </w:r>
      <w:r w:rsidR="00B77C3B" w:rsidRPr="00BA700B">
        <w:rPr>
          <w:rFonts w:asciiTheme="majorHAnsi" w:hAnsiTheme="majorHAnsi" w:cstheme="majorHAnsi"/>
        </w:rPr>
        <w:t>9</w:t>
      </w:r>
      <w:r w:rsidR="002D5C30" w:rsidRPr="00BA700B">
        <w:rPr>
          <w:rFonts w:asciiTheme="majorHAnsi" w:hAnsiTheme="majorHAnsi" w:cstheme="majorHAnsi"/>
        </w:rPr>
        <w:t xml:space="preserve">]. </w:t>
      </w:r>
      <w:r w:rsidRPr="00BA700B">
        <w:rPr>
          <w:rFonts w:asciiTheme="majorHAnsi" w:hAnsiTheme="majorHAnsi" w:cstheme="majorHAnsi"/>
        </w:rPr>
        <w:t xml:space="preserve">In that regard, FinSure bank is advised to </w:t>
      </w:r>
      <w:r w:rsidR="00B77C3B" w:rsidRPr="00BA700B">
        <w:rPr>
          <w:rFonts w:asciiTheme="majorHAnsi" w:hAnsiTheme="majorHAnsi" w:cstheme="majorHAnsi"/>
        </w:rPr>
        <w:t>install</w:t>
      </w:r>
      <w:r w:rsidRPr="00BA700B">
        <w:rPr>
          <w:rFonts w:asciiTheme="majorHAnsi" w:hAnsiTheme="majorHAnsi" w:cstheme="majorHAnsi"/>
        </w:rPr>
        <w:t xml:space="preserve"> automated security monitoring devices, periodically perform vulnerability tests and develop formal incident response protocols. Through such measures, it is an easy task to create early threat and vulnerability detection, successful mitigation of risks, and </w:t>
      </w:r>
      <w:r w:rsidR="005E61E4" w:rsidRPr="00BA700B">
        <w:rPr>
          <w:rFonts w:asciiTheme="majorHAnsi" w:hAnsiTheme="majorHAnsi" w:cstheme="majorHAnsi"/>
        </w:rPr>
        <w:t>long-term</w:t>
      </w:r>
      <w:r w:rsidRPr="00BA700B">
        <w:rPr>
          <w:rFonts w:asciiTheme="majorHAnsi" w:hAnsiTheme="majorHAnsi" w:cstheme="majorHAnsi"/>
        </w:rPr>
        <w:t xml:space="preserve"> operational resilience in complex digital and cybersecurity environments.</w:t>
      </w:r>
    </w:p>
    <w:p w14:paraId="7FC8B834" w14:textId="0C43D4C8" w:rsidR="00E05CB2" w:rsidRPr="00BA700B" w:rsidRDefault="00E05CB2" w:rsidP="0078356B">
      <w:pPr>
        <w:pStyle w:val="Heading3"/>
        <w:jc w:val="both"/>
        <w:rPr>
          <w:rFonts w:asciiTheme="majorHAnsi" w:hAnsiTheme="majorHAnsi" w:cstheme="majorHAnsi"/>
          <w:b/>
          <w:bCs/>
          <w:color w:val="auto"/>
        </w:rPr>
      </w:pPr>
      <w:r w:rsidRPr="00BA700B">
        <w:rPr>
          <w:rFonts w:asciiTheme="majorHAnsi" w:hAnsiTheme="majorHAnsi" w:cstheme="majorHAnsi"/>
          <w:b/>
          <w:bCs/>
          <w:color w:val="auto"/>
        </w:rPr>
        <w:t xml:space="preserve">4.5 Information Security Policy and Contingency Planning </w:t>
      </w:r>
    </w:p>
    <w:p w14:paraId="034308AC" w14:textId="02C11216" w:rsidR="0078125A" w:rsidRPr="00BA700B" w:rsidRDefault="00484696" w:rsidP="00BF6EE9">
      <w:pPr>
        <w:jc w:val="both"/>
        <w:rPr>
          <w:rFonts w:asciiTheme="majorHAnsi" w:eastAsia="Times New Roman" w:hAnsiTheme="majorHAnsi" w:cstheme="majorHAnsi"/>
          <w:kern w:val="0"/>
          <w14:ligatures w14:val="none"/>
        </w:rPr>
      </w:pPr>
      <w:r w:rsidRPr="00BA700B">
        <w:rPr>
          <w:rFonts w:asciiTheme="majorHAnsi" w:eastAsia="Times New Roman" w:hAnsiTheme="majorHAnsi" w:cstheme="majorHAnsi"/>
          <w:kern w:val="0"/>
          <w14:ligatures w14:val="none"/>
        </w:rPr>
        <w:t>Financial institutions have extremely regulated business contexts, and the confidentiality of financial information and personally identifiable information (PII) is the most important. FinSure Bank and other organisations have to establish a full scope of information protection policies and contingency planning schemes in order to provide system protection, operational stability, and compliance with regulation [</w:t>
      </w:r>
      <w:r w:rsidR="00B77C3B" w:rsidRPr="00BA700B">
        <w:rPr>
          <w:rFonts w:asciiTheme="majorHAnsi" w:eastAsia="Times New Roman" w:hAnsiTheme="majorHAnsi" w:cstheme="majorHAnsi"/>
          <w:kern w:val="0"/>
          <w14:ligatures w14:val="none"/>
        </w:rPr>
        <w:t>30</w:t>
      </w:r>
      <w:r w:rsidRPr="00BA700B">
        <w:rPr>
          <w:rFonts w:asciiTheme="majorHAnsi" w:eastAsia="Times New Roman" w:hAnsiTheme="majorHAnsi" w:cstheme="majorHAnsi"/>
          <w:kern w:val="0"/>
          <w14:ligatures w14:val="none"/>
        </w:rPr>
        <w:t xml:space="preserve">]. </w:t>
      </w:r>
    </w:p>
    <w:p w14:paraId="31C21685" w14:textId="6D13B1F4" w:rsidR="0078125A" w:rsidRPr="00BA700B" w:rsidRDefault="002D5C30" w:rsidP="00BF6EE9">
      <w:pPr>
        <w:jc w:val="both"/>
        <w:rPr>
          <w:rFonts w:asciiTheme="majorHAnsi" w:eastAsia="Times New Roman" w:hAnsiTheme="majorHAnsi" w:cstheme="majorHAnsi"/>
          <w:kern w:val="0"/>
          <w14:ligatures w14:val="none"/>
        </w:rPr>
      </w:pPr>
      <w:r w:rsidRPr="00BA700B">
        <w:rPr>
          <w:rFonts w:asciiTheme="majorHAnsi" w:eastAsia="Times New Roman" w:hAnsiTheme="majorHAnsi" w:cstheme="majorHAnsi"/>
          <w:kern w:val="0"/>
          <w14:ligatures w14:val="none"/>
        </w:rPr>
        <w:t>Security policies specify the governance structure, responsibilities, and procedures for protecting sensitive data assets. Access control, data security and encryption, BYOD security, and cloud security governance are some of the crucial measures. Multi-factor authentication (MFA) and role-</w:t>
      </w:r>
      <w:r w:rsidRPr="00BA700B">
        <w:rPr>
          <w:rFonts w:asciiTheme="majorHAnsi" w:eastAsia="Times New Roman" w:hAnsiTheme="majorHAnsi" w:cstheme="majorHAnsi"/>
          <w:kern w:val="0"/>
          <w14:ligatures w14:val="none"/>
        </w:rPr>
        <w:lastRenderedPageBreak/>
        <w:t>based access control (RBAC) are used to avoid insider threats and restrict access to the system [</w:t>
      </w:r>
      <w:r w:rsidR="00903F8F" w:rsidRPr="00BA700B">
        <w:rPr>
          <w:rFonts w:asciiTheme="majorHAnsi" w:eastAsia="Times New Roman" w:hAnsiTheme="majorHAnsi" w:cstheme="majorHAnsi"/>
          <w:kern w:val="0"/>
          <w14:ligatures w14:val="none"/>
        </w:rPr>
        <w:t>31</w:t>
      </w:r>
      <w:r w:rsidRPr="00BA700B">
        <w:rPr>
          <w:rFonts w:asciiTheme="majorHAnsi" w:eastAsia="Times New Roman" w:hAnsiTheme="majorHAnsi" w:cstheme="majorHAnsi"/>
          <w:kern w:val="0"/>
          <w14:ligatures w14:val="none"/>
        </w:rPr>
        <w:t>], while encryption protects data moved into and kept within the system to lower the risk of fraud and breaches [</w:t>
      </w:r>
      <w:r w:rsidR="00903F8F" w:rsidRPr="00BA700B">
        <w:rPr>
          <w:rFonts w:asciiTheme="majorHAnsi" w:eastAsia="Times New Roman" w:hAnsiTheme="majorHAnsi" w:cstheme="majorHAnsi"/>
          <w:kern w:val="0"/>
          <w14:ligatures w14:val="none"/>
        </w:rPr>
        <w:t>32</w:t>
      </w:r>
      <w:r w:rsidRPr="00BA700B">
        <w:rPr>
          <w:rFonts w:asciiTheme="majorHAnsi" w:eastAsia="Times New Roman" w:hAnsiTheme="majorHAnsi" w:cstheme="majorHAnsi"/>
          <w:kern w:val="0"/>
          <w14:ligatures w14:val="none"/>
        </w:rPr>
        <w:t xml:space="preserve">]. </w:t>
      </w:r>
      <w:r w:rsidR="00484696" w:rsidRPr="00BA700B">
        <w:rPr>
          <w:rFonts w:asciiTheme="majorHAnsi" w:eastAsia="Times New Roman" w:hAnsiTheme="majorHAnsi" w:cstheme="majorHAnsi"/>
          <w:kern w:val="0"/>
          <w14:ligatures w14:val="none"/>
        </w:rPr>
        <w:t>BYOD and policies on the cloud also implement endpoint security, identity and access control, and third-party compliance [</w:t>
      </w:r>
      <w:r w:rsidR="00903F8F" w:rsidRPr="00BA700B">
        <w:rPr>
          <w:rFonts w:asciiTheme="majorHAnsi" w:eastAsia="Times New Roman" w:hAnsiTheme="majorHAnsi" w:cstheme="majorHAnsi"/>
          <w:kern w:val="0"/>
          <w14:ligatures w14:val="none"/>
        </w:rPr>
        <w:t>33</w:t>
      </w:r>
      <w:r w:rsidR="00484696" w:rsidRPr="00BA700B">
        <w:rPr>
          <w:rFonts w:asciiTheme="majorHAnsi" w:eastAsia="Times New Roman" w:hAnsiTheme="majorHAnsi" w:cstheme="majorHAnsi"/>
          <w:kern w:val="0"/>
          <w14:ligatures w14:val="none"/>
        </w:rPr>
        <w:t xml:space="preserve">]. </w:t>
      </w:r>
    </w:p>
    <w:p w14:paraId="5403FC7A" w14:textId="77777777" w:rsidR="00C864D7" w:rsidRDefault="00C864D7" w:rsidP="0078356B">
      <w:pPr>
        <w:pStyle w:val="Heading2"/>
        <w:jc w:val="both"/>
        <w:rPr>
          <w:rFonts w:eastAsia="Times New Roman" w:cstheme="majorHAnsi"/>
          <w:color w:val="auto"/>
          <w:kern w:val="0"/>
          <w:sz w:val="24"/>
          <w:szCs w:val="24"/>
          <w14:ligatures w14:val="none"/>
        </w:rPr>
      </w:pPr>
      <w:r w:rsidRPr="00C864D7">
        <w:rPr>
          <w:rFonts w:eastAsia="Times New Roman" w:cstheme="majorHAnsi"/>
          <w:color w:val="auto"/>
          <w:kern w:val="0"/>
          <w:sz w:val="24"/>
          <w:szCs w:val="24"/>
          <w14:ligatures w14:val="none"/>
        </w:rPr>
        <w:t>The contingency planning/incident response, disaster recovery, business continuity, and secure data backups must be provided alongside preventive procedures to provide stability in operations during any disruption [34]. Collectively, they can enhance the resilience of organizations and deal with the probability of complying with legislations as in the case of the General Data Protection Regulation (GDPR).</w:t>
      </w:r>
    </w:p>
    <w:p w14:paraId="2542C0E8" w14:textId="2E74DB0B" w:rsidR="00E96000" w:rsidRPr="00BA700B" w:rsidRDefault="00E96000" w:rsidP="0078356B">
      <w:pPr>
        <w:pStyle w:val="Heading2"/>
        <w:jc w:val="both"/>
        <w:rPr>
          <w:rFonts w:cstheme="majorHAnsi"/>
          <w:b/>
          <w:bCs/>
          <w:color w:val="auto"/>
          <w:sz w:val="28"/>
          <w:szCs w:val="28"/>
        </w:rPr>
      </w:pPr>
      <w:r w:rsidRPr="00BA700B">
        <w:rPr>
          <w:rFonts w:cstheme="majorHAnsi"/>
          <w:b/>
          <w:bCs/>
          <w:color w:val="auto"/>
          <w:sz w:val="28"/>
          <w:szCs w:val="28"/>
        </w:rPr>
        <w:t>4.6 Network and Perimeter Security</w:t>
      </w:r>
    </w:p>
    <w:p w14:paraId="523AA39C" w14:textId="5ED525D0" w:rsidR="00484696" w:rsidRPr="00BA700B" w:rsidRDefault="00484696" w:rsidP="0078356B">
      <w:pPr>
        <w:jc w:val="both"/>
        <w:rPr>
          <w:rFonts w:asciiTheme="majorHAnsi" w:hAnsiTheme="majorHAnsi" w:cstheme="majorHAnsi"/>
        </w:rPr>
      </w:pPr>
      <w:r w:rsidRPr="00BA700B">
        <w:rPr>
          <w:rFonts w:asciiTheme="majorHAnsi" w:hAnsiTheme="majorHAnsi" w:cstheme="majorHAnsi"/>
        </w:rPr>
        <w:t xml:space="preserve">The network perimeter is one of the major requirements in the digital banking set-ups in which banks depend on interchangeable networks, cloud services, and mobile banking solutions. In the case of organisations that operate in the same industry like FinSure Bank, such interrelated systems create a great deal of the attack surface, exposing organisations to </w:t>
      </w:r>
      <w:r w:rsidR="00B741E2" w:rsidRPr="00BA700B">
        <w:rPr>
          <w:rFonts w:asciiTheme="majorHAnsi" w:hAnsiTheme="majorHAnsi" w:cstheme="majorHAnsi"/>
        </w:rPr>
        <w:t>cyber-attacks</w:t>
      </w:r>
      <w:r w:rsidRPr="00BA700B">
        <w:rPr>
          <w:rFonts w:asciiTheme="majorHAnsi" w:hAnsiTheme="majorHAnsi" w:cstheme="majorHAnsi"/>
        </w:rPr>
        <w:t>, malware and unauthorised access to sensitive financial information. As a result, the network and perimeter security controls have been considered to be effective in protecting internal systems and ensuring that digital banking operations are not compromised [3</w:t>
      </w:r>
      <w:r w:rsidR="00903F8F" w:rsidRPr="00BA700B">
        <w:rPr>
          <w:rFonts w:asciiTheme="majorHAnsi" w:hAnsiTheme="majorHAnsi" w:cstheme="majorHAnsi"/>
        </w:rPr>
        <w:t>5</w:t>
      </w:r>
      <w:r w:rsidRPr="00BA700B">
        <w:rPr>
          <w:rFonts w:asciiTheme="majorHAnsi" w:hAnsiTheme="majorHAnsi" w:cstheme="majorHAnsi"/>
        </w:rPr>
        <w:t>].</w:t>
      </w:r>
    </w:p>
    <w:p w14:paraId="777A3035" w14:textId="4A7E8873" w:rsidR="00BF6EE9" w:rsidRPr="00BA700B" w:rsidRDefault="00BF6EE9" w:rsidP="00BF6EE9">
      <w:pPr>
        <w:jc w:val="both"/>
        <w:rPr>
          <w:rFonts w:asciiTheme="majorHAnsi" w:hAnsiTheme="majorHAnsi" w:cstheme="majorHAnsi"/>
        </w:rPr>
      </w:pPr>
      <w:r w:rsidRPr="00BA700B">
        <w:rPr>
          <w:rFonts w:asciiTheme="majorHAnsi" w:hAnsiTheme="majorHAnsi" w:cstheme="majorHAnsi"/>
        </w:rPr>
        <w:t>In order to prevent sophisticated cyberattacks like distributed denial-of-service (DDoS) attacks, firewalls and Next-Generation Firewalls (NGFWs), which are fundamental perimeter security mechanisms, filter traffic and use advanced features like deep packet inspection, application awareness, intrusion prevention, and threat intelligence [</w:t>
      </w:r>
      <w:r w:rsidR="00903F8F" w:rsidRPr="00BA700B">
        <w:rPr>
          <w:rFonts w:asciiTheme="majorHAnsi" w:hAnsiTheme="majorHAnsi" w:cstheme="majorHAnsi"/>
        </w:rPr>
        <w:t>36</w:t>
      </w:r>
      <w:r w:rsidRPr="00BA700B">
        <w:rPr>
          <w:rFonts w:asciiTheme="majorHAnsi" w:hAnsiTheme="majorHAnsi" w:cstheme="majorHAnsi"/>
        </w:rPr>
        <w:t>].</w:t>
      </w:r>
    </w:p>
    <w:p w14:paraId="76AB11C7" w14:textId="098A5F34" w:rsidR="00BF6EE9" w:rsidRPr="00BA700B" w:rsidRDefault="00BF6EE9" w:rsidP="00BF6EE9">
      <w:pPr>
        <w:jc w:val="both"/>
        <w:rPr>
          <w:rFonts w:asciiTheme="majorHAnsi" w:hAnsiTheme="majorHAnsi" w:cstheme="majorHAnsi"/>
        </w:rPr>
      </w:pPr>
      <w:r w:rsidRPr="00BA700B">
        <w:rPr>
          <w:rFonts w:asciiTheme="majorHAnsi" w:hAnsiTheme="majorHAnsi" w:cstheme="majorHAnsi"/>
        </w:rPr>
        <w:t>Intrusion Detection and Prevention Systems (IDS/IPS), which gather network traffic observations and automatically block and prevent hostile activity, provide additional security [</w:t>
      </w:r>
      <w:r w:rsidR="00903F8F" w:rsidRPr="00BA700B">
        <w:rPr>
          <w:rFonts w:asciiTheme="majorHAnsi" w:hAnsiTheme="majorHAnsi" w:cstheme="majorHAnsi"/>
        </w:rPr>
        <w:t>37</w:t>
      </w:r>
      <w:r w:rsidRPr="00BA700B">
        <w:rPr>
          <w:rFonts w:asciiTheme="majorHAnsi" w:hAnsiTheme="majorHAnsi" w:cstheme="majorHAnsi"/>
        </w:rPr>
        <w:t>]. Network segmentation isolates its most critical systems to prevent lateral assaults, and virtual private networks (VPNs) are utilized to secure remote communication via encrypted channels [</w:t>
      </w:r>
      <w:r w:rsidR="00903F8F" w:rsidRPr="00BA700B">
        <w:rPr>
          <w:rFonts w:asciiTheme="majorHAnsi" w:hAnsiTheme="majorHAnsi" w:cstheme="majorHAnsi"/>
        </w:rPr>
        <w:t>38</w:t>
      </w:r>
      <w:r w:rsidRPr="00BA700B">
        <w:rPr>
          <w:rFonts w:asciiTheme="majorHAnsi" w:hAnsiTheme="majorHAnsi" w:cstheme="majorHAnsi"/>
        </w:rPr>
        <w:t>].</w:t>
      </w:r>
    </w:p>
    <w:p w14:paraId="2F65D633" w14:textId="77777777" w:rsidR="00E32FEE" w:rsidRPr="00BA700B" w:rsidRDefault="00E32FEE" w:rsidP="00E32FEE">
      <w:pPr>
        <w:jc w:val="center"/>
        <w:rPr>
          <w:rFonts w:asciiTheme="majorHAnsi" w:hAnsiTheme="majorHAnsi" w:cstheme="majorHAnsi"/>
        </w:rPr>
      </w:pPr>
      <w:r w:rsidRPr="00BA700B">
        <w:rPr>
          <w:rFonts w:asciiTheme="majorHAnsi" w:hAnsiTheme="majorHAnsi" w:cstheme="majorHAnsi"/>
          <w:noProof/>
        </w:rPr>
        <w:lastRenderedPageBreak/>
        <w:drawing>
          <wp:inline distT="0" distB="0" distL="0" distR="0" wp14:anchorId="07CA06A6" wp14:editId="6C6DC9B8">
            <wp:extent cx="3716122" cy="3492058"/>
            <wp:effectExtent l="0" t="0" r="0" b="0"/>
            <wp:docPr id="6613110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7155" cy="3502426"/>
                    </a:xfrm>
                    <a:prstGeom prst="rect">
                      <a:avLst/>
                    </a:prstGeom>
                    <a:noFill/>
                    <a:ln>
                      <a:noFill/>
                    </a:ln>
                  </pic:spPr>
                </pic:pic>
              </a:graphicData>
            </a:graphic>
          </wp:inline>
        </w:drawing>
      </w:r>
    </w:p>
    <w:p w14:paraId="6959A6EE" w14:textId="58C36984" w:rsidR="00E32FEE" w:rsidRPr="00BA700B" w:rsidRDefault="00B6159A" w:rsidP="00413706">
      <w:pPr>
        <w:jc w:val="center"/>
        <w:rPr>
          <w:rFonts w:asciiTheme="majorHAnsi" w:hAnsiTheme="majorHAnsi" w:cstheme="majorHAnsi"/>
        </w:rPr>
      </w:pPr>
      <w:r w:rsidRPr="00BA700B">
        <w:rPr>
          <w:rFonts w:asciiTheme="majorHAnsi" w:hAnsiTheme="majorHAnsi" w:cstheme="majorHAnsi"/>
          <w:b/>
          <w:bCs/>
        </w:rPr>
        <w:t>Figure</w:t>
      </w:r>
      <w:r w:rsidR="00E32FEE" w:rsidRPr="00BA700B">
        <w:rPr>
          <w:rFonts w:asciiTheme="majorHAnsi" w:hAnsiTheme="majorHAnsi" w:cstheme="majorHAnsi"/>
          <w:b/>
          <w:bCs/>
        </w:rPr>
        <w:t xml:space="preserve"> </w:t>
      </w:r>
      <w:r w:rsidR="00E476A8" w:rsidRPr="00BA700B">
        <w:rPr>
          <w:rFonts w:asciiTheme="majorHAnsi" w:hAnsiTheme="majorHAnsi" w:cstheme="majorHAnsi"/>
          <w:b/>
          <w:bCs/>
        </w:rPr>
        <w:t>4</w:t>
      </w:r>
      <w:r w:rsidR="00E32FEE" w:rsidRPr="00BA700B">
        <w:rPr>
          <w:rFonts w:asciiTheme="majorHAnsi" w:hAnsiTheme="majorHAnsi" w:cstheme="majorHAnsi"/>
          <w:b/>
          <w:bCs/>
        </w:rPr>
        <w:t xml:space="preserve">: </w:t>
      </w:r>
      <w:r w:rsidR="00E32FEE" w:rsidRPr="00BA700B">
        <w:rPr>
          <w:rFonts w:asciiTheme="majorHAnsi" w:hAnsiTheme="majorHAnsi" w:cstheme="majorHAnsi"/>
        </w:rPr>
        <w:t>Layered Network Security Architecture</w:t>
      </w:r>
    </w:p>
    <w:p w14:paraId="75F61218" w14:textId="3085548C" w:rsidR="00BF6EE9" w:rsidRPr="00BA700B" w:rsidRDefault="00BF6EE9" w:rsidP="0078356B">
      <w:pPr>
        <w:jc w:val="both"/>
        <w:rPr>
          <w:rFonts w:asciiTheme="majorHAnsi" w:hAnsiTheme="majorHAnsi" w:cstheme="majorHAnsi"/>
        </w:rPr>
      </w:pPr>
      <w:r w:rsidRPr="00BA700B">
        <w:rPr>
          <w:rFonts w:asciiTheme="majorHAnsi" w:hAnsiTheme="majorHAnsi" w:cstheme="majorHAnsi"/>
        </w:rPr>
        <w:t>Additionally, contextual access control and continuous authentication are enforced by Zero Trust architectures, which significantly reduce insider threats and unauthorized access [</w:t>
      </w:r>
      <w:r w:rsidR="00903F8F" w:rsidRPr="00BA700B">
        <w:rPr>
          <w:rFonts w:asciiTheme="majorHAnsi" w:hAnsiTheme="majorHAnsi" w:cstheme="majorHAnsi"/>
        </w:rPr>
        <w:t>39</w:t>
      </w:r>
      <w:r w:rsidRPr="00BA700B">
        <w:rPr>
          <w:rFonts w:asciiTheme="majorHAnsi" w:hAnsiTheme="majorHAnsi" w:cstheme="majorHAnsi"/>
        </w:rPr>
        <w:t>].</w:t>
      </w:r>
    </w:p>
    <w:p w14:paraId="1B2A1701" w14:textId="33CF487B" w:rsidR="00E455A4" w:rsidRPr="00BA700B" w:rsidRDefault="008507A3" w:rsidP="008507A3">
      <w:pPr>
        <w:spacing w:after="0"/>
        <w:jc w:val="center"/>
        <w:rPr>
          <w:rFonts w:asciiTheme="majorHAnsi" w:hAnsiTheme="majorHAnsi" w:cstheme="majorHAnsi"/>
        </w:rPr>
      </w:pPr>
      <w:r w:rsidRPr="00BA700B">
        <w:rPr>
          <w:rFonts w:asciiTheme="majorHAnsi" w:hAnsiTheme="majorHAnsi" w:cstheme="majorHAnsi"/>
          <w:noProof/>
        </w:rPr>
        <w:drawing>
          <wp:inline distT="0" distB="0" distL="0" distR="0" wp14:anchorId="20A7D5D6" wp14:editId="47FE63E4">
            <wp:extent cx="3158326" cy="3240996"/>
            <wp:effectExtent l="0" t="0" r="4445" b="0"/>
            <wp:docPr id="21282716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0353" cy="3263599"/>
                    </a:xfrm>
                    <a:prstGeom prst="rect">
                      <a:avLst/>
                    </a:prstGeom>
                    <a:noFill/>
                    <a:ln>
                      <a:noFill/>
                    </a:ln>
                  </pic:spPr>
                </pic:pic>
              </a:graphicData>
            </a:graphic>
          </wp:inline>
        </w:drawing>
      </w:r>
      <w:r w:rsidRPr="00BA700B">
        <w:rPr>
          <w:rFonts w:asciiTheme="majorHAnsi" w:hAnsiTheme="majorHAnsi" w:cstheme="majorHAnsi"/>
          <w:noProof/>
        </w:rPr>
        <w:t xml:space="preserve"> </w:t>
      </w:r>
    </w:p>
    <w:p w14:paraId="771F42F5" w14:textId="4ECCA686" w:rsidR="009F0D8C" w:rsidRPr="00BA700B" w:rsidRDefault="00B6159A" w:rsidP="005E61E4">
      <w:pPr>
        <w:jc w:val="center"/>
        <w:rPr>
          <w:rFonts w:asciiTheme="majorHAnsi" w:hAnsiTheme="majorHAnsi" w:cstheme="majorHAnsi"/>
        </w:rPr>
      </w:pPr>
      <w:r w:rsidRPr="00BA700B">
        <w:rPr>
          <w:rFonts w:asciiTheme="majorHAnsi" w:hAnsiTheme="majorHAnsi" w:cstheme="majorHAnsi"/>
          <w:b/>
          <w:bCs/>
        </w:rPr>
        <w:t>Figure</w:t>
      </w:r>
      <w:r w:rsidR="00E476A8" w:rsidRPr="00BA700B">
        <w:rPr>
          <w:rFonts w:asciiTheme="majorHAnsi" w:hAnsiTheme="majorHAnsi" w:cstheme="majorHAnsi"/>
          <w:b/>
          <w:bCs/>
        </w:rPr>
        <w:t xml:space="preserve"> 5</w:t>
      </w:r>
      <w:r w:rsidR="00E32FEE" w:rsidRPr="00BA700B">
        <w:rPr>
          <w:rFonts w:asciiTheme="majorHAnsi" w:hAnsiTheme="majorHAnsi" w:cstheme="majorHAnsi"/>
        </w:rPr>
        <w:t>:</w:t>
      </w:r>
      <w:r w:rsidR="009F0D8C" w:rsidRPr="00BA700B">
        <w:rPr>
          <w:rFonts w:asciiTheme="majorHAnsi" w:hAnsiTheme="majorHAnsi" w:cstheme="majorHAnsi"/>
        </w:rPr>
        <w:t xml:space="preserve"> Zero Trust architectures</w:t>
      </w:r>
    </w:p>
    <w:p w14:paraId="773B3AFA" w14:textId="77777777" w:rsidR="00E96000" w:rsidRPr="00BA700B" w:rsidRDefault="00E96000" w:rsidP="0078356B">
      <w:pPr>
        <w:jc w:val="both"/>
        <w:rPr>
          <w:rFonts w:asciiTheme="majorHAnsi" w:hAnsiTheme="majorHAnsi" w:cstheme="majorHAnsi"/>
          <w:b/>
          <w:bCs/>
        </w:rPr>
      </w:pPr>
      <w:r w:rsidRPr="00BA700B">
        <w:rPr>
          <w:rFonts w:asciiTheme="majorHAnsi" w:hAnsiTheme="majorHAnsi" w:cstheme="majorHAnsi"/>
          <w:b/>
          <w:bCs/>
        </w:rPr>
        <w:lastRenderedPageBreak/>
        <w:t>Benefits for Protecting FinSure Bank’s Network Infrastructure</w:t>
      </w:r>
    </w:p>
    <w:p w14:paraId="0F56ED26" w14:textId="77777777" w:rsidR="00C864D7" w:rsidRPr="00C864D7" w:rsidRDefault="00C864D7" w:rsidP="00C864D7">
      <w:pPr>
        <w:jc w:val="both"/>
        <w:rPr>
          <w:rFonts w:asciiTheme="majorHAnsi" w:hAnsiTheme="majorHAnsi" w:cstheme="majorHAnsi"/>
        </w:rPr>
      </w:pPr>
      <w:r w:rsidRPr="00C864D7">
        <w:rPr>
          <w:rFonts w:asciiTheme="majorHAnsi" w:hAnsiTheme="majorHAnsi" w:cstheme="majorHAnsi"/>
        </w:rPr>
        <w:t>There are multiple levels of defense against cyberattacks thanks to the network and perimeter security policies implemented. The perimeter of the network is covered by firewalls and Next-Generation Firewall (NGFW), whereas malicious activities can be detected and prevented with the help of Intrusion Detection and Prevention System (IDS/IPS).</w:t>
      </w:r>
    </w:p>
    <w:p w14:paraId="4A833C8D" w14:textId="14D496DC" w:rsidR="00E96000" w:rsidRPr="00BA700B" w:rsidRDefault="00C864D7" w:rsidP="00C864D7">
      <w:pPr>
        <w:jc w:val="both"/>
        <w:rPr>
          <w:rFonts w:asciiTheme="majorHAnsi" w:hAnsiTheme="majorHAnsi" w:cstheme="majorHAnsi"/>
        </w:rPr>
      </w:pPr>
      <w:r w:rsidRPr="00C864D7">
        <w:rPr>
          <w:rFonts w:asciiTheme="majorHAnsi" w:hAnsiTheme="majorHAnsi" w:cstheme="majorHAnsi"/>
        </w:rPr>
        <w:t>Whereas the decoupling of the network does not allow further intrusions, VPNs facilitate secure remote access. Also, the Zero Trust design enhances access control and identity verification. These measures together will create a defense-in-depth security model that can enhance the resistance of FinSure Bank to the cyberattack, security of financial information systems, and secure delivery of digital banking services.</w:t>
      </w:r>
    </w:p>
    <w:p w14:paraId="455D2401" w14:textId="252D8CD4" w:rsidR="000F3664" w:rsidRPr="00BA700B" w:rsidRDefault="000F3664" w:rsidP="0078356B">
      <w:pPr>
        <w:jc w:val="both"/>
        <w:rPr>
          <w:rFonts w:asciiTheme="majorHAnsi" w:hAnsiTheme="majorHAnsi" w:cstheme="majorHAnsi"/>
          <w:highlight w:val="yellow"/>
        </w:rPr>
      </w:pPr>
      <w:r w:rsidRPr="00BA700B">
        <w:rPr>
          <w:rFonts w:asciiTheme="majorHAnsi" w:hAnsiTheme="majorHAnsi" w:cstheme="majorHAnsi"/>
        </w:rPr>
        <w:br w:type="page"/>
      </w:r>
    </w:p>
    <w:p w14:paraId="3C0525A1" w14:textId="329B4438" w:rsidR="00846278" w:rsidRPr="00BA700B" w:rsidRDefault="00F55865" w:rsidP="0078125A">
      <w:pPr>
        <w:pStyle w:val="Heading1"/>
        <w:numPr>
          <w:ilvl w:val="0"/>
          <w:numId w:val="2"/>
        </w:numPr>
        <w:jc w:val="center"/>
        <w:rPr>
          <w:rStyle w:val="Heading1Char"/>
          <w:rFonts w:cstheme="majorHAnsi"/>
          <w:b/>
          <w:bCs/>
          <w:color w:val="auto"/>
        </w:rPr>
      </w:pPr>
      <w:r w:rsidRPr="00F55865">
        <w:rPr>
          <w:rStyle w:val="Heading1Char"/>
          <w:rFonts w:cstheme="majorHAnsi"/>
          <w:b/>
          <w:bCs/>
          <w:color w:val="auto"/>
        </w:rPr>
        <w:lastRenderedPageBreak/>
        <w:t>The Resurgence of Information Security Rules and Standards Implication.</w:t>
      </w:r>
    </w:p>
    <w:p w14:paraId="0397D259" w14:textId="77777777" w:rsidR="00F55865" w:rsidRDefault="00F55865" w:rsidP="00F55865">
      <w:pPr>
        <w:jc w:val="both"/>
      </w:pPr>
      <w:r w:rsidRPr="00F55865">
        <w:t xml:space="preserve">The increasing pace of digitalization and the expansion of cyber threat environment </w:t>
      </w:r>
      <w:proofErr w:type="gramStart"/>
      <w:r w:rsidRPr="00F55865">
        <w:t>lead</w:t>
      </w:r>
      <w:proofErr w:type="gramEnd"/>
      <w:r w:rsidRPr="00F55865">
        <w:t xml:space="preserve"> to the necessity to perform the regular changes to information-security laws, standardization plans, and regulatory provisions. The application of old traditions in such areas as banking and financial services, where the security is the leading issue, is a particularly serious threat since these organizations work with extremely important personal and financial data. It is in this respect that international standard setting entities and regulators keep on revising their practice and measures of cybersecurity to suit emerging risks and technology changes. This compels organizations to develop effective risk-management strategies, implement rigorous security protocols and act according to the relevant legal standards.</w:t>
      </w:r>
    </w:p>
    <w:p w14:paraId="1E501414" w14:textId="6D4B7A18" w:rsidR="000F3664" w:rsidRPr="00BA700B" w:rsidRDefault="00F80193" w:rsidP="0078356B">
      <w:pPr>
        <w:pStyle w:val="Heading2"/>
        <w:jc w:val="both"/>
        <w:rPr>
          <w:rFonts w:cstheme="majorHAnsi"/>
          <w:b/>
          <w:bCs/>
          <w:color w:val="auto"/>
          <w:sz w:val="28"/>
          <w:szCs w:val="28"/>
        </w:rPr>
      </w:pPr>
      <w:r w:rsidRPr="00BA700B">
        <w:rPr>
          <w:rFonts w:cstheme="majorHAnsi"/>
          <w:b/>
          <w:bCs/>
          <w:color w:val="auto"/>
          <w:sz w:val="24"/>
          <w:szCs w:val="24"/>
        </w:rPr>
        <w:t>5.1 Taking Action Against New Cybersecurity Risks</w:t>
      </w:r>
    </w:p>
    <w:p w14:paraId="2881452C" w14:textId="6DA8C1EA" w:rsidR="00BF6EE9" w:rsidRPr="00BA700B" w:rsidRDefault="00F55865" w:rsidP="00BF6EE9">
      <w:pPr>
        <w:jc w:val="both"/>
        <w:rPr>
          <w:rFonts w:asciiTheme="majorHAnsi" w:hAnsiTheme="majorHAnsi" w:cstheme="majorHAnsi"/>
        </w:rPr>
      </w:pPr>
      <w:r w:rsidRPr="00F55865">
        <w:rPr>
          <w:rFonts w:asciiTheme="majorHAnsi" w:hAnsiTheme="majorHAnsi" w:cstheme="majorHAnsi"/>
        </w:rPr>
        <w:t>Technological change has made cyberattacks more complex with more powerful malware writing software, artificial intelligence, and large phishing networks. The security controls are not reviewed on a regular basis hence the adversaries are busy perfecting their strategies rendering them useless. As per experiments, the variety of violations today takes advantage of the vulnerabilities, which are densely embedded in the history of legacy systems and outdated infrastructures that fail to protect the compliance with the current security standards [40]. Hence the re-definition of security frameworks and controls that are occasionally done is inevitably linked with the assimilation of the most up-to-date defensive technologies and controls. The reason is that the effect of identity theft, cybercrime, and large-scale data theft by financial institutions such as FinSure Bank can only be reduced by updating the security measures</w:t>
      </w:r>
      <w:r w:rsidR="00BF6EE9" w:rsidRPr="00BA700B">
        <w:rPr>
          <w:rFonts w:asciiTheme="majorHAnsi" w:hAnsiTheme="majorHAnsi" w:cstheme="majorHAnsi"/>
        </w:rPr>
        <w:t>.</w:t>
      </w:r>
    </w:p>
    <w:p w14:paraId="75B21600" w14:textId="56384380" w:rsidR="00CE7008" w:rsidRPr="00AF4211" w:rsidRDefault="00F80193" w:rsidP="0078356B">
      <w:pPr>
        <w:pStyle w:val="Heading2"/>
        <w:jc w:val="both"/>
        <w:rPr>
          <w:rFonts w:cstheme="majorHAnsi"/>
          <w:b/>
          <w:bCs/>
          <w:color w:val="auto"/>
          <w:sz w:val="24"/>
          <w:szCs w:val="24"/>
        </w:rPr>
      </w:pPr>
      <w:r w:rsidRPr="00AF4211">
        <w:rPr>
          <w:rFonts w:cstheme="majorHAnsi"/>
          <w:b/>
          <w:bCs/>
          <w:color w:val="auto"/>
          <w:sz w:val="24"/>
          <w:szCs w:val="24"/>
        </w:rPr>
        <w:t>5.2 Ensuring Adherence to Legal and Regulatory Conditions</w:t>
      </w:r>
    </w:p>
    <w:p w14:paraId="47C9FD93" w14:textId="28438260" w:rsidR="00B362B3" w:rsidRPr="00BA700B" w:rsidRDefault="00F55865" w:rsidP="00B362B3">
      <w:pPr>
        <w:jc w:val="both"/>
        <w:rPr>
          <w:rFonts w:asciiTheme="majorHAnsi" w:hAnsiTheme="majorHAnsi" w:cstheme="majorHAnsi"/>
        </w:rPr>
      </w:pPr>
      <w:r w:rsidRPr="00F55865">
        <w:rPr>
          <w:rFonts w:asciiTheme="majorHAnsi" w:hAnsiTheme="majorHAnsi" w:cstheme="majorHAnsi"/>
        </w:rPr>
        <w:t>Regulations play a very essential role in regulating the manner in which business ventures maintain their data sets and protect consumer information. Most governments and authorities are steadily modernizing laws on data protection within most nations to respond to new cybersecurity and digital privacy challenges. The best case in point is the General Data Protection Regulation (GDPR), which made such an impact in enhancing the benchmarks in data protection, reporting of breaches, and transparency considerably. Empirical studies show that companies that do not adhere to the new set restrictions will suffer drastic financial fines, brand reputation, and legal consequences [41]. Thus, there is a need to implement regular changes to compliance models to ensure trustworthiness among stakeholders and provide decent security of customer data.</w:t>
      </w:r>
      <w:r>
        <w:rPr>
          <w:rFonts w:asciiTheme="majorHAnsi" w:hAnsiTheme="majorHAnsi" w:cstheme="majorHAnsi"/>
        </w:rPr>
        <w:t xml:space="preserve"> </w:t>
      </w:r>
    </w:p>
    <w:p w14:paraId="7C60B494" w14:textId="6F4F1448" w:rsidR="00870EAD" w:rsidRPr="00BA700B" w:rsidRDefault="00870EAD" w:rsidP="0078356B">
      <w:pPr>
        <w:jc w:val="both"/>
        <w:rPr>
          <w:rFonts w:asciiTheme="majorHAnsi" w:eastAsiaTheme="majorEastAsia" w:hAnsiTheme="majorHAnsi" w:cstheme="majorHAnsi"/>
          <w:b/>
          <w:bCs/>
          <w:sz w:val="32"/>
          <w:szCs w:val="32"/>
        </w:rPr>
      </w:pPr>
      <w:r w:rsidRPr="00BA700B">
        <w:rPr>
          <w:rFonts w:asciiTheme="majorHAnsi" w:hAnsiTheme="majorHAnsi" w:cstheme="majorHAnsi"/>
          <w:b/>
          <w:bCs/>
        </w:rPr>
        <w:br w:type="page"/>
      </w:r>
    </w:p>
    <w:p w14:paraId="5E9B05DB" w14:textId="7217212D" w:rsidR="00CE7008" w:rsidRPr="00AF4211" w:rsidRDefault="0039129D" w:rsidP="0078356B">
      <w:pPr>
        <w:pStyle w:val="Heading2"/>
        <w:jc w:val="both"/>
        <w:rPr>
          <w:rFonts w:cstheme="majorHAnsi"/>
          <w:b/>
          <w:bCs/>
          <w:color w:val="auto"/>
          <w:sz w:val="24"/>
          <w:szCs w:val="24"/>
        </w:rPr>
      </w:pPr>
      <w:r w:rsidRPr="00AF4211">
        <w:rPr>
          <w:rFonts w:cstheme="majorHAnsi"/>
          <w:b/>
          <w:bCs/>
          <w:color w:val="auto"/>
          <w:sz w:val="24"/>
          <w:szCs w:val="24"/>
        </w:rPr>
        <w:lastRenderedPageBreak/>
        <w:t>5.3 Enhancing Governance for Organizational Security</w:t>
      </w:r>
    </w:p>
    <w:p w14:paraId="08589FEC" w14:textId="56F35249" w:rsidR="00B362B3" w:rsidRPr="00BA700B" w:rsidRDefault="00B362B3" w:rsidP="00B362B3">
      <w:pPr>
        <w:jc w:val="both"/>
        <w:rPr>
          <w:rFonts w:asciiTheme="majorHAnsi" w:hAnsiTheme="majorHAnsi" w:cstheme="majorHAnsi"/>
        </w:rPr>
      </w:pPr>
      <w:r w:rsidRPr="00BA700B">
        <w:rPr>
          <w:rFonts w:asciiTheme="majorHAnsi" w:hAnsiTheme="majorHAnsi" w:cstheme="majorHAnsi"/>
        </w:rPr>
        <w:t>Organizations' risk management and management controls are enhanced by the implementation of security standards. Since cloud computing systems, mobile banking platforms, and remote access networks are becoming more and more important solutions for enterprises, security frameworks need to be dynamic to reflect the ever-changing nature of the technology environment. New regulations, best practices, and control systems that are in line with contemporary digital constructions result from the rise of new needs. Furthermore, rather than reacting to cyberattacks, security governance tools that are always being improved lead to a proactive strategy. Empirical data has demonstrated that organizations that have modified their governance have built strong security cultures, robust incident-response systems, and a spiritual connection to risk management [</w:t>
      </w:r>
      <w:r w:rsidR="00903F8F" w:rsidRPr="00BA700B">
        <w:rPr>
          <w:rFonts w:asciiTheme="majorHAnsi" w:hAnsiTheme="majorHAnsi" w:cstheme="majorHAnsi"/>
        </w:rPr>
        <w:t>42</w:t>
      </w:r>
      <w:r w:rsidRPr="00BA700B">
        <w:rPr>
          <w:rFonts w:asciiTheme="majorHAnsi" w:hAnsiTheme="majorHAnsi" w:cstheme="majorHAnsi"/>
        </w:rPr>
        <w:t>].</w:t>
      </w:r>
    </w:p>
    <w:tbl>
      <w:tblPr>
        <w:tblStyle w:val="GridTable1Light"/>
        <w:tblW w:w="0" w:type="auto"/>
        <w:tblLook w:val="04A0" w:firstRow="1" w:lastRow="0" w:firstColumn="1" w:lastColumn="0" w:noHBand="0" w:noVBand="1"/>
      </w:tblPr>
      <w:tblGrid>
        <w:gridCol w:w="2830"/>
        <w:gridCol w:w="6520"/>
      </w:tblGrid>
      <w:tr w:rsidR="0039129D" w:rsidRPr="00BA700B" w14:paraId="3D5102CC" w14:textId="77777777" w:rsidTr="00B521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hideMark/>
          </w:tcPr>
          <w:p w14:paraId="62E52C20" w14:textId="77777777" w:rsidR="0039129D" w:rsidRPr="00BA700B" w:rsidRDefault="0039129D" w:rsidP="0078356B">
            <w:pPr>
              <w:spacing w:after="160" w:line="278" w:lineRule="auto"/>
              <w:jc w:val="both"/>
              <w:rPr>
                <w:rFonts w:asciiTheme="majorHAnsi" w:hAnsiTheme="majorHAnsi" w:cstheme="majorHAnsi"/>
              </w:rPr>
            </w:pPr>
            <w:r w:rsidRPr="00BA700B">
              <w:rPr>
                <w:rFonts w:asciiTheme="majorHAnsi" w:hAnsiTheme="majorHAnsi" w:cstheme="majorHAnsi"/>
              </w:rPr>
              <w:t>Benefit</w:t>
            </w:r>
          </w:p>
        </w:tc>
        <w:tc>
          <w:tcPr>
            <w:tcW w:w="6520" w:type="dxa"/>
            <w:hideMark/>
          </w:tcPr>
          <w:p w14:paraId="0CDAB4A6" w14:textId="77777777" w:rsidR="0039129D" w:rsidRPr="00BA700B" w:rsidRDefault="0039129D" w:rsidP="0078356B">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BA700B">
              <w:rPr>
                <w:rFonts w:asciiTheme="majorHAnsi" w:hAnsiTheme="majorHAnsi" w:cstheme="majorHAnsi"/>
              </w:rPr>
              <w:t>Description</w:t>
            </w:r>
          </w:p>
        </w:tc>
      </w:tr>
      <w:tr w:rsidR="0039129D" w:rsidRPr="00BA700B" w14:paraId="49006050" w14:textId="77777777" w:rsidTr="00B5217D">
        <w:tc>
          <w:tcPr>
            <w:cnfStyle w:val="001000000000" w:firstRow="0" w:lastRow="0" w:firstColumn="1" w:lastColumn="0" w:oddVBand="0" w:evenVBand="0" w:oddHBand="0" w:evenHBand="0" w:firstRowFirstColumn="0" w:firstRowLastColumn="0" w:lastRowFirstColumn="0" w:lastRowLastColumn="0"/>
            <w:tcW w:w="2830" w:type="dxa"/>
            <w:hideMark/>
          </w:tcPr>
          <w:p w14:paraId="67E51251" w14:textId="3EC5CC27" w:rsidR="0039129D" w:rsidRPr="00BA700B" w:rsidRDefault="003C3922" w:rsidP="0078125A">
            <w:pPr>
              <w:spacing w:after="160" w:line="278" w:lineRule="auto"/>
              <w:rPr>
                <w:rFonts w:asciiTheme="majorHAnsi" w:hAnsiTheme="majorHAnsi" w:cstheme="majorHAnsi"/>
              </w:rPr>
            </w:pPr>
            <w:r w:rsidRPr="003C3922">
              <w:rPr>
                <w:rFonts w:asciiTheme="majorHAnsi" w:hAnsiTheme="majorHAnsi" w:cstheme="majorHAnsi"/>
              </w:rPr>
              <w:t>Improved Cybersecurity Precaution</w:t>
            </w:r>
          </w:p>
        </w:tc>
        <w:tc>
          <w:tcPr>
            <w:tcW w:w="6520" w:type="dxa"/>
            <w:hideMark/>
          </w:tcPr>
          <w:p w14:paraId="59FC8ED5" w14:textId="2238F80D" w:rsidR="0039129D"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Sorts new-fangled cyber threats and vulnerabilities.</w:t>
            </w:r>
          </w:p>
        </w:tc>
      </w:tr>
      <w:tr w:rsidR="0039129D" w:rsidRPr="00BA700B" w14:paraId="39E0117C" w14:textId="77777777" w:rsidTr="00B5217D">
        <w:tc>
          <w:tcPr>
            <w:cnfStyle w:val="001000000000" w:firstRow="0" w:lastRow="0" w:firstColumn="1" w:lastColumn="0" w:oddVBand="0" w:evenVBand="0" w:oddHBand="0" w:evenHBand="0" w:firstRowFirstColumn="0" w:firstRowLastColumn="0" w:lastRowFirstColumn="0" w:lastRowLastColumn="0"/>
            <w:tcW w:w="2830" w:type="dxa"/>
            <w:hideMark/>
          </w:tcPr>
          <w:p w14:paraId="2E7BBC39" w14:textId="3D520795" w:rsidR="0039129D" w:rsidRPr="00BA700B" w:rsidRDefault="003C3922" w:rsidP="0078125A">
            <w:pPr>
              <w:spacing w:after="160" w:line="278" w:lineRule="auto"/>
              <w:rPr>
                <w:rFonts w:asciiTheme="majorHAnsi" w:hAnsiTheme="majorHAnsi" w:cstheme="majorHAnsi"/>
              </w:rPr>
            </w:pPr>
            <w:r w:rsidRPr="003C3922">
              <w:rPr>
                <w:rFonts w:asciiTheme="majorHAnsi" w:hAnsiTheme="majorHAnsi" w:cstheme="majorHAnsi"/>
              </w:rPr>
              <w:t>Regulatory Compliance</w:t>
            </w:r>
          </w:p>
        </w:tc>
        <w:tc>
          <w:tcPr>
            <w:tcW w:w="6520" w:type="dxa"/>
            <w:hideMark/>
          </w:tcPr>
          <w:p w14:paraId="5BF0A468" w14:textId="71FE173A" w:rsidR="0039129D"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Makes sure that there is compliance to the evolving legal and regulatory requirements.</w:t>
            </w:r>
          </w:p>
        </w:tc>
      </w:tr>
      <w:tr w:rsidR="0039129D" w:rsidRPr="00BA700B" w14:paraId="4C947B38" w14:textId="77777777" w:rsidTr="00B5217D">
        <w:tc>
          <w:tcPr>
            <w:cnfStyle w:val="001000000000" w:firstRow="0" w:lastRow="0" w:firstColumn="1" w:lastColumn="0" w:oddVBand="0" w:evenVBand="0" w:oddHBand="0" w:evenHBand="0" w:firstRowFirstColumn="0" w:firstRowLastColumn="0" w:lastRowFirstColumn="0" w:lastRowLastColumn="0"/>
            <w:tcW w:w="2830" w:type="dxa"/>
            <w:hideMark/>
          </w:tcPr>
          <w:p w14:paraId="640B8482" w14:textId="441E5063" w:rsidR="0039129D" w:rsidRPr="00BA700B" w:rsidRDefault="003C3922" w:rsidP="0078125A">
            <w:pPr>
              <w:spacing w:after="160" w:line="278" w:lineRule="auto"/>
              <w:rPr>
                <w:rFonts w:asciiTheme="majorHAnsi" w:hAnsiTheme="majorHAnsi" w:cstheme="majorHAnsi"/>
              </w:rPr>
            </w:pPr>
            <w:r w:rsidRPr="003C3922">
              <w:rPr>
                <w:rFonts w:asciiTheme="majorHAnsi" w:hAnsiTheme="majorHAnsi" w:cstheme="majorHAnsi"/>
              </w:rPr>
              <w:t>Better Risk Management</w:t>
            </w:r>
          </w:p>
        </w:tc>
        <w:tc>
          <w:tcPr>
            <w:tcW w:w="6520" w:type="dxa"/>
            <w:hideMark/>
          </w:tcPr>
          <w:p w14:paraId="28E74D7D" w14:textId="19E573BA" w:rsidR="0039129D"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Offers revised strategies of identifying and taking care of risks.</w:t>
            </w:r>
          </w:p>
        </w:tc>
      </w:tr>
      <w:tr w:rsidR="0039129D" w:rsidRPr="00BA700B" w14:paraId="5D3E6F6C" w14:textId="77777777" w:rsidTr="00B5217D">
        <w:tc>
          <w:tcPr>
            <w:cnfStyle w:val="001000000000" w:firstRow="0" w:lastRow="0" w:firstColumn="1" w:lastColumn="0" w:oddVBand="0" w:evenVBand="0" w:oddHBand="0" w:evenHBand="0" w:firstRowFirstColumn="0" w:firstRowLastColumn="0" w:lastRowFirstColumn="0" w:lastRowLastColumn="0"/>
            <w:tcW w:w="2830" w:type="dxa"/>
            <w:hideMark/>
          </w:tcPr>
          <w:p w14:paraId="7747DFC4" w14:textId="196C0008" w:rsidR="0039129D" w:rsidRPr="00BA700B" w:rsidRDefault="003C3922" w:rsidP="0078125A">
            <w:pPr>
              <w:spacing w:after="160" w:line="278" w:lineRule="auto"/>
              <w:rPr>
                <w:rFonts w:asciiTheme="majorHAnsi" w:hAnsiTheme="majorHAnsi" w:cstheme="majorHAnsi"/>
              </w:rPr>
            </w:pPr>
            <w:r w:rsidRPr="003C3922">
              <w:rPr>
                <w:rFonts w:asciiTheme="majorHAnsi" w:hAnsiTheme="majorHAnsi" w:cstheme="majorHAnsi"/>
              </w:rPr>
              <w:t>More powerful Customer</w:t>
            </w:r>
          </w:p>
        </w:tc>
        <w:tc>
          <w:tcPr>
            <w:tcW w:w="6520" w:type="dxa"/>
            <w:hideMark/>
          </w:tcPr>
          <w:p w14:paraId="1B606CE6" w14:textId="4FE94104" w:rsidR="0039129D" w:rsidRPr="00BA700B" w:rsidRDefault="003C3922" w:rsidP="0078356B">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C3922">
              <w:rPr>
                <w:rFonts w:asciiTheme="majorHAnsi" w:hAnsiTheme="majorHAnsi" w:cstheme="majorHAnsi"/>
              </w:rPr>
              <w:t>Trust shows a commitment to protect the information of clients.</w:t>
            </w:r>
          </w:p>
        </w:tc>
      </w:tr>
    </w:tbl>
    <w:p w14:paraId="6FD987E3" w14:textId="4CAC02A8" w:rsidR="0039129D" w:rsidRPr="00BA700B" w:rsidRDefault="0039129D" w:rsidP="0078125A">
      <w:pPr>
        <w:jc w:val="center"/>
        <w:rPr>
          <w:rFonts w:asciiTheme="majorHAnsi" w:hAnsiTheme="majorHAnsi" w:cstheme="majorHAnsi"/>
        </w:rPr>
      </w:pPr>
      <w:r w:rsidRPr="00BA700B">
        <w:rPr>
          <w:rFonts w:asciiTheme="majorHAnsi" w:hAnsiTheme="majorHAnsi" w:cstheme="majorHAnsi"/>
          <w:b/>
          <w:bCs/>
        </w:rPr>
        <w:t>Table 8:</w:t>
      </w:r>
      <w:r w:rsidRPr="00BA700B">
        <w:rPr>
          <w:rFonts w:asciiTheme="majorHAnsi" w:hAnsiTheme="majorHAnsi" w:cstheme="majorHAnsi"/>
        </w:rPr>
        <w:t xml:space="preserve"> </w:t>
      </w:r>
      <w:r w:rsidR="00BF6EE9" w:rsidRPr="00BA700B">
        <w:rPr>
          <w:rFonts w:asciiTheme="majorHAnsi" w:hAnsiTheme="majorHAnsi" w:cstheme="majorHAnsi"/>
        </w:rPr>
        <w:t>Updating Security Rules and Standards Has Advantages</w:t>
      </w:r>
    </w:p>
    <w:p w14:paraId="308F2156" w14:textId="77777777" w:rsidR="00BF6EE9" w:rsidRPr="00BA700B" w:rsidRDefault="00B362B3" w:rsidP="00BF6EE9">
      <w:pPr>
        <w:jc w:val="both"/>
        <w:rPr>
          <w:rFonts w:asciiTheme="majorHAnsi" w:hAnsiTheme="majorHAnsi" w:cstheme="majorHAnsi"/>
        </w:rPr>
      </w:pPr>
      <w:r w:rsidRPr="00BA700B">
        <w:rPr>
          <w:rFonts w:asciiTheme="majorHAnsi" w:hAnsiTheme="majorHAnsi" w:cstheme="majorHAnsi"/>
        </w:rPr>
        <w:t xml:space="preserve">The concepts of cybersecurity of modern organizations are shaped by new rules and information-security laws. </w:t>
      </w:r>
      <w:r w:rsidR="00BF6EE9" w:rsidRPr="00BA700B">
        <w:rPr>
          <w:rFonts w:asciiTheme="majorHAnsi" w:hAnsiTheme="majorHAnsi" w:cstheme="majorHAnsi"/>
        </w:rPr>
        <w:t>Through presenting the current security controls and regulatory provisions, financial institutions will be able to advance information-security governance, comply with international data-protection laws, like the GDPR, and improve their ability to identify, address, and manage new information-security risks.</w:t>
      </w:r>
    </w:p>
    <w:p w14:paraId="542898A8" w14:textId="7DFEB0CA" w:rsidR="00047558" w:rsidRPr="00BA700B" w:rsidRDefault="00047558" w:rsidP="0078356B">
      <w:pPr>
        <w:jc w:val="both"/>
        <w:rPr>
          <w:rFonts w:asciiTheme="majorHAnsi" w:hAnsiTheme="majorHAnsi" w:cstheme="majorHAnsi"/>
        </w:rPr>
      </w:pPr>
      <w:r w:rsidRPr="00BA700B">
        <w:rPr>
          <w:rFonts w:asciiTheme="majorHAnsi" w:hAnsiTheme="majorHAnsi" w:cstheme="majorHAnsi"/>
        </w:rPr>
        <w:br w:type="page"/>
      </w:r>
    </w:p>
    <w:p w14:paraId="2BBB525B" w14:textId="28CCBC2F" w:rsidR="00846278" w:rsidRPr="00BA700B" w:rsidRDefault="0039129D" w:rsidP="0078125A">
      <w:pPr>
        <w:pStyle w:val="Heading1"/>
        <w:numPr>
          <w:ilvl w:val="0"/>
          <w:numId w:val="3"/>
        </w:numPr>
        <w:jc w:val="center"/>
        <w:rPr>
          <w:rFonts w:cstheme="majorHAnsi"/>
          <w:b/>
          <w:bCs/>
          <w:color w:val="auto"/>
        </w:rPr>
      </w:pPr>
      <w:r w:rsidRPr="00BA700B">
        <w:rPr>
          <w:rStyle w:val="Heading1Char"/>
          <w:rFonts w:cstheme="majorHAnsi"/>
          <w:b/>
          <w:bCs/>
          <w:color w:val="auto"/>
        </w:rPr>
        <w:lastRenderedPageBreak/>
        <w:t>Conclusion</w:t>
      </w:r>
    </w:p>
    <w:p w14:paraId="3C89ED4D" w14:textId="2085230A" w:rsidR="00AF4211" w:rsidRPr="00AF4211" w:rsidRDefault="00B362B3" w:rsidP="00AF4211">
      <w:pPr>
        <w:jc w:val="both"/>
        <w:rPr>
          <w:rFonts w:asciiTheme="majorHAnsi" w:hAnsiTheme="majorHAnsi" w:cstheme="majorHAnsi"/>
        </w:rPr>
      </w:pPr>
      <w:r w:rsidRPr="00BA700B">
        <w:rPr>
          <w:rFonts w:asciiTheme="majorHAnsi" w:hAnsiTheme="majorHAnsi" w:cstheme="majorHAnsi"/>
        </w:rPr>
        <w:t xml:space="preserve">Strong Governance, Risk, and Compliance models are necessary because the spread of digital technologies and the development of cloud infrastructures have altered financial procedures and created a number of cybersecurity risks. </w:t>
      </w:r>
      <w:r w:rsidR="003C3922" w:rsidRPr="003C3922">
        <w:rPr>
          <w:rFonts w:asciiTheme="majorHAnsi" w:hAnsiTheme="majorHAnsi" w:cstheme="majorHAnsi"/>
        </w:rPr>
        <w:t>The structured securities standards, such as ISO/IEC 27001, ITIL, COBIT, and the NIST Cybersecurity Framework, can be used by banks, and above all, FinSure Bank, to minimize risks and improve governance. Information Security Management System should be the initial frontline operational tool that reduces vulnerabilities of cloud systems, BYOD and mobile banking. Access control is the key factor that would ensure a high level of stakeholder trust and cyber resilience because the risk should be re-assessed, and security and regulatory frameworks are enhanced on a regular basis.</w:t>
      </w:r>
    </w:p>
    <w:p w14:paraId="7EE382F3" w14:textId="12618163" w:rsidR="000176D3" w:rsidRPr="00AF4211" w:rsidRDefault="007454A8" w:rsidP="00AF4211">
      <w:pPr>
        <w:pStyle w:val="Heading1"/>
        <w:jc w:val="center"/>
        <w:rPr>
          <w:b/>
          <w:bCs/>
          <w:color w:val="auto"/>
        </w:rPr>
      </w:pPr>
      <w:r w:rsidRPr="00BA700B">
        <w:br w:type="page"/>
      </w:r>
      <w:r w:rsidR="000176D3" w:rsidRPr="00AF4211">
        <w:rPr>
          <w:b/>
          <w:bCs/>
          <w:color w:val="auto"/>
        </w:rPr>
        <w:lastRenderedPageBreak/>
        <w:t>7. References</w:t>
      </w:r>
    </w:p>
    <w:p w14:paraId="7923A800"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 M. E. Whitman and H. J. </w:t>
      </w:r>
      <w:proofErr w:type="spellStart"/>
      <w:r w:rsidRPr="00BA700B">
        <w:rPr>
          <w:rFonts w:asciiTheme="majorHAnsi" w:hAnsiTheme="majorHAnsi" w:cstheme="majorHAnsi"/>
        </w:rPr>
        <w:t>Mattord</w:t>
      </w:r>
      <w:proofErr w:type="spellEnd"/>
      <w:r w:rsidRPr="00BA700B">
        <w:rPr>
          <w:rFonts w:asciiTheme="majorHAnsi" w:hAnsiTheme="majorHAnsi" w:cstheme="majorHAnsi"/>
        </w:rPr>
        <w:t xml:space="preserve">, </w:t>
      </w:r>
      <w:r w:rsidRPr="00BA700B">
        <w:rPr>
          <w:rFonts w:asciiTheme="majorHAnsi" w:hAnsiTheme="majorHAnsi" w:cstheme="majorHAnsi"/>
          <w:i/>
          <w:iCs/>
        </w:rPr>
        <w:t>Principles of Information Security</w:t>
      </w:r>
      <w:r w:rsidRPr="00BA700B">
        <w:rPr>
          <w:rFonts w:asciiTheme="majorHAnsi" w:hAnsiTheme="majorHAnsi" w:cstheme="majorHAnsi"/>
        </w:rPr>
        <w:t>, 7th ed. Boston, MA, USA: Cengage Learning, 2021.</w:t>
      </w:r>
    </w:p>
    <w:p w14:paraId="67F0EE6D"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 B. von Solms and J. van Niekerk, “From information security to cyber security,” </w:t>
      </w:r>
      <w:r w:rsidRPr="00BA700B">
        <w:rPr>
          <w:rFonts w:asciiTheme="majorHAnsi" w:hAnsiTheme="majorHAnsi" w:cstheme="majorHAnsi"/>
          <w:i/>
          <w:iCs/>
        </w:rPr>
        <w:t>Computers &amp; Security</w:t>
      </w:r>
      <w:r w:rsidRPr="00BA700B">
        <w:rPr>
          <w:rFonts w:asciiTheme="majorHAnsi" w:hAnsiTheme="majorHAnsi" w:cstheme="majorHAnsi"/>
        </w:rPr>
        <w:t>, vol. 38, pp. 97–102, 2013.</w:t>
      </w:r>
    </w:p>
    <w:p w14:paraId="20F7B12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 International Organization for Standardization, </w:t>
      </w:r>
      <w:r w:rsidRPr="00BA700B">
        <w:rPr>
          <w:rFonts w:asciiTheme="majorHAnsi" w:hAnsiTheme="majorHAnsi" w:cstheme="majorHAnsi"/>
          <w:i/>
          <w:iCs/>
        </w:rPr>
        <w:t>ISO/IEC 27001: Information Security Management Systems — Requirements</w:t>
      </w:r>
      <w:r w:rsidRPr="00BA700B">
        <w:rPr>
          <w:rFonts w:asciiTheme="majorHAnsi" w:hAnsiTheme="majorHAnsi" w:cstheme="majorHAnsi"/>
        </w:rPr>
        <w:t>, Geneva, Switzerland: ISO, 2022.</w:t>
      </w:r>
    </w:p>
    <w:p w14:paraId="5952F72F"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[4] AXELOS, </w:t>
      </w:r>
      <w:r w:rsidRPr="00BA700B">
        <w:rPr>
          <w:rFonts w:asciiTheme="majorHAnsi" w:hAnsiTheme="majorHAnsi" w:cstheme="majorHAnsi"/>
          <w:i/>
          <w:iCs/>
        </w:rPr>
        <w:t>ITIL Foundation: ITIL 4 Edition</w:t>
      </w:r>
      <w:r w:rsidRPr="00BA700B">
        <w:rPr>
          <w:rFonts w:asciiTheme="majorHAnsi" w:hAnsiTheme="majorHAnsi" w:cstheme="majorHAnsi"/>
        </w:rPr>
        <w:t>. London, U.K.: TSO (The Stationery Office), 2019.</w:t>
      </w:r>
    </w:p>
    <w:p w14:paraId="5EE1A8C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[5] T. Grance and W. Jansen, </w:t>
      </w:r>
      <w:r w:rsidRPr="00BA700B">
        <w:rPr>
          <w:rFonts w:asciiTheme="majorHAnsi" w:hAnsiTheme="majorHAnsi" w:cstheme="majorHAnsi"/>
          <w:i/>
          <w:iCs/>
        </w:rPr>
        <w:t>Guidelines on Security and Privacy in Public Cloud Computing</w:t>
      </w:r>
      <w:r w:rsidRPr="00BA700B">
        <w:rPr>
          <w:rFonts w:asciiTheme="majorHAnsi" w:hAnsiTheme="majorHAnsi" w:cstheme="majorHAnsi"/>
        </w:rPr>
        <w:t>, NIST Special Publication 800-144, National Institute of Standards and Technology, Gaithersburg, MD, USA, 2011.</w:t>
      </w:r>
    </w:p>
    <w:p w14:paraId="1213D66C"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[6] R. von Solms, “Information security governance: COBIT or ISO 17799 or </w:t>
      </w:r>
      <w:proofErr w:type="gramStart"/>
      <w:r w:rsidRPr="00BA700B">
        <w:rPr>
          <w:rFonts w:asciiTheme="majorHAnsi" w:hAnsiTheme="majorHAnsi" w:cstheme="majorHAnsi"/>
        </w:rPr>
        <w:t>both?,</w:t>
      </w:r>
      <w:proofErr w:type="gramEnd"/>
      <w:r w:rsidRPr="00BA700B">
        <w:rPr>
          <w:rFonts w:asciiTheme="majorHAnsi" w:hAnsiTheme="majorHAnsi" w:cstheme="majorHAnsi"/>
        </w:rPr>
        <w:t xml:space="preserve">” </w:t>
      </w:r>
      <w:r w:rsidRPr="00BA700B">
        <w:rPr>
          <w:rFonts w:asciiTheme="majorHAnsi" w:hAnsiTheme="majorHAnsi" w:cstheme="majorHAnsi"/>
          <w:i/>
          <w:iCs/>
        </w:rPr>
        <w:t>Computers &amp; Security</w:t>
      </w:r>
      <w:r w:rsidRPr="00BA700B">
        <w:rPr>
          <w:rFonts w:asciiTheme="majorHAnsi" w:hAnsiTheme="majorHAnsi" w:cstheme="majorHAnsi"/>
        </w:rPr>
        <w:t>, vol. 24, no. 2, pp. 99–104, 2005.</w:t>
      </w:r>
    </w:p>
    <w:p w14:paraId="1E15ACB3"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[7] H. Siregar, </w:t>
      </w:r>
      <w:proofErr w:type="spellStart"/>
      <w:r w:rsidRPr="00BA700B">
        <w:rPr>
          <w:rFonts w:asciiTheme="majorHAnsi" w:hAnsiTheme="majorHAnsi" w:cstheme="majorHAnsi"/>
        </w:rPr>
        <w:t>Apriadi</w:t>
      </w:r>
      <w:proofErr w:type="spellEnd"/>
      <w:r w:rsidRPr="00BA700B">
        <w:rPr>
          <w:rFonts w:asciiTheme="majorHAnsi" w:hAnsiTheme="majorHAnsi" w:cstheme="majorHAnsi"/>
        </w:rPr>
        <w:t xml:space="preserve">, </w:t>
      </w:r>
      <w:proofErr w:type="spellStart"/>
      <w:r w:rsidRPr="00BA700B">
        <w:rPr>
          <w:rFonts w:asciiTheme="majorHAnsi" w:hAnsiTheme="majorHAnsi" w:cstheme="majorHAnsi"/>
        </w:rPr>
        <w:t>Alfiarini</w:t>
      </w:r>
      <w:proofErr w:type="spellEnd"/>
      <w:r w:rsidRPr="00BA700B">
        <w:rPr>
          <w:rFonts w:asciiTheme="majorHAnsi" w:hAnsiTheme="majorHAnsi" w:cstheme="majorHAnsi"/>
        </w:rPr>
        <w:t xml:space="preserve">, and </w:t>
      </w:r>
      <w:proofErr w:type="spellStart"/>
      <w:r w:rsidRPr="00BA700B">
        <w:rPr>
          <w:rFonts w:asciiTheme="majorHAnsi" w:hAnsiTheme="majorHAnsi" w:cstheme="majorHAnsi"/>
        </w:rPr>
        <w:t>Nuranisah</w:t>
      </w:r>
      <w:proofErr w:type="spellEnd"/>
      <w:r w:rsidRPr="00BA700B">
        <w:rPr>
          <w:rFonts w:asciiTheme="majorHAnsi" w:hAnsiTheme="majorHAnsi" w:cstheme="majorHAnsi"/>
        </w:rPr>
        <w:t xml:space="preserve">, “Integrating COBIT 2019 and ISO/IEC 27001 for strengthening IT governance and information security,” </w:t>
      </w:r>
      <w:r w:rsidRPr="00BA700B">
        <w:rPr>
          <w:rFonts w:asciiTheme="majorHAnsi" w:hAnsiTheme="majorHAnsi" w:cstheme="majorHAnsi"/>
          <w:i/>
          <w:iCs/>
        </w:rPr>
        <w:t>CESSMUDS</w:t>
      </w:r>
      <w:r w:rsidRPr="00BA700B">
        <w:rPr>
          <w:rFonts w:asciiTheme="majorHAnsi" w:hAnsiTheme="majorHAnsi" w:cstheme="majorHAnsi"/>
        </w:rPr>
        <w:t xml:space="preserve">, vol. 1, no. 1, pp. 225–234, Mar. 2025. [Online]. Available: </w:t>
      </w:r>
      <w:hyperlink r:id="rId14" w:tgtFrame="_blank" w:history="1">
        <w:r w:rsidRPr="00BA700B">
          <w:rPr>
            <w:rStyle w:val="Hyperlink"/>
            <w:rFonts w:asciiTheme="majorHAnsi" w:hAnsiTheme="majorHAnsi" w:cstheme="majorHAnsi"/>
          </w:rPr>
          <w:t>https://doi.org/10.64803/cessmuds.v1i1.40</w:t>
        </w:r>
      </w:hyperlink>
      <w:r w:rsidRPr="00BA700B">
        <w:rPr>
          <w:rFonts w:asciiTheme="majorHAnsi" w:hAnsiTheme="majorHAnsi" w:cstheme="majorHAnsi"/>
        </w:rPr>
        <w:t xml:space="preserve"> </w:t>
      </w:r>
    </w:p>
    <w:p w14:paraId="408F2319"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[8] P. Bowen, J. Hash, and M. Wilson, </w:t>
      </w:r>
      <w:r w:rsidRPr="00BA700B">
        <w:rPr>
          <w:rFonts w:asciiTheme="majorHAnsi" w:hAnsiTheme="majorHAnsi" w:cstheme="majorHAnsi"/>
          <w:i/>
          <w:iCs/>
        </w:rPr>
        <w:t>Information Security Handbook: A Guide for Managers</w:t>
      </w:r>
      <w:r w:rsidRPr="00BA700B">
        <w:rPr>
          <w:rFonts w:asciiTheme="majorHAnsi" w:hAnsiTheme="majorHAnsi" w:cstheme="majorHAnsi"/>
        </w:rPr>
        <w:t>, NIST Special Publication 800-100, National Institute of Standards and Technology, 2006.</w:t>
      </w:r>
    </w:p>
    <w:p w14:paraId="4E424847"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[9] A. Calder and S. Watkins, </w:t>
      </w:r>
      <w:r w:rsidRPr="00BA700B">
        <w:rPr>
          <w:rFonts w:asciiTheme="majorHAnsi" w:hAnsiTheme="majorHAnsi" w:cstheme="majorHAnsi"/>
          <w:i/>
          <w:iCs/>
        </w:rPr>
        <w:t>IT Governance: An International Guide to Data Security and ISO27001/ISO27002</w:t>
      </w:r>
      <w:r w:rsidRPr="00BA700B">
        <w:rPr>
          <w:rFonts w:asciiTheme="majorHAnsi" w:hAnsiTheme="majorHAnsi" w:cstheme="majorHAnsi"/>
        </w:rPr>
        <w:t>, London, U.K.: Kogan Page, 2015.</w:t>
      </w:r>
    </w:p>
    <w:p w14:paraId="5FDBAF99"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[10] E. Humphreys, “Information security management standards: Compliance, governance and risk management,” </w:t>
      </w:r>
      <w:r w:rsidRPr="00BA700B">
        <w:rPr>
          <w:rFonts w:asciiTheme="majorHAnsi" w:hAnsiTheme="majorHAnsi" w:cstheme="majorHAnsi"/>
          <w:i/>
          <w:iCs/>
        </w:rPr>
        <w:t>Information Security Technical Report</w:t>
      </w:r>
      <w:r w:rsidRPr="00BA700B">
        <w:rPr>
          <w:rFonts w:asciiTheme="majorHAnsi" w:hAnsiTheme="majorHAnsi" w:cstheme="majorHAnsi"/>
        </w:rPr>
        <w:t>, vol. 13, no. 4, pp. 247–255, 2008.</w:t>
      </w:r>
    </w:p>
    <w:p w14:paraId="09EC5854"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[11] M. Marrone and M. Kolbe, “Uncovering ITIL claims: IT executives’ perception on benefits and business impact,” </w:t>
      </w:r>
      <w:r w:rsidRPr="00BA700B">
        <w:rPr>
          <w:rFonts w:asciiTheme="majorHAnsi" w:hAnsiTheme="majorHAnsi" w:cstheme="majorHAnsi"/>
          <w:i/>
          <w:iCs/>
        </w:rPr>
        <w:t>Information Systems and e-Business Management</w:t>
      </w:r>
      <w:r w:rsidRPr="00BA700B">
        <w:rPr>
          <w:rFonts w:asciiTheme="majorHAnsi" w:hAnsiTheme="majorHAnsi" w:cstheme="majorHAnsi"/>
        </w:rPr>
        <w:t>, vol. 9, no. 3, pp. 363–380, 2011.</w:t>
      </w:r>
    </w:p>
    <w:p w14:paraId="4B053687"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[12] National Institute of Standards and Technology, </w:t>
      </w:r>
      <w:r w:rsidRPr="00BA700B">
        <w:rPr>
          <w:rFonts w:asciiTheme="majorHAnsi" w:hAnsiTheme="majorHAnsi" w:cstheme="majorHAnsi"/>
          <w:i/>
          <w:iCs/>
        </w:rPr>
        <w:t>Framework for Improving Critical Infrastructure Cybersecurity</w:t>
      </w:r>
      <w:r w:rsidRPr="00BA700B">
        <w:rPr>
          <w:rFonts w:asciiTheme="majorHAnsi" w:hAnsiTheme="majorHAnsi" w:cstheme="majorHAnsi"/>
        </w:rPr>
        <w:t>, NIST, Gaithersburg, MD, USA, 2018.</w:t>
      </w:r>
    </w:p>
    <w:p w14:paraId="691A9A08" w14:textId="542B3988" w:rsidR="000176D3" w:rsidRPr="00AF4211"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[13] K. Stine, S. Quinn, D. Witte, and M. Gardner, </w:t>
      </w:r>
      <w:r w:rsidRPr="00BA700B">
        <w:rPr>
          <w:rFonts w:asciiTheme="majorHAnsi" w:hAnsiTheme="majorHAnsi" w:cstheme="majorHAnsi"/>
          <w:i/>
          <w:iCs/>
        </w:rPr>
        <w:t>Guide for Cybersecurity Event Recovery</w:t>
      </w:r>
      <w:r w:rsidRPr="00BA700B">
        <w:rPr>
          <w:rFonts w:asciiTheme="majorHAnsi" w:hAnsiTheme="majorHAnsi" w:cstheme="majorHAnsi"/>
        </w:rPr>
        <w:t>, NIST Special Publication 800-184, 2016.</w:t>
      </w:r>
    </w:p>
    <w:p w14:paraId="3C94068A"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[14] K. Siponen and A. Vance, “Neutralization: New insights into the problem of employee information systems security policy violations,” </w:t>
      </w:r>
      <w:r w:rsidRPr="00BA700B">
        <w:rPr>
          <w:rFonts w:asciiTheme="majorHAnsi" w:hAnsiTheme="majorHAnsi" w:cstheme="majorHAnsi"/>
          <w:i/>
          <w:iCs/>
        </w:rPr>
        <w:t>MIS Quarterly</w:t>
      </w:r>
      <w:r w:rsidRPr="00BA700B">
        <w:rPr>
          <w:rFonts w:asciiTheme="majorHAnsi" w:hAnsiTheme="majorHAnsi" w:cstheme="majorHAnsi"/>
        </w:rPr>
        <w:t>, vol. 34, no. 3, pp. 487–502, 2010.</w:t>
      </w:r>
    </w:p>
    <w:p w14:paraId="15CBA99D"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[15] R. Clarke, “Information technology and dataveillance,” </w:t>
      </w:r>
      <w:r w:rsidRPr="00BA700B">
        <w:rPr>
          <w:rFonts w:asciiTheme="majorHAnsi" w:hAnsiTheme="majorHAnsi" w:cstheme="majorHAnsi"/>
          <w:i/>
          <w:iCs/>
        </w:rPr>
        <w:t>Communications of the ACM</w:t>
      </w:r>
      <w:r w:rsidRPr="00BA700B">
        <w:rPr>
          <w:rFonts w:asciiTheme="majorHAnsi" w:hAnsiTheme="majorHAnsi" w:cstheme="majorHAnsi"/>
        </w:rPr>
        <w:t>, vol. 31, no. 5, pp. 498–512, 1988.</w:t>
      </w:r>
    </w:p>
    <w:p w14:paraId="41369878"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[16] S. Gürses and J. M. Del Alamo, “Privacy engineering: Shaping an emerging field of research and practice,” </w:t>
      </w:r>
      <w:r w:rsidRPr="00BA700B">
        <w:rPr>
          <w:rFonts w:asciiTheme="majorHAnsi" w:hAnsiTheme="majorHAnsi" w:cstheme="majorHAnsi"/>
          <w:i/>
          <w:iCs/>
        </w:rPr>
        <w:t>IEEE Security &amp; Privacy</w:t>
      </w:r>
      <w:r w:rsidRPr="00BA700B">
        <w:rPr>
          <w:rFonts w:asciiTheme="majorHAnsi" w:hAnsiTheme="majorHAnsi" w:cstheme="majorHAnsi"/>
        </w:rPr>
        <w:t>, vol. 14, no. 2, pp. 40–46, 2016.</w:t>
      </w:r>
    </w:p>
    <w:p w14:paraId="6684026B"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lastRenderedPageBreak/>
        <w:t xml:space="preserve">[17] S. Subashini and V. Kavitha, “A survey on security issues in service delivery models of cloud computing,” </w:t>
      </w:r>
      <w:r w:rsidRPr="00BA700B">
        <w:rPr>
          <w:rFonts w:asciiTheme="majorHAnsi" w:hAnsiTheme="majorHAnsi" w:cstheme="majorHAnsi"/>
          <w:i/>
          <w:iCs/>
        </w:rPr>
        <w:t>Journal of Network and Computer Applications</w:t>
      </w:r>
      <w:r w:rsidRPr="00BA700B">
        <w:rPr>
          <w:rFonts w:asciiTheme="majorHAnsi" w:hAnsiTheme="majorHAnsi" w:cstheme="majorHAnsi"/>
        </w:rPr>
        <w:t>, vol. 34, no. 1, pp. 1–11, 2011.</w:t>
      </w:r>
    </w:p>
    <w:p w14:paraId="715DA00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[18] M. Morrow, “BYOD security challenges: Control and protect your most sensitive data,” </w:t>
      </w:r>
      <w:r w:rsidRPr="00BA700B">
        <w:rPr>
          <w:rFonts w:asciiTheme="majorHAnsi" w:hAnsiTheme="majorHAnsi" w:cstheme="majorHAnsi"/>
          <w:i/>
          <w:iCs/>
        </w:rPr>
        <w:t>Network Security</w:t>
      </w:r>
      <w:r w:rsidRPr="00BA700B">
        <w:rPr>
          <w:rFonts w:asciiTheme="majorHAnsi" w:hAnsiTheme="majorHAnsi" w:cstheme="majorHAnsi"/>
        </w:rPr>
        <w:t>, vol. 2012, no. 12, pp. 5–8, 2012.</w:t>
      </w:r>
    </w:p>
    <w:p w14:paraId="2FD03E1A"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[19] A. A. Alqahtani and H. H. Alqahtani, “Cybersecurity risks in mobile banking applications: Threats and countermeasures,” </w:t>
      </w:r>
      <w:r w:rsidRPr="00BA700B">
        <w:rPr>
          <w:rFonts w:asciiTheme="majorHAnsi" w:hAnsiTheme="majorHAnsi" w:cstheme="majorHAnsi"/>
          <w:i/>
          <w:iCs/>
        </w:rPr>
        <w:t>International Journal of Advanced Computer Science and Applications</w:t>
      </w:r>
      <w:r w:rsidRPr="00BA700B">
        <w:rPr>
          <w:rFonts w:asciiTheme="majorHAnsi" w:hAnsiTheme="majorHAnsi" w:cstheme="majorHAnsi"/>
        </w:rPr>
        <w:t>, vol. 11, no. 6, pp. 455–462, 2020.</w:t>
      </w:r>
    </w:p>
    <w:p w14:paraId="62EB291C"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[29] ISO/IEC 27005:2022, </w:t>
      </w:r>
      <w:r w:rsidRPr="00BA700B">
        <w:rPr>
          <w:rFonts w:asciiTheme="majorHAnsi" w:hAnsiTheme="majorHAnsi" w:cstheme="majorHAnsi"/>
          <w:i/>
          <w:iCs/>
        </w:rPr>
        <w:t>Information security, cybersecurity and privacy protection — Guidance on managing information security risks</w:t>
      </w:r>
      <w:r w:rsidRPr="00BA700B">
        <w:rPr>
          <w:rFonts w:asciiTheme="majorHAnsi" w:hAnsiTheme="majorHAnsi" w:cstheme="majorHAnsi"/>
        </w:rPr>
        <w:t>.</w:t>
      </w:r>
    </w:p>
    <w:p w14:paraId="729503D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[21] H. A. Shey, J. M. Corman, and J. P. Nunes, “Managing enterprise information security risk,” </w:t>
      </w:r>
      <w:r w:rsidRPr="00BA700B">
        <w:rPr>
          <w:rFonts w:asciiTheme="majorHAnsi" w:hAnsiTheme="majorHAnsi" w:cstheme="majorHAnsi"/>
          <w:i/>
          <w:iCs/>
        </w:rPr>
        <w:t>IEEE Security &amp; Privacy</w:t>
      </w:r>
      <w:r w:rsidRPr="00BA700B">
        <w:rPr>
          <w:rFonts w:asciiTheme="majorHAnsi" w:hAnsiTheme="majorHAnsi" w:cstheme="majorHAnsi"/>
        </w:rPr>
        <w:t>, vol. 8, no. 4, pp. 30–36, 2010.</w:t>
      </w:r>
    </w:p>
    <w:p w14:paraId="59C0514D"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[22] National Institute of Standards and Technology, </w:t>
      </w:r>
      <w:r w:rsidRPr="00BA700B">
        <w:rPr>
          <w:rFonts w:asciiTheme="majorHAnsi" w:hAnsiTheme="majorHAnsi" w:cstheme="majorHAnsi"/>
          <w:i/>
          <w:iCs/>
        </w:rPr>
        <w:t>Risk Management Framework for Information Systems and Organizations</w:t>
      </w:r>
      <w:r w:rsidRPr="00BA700B">
        <w:rPr>
          <w:rFonts w:asciiTheme="majorHAnsi" w:hAnsiTheme="majorHAnsi" w:cstheme="majorHAnsi"/>
        </w:rPr>
        <w:t>, NIST Special Publication 800-37, Gaithersburg, MD, USA, 2018.</w:t>
      </w:r>
    </w:p>
    <w:p w14:paraId="41FBD1DC"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[23] S. </w:t>
      </w:r>
      <w:proofErr w:type="spellStart"/>
      <w:r w:rsidRPr="00BA700B">
        <w:rPr>
          <w:rFonts w:asciiTheme="majorHAnsi" w:hAnsiTheme="majorHAnsi" w:cstheme="majorHAnsi"/>
        </w:rPr>
        <w:t>Sahibudin</w:t>
      </w:r>
      <w:proofErr w:type="spellEnd"/>
      <w:r w:rsidRPr="00BA700B">
        <w:rPr>
          <w:rFonts w:asciiTheme="majorHAnsi" w:hAnsiTheme="majorHAnsi" w:cstheme="majorHAnsi"/>
        </w:rPr>
        <w:t xml:space="preserve">, M. Sharifi, and M. Ayat, “Combining ITIL, COBIT and ISO/IEC 27002 in order to design a comprehensive IT framework in organizations,” </w:t>
      </w:r>
      <w:r w:rsidRPr="00BA700B">
        <w:rPr>
          <w:rFonts w:asciiTheme="majorHAnsi" w:hAnsiTheme="majorHAnsi" w:cstheme="majorHAnsi"/>
          <w:i/>
          <w:iCs/>
        </w:rPr>
        <w:t>Proceedings of the International Conference on Modeling and Simulation</w:t>
      </w:r>
      <w:r w:rsidRPr="00BA700B">
        <w:rPr>
          <w:rFonts w:asciiTheme="majorHAnsi" w:hAnsiTheme="majorHAnsi" w:cstheme="majorHAnsi"/>
        </w:rPr>
        <w:t>, pp. 749–753, 2008.</w:t>
      </w:r>
    </w:p>
    <w:p w14:paraId="74AECB6C"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[24] A. Da Veiga and J. H. P. Eloff, “A framework and assessment instrument for information security culture,” </w:t>
      </w:r>
      <w:r w:rsidRPr="00BA700B">
        <w:rPr>
          <w:rFonts w:asciiTheme="majorHAnsi" w:hAnsiTheme="majorHAnsi" w:cstheme="majorHAnsi"/>
          <w:i/>
          <w:iCs/>
        </w:rPr>
        <w:t>Computers &amp; Security</w:t>
      </w:r>
      <w:r w:rsidRPr="00BA700B">
        <w:rPr>
          <w:rFonts w:asciiTheme="majorHAnsi" w:hAnsiTheme="majorHAnsi" w:cstheme="majorHAnsi"/>
        </w:rPr>
        <w:t>, vol. 29, no. 2, pp. 196–207, 2010.</w:t>
      </w:r>
    </w:p>
    <w:p w14:paraId="70BEDAA7"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[25] S. De Haes and W. Van Grembergen, </w:t>
      </w:r>
      <w:r w:rsidRPr="00BA700B">
        <w:rPr>
          <w:rFonts w:asciiTheme="majorHAnsi" w:hAnsiTheme="majorHAnsi" w:cstheme="majorHAnsi"/>
          <w:i/>
          <w:iCs/>
        </w:rPr>
        <w:t>Enterprise Governance of Information Technology</w:t>
      </w:r>
      <w:r w:rsidRPr="00BA700B">
        <w:rPr>
          <w:rFonts w:asciiTheme="majorHAnsi" w:hAnsiTheme="majorHAnsi" w:cstheme="majorHAnsi"/>
        </w:rPr>
        <w:t>. New York, NY, USA: Springer, 2015.</w:t>
      </w:r>
    </w:p>
    <w:p w14:paraId="64D73293"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[26] S. </w:t>
      </w:r>
      <w:proofErr w:type="spellStart"/>
      <w:r w:rsidRPr="00BA700B">
        <w:rPr>
          <w:rFonts w:asciiTheme="majorHAnsi" w:hAnsiTheme="majorHAnsi" w:cstheme="majorHAnsi"/>
        </w:rPr>
        <w:t>AlHogail</w:t>
      </w:r>
      <w:proofErr w:type="spellEnd"/>
      <w:r w:rsidRPr="00BA700B">
        <w:rPr>
          <w:rFonts w:asciiTheme="majorHAnsi" w:hAnsiTheme="majorHAnsi" w:cstheme="majorHAnsi"/>
        </w:rPr>
        <w:t xml:space="preserve">, "Improving IoT Readiness of Organizations Based on the Information Security Culture," </w:t>
      </w:r>
      <w:r w:rsidRPr="00BA700B">
        <w:rPr>
          <w:rFonts w:asciiTheme="majorHAnsi" w:hAnsiTheme="majorHAnsi" w:cstheme="majorHAnsi"/>
          <w:i/>
          <w:iCs/>
        </w:rPr>
        <w:t>IEEE Access</w:t>
      </w:r>
      <w:r w:rsidRPr="00BA700B">
        <w:rPr>
          <w:rFonts w:asciiTheme="majorHAnsi" w:hAnsiTheme="majorHAnsi" w:cstheme="majorHAnsi"/>
        </w:rPr>
        <w:t>, vol. 6, pp. 22259–22269, 2018.</w:t>
      </w:r>
    </w:p>
    <w:p w14:paraId="2EBC1FA0"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[27] A. </w:t>
      </w:r>
      <w:proofErr w:type="spellStart"/>
      <w:r w:rsidRPr="00BA700B">
        <w:rPr>
          <w:rFonts w:asciiTheme="majorHAnsi" w:hAnsiTheme="majorHAnsi" w:cstheme="majorHAnsi"/>
        </w:rPr>
        <w:t>Fenz</w:t>
      </w:r>
      <w:proofErr w:type="spellEnd"/>
      <w:r w:rsidRPr="00BA700B">
        <w:rPr>
          <w:rFonts w:asciiTheme="majorHAnsi" w:hAnsiTheme="majorHAnsi" w:cstheme="majorHAnsi"/>
        </w:rPr>
        <w:t xml:space="preserve">, E. </w:t>
      </w:r>
      <w:proofErr w:type="spellStart"/>
      <w:r w:rsidRPr="00BA700B">
        <w:rPr>
          <w:rFonts w:asciiTheme="majorHAnsi" w:hAnsiTheme="majorHAnsi" w:cstheme="majorHAnsi"/>
        </w:rPr>
        <w:t>Heurix</w:t>
      </w:r>
      <w:proofErr w:type="spellEnd"/>
      <w:r w:rsidRPr="00BA700B">
        <w:rPr>
          <w:rFonts w:asciiTheme="majorHAnsi" w:hAnsiTheme="majorHAnsi" w:cstheme="majorHAnsi"/>
        </w:rPr>
        <w:t xml:space="preserve">, T. Neubauer, and F. </w:t>
      </w:r>
      <w:proofErr w:type="spellStart"/>
      <w:r w:rsidRPr="00BA700B">
        <w:rPr>
          <w:rFonts w:asciiTheme="majorHAnsi" w:hAnsiTheme="majorHAnsi" w:cstheme="majorHAnsi"/>
        </w:rPr>
        <w:t>Pechstein</w:t>
      </w:r>
      <w:proofErr w:type="spellEnd"/>
      <w:r w:rsidRPr="00BA700B">
        <w:rPr>
          <w:rFonts w:asciiTheme="majorHAnsi" w:hAnsiTheme="majorHAnsi" w:cstheme="majorHAnsi"/>
        </w:rPr>
        <w:t xml:space="preserve">, “Current challenges in information security risk management,” </w:t>
      </w:r>
      <w:r w:rsidRPr="00BA700B">
        <w:rPr>
          <w:rFonts w:asciiTheme="majorHAnsi" w:hAnsiTheme="majorHAnsi" w:cstheme="majorHAnsi"/>
          <w:i/>
          <w:iCs/>
        </w:rPr>
        <w:t>Information Management &amp; Computer Security</w:t>
      </w:r>
      <w:r w:rsidRPr="00BA700B">
        <w:rPr>
          <w:rFonts w:asciiTheme="majorHAnsi" w:hAnsiTheme="majorHAnsi" w:cstheme="majorHAnsi"/>
        </w:rPr>
        <w:t>, vol. 22, no. 5, pp. 410–430, 2014.</w:t>
      </w:r>
    </w:p>
    <w:p w14:paraId="0215F806"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[28] D. </w:t>
      </w:r>
      <w:proofErr w:type="spellStart"/>
      <w:r w:rsidRPr="00BA700B">
        <w:rPr>
          <w:rFonts w:asciiTheme="majorHAnsi" w:hAnsiTheme="majorHAnsi" w:cstheme="majorHAnsi"/>
        </w:rPr>
        <w:t>Bhalavat</w:t>
      </w:r>
      <w:proofErr w:type="spellEnd"/>
      <w:r w:rsidRPr="00BA700B">
        <w:rPr>
          <w:rFonts w:asciiTheme="majorHAnsi" w:hAnsiTheme="majorHAnsi" w:cstheme="majorHAnsi"/>
        </w:rPr>
        <w:t xml:space="preserve">, A. Doshi, N. Keni, and P. R. Shah, “Automated Compliance: A Privacy-Focused Solution for GDPR and DPDPA Adherence,” in </w:t>
      </w:r>
      <w:r w:rsidRPr="00BA700B">
        <w:rPr>
          <w:rFonts w:asciiTheme="majorHAnsi" w:hAnsiTheme="majorHAnsi" w:cstheme="majorHAnsi"/>
          <w:i/>
          <w:iCs/>
        </w:rPr>
        <w:t>2024 13th International Conference on System Modeling &amp; Advancement in Research Trends (SMART)</w:t>
      </w:r>
      <w:r w:rsidRPr="00BA700B">
        <w:rPr>
          <w:rFonts w:asciiTheme="majorHAnsi" w:hAnsiTheme="majorHAnsi" w:cstheme="majorHAnsi"/>
        </w:rPr>
        <w:t xml:space="preserve">, 2024, pp. 831–837. </w:t>
      </w:r>
      <w:hyperlink r:id="rId15" w:tgtFrame="_blank" w:history="1">
        <w:r w:rsidRPr="00BA700B">
          <w:rPr>
            <w:rStyle w:val="Hyperlink"/>
            <w:rFonts w:asciiTheme="majorHAnsi" w:hAnsiTheme="majorHAnsi" w:cstheme="majorHAnsi"/>
          </w:rPr>
          <w:t>https://doi.org/10.1109/smart63812.2024.10882514</w:t>
        </w:r>
      </w:hyperlink>
      <w:r w:rsidRPr="00BA700B">
        <w:rPr>
          <w:rFonts w:asciiTheme="majorHAnsi" w:hAnsiTheme="majorHAnsi" w:cstheme="majorHAnsi"/>
        </w:rPr>
        <w:t xml:space="preserve"> </w:t>
      </w:r>
    </w:p>
    <w:p w14:paraId="1FD8A8D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[29] S. Noel, E. Harley, K. Tam, M. </w:t>
      </w:r>
      <w:proofErr w:type="spellStart"/>
      <w:r w:rsidRPr="00BA700B">
        <w:rPr>
          <w:rFonts w:asciiTheme="majorHAnsi" w:hAnsiTheme="majorHAnsi" w:cstheme="majorHAnsi"/>
        </w:rPr>
        <w:t>Limiero</w:t>
      </w:r>
      <w:proofErr w:type="spellEnd"/>
      <w:r w:rsidRPr="00BA700B">
        <w:rPr>
          <w:rFonts w:asciiTheme="majorHAnsi" w:hAnsiTheme="majorHAnsi" w:cstheme="majorHAnsi"/>
        </w:rPr>
        <w:t xml:space="preserve">, and D. Sharevski, “Measuring and visualizing the quality of cyber security risk management,” </w:t>
      </w:r>
      <w:r w:rsidRPr="00BA700B">
        <w:rPr>
          <w:rFonts w:asciiTheme="majorHAnsi" w:hAnsiTheme="majorHAnsi" w:cstheme="majorHAnsi"/>
          <w:i/>
          <w:iCs/>
        </w:rPr>
        <w:t>IEEE Security &amp; Privacy</w:t>
      </w:r>
      <w:r w:rsidRPr="00BA700B">
        <w:rPr>
          <w:rFonts w:asciiTheme="majorHAnsi" w:hAnsiTheme="majorHAnsi" w:cstheme="majorHAnsi"/>
        </w:rPr>
        <w:t>, vol. 15, no. 5, pp. 68–75, 2017.</w:t>
      </w:r>
    </w:p>
    <w:p w14:paraId="55D11AF7"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[30] R. K. Rainer and C. G. Cegielski, </w:t>
      </w:r>
      <w:r w:rsidRPr="00BA700B">
        <w:rPr>
          <w:rFonts w:asciiTheme="majorHAnsi" w:hAnsiTheme="majorHAnsi" w:cstheme="majorHAnsi"/>
          <w:i/>
          <w:iCs/>
        </w:rPr>
        <w:t>Introduction to Information Systems</w:t>
      </w:r>
      <w:r w:rsidRPr="00BA700B">
        <w:rPr>
          <w:rFonts w:asciiTheme="majorHAnsi" w:hAnsiTheme="majorHAnsi" w:cstheme="majorHAnsi"/>
        </w:rPr>
        <w:t>, 9th ed. Hoboken, NJ, USA: Wiley, 2022.</w:t>
      </w:r>
    </w:p>
    <w:p w14:paraId="520459AF"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[31] R. Sandhu, E. Coyne, H. Feinstein, and C. Youman, “Role-based access control models,” </w:t>
      </w:r>
      <w:r w:rsidRPr="00BA700B">
        <w:rPr>
          <w:rFonts w:asciiTheme="majorHAnsi" w:hAnsiTheme="majorHAnsi" w:cstheme="majorHAnsi"/>
          <w:i/>
          <w:iCs/>
        </w:rPr>
        <w:t>IEEE Computer</w:t>
      </w:r>
      <w:r w:rsidRPr="00BA700B">
        <w:rPr>
          <w:rFonts w:asciiTheme="majorHAnsi" w:hAnsiTheme="majorHAnsi" w:cstheme="majorHAnsi"/>
        </w:rPr>
        <w:t>, vol. 29, no. 2, pp. 38–47, 1996.</w:t>
      </w:r>
    </w:p>
    <w:p w14:paraId="0BF17441"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[32] N. Ferguson, B. Schneier, and T. Kohno, </w:t>
      </w:r>
      <w:r w:rsidRPr="00BA700B">
        <w:rPr>
          <w:rFonts w:asciiTheme="majorHAnsi" w:hAnsiTheme="majorHAnsi" w:cstheme="majorHAnsi"/>
          <w:i/>
          <w:iCs/>
        </w:rPr>
        <w:t>Cryptography Engineering</w:t>
      </w:r>
      <w:r w:rsidRPr="00BA700B">
        <w:rPr>
          <w:rFonts w:asciiTheme="majorHAnsi" w:hAnsiTheme="majorHAnsi" w:cstheme="majorHAnsi"/>
        </w:rPr>
        <w:t>. Indianapolis, IN, USA: Wiley, 2010.</w:t>
      </w:r>
    </w:p>
    <w:p w14:paraId="4905A7BF"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lastRenderedPageBreak/>
        <w:t xml:space="preserve">[33] M. T. J. </w:t>
      </w:r>
      <w:proofErr w:type="spellStart"/>
      <w:r w:rsidRPr="00BA700B">
        <w:rPr>
          <w:rFonts w:asciiTheme="majorHAnsi" w:hAnsiTheme="majorHAnsi" w:cstheme="majorHAnsi"/>
        </w:rPr>
        <w:t>Ghilan</w:t>
      </w:r>
      <w:proofErr w:type="spellEnd"/>
      <w:r w:rsidRPr="00BA700B">
        <w:rPr>
          <w:rFonts w:asciiTheme="majorHAnsi" w:hAnsiTheme="majorHAnsi" w:cstheme="majorHAnsi"/>
        </w:rPr>
        <w:t xml:space="preserve"> et al., "BYOD Security: A Systematic Review of Modern Challenges and Solutions," IEEE Access, vol. 11, pp. 54321-54340, 2023.</w:t>
      </w:r>
    </w:p>
    <w:p w14:paraId="790124D2"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[34] K. </w:t>
      </w:r>
      <w:proofErr w:type="spellStart"/>
      <w:r w:rsidRPr="00BA700B">
        <w:rPr>
          <w:rFonts w:asciiTheme="majorHAnsi" w:hAnsiTheme="majorHAnsi" w:cstheme="majorHAnsi"/>
        </w:rPr>
        <w:t>Killcrece</w:t>
      </w:r>
      <w:proofErr w:type="spellEnd"/>
      <w:r w:rsidRPr="00BA700B">
        <w:rPr>
          <w:rFonts w:asciiTheme="majorHAnsi" w:hAnsiTheme="majorHAnsi" w:cstheme="majorHAnsi"/>
        </w:rPr>
        <w:t xml:space="preserve"> et al., </w:t>
      </w:r>
      <w:r w:rsidRPr="00BA700B">
        <w:rPr>
          <w:rFonts w:asciiTheme="majorHAnsi" w:hAnsiTheme="majorHAnsi" w:cstheme="majorHAnsi"/>
          <w:i/>
          <w:iCs/>
        </w:rPr>
        <w:t>Computer Security Incident Handling Guide</w:t>
      </w:r>
      <w:r w:rsidRPr="00BA700B">
        <w:rPr>
          <w:rFonts w:asciiTheme="majorHAnsi" w:hAnsiTheme="majorHAnsi" w:cstheme="majorHAnsi"/>
        </w:rPr>
        <w:t>, NIST Special Publication 800-61, National Institute of Standards and Technology, 2012.</w:t>
      </w:r>
    </w:p>
    <w:p w14:paraId="3BEE95B5"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[35] W. Stallings, </w:t>
      </w:r>
      <w:r w:rsidRPr="00BA700B">
        <w:rPr>
          <w:rFonts w:asciiTheme="majorHAnsi" w:hAnsiTheme="majorHAnsi" w:cstheme="majorHAnsi"/>
          <w:i/>
          <w:iCs/>
        </w:rPr>
        <w:t>Network Security Essentials: Applications and Standards</w:t>
      </w:r>
      <w:r w:rsidRPr="00BA700B">
        <w:rPr>
          <w:rFonts w:asciiTheme="majorHAnsi" w:hAnsiTheme="majorHAnsi" w:cstheme="majorHAnsi"/>
        </w:rPr>
        <w:t>, 6th ed. Boston, MA, USA: Pearson, 2017.</w:t>
      </w:r>
    </w:p>
    <w:p w14:paraId="4AF21FB0"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[36] S. Northcutt and J. Novak, </w:t>
      </w:r>
      <w:r w:rsidRPr="00BA700B">
        <w:rPr>
          <w:rFonts w:asciiTheme="majorHAnsi" w:hAnsiTheme="majorHAnsi" w:cstheme="majorHAnsi"/>
          <w:i/>
          <w:iCs/>
        </w:rPr>
        <w:t>Network Intrusion Detection</w:t>
      </w:r>
      <w:r w:rsidRPr="00BA700B">
        <w:rPr>
          <w:rFonts w:asciiTheme="majorHAnsi" w:hAnsiTheme="majorHAnsi" w:cstheme="majorHAnsi"/>
        </w:rPr>
        <w:t>, 3rd ed. Indianapolis, IN, USA: New Riders, 2003.</w:t>
      </w:r>
    </w:p>
    <w:p w14:paraId="45B68219"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[37] K. Scarfone and P. Mell, </w:t>
      </w:r>
      <w:r w:rsidRPr="00BA700B">
        <w:rPr>
          <w:rFonts w:asciiTheme="majorHAnsi" w:hAnsiTheme="majorHAnsi" w:cstheme="majorHAnsi"/>
          <w:i/>
          <w:iCs/>
        </w:rPr>
        <w:t>Guide to Intrusion Detection and Prevention Systems (IDPS)</w:t>
      </w:r>
      <w:r w:rsidRPr="00BA700B">
        <w:rPr>
          <w:rFonts w:asciiTheme="majorHAnsi" w:hAnsiTheme="majorHAnsi" w:cstheme="majorHAnsi"/>
        </w:rPr>
        <w:t>, NIST Special Publication 800-94, National Institute of Standards and Technology, 2007.</w:t>
      </w:r>
    </w:p>
    <w:p w14:paraId="05A9C6C9"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[38] S. Kent and K. Seo, “Security architecture for the Internet Protocol,” </w:t>
      </w:r>
      <w:r w:rsidRPr="00BA700B">
        <w:rPr>
          <w:rFonts w:asciiTheme="majorHAnsi" w:hAnsiTheme="majorHAnsi" w:cstheme="majorHAnsi"/>
          <w:i/>
          <w:iCs/>
        </w:rPr>
        <w:t>Internet Engineering Task Force (IETF)</w:t>
      </w:r>
      <w:r w:rsidRPr="00BA700B">
        <w:rPr>
          <w:rFonts w:asciiTheme="majorHAnsi" w:hAnsiTheme="majorHAnsi" w:cstheme="majorHAnsi"/>
        </w:rPr>
        <w:t>, RFC 4301, 2005.</w:t>
      </w:r>
    </w:p>
    <w:p w14:paraId="5D3BCE5B"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[39] S. Rose, O. Borchert, S. Mitchell, and S. Connelly, </w:t>
      </w:r>
      <w:r w:rsidRPr="00BA700B">
        <w:rPr>
          <w:rFonts w:asciiTheme="majorHAnsi" w:hAnsiTheme="majorHAnsi" w:cstheme="majorHAnsi"/>
          <w:i/>
          <w:iCs/>
        </w:rPr>
        <w:t>Zero Trust Architecture</w:t>
      </w:r>
      <w:r w:rsidRPr="00BA700B">
        <w:rPr>
          <w:rFonts w:asciiTheme="majorHAnsi" w:hAnsiTheme="majorHAnsi" w:cstheme="majorHAnsi"/>
        </w:rPr>
        <w:t>, NIST Special Publication 800-207, National Institute of Standards and Technology, 2020.</w:t>
      </w:r>
    </w:p>
    <w:p w14:paraId="5A6861E2"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[40] S. Romanosky, “Examining the costs and causes of cyber incidents,” </w:t>
      </w:r>
      <w:r w:rsidRPr="00BA700B">
        <w:rPr>
          <w:rFonts w:asciiTheme="majorHAnsi" w:hAnsiTheme="majorHAnsi" w:cstheme="majorHAnsi"/>
          <w:i/>
          <w:iCs/>
        </w:rPr>
        <w:t>Journal of Cybersecurity</w:t>
      </w:r>
      <w:r w:rsidRPr="00BA700B">
        <w:rPr>
          <w:rFonts w:asciiTheme="majorHAnsi" w:hAnsiTheme="majorHAnsi" w:cstheme="majorHAnsi"/>
        </w:rPr>
        <w:t>, vol. 2, no. 2, pp. 121–135, 2016.</w:t>
      </w:r>
    </w:p>
    <w:p w14:paraId="717FF95C"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[41] R. Renaud and K. Goucher, “The curious incidence of security breaches by knowledgeable employees and the pivotal role a good security culture can play,” </w:t>
      </w:r>
      <w:r w:rsidRPr="00BA700B">
        <w:rPr>
          <w:rFonts w:asciiTheme="majorHAnsi" w:hAnsiTheme="majorHAnsi" w:cstheme="majorHAnsi"/>
          <w:i/>
          <w:iCs/>
        </w:rPr>
        <w:t>Information Management &amp; Computer Security</w:t>
      </w:r>
      <w:r w:rsidRPr="00BA700B">
        <w:rPr>
          <w:rFonts w:asciiTheme="majorHAnsi" w:hAnsiTheme="majorHAnsi" w:cstheme="majorHAnsi"/>
        </w:rPr>
        <w:t>, vol. 20, no. 2, pp. 92–101, 2012.</w:t>
      </w:r>
    </w:p>
    <w:p w14:paraId="558E2B97" w14:textId="77777777" w:rsidR="000176D3" w:rsidRPr="00BA700B" w:rsidRDefault="000176D3" w:rsidP="00AF4211">
      <w:pPr>
        <w:spacing w:after="0"/>
        <w:jc w:val="both"/>
        <w:rPr>
          <w:rFonts w:asciiTheme="majorHAnsi" w:hAnsiTheme="majorHAnsi" w:cstheme="majorHAnsi"/>
        </w:rPr>
      </w:pPr>
      <w:r w:rsidRPr="00BA700B">
        <w:rPr>
          <w:rFonts w:asciiTheme="majorHAnsi" w:hAnsiTheme="majorHAnsi" w:cstheme="majorHAnsi"/>
        </w:rPr>
        <w:t xml:space="preserve">[42] W. Van </w:t>
      </w:r>
      <w:proofErr w:type="spellStart"/>
      <w:r w:rsidRPr="00BA700B">
        <w:rPr>
          <w:rFonts w:asciiTheme="majorHAnsi" w:hAnsiTheme="majorHAnsi" w:cstheme="majorHAnsi"/>
        </w:rPr>
        <w:t>Grembergen</w:t>
      </w:r>
      <w:proofErr w:type="spellEnd"/>
      <w:r w:rsidRPr="00BA700B">
        <w:rPr>
          <w:rFonts w:asciiTheme="majorHAnsi" w:hAnsiTheme="majorHAnsi" w:cstheme="majorHAnsi"/>
        </w:rPr>
        <w:t xml:space="preserve"> and S. De Haes, “A research journey into enterprise governance of IT, business/IT alignment and value creation,” </w:t>
      </w:r>
      <w:r w:rsidRPr="00BA700B">
        <w:rPr>
          <w:rFonts w:asciiTheme="majorHAnsi" w:hAnsiTheme="majorHAnsi" w:cstheme="majorHAnsi"/>
          <w:i/>
          <w:iCs/>
        </w:rPr>
        <w:t>Journal of Management Information Systems</w:t>
      </w:r>
      <w:r w:rsidRPr="00BA700B">
        <w:rPr>
          <w:rFonts w:asciiTheme="majorHAnsi" w:hAnsiTheme="majorHAnsi" w:cstheme="majorHAnsi"/>
        </w:rPr>
        <w:t>, vol. 29, no. 2, pp. 23–38, 2012.</w:t>
      </w:r>
    </w:p>
    <w:p w14:paraId="4A2B32B8" w14:textId="77777777" w:rsidR="000176D3" w:rsidRPr="00BA700B" w:rsidRDefault="000176D3" w:rsidP="000176D3">
      <w:pPr>
        <w:jc w:val="both"/>
        <w:rPr>
          <w:rFonts w:asciiTheme="majorHAnsi" w:hAnsiTheme="majorHAnsi" w:cstheme="majorHAnsi"/>
        </w:rPr>
      </w:pPr>
    </w:p>
    <w:p w14:paraId="1AFE11FA" w14:textId="7645A823" w:rsidR="007454A8" w:rsidRPr="00BA700B" w:rsidRDefault="007454A8" w:rsidP="00B362B3">
      <w:pPr>
        <w:jc w:val="both"/>
        <w:rPr>
          <w:rFonts w:asciiTheme="majorHAnsi" w:hAnsiTheme="majorHAnsi" w:cstheme="majorHAnsi"/>
        </w:rPr>
      </w:pPr>
    </w:p>
    <w:sectPr w:rsidR="007454A8" w:rsidRPr="00BA700B" w:rsidSect="00870EAD">
      <w:headerReference w:type="default" r:id="rId16"/>
      <w:footerReference w:type="default" r:id="rId17"/>
      <w:pgSz w:w="12240" w:h="15840"/>
      <w:pgMar w:top="1440" w:right="1440" w:bottom="144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C5388" w14:textId="77777777" w:rsidR="0027748C" w:rsidRDefault="0027748C" w:rsidP="00047558">
      <w:pPr>
        <w:spacing w:after="0" w:line="240" w:lineRule="auto"/>
      </w:pPr>
      <w:r>
        <w:separator/>
      </w:r>
    </w:p>
  </w:endnote>
  <w:endnote w:type="continuationSeparator" w:id="0">
    <w:p w14:paraId="6C13125B" w14:textId="77777777" w:rsidR="0027748C" w:rsidRDefault="0027748C" w:rsidP="00047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54943"/>
      <w:docPartObj>
        <w:docPartGallery w:val="Page Numbers (Bottom of Page)"/>
        <w:docPartUnique/>
      </w:docPartObj>
    </w:sdtPr>
    <w:sdtEndPr>
      <w:rPr>
        <w:color w:val="7F7F7F" w:themeColor="background1" w:themeShade="7F"/>
        <w:spacing w:val="60"/>
      </w:rPr>
    </w:sdtEndPr>
    <w:sdtContent>
      <w:p w14:paraId="3FE90DDF" w14:textId="6CE0A099" w:rsidR="00047558" w:rsidRDefault="0004755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w:t>
        </w:r>
      </w:p>
    </w:sdtContent>
  </w:sdt>
  <w:p w14:paraId="61AD46A4" w14:textId="77777777" w:rsidR="00047558" w:rsidRDefault="00047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A52A3" w14:textId="77777777" w:rsidR="0027748C" w:rsidRDefault="0027748C" w:rsidP="00047558">
      <w:pPr>
        <w:spacing w:after="0" w:line="240" w:lineRule="auto"/>
      </w:pPr>
      <w:r>
        <w:separator/>
      </w:r>
    </w:p>
  </w:footnote>
  <w:footnote w:type="continuationSeparator" w:id="0">
    <w:p w14:paraId="5CF08BDC" w14:textId="77777777" w:rsidR="0027748C" w:rsidRDefault="0027748C" w:rsidP="00047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E74256" w14:textId="7F9EEECE" w:rsidR="00047558" w:rsidRDefault="00047558">
    <w:pPr>
      <w:pStyle w:val="Header"/>
    </w:pPr>
    <w:r>
      <w:t>Raj Bhatia</w:t>
    </w:r>
    <w:r w:rsidR="00846278">
      <w:tab/>
    </w:r>
    <w:r w:rsidR="00846278">
      <w:tab/>
    </w:r>
    <w:r w:rsidR="00846278" w:rsidRPr="00846278">
      <w:t>2522682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E0AED"/>
    <w:multiLevelType w:val="hybridMultilevel"/>
    <w:tmpl w:val="B518CD4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CF0FA2"/>
    <w:multiLevelType w:val="hybridMultilevel"/>
    <w:tmpl w:val="FEACB2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2853E7"/>
    <w:multiLevelType w:val="multilevel"/>
    <w:tmpl w:val="4CBAD4D2"/>
    <w:lvl w:ilvl="0">
      <w:start w:val="1"/>
      <w:numFmt w:val="decimal"/>
      <w:lvlText w:val="%1."/>
      <w:lvlJc w:val="left"/>
      <w:pPr>
        <w:ind w:left="720" w:hanging="360"/>
      </w:pPr>
      <w:rPr>
        <w:rFonts w:hint="default"/>
        <w:color w:val="auto"/>
      </w:rPr>
    </w:lvl>
    <w:lvl w:ilvl="1">
      <w:start w:val="1"/>
      <w:numFmt w:val="decimal"/>
      <w:isLgl/>
      <w:lvlText w:val="%1.%2"/>
      <w:lvlJc w:val="left"/>
      <w:pPr>
        <w:ind w:left="840" w:hanging="480"/>
      </w:pPr>
      <w:rPr>
        <w:rFonts w:asciiTheme="majorHAnsi" w:eastAsiaTheme="majorEastAsia" w:hAnsiTheme="majorHAnsi" w:cstheme="majorBidi" w:hint="default"/>
        <w:sz w:val="32"/>
      </w:rPr>
    </w:lvl>
    <w:lvl w:ilvl="2">
      <w:start w:val="1"/>
      <w:numFmt w:val="decimal"/>
      <w:isLgl/>
      <w:lvlText w:val="%1.%2.%3"/>
      <w:lvlJc w:val="left"/>
      <w:pPr>
        <w:ind w:left="1080" w:hanging="720"/>
      </w:pPr>
      <w:rPr>
        <w:rFonts w:asciiTheme="majorHAnsi" w:eastAsiaTheme="majorEastAsia" w:hAnsiTheme="majorHAnsi" w:cstheme="majorBidi" w:hint="default"/>
        <w:sz w:val="32"/>
      </w:rPr>
    </w:lvl>
    <w:lvl w:ilvl="3">
      <w:start w:val="1"/>
      <w:numFmt w:val="decimal"/>
      <w:isLgl/>
      <w:lvlText w:val="%1.%2.%3.%4"/>
      <w:lvlJc w:val="left"/>
      <w:pPr>
        <w:ind w:left="1080" w:hanging="720"/>
      </w:pPr>
      <w:rPr>
        <w:rFonts w:asciiTheme="majorHAnsi" w:eastAsiaTheme="majorEastAsia" w:hAnsiTheme="majorHAnsi" w:cstheme="majorBidi" w:hint="default"/>
        <w:sz w:val="32"/>
      </w:rPr>
    </w:lvl>
    <w:lvl w:ilvl="4">
      <w:start w:val="1"/>
      <w:numFmt w:val="decimal"/>
      <w:isLgl/>
      <w:lvlText w:val="%1.%2.%3.%4.%5"/>
      <w:lvlJc w:val="left"/>
      <w:pPr>
        <w:ind w:left="1440" w:hanging="1080"/>
      </w:pPr>
      <w:rPr>
        <w:rFonts w:asciiTheme="majorHAnsi" w:eastAsiaTheme="majorEastAsia" w:hAnsiTheme="majorHAnsi" w:cstheme="majorBidi" w:hint="default"/>
        <w:sz w:val="32"/>
      </w:rPr>
    </w:lvl>
    <w:lvl w:ilvl="5">
      <w:start w:val="1"/>
      <w:numFmt w:val="decimal"/>
      <w:isLgl/>
      <w:lvlText w:val="%1.%2.%3.%4.%5.%6"/>
      <w:lvlJc w:val="left"/>
      <w:pPr>
        <w:ind w:left="1440" w:hanging="1080"/>
      </w:pPr>
      <w:rPr>
        <w:rFonts w:asciiTheme="majorHAnsi" w:eastAsiaTheme="majorEastAsia" w:hAnsiTheme="majorHAnsi" w:cstheme="majorBidi" w:hint="default"/>
        <w:sz w:val="32"/>
      </w:rPr>
    </w:lvl>
    <w:lvl w:ilvl="6">
      <w:start w:val="1"/>
      <w:numFmt w:val="decimal"/>
      <w:isLgl/>
      <w:lvlText w:val="%1.%2.%3.%4.%5.%6.%7"/>
      <w:lvlJc w:val="left"/>
      <w:pPr>
        <w:ind w:left="1800" w:hanging="1440"/>
      </w:pPr>
      <w:rPr>
        <w:rFonts w:asciiTheme="majorHAnsi" w:eastAsiaTheme="majorEastAsia" w:hAnsiTheme="majorHAnsi" w:cstheme="majorBidi" w:hint="default"/>
        <w:sz w:val="32"/>
      </w:rPr>
    </w:lvl>
    <w:lvl w:ilvl="7">
      <w:start w:val="1"/>
      <w:numFmt w:val="decimal"/>
      <w:isLgl/>
      <w:lvlText w:val="%1.%2.%3.%4.%5.%6.%7.%8"/>
      <w:lvlJc w:val="left"/>
      <w:pPr>
        <w:ind w:left="1800" w:hanging="1440"/>
      </w:pPr>
      <w:rPr>
        <w:rFonts w:asciiTheme="majorHAnsi" w:eastAsiaTheme="majorEastAsia" w:hAnsiTheme="majorHAnsi" w:cstheme="majorBidi" w:hint="default"/>
        <w:sz w:val="32"/>
      </w:rPr>
    </w:lvl>
    <w:lvl w:ilvl="8">
      <w:start w:val="1"/>
      <w:numFmt w:val="decimal"/>
      <w:isLgl/>
      <w:lvlText w:val="%1.%2.%3.%4.%5.%6.%7.%8.%9"/>
      <w:lvlJc w:val="left"/>
      <w:pPr>
        <w:ind w:left="2160" w:hanging="1800"/>
      </w:pPr>
      <w:rPr>
        <w:rFonts w:asciiTheme="majorHAnsi" w:eastAsiaTheme="majorEastAsia" w:hAnsiTheme="majorHAnsi" w:cstheme="majorBidi" w:hint="default"/>
        <w:sz w:val="32"/>
      </w:rPr>
    </w:lvl>
  </w:abstractNum>
  <w:num w:numId="1" w16cid:durableId="896626898">
    <w:abstractNumId w:val="1"/>
  </w:num>
  <w:num w:numId="2" w16cid:durableId="771899330">
    <w:abstractNumId w:val="2"/>
  </w:num>
  <w:num w:numId="3" w16cid:durableId="2028365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558"/>
    <w:rsid w:val="0000682A"/>
    <w:rsid w:val="000176D3"/>
    <w:rsid w:val="00047558"/>
    <w:rsid w:val="00077639"/>
    <w:rsid w:val="000B11A0"/>
    <w:rsid w:val="000F3664"/>
    <w:rsid w:val="00134D11"/>
    <w:rsid w:val="00137E99"/>
    <w:rsid w:val="001E0328"/>
    <w:rsid w:val="001F3BC5"/>
    <w:rsid w:val="00230452"/>
    <w:rsid w:val="00252A68"/>
    <w:rsid w:val="00275710"/>
    <w:rsid w:val="00276871"/>
    <w:rsid w:val="00276AA2"/>
    <w:rsid w:val="0027748C"/>
    <w:rsid w:val="002D3F1A"/>
    <w:rsid w:val="002D5C30"/>
    <w:rsid w:val="002F3554"/>
    <w:rsid w:val="002F46EE"/>
    <w:rsid w:val="002F4BA7"/>
    <w:rsid w:val="00313904"/>
    <w:rsid w:val="00337AAA"/>
    <w:rsid w:val="00337DE8"/>
    <w:rsid w:val="00345304"/>
    <w:rsid w:val="0039129D"/>
    <w:rsid w:val="003A104F"/>
    <w:rsid w:val="003C2544"/>
    <w:rsid w:val="003C3922"/>
    <w:rsid w:val="003C485B"/>
    <w:rsid w:val="003C7014"/>
    <w:rsid w:val="00413706"/>
    <w:rsid w:val="00417D1D"/>
    <w:rsid w:val="0044407F"/>
    <w:rsid w:val="00450F88"/>
    <w:rsid w:val="004738A3"/>
    <w:rsid w:val="00484696"/>
    <w:rsid w:val="00492DC2"/>
    <w:rsid w:val="004A44E2"/>
    <w:rsid w:val="004B04E6"/>
    <w:rsid w:val="004E510B"/>
    <w:rsid w:val="004E66C6"/>
    <w:rsid w:val="00504EC7"/>
    <w:rsid w:val="00546DFE"/>
    <w:rsid w:val="005710E4"/>
    <w:rsid w:val="00592D28"/>
    <w:rsid w:val="005E61E4"/>
    <w:rsid w:val="006331FF"/>
    <w:rsid w:val="006336A4"/>
    <w:rsid w:val="0063728E"/>
    <w:rsid w:val="0066232D"/>
    <w:rsid w:val="00665976"/>
    <w:rsid w:val="006C67B1"/>
    <w:rsid w:val="006E531D"/>
    <w:rsid w:val="006F1CD7"/>
    <w:rsid w:val="00732E11"/>
    <w:rsid w:val="007454A8"/>
    <w:rsid w:val="00755261"/>
    <w:rsid w:val="007638A3"/>
    <w:rsid w:val="0078125A"/>
    <w:rsid w:val="0078356B"/>
    <w:rsid w:val="007864C2"/>
    <w:rsid w:val="007A3DE7"/>
    <w:rsid w:val="007D1EF4"/>
    <w:rsid w:val="007D5D9A"/>
    <w:rsid w:val="007E34B8"/>
    <w:rsid w:val="007E544B"/>
    <w:rsid w:val="00811C65"/>
    <w:rsid w:val="00822111"/>
    <w:rsid w:val="00842B88"/>
    <w:rsid w:val="00846278"/>
    <w:rsid w:val="008507A3"/>
    <w:rsid w:val="00870EAD"/>
    <w:rsid w:val="008E1A64"/>
    <w:rsid w:val="008E426E"/>
    <w:rsid w:val="00903F8F"/>
    <w:rsid w:val="00922F30"/>
    <w:rsid w:val="00934BDA"/>
    <w:rsid w:val="00971B52"/>
    <w:rsid w:val="0097230E"/>
    <w:rsid w:val="009A6AE0"/>
    <w:rsid w:val="009B6207"/>
    <w:rsid w:val="009F0D8C"/>
    <w:rsid w:val="00A21614"/>
    <w:rsid w:val="00A52806"/>
    <w:rsid w:val="00A96B37"/>
    <w:rsid w:val="00AB15CE"/>
    <w:rsid w:val="00AD51DD"/>
    <w:rsid w:val="00AF4211"/>
    <w:rsid w:val="00AF79BD"/>
    <w:rsid w:val="00B0192C"/>
    <w:rsid w:val="00B049EF"/>
    <w:rsid w:val="00B1630E"/>
    <w:rsid w:val="00B362B3"/>
    <w:rsid w:val="00B442EA"/>
    <w:rsid w:val="00B5217D"/>
    <w:rsid w:val="00B6159A"/>
    <w:rsid w:val="00B741E2"/>
    <w:rsid w:val="00B77C3B"/>
    <w:rsid w:val="00B9491F"/>
    <w:rsid w:val="00B949FA"/>
    <w:rsid w:val="00BA1A04"/>
    <w:rsid w:val="00BA700B"/>
    <w:rsid w:val="00BC7742"/>
    <w:rsid w:val="00BF29AB"/>
    <w:rsid w:val="00BF6EE9"/>
    <w:rsid w:val="00C16CDA"/>
    <w:rsid w:val="00C20424"/>
    <w:rsid w:val="00C70DEC"/>
    <w:rsid w:val="00C81BDD"/>
    <w:rsid w:val="00C864D7"/>
    <w:rsid w:val="00CA20DF"/>
    <w:rsid w:val="00CB05B1"/>
    <w:rsid w:val="00CC650F"/>
    <w:rsid w:val="00CE7008"/>
    <w:rsid w:val="00D01456"/>
    <w:rsid w:val="00D20828"/>
    <w:rsid w:val="00D47E77"/>
    <w:rsid w:val="00D8551F"/>
    <w:rsid w:val="00DB1225"/>
    <w:rsid w:val="00DD2F22"/>
    <w:rsid w:val="00DD5363"/>
    <w:rsid w:val="00E05CB2"/>
    <w:rsid w:val="00E129FD"/>
    <w:rsid w:val="00E228CE"/>
    <w:rsid w:val="00E31F3D"/>
    <w:rsid w:val="00E32FEE"/>
    <w:rsid w:val="00E366F9"/>
    <w:rsid w:val="00E37FEE"/>
    <w:rsid w:val="00E4516B"/>
    <w:rsid w:val="00E455A4"/>
    <w:rsid w:val="00E476A8"/>
    <w:rsid w:val="00E72A1F"/>
    <w:rsid w:val="00E743B6"/>
    <w:rsid w:val="00E96000"/>
    <w:rsid w:val="00EA1BB6"/>
    <w:rsid w:val="00ED009C"/>
    <w:rsid w:val="00EF6F15"/>
    <w:rsid w:val="00F004E9"/>
    <w:rsid w:val="00F01218"/>
    <w:rsid w:val="00F05B54"/>
    <w:rsid w:val="00F10994"/>
    <w:rsid w:val="00F178E2"/>
    <w:rsid w:val="00F27C77"/>
    <w:rsid w:val="00F55865"/>
    <w:rsid w:val="00F80193"/>
    <w:rsid w:val="00F862C2"/>
    <w:rsid w:val="00FA0CF4"/>
    <w:rsid w:val="00FE6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11BF12"/>
  <w15:chartTrackingRefBased/>
  <w15:docId w15:val="{845DBBDC-ADDE-4C24-A278-8251C042A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A1F"/>
  </w:style>
  <w:style w:type="paragraph" w:styleId="Heading1">
    <w:name w:val="heading 1"/>
    <w:basedOn w:val="Normal"/>
    <w:next w:val="Normal"/>
    <w:link w:val="Heading1Char"/>
    <w:uiPriority w:val="9"/>
    <w:qFormat/>
    <w:rsid w:val="000475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75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475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75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75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7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5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75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475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75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5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558"/>
    <w:rPr>
      <w:rFonts w:eastAsiaTheme="majorEastAsia" w:cstheme="majorBidi"/>
      <w:color w:val="272727" w:themeColor="text1" w:themeTint="D8"/>
    </w:rPr>
  </w:style>
  <w:style w:type="paragraph" w:styleId="Title">
    <w:name w:val="Title"/>
    <w:basedOn w:val="Normal"/>
    <w:next w:val="Normal"/>
    <w:link w:val="TitleChar"/>
    <w:uiPriority w:val="10"/>
    <w:qFormat/>
    <w:rsid w:val="00047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558"/>
    <w:pPr>
      <w:spacing w:before="160"/>
      <w:jc w:val="center"/>
    </w:pPr>
    <w:rPr>
      <w:i/>
      <w:iCs/>
      <w:color w:val="404040" w:themeColor="text1" w:themeTint="BF"/>
    </w:rPr>
  </w:style>
  <w:style w:type="character" w:customStyle="1" w:styleId="QuoteChar">
    <w:name w:val="Quote Char"/>
    <w:basedOn w:val="DefaultParagraphFont"/>
    <w:link w:val="Quote"/>
    <w:uiPriority w:val="29"/>
    <w:rsid w:val="00047558"/>
    <w:rPr>
      <w:i/>
      <w:iCs/>
      <w:color w:val="404040" w:themeColor="text1" w:themeTint="BF"/>
    </w:rPr>
  </w:style>
  <w:style w:type="paragraph" w:styleId="ListParagraph">
    <w:name w:val="List Paragraph"/>
    <w:basedOn w:val="Normal"/>
    <w:uiPriority w:val="34"/>
    <w:qFormat/>
    <w:rsid w:val="00047558"/>
    <w:pPr>
      <w:ind w:left="720"/>
      <w:contextualSpacing/>
    </w:pPr>
  </w:style>
  <w:style w:type="character" w:styleId="IntenseEmphasis">
    <w:name w:val="Intense Emphasis"/>
    <w:basedOn w:val="DefaultParagraphFont"/>
    <w:uiPriority w:val="21"/>
    <w:qFormat/>
    <w:rsid w:val="00047558"/>
    <w:rPr>
      <w:i/>
      <w:iCs/>
      <w:color w:val="2F5496" w:themeColor="accent1" w:themeShade="BF"/>
    </w:rPr>
  </w:style>
  <w:style w:type="paragraph" w:styleId="IntenseQuote">
    <w:name w:val="Intense Quote"/>
    <w:basedOn w:val="Normal"/>
    <w:next w:val="Normal"/>
    <w:link w:val="IntenseQuoteChar"/>
    <w:uiPriority w:val="30"/>
    <w:qFormat/>
    <w:rsid w:val="000475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7558"/>
    <w:rPr>
      <w:i/>
      <w:iCs/>
      <w:color w:val="2F5496" w:themeColor="accent1" w:themeShade="BF"/>
    </w:rPr>
  </w:style>
  <w:style w:type="character" w:styleId="IntenseReference">
    <w:name w:val="Intense Reference"/>
    <w:basedOn w:val="DefaultParagraphFont"/>
    <w:uiPriority w:val="32"/>
    <w:qFormat/>
    <w:rsid w:val="00047558"/>
    <w:rPr>
      <w:b/>
      <w:bCs/>
      <w:smallCaps/>
      <w:color w:val="2F5496" w:themeColor="accent1" w:themeShade="BF"/>
      <w:spacing w:val="5"/>
    </w:rPr>
  </w:style>
  <w:style w:type="paragraph" w:styleId="Header">
    <w:name w:val="header"/>
    <w:basedOn w:val="Normal"/>
    <w:link w:val="HeaderChar"/>
    <w:uiPriority w:val="99"/>
    <w:unhideWhenUsed/>
    <w:rsid w:val="000475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7558"/>
  </w:style>
  <w:style w:type="paragraph" w:styleId="Footer">
    <w:name w:val="footer"/>
    <w:basedOn w:val="Normal"/>
    <w:link w:val="FooterChar"/>
    <w:uiPriority w:val="99"/>
    <w:unhideWhenUsed/>
    <w:rsid w:val="000475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7558"/>
  </w:style>
  <w:style w:type="character" w:styleId="Hyperlink">
    <w:name w:val="Hyperlink"/>
    <w:basedOn w:val="DefaultParagraphFont"/>
    <w:uiPriority w:val="99"/>
    <w:unhideWhenUsed/>
    <w:rsid w:val="00047558"/>
    <w:rPr>
      <w:color w:val="0563C1" w:themeColor="hyperlink"/>
      <w:u w:val="single"/>
    </w:rPr>
  </w:style>
  <w:style w:type="character" w:styleId="UnresolvedMention">
    <w:name w:val="Unresolved Mention"/>
    <w:basedOn w:val="DefaultParagraphFont"/>
    <w:uiPriority w:val="99"/>
    <w:semiHidden/>
    <w:unhideWhenUsed/>
    <w:rsid w:val="00047558"/>
    <w:rPr>
      <w:color w:val="605E5C"/>
      <w:shd w:val="clear" w:color="auto" w:fill="E1DFDD"/>
    </w:rPr>
  </w:style>
  <w:style w:type="table" w:styleId="PlainTable5">
    <w:name w:val="Plain Table 5"/>
    <w:basedOn w:val="TableNormal"/>
    <w:uiPriority w:val="45"/>
    <w:rsid w:val="007D1EF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D1EF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665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B15C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B15CE"/>
    <w:rPr>
      <w:b/>
      <w:bCs/>
    </w:rPr>
  </w:style>
  <w:style w:type="character" w:customStyle="1" w:styleId="whitespace-normal">
    <w:name w:val="whitespace-normal"/>
    <w:basedOn w:val="DefaultParagraphFont"/>
    <w:rsid w:val="00AB15CE"/>
  </w:style>
  <w:style w:type="character" w:styleId="FollowedHyperlink">
    <w:name w:val="FollowedHyperlink"/>
    <w:basedOn w:val="DefaultParagraphFont"/>
    <w:uiPriority w:val="99"/>
    <w:semiHidden/>
    <w:unhideWhenUsed/>
    <w:rsid w:val="00811C65"/>
    <w:rPr>
      <w:color w:val="954F72" w:themeColor="followedHyperlink"/>
      <w:u w:val="single"/>
    </w:rPr>
  </w:style>
  <w:style w:type="paragraph" w:styleId="NoSpacing">
    <w:name w:val="No Spacing"/>
    <w:uiPriority w:val="1"/>
    <w:qFormat/>
    <w:rsid w:val="00AF421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google.com/search?q=https://doi.org/10.1109/smart63812.2024.10882514"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64803/cessmuds.v1i1.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9A32E-B7F7-47AB-8099-FED59BF86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4873</TotalTime>
  <Pages>26</Pages>
  <Words>6957</Words>
  <Characters>39655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Bhatia</dc:creator>
  <cp:keywords/>
  <dc:description/>
  <cp:lastModifiedBy>Raj Bhatia</cp:lastModifiedBy>
  <cp:revision>62</cp:revision>
  <cp:lastPrinted>2026-04-04T20:02:00Z</cp:lastPrinted>
  <dcterms:created xsi:type="dcterms:W3CDTF">2026-03-14T13:16:00Z</dcterms:created>
  <dcterms:modified xsi:type="dcterms:W3CDTF">2026-04-04T20:13:00Z</dcterms:modified>
</cp:coreProperties>
</file>