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03CB26C7" w:rsidR="007E7745" w:rsidRPr="00C03A91" w:rsidRDefault="007E7745" w:rsidP="00C03A91">
      <w:pPr>
        <w:spacing w:line="360" w:lineRule="auto"/>
        <w:rPr>
          <w:rFonts w:ascii="Arial" w:hAnsi="Arial" w:cs="Arial"/>
        </w:rPr>
      </w:pPr>
      <w:bookmarkStart w:id="0" w:name="_Hlk215822812"/>
      <w:bookmarkEnd w:id="0"/>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E1321E7" w:rsidR="00EB12BC" w:rsidRPr="00076AC0" w:rsidRDefault="00EB12BC" w:rsidP="00FE5E38">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CA26DC">
        <w:rPr>
          <w:rFonts w:ascii="Arial" w:hAnsi="Arial" w:cs="Arial"/>
          <w:sz w:val="28"/>
          <w:szCs w:val="28"/>
          <w:lang w:val="nl-NL"/>
        </w:rPr>
        <w:t xml:space="preserve"> Hajar Muzemil </w:t>
      </w:r>
    </w:p>
    <w:p w14:paraId="3C83A8A7" w14:textId="30274EC2" w:rsidR="00EB12BC" w:rsidRPr="00076AC0" w:rsidRDefault="00EB12BC" w:rsidP="00FE5E38">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CA26DC">
        <w:rPr>
          <w:rFonts w:ascii="Arial" w:hAnsi="Arial" w:cs="Arial"/>
          <w:sz w:val="28"/>
          <w:szCs w:val="28"/>
          <w:lang w:val="nl-NL"/>
        </w:rPr>
        <w:t xml:space="preserve"> 24014545</w:t>
      </w:r>
    </w:p>
    <w:p w14:paraId="23BAC9B9" w14:textId="23F67D6E" w:rsidR="00EB12BC" w:rsidRPr="00076AC0" w:rsidRDefault="00EB12BC" w:rsidP="00FE5E38">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FE5E38" w:rsidRPr="00FE5E38">
        <w:rPr>
          <w:rFonts w:ascii="Arial" w:hAnsi="Arial" w:cs="Arial"/>
          <w:sz w:val="28"/>
          <w:szCs w:val="28"/>
        </w:rPr>
        <w:t>Introduction to Physiology</w:t>
      </w:r>
    </w:p>
    <w:p w14:paraId="4FD97C8C" w14:textId="3F0FEC02" w:rsidR="00EB12BC" w:rsidRPr="00C03A91" w:rsidRDefault="00EB12BC" w:rsidP="00FE5E38">
      <w:pPr>
        <w:tabs>
          <w:tab w:val="left" w:pos="6540"/>
        </w:tabs>
        <w:spacing w:line="360" w:lineRule="auto"/>
        <w:jc w:val="both"/>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7331E3" w:rsidRPr="007331E3">
        <w:t xml:space="preserve"> </w:t>
      </w:r>
      <w:r w:rsidR="007331E3" w:rsidRPr="007331E3">
        <w:rPr>
          <w:rFonts w:ascii="Arial" w:hAnsi="Arial" w:cs="Arial"/>
          <w:sz w:val="28"/>
          <w:szCs w:val="28"/>
        </w:rPr>
        <w:t>BMHP5023</w:t>
      </w:r>
      <w:r w:rsidR="007331E3">
        <w:rPr>
          <w:rFonts w:ascii="Arial" w:hAnsi="Arial" w:cs="Arial"/>
          <w:sz w:val="28"/>
          <w:szCs w:val="28"/>
        </w:rPr>
        <w:t xml:space="preserve"> </w:t>
      </w:r>
    </w:p>
    <w:p w14:paraId="658BE57E" w14:textId="54ECCA60" w:rsidR="00EB12BC" w:rsidRPr="00C03A91" w:rsidRDefault="00EB12BC" w:rsidP="00FE5E38">
      <w:pPr>
        <w:tabs>
          <w:tab w:val="left" w:pos="6540"/>
        </w:tabs>
        <w:spacing w:line="360" w:lineRule="auto"/>
        <w:jc w:val="both"/>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422E34">
        <w:rPr>
          <w:rFonts w:ascii="Arial" w:hAnsi="Arial" w:cs="Arial"/>
          <w:sz w:val="28"/>
          <w:szCs w:val="28"/>
        </w:rPr>
        <w:t xml:space="preserve"> </w:t>
      </w:r>
      <w:r w:rsidR="00422E34" w:rsidRPr="00422E34">
        <w:rPr>
          <w:rFonts w:ascii="Arial" w:hAnsi="Arial" w:cs="Arial"/>
          <w:sz w:val="28"/>
          <w:szCs w:val="28"/>
        </w:rPr>
        <w:t>Shaila Hussain</w:t>
      </w:r>
    </w:p>
    <w:p w14:paraId="53B923F4" w14:textId="119B7A4F" w:rsidR="001B7A40" w:rsidRPr="00C03A91" w:rsidRDefault="001B7A40" w:rsidP="00FE5E38">
      <w:pPr>
        <w:tabs>
          <w:tab w:val="left" w:pos="6540"/>
        </w:tabs>
        <w:spacing w:line="360" w:lineRule="auto"/>
        <w:jc w:val="both"/>
        <w:rPr>
          <w:rFonts w:ascii="Arial" w:hAnsi="Arial" w:cs="Arial"/>
          <w:b/>
          <w:bCs/>
          <w:sz w:val="28"/>
          <w:szCs w:val="28"/>
        </w:rPr>
      </w:pPr>
      <w:r w:rsidRPr="00C03A91">
        <w:rPr>
          <w:rFonts w:ascii="Arial" w:hAnsi="Arial" w:cs="Arial"/>
          <w:b/>
          <w:bCs/>
          <w:sz w:val="28"/>
          <w:szCs w:val="28"/>
        </w:rPr>
        <w:t xml:space="preserve">Assessment: </w:t>
      </w:r>
      <w:r w:rsidR="0064109C" w:rsidRPr="00D106A4">
        <w:rPr>
          <w:rFonts w:ascii="Arial" w:hAnsi="Arial" w:cs="Arial"/>
          <w:sz w:val="28"/>
          <w:szCs w:val="28"/>
        </w:rPr>
        <w:t>Component 1</w:t>
      </w:r>
    </w:p>
    <w:p w14:paraId="36E012A0" w14:textId="4D376276" w:rsidR="000C4EDA" w:rsidRPr="00C03A91" w:rsidRDefault="000C4EDA" w:rsidP="00FE5E38">
      <w:pPr>
        <w:tabs>
          <w:tab w:val="left" w:pos="6540"/>
        </w:tabs>
        <w:spacing w:line="360" w:lineRule="auto"/>
        <w:jc w:val="both"/>
        <w:rPr>
          <w:rFonts w:ascii="Arial" w:hAnsi="Arial" w:cs="Arial"/>
          <w:sz w:val="28"/>
          <w:szCs w:val="28"/>
        </w:rPr>
      </w:pPr>
    </w:p>
    <w:p w14:paraId="3EDE439F" w14:textId="77777777" w:rsidR="008E5F4D" w:rsidRDefault="008E5F4D" w:rsidP="00C03A91">
      <w:pPr>
        <w:spacing w:line="360" w:lineRule="auto"/>
        <w:rPr>
          <w:rFonts w:ascii="Arial" w:hAnsi="Arial" w:cs="Arial"/>
          <w:sz w:val="28"/>
          <w:szCs w:val="28"/>
        </w:rPr>
      </w:pPr>
    </w:p>
    <w:p w14:paraId="5B0CEEE2" w14:textId="77777777" w:rsidR="008E5F4D" w:rsidRDefault="008E5F4D" w:rsidP="00C03A91">
      <w:pPr>
        <w:spacing w:line="360" w:lineRule="auto"/>
        <w:rPr>
          <w:rFonts w:ascii="Arial" w:hAnsi="Arial" w:cs="Arial"/>
          <w:sz w:val="28"/>
          <w:szCs w:val="28"/>
        </w:rPr>
      </w:pPr>
    </w:p>
    <w:p w14:paraId="059D8350" w14:textId="77777777" w:rsidR="008E5F4D" w:rsidRDefault="008E5F4D" w:rsidP="00C03A91">
      <w:pPr>
        <w:spacing w:line="360" w:lineRule="auto"/>
        <w:rPr>
          <w:rFonts w:ascii="Arial" w:hAnsi="Arial" w:cs="Arial"/>
          <w:sz w:val="28"/>
          <w:szCs w:val="28"/>
        </w:rPr>
      </w:pPr>
    </w:p>
    <w:p w14:paraId="0C125104" w14:textId="77777777" w:rsidR="008E5F4D" w:rsidRDefault="008E5F4D" w:rsidP="00C03A91">
      <w:pPr>
        <w:spacing w:line="360" w:lineRule="auto"/>
        <w:rPr>
          <w:rFonts w:ascii="Arial" w:hAnsi="Arial" w:cs="Arial"/>
          <w:sz w:val="28"/>
          <w:szCs w:val="28"/>
        </w:rPr>
      </w:pPr>
    </w:p>
    <w:p w14:paraId="58506790" w14:textId="77777777" w:rsidR="008E5F4D" w:rsidRDefault="008E5F4D" w:rsidP="00C03A91">
      <w:pPr>
        <w:spacing w:line="360" w:lineRule="auto"/>
        <w:rPr>
          <w:rFonts w:ascii="Arial" w:hAnsi="Arial" w:cs="Arial"/>
          <w:sz w:val="28"/>
          <w:szCs w:val="28"/>
        </w:rPr>
      </w:pPr>
    </w:p>
    <w:p w14:paraId="1F4DFC41" w14:textId="77777777" w:rsidR="008E5F4D" w:rsidRDefault="008E5F4D" w:rsidP="00C03A91">
      <w:pPr>
        <w:spacing w:line="360" w:lineRule="auto"/>
        <w:rPr>
          <w:rFonts w:ascii="Arial" w:hAnsi="Arial" w:cs="Arial"/>
          <w:sz w:val="28"/>
          <w:szCs w:val="28"/>
        </w:rPr>
      </w:pPr>
    </w:p>
    <w:p w14:paraId="7718356A" w14:textId="77777777" w:rsidR="008E5F4D" w:rsidRDefault="008E5F4D" w:rsidP="00C03A91">
      <w:pPr>
        <w:spacing w:line="360" w:lineRule="auto"/>
        <w:rPr>
          <w:rFonts w:ascii="Arial" w:hAnsi="Arial" w:cs="Arial"/>
          <w:sz w:val="28"/>
          <w:szCs w:val="28"/>
        </w:rPr>
      </w:pPr>
    </w:p>
    <w:p w14:paraId="2929DC51" w14:textId="77777777" w:rsidR="008E5F4D" w:rsidRDefault="008E5F4D" w:rsidP="00C03A91">
      <w:pPr>
        <w:spacing w:line="360" w:lineRule="auto"/>
        <w:rPr>
          <w:rFonts w:ascii="Arial" w:hAnsi="Arial" w:cs="Arial"/>
          <w:sz w:val="28"/>
          <w:szCs w:val="28"/>
        </w:rPr>
      </w:pPr>
    </w:p>
    <w:p w14:paraId="023CD2D5" w14:textId="77777777" w:rsidR="008E5F4D" w:rsidRDefault="008E5F4D" w:rsidP="00C03A91">
      <w:pPr>
        <w:spacing w:line="360" w:lineRule="auto"/>
        <w:rPr>
          <w:rFonts w:ascii="Arial" w:hAnsi="Arial" w:cs="Arial"/>
          <w:sz w:val="28"/>
          <w:szCs w:val="28"/>
        </w:rPr>
      </w:pPr>
    </w:p>
    <w:p w14:paraId="508B0118" w14:textId="77777777" w:rsidR="002527AE" w:rsidRDefault="002527AE" w:rsidP="00C03A91">
      <w:pPr>
        <w:spacing w:line="360" w:lineRule="auto"/>
        <w:rPr>
          <w:rFonts w:ascii="Arial" w:hAnsi="Arial" w:cs="Arial"/>
          <w:sz w:val="28"/>
          <w:szCs w:val="28"/>
        </w:rPr>
      </w:pPr>
    </w:p>
    <w:sdt>
      <w:sdtPr>
        <w:rPr>
          <w:rFonts w:ascii="Times New Roman" w:eastAsiaTheme="minorHAnsi" w:hAnsi="Times New Roman" w:cstheme="minorBidi"/>
          <w:color w:val="auto"/>
          <w:sz w:val="24"/>
          <w:szCs w:val="22"/>
          <w:lang w:val="en-GB"/>
        </w:rPr>
        <w:id w:val="755328465"/>
        <w:docPartObj>
          <w:docPartGallery w:val="Table of Contents"/>
          <w:docPartUnique/>
        </w:docPartObj>
      </w:sdtPr>
      <w:sdtEndPr>
        <w:rPr>
          <w:b/>
          <w:bCs/>
          <w:noProof/>
        </w:rPr>
      </w:sdtEndPr>
      <w:sdtContent>
        <w:p w14:paraId="5795B5D1" w14:textId="683363A6" w:rsidR="002527AE" w:rsidRDefault="002527AE" w:rsidP="002527AE">
          <w:pPr>
            <w:pStyle w:val="TOCHeading"/>
          </w:pPr>
          <w:r>
            <w:t>Contents</w:t>
          </w:r>
        </w:p>
        <w:p w14:paraId="68A0158D" w14:textId="4DA04066" w:rsidR="00E963BD" w:rsidRDefault="002527AE">
          <w:pPr>
            <w:pStyle w:val="TOC1"/>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15832925" w:history="1">
            <w:r w:rsidR="00E963BD" w:rsidRPr="00CA07E8">
              <w:rPr>
                <w:rStyle w:val="Hyperlink"/>
                <w:noProof/>
              </w:rPr>
              <w:t>Introduction</w:t>
            </w:r>
            <w:r w:rsidR="00E963BD">
              <w:rPr>
                <w:noProof/>
                <w:webHidden/>
              </w:rPr>
              <w:tab/>
            </w:r>
            <w:r w:rsidR="00E963BD">
              <w:rPr>
                <w:noProof/>
                <w:webHidden/>
              </w:rPr>
              <w:fldChar w:fldCharType="begin"/>
            </w:r>
            <w:r w:rsidR="00E963BD">
              <w:rPr>
                <w:noProof/>
                <w:webHidden/>
              </w:rPr>
              <w:instrText xml:space="preserve"> PAGEREF _Toc215832925 \h </w:instrText>
            </w:r>
            <w:r w:rsidR="00E963BD">
              <w:rPr>
                <w:noProof/>
                <w:webHidden/>
              </w:rPr>
            </w:r>
            <w:r w:rsidR="00E963BD">
              <w:rPr>
                <w:noProof/>
                <w:webHidden/>
              </w:rPr>
              <w:fldChar w:fldCharType="separate"/>
            </w:r>
            <w:r w:rsidR="00E963BD">
              <w:rPr>
                <w:noProof/>
                <w:webHidden/>
              </w:rPr>
              <w:t>3</w:t>
            </w:r>
            <w:r w:rsidR="00E963BD">
              <w:rPr>
                <w:noProof/>
                <w:webHidden/>
              </w:rPr>
              <w:fldChar w:fldCharType="end"/>
            </w:r>
          </w:hyperlink>
        </w:p>
        <w:p w14:paraId="6067A1C1" w14:textId="240CD6C9" w:rsidR="00E963BD" w:rsidRDefault="00E963BD">
          <w:pPr>
            <w:pStyle w:val="TOC2"/>
            <w:tabs>
              <w:tab w:val="right" w:leader="dot" w:pos="9016"/>
            </w:tabs>
            <w:rPr>
              <w:rFonts w:asciiTheme="minorHAnsi" w:eastAsiaTheme="minorEastAsia" w:hAnsiTheme="minorHAnsi"/>
              <w:noProof/>
              <w:kern w:val="2"/>
              <w:szCs w:val="24"/>
              <w:lang w:val="en-US"/>
              <w14:ligatures w14:val="standardContextual"/>
            </w:rPr>
          </w:pPr>
          <w:hyperlink w:anchor="_Toc215832926" w:history="1">
            <w:r w:rsidRPr="00CA07E8">
              <w:rPr>
                <w:rStyle w:val="Hyperlink"/>
                <w:noProof/>
              </w:rPr>
              <w:t>2. Blood Sugar Regulation</w:t>
            </w:r>
            <w:r>
              <w:rPr>
                <w:noProof/>
                <w:webHidden/>
              </w:rPr>
              <w:tab/>
            </w:r>
            <w:r>
              <w:rPr>
                <w:noProof/>
                <w:webHidden/>
              </w:rPr>
              <w:fldChar w:fldCharType="begin"/>
            </w:r>
            <w:r>
              <w:rPr>
                <w:noProof/>
                <w:webHidden/>
              </w:rPr>
              <w:instrText xml:space="preserve"> PAGEREF _Toc215832926 \h </w:instrText>
            </w:r>
            <w:r>
              <w:rPr>
                <w:noProof/>
                <w:webHidden/>
              </w:rPr>
            </w:r>
            <w:r>
              <w:rPr>
                <w:noProof/>
                <w:webHidden/>
              </w:rPr>
              <w:fldChar w:fldCharType="separate"/>
            </w:r>
            <w:r>
              <w:rPr>
                <w:noProof/>
                <w:webHidden/>
              </w:rPr>
              <w:t>4</w:t>
            </w:r>
            <w:r>
              <w:rPr>
                <w:noProof/>
                <w:webHidden/>
              </w:rPr>
              <w:fldChar w:fldCharType="end"/>
            </w:r>
          </w:hyperlink>
        </w:p>
        <w:p w14:paraId="02B559A9" w14:textId="4C52CB9A" w:rsidR="00E963BD" w:rsidRDefault="00E963BD">
          <w:pPr>
            <w:pStyle w:val="TOC1"/>
            <w:rPr>
              <w:rFonts w:asciiTheme="minorHAnsi" w:eastAsiaTheme="minorEastAsia" w:hAnsiTheme="minorHAnsi"/>
              <w:noProof/>
              <w:kern w:val="2"/>
              <w:szCs w:val="24"/>
              <w:lang w:val="en-US"/>
              <w14:ligatures w14:val="standardContextual"/>
            </w:rPr>
          </w:pPr>
          <w:hyperlink w:anchor="_Toc215832927" w:history="1">
            <w:r w:rsidRPr="00CA07E8">
              <w:rPr>
                <w:rStyle w:val="Hyperlink"/>
                <w:noProof/>
              </w:rPr>
              <w:t>3. Cellular Metabolism</w:t>
            </w:r>
            <w:r>
              <w:rPr>
                <w:noProof/>
                <w:webHidden/>
              </w:rPr>
              <w:tab/>
            </w:r>
            <w:r>
              <w:rPr>
                <w:noProof/>
                <w:webHidden/>
              </w:rPr>
              <w:fldChar w:fldCharType="begin"/>
            </w:r>
            <w:r>
              <w:rPr>
                <w:noProof/>
                <w:webHidden/>
              </w:rPr>
              <w:instrText xml:space="preserve"> PAGEREF _Toc215832927 \h </w:instrText>
            </w:r>
            <w:r>
              <w:rPr>
                <w:noProof/>
                <w:webHidden/>
              </w:rPr>
            </w:r>
            <w:r>
              <w:rPr>
                <w:noProof/>
                <w:webHidden/>
              </w:rPr>
              <w:fldChar w:fldCharType="separate"/>
            </w:r>
            <w:r>
              <w:rPr>
                <w:noProof/>
                <w:webHidden/>
              </w:rPr>
              <w:t>5</w:t>
            </w:r>
            <w:r>
              <w:rPr>
                <w:noProof/>
                <w:webHidden/>
              </w:rPr>
              <w:fldChar w:fldCharType="end"/>
            </w:r>
          </w:hyperlink>
        </w:p>
        <w:p w14:paraId="023D5521" w14:textId="501AF79C" w:rsidR="00E963BD" w:rsidRDefault="00E963BD">
          <w:pPr>
            <w:pStyle w:val="TOC1"/>
            <w:rPr>
              <w:rFonts w:asciiTheme="minorHAnsi" w:eastAsiaTheme="minorEastAsia" w:hAnsiTheme="minorHAnsi"/>
              <w:noProof/>
              <w:kern w:val="2"/>
              <w:szCs w:val="24"/>
              <w:lang w:val="en-US"/>
              <w14:ligatures w14:val="standardContextual"/>
            </w:rPr>
          </w:pPr>
          <w:hyperlink w:anchor="_Toc215832928" w:history="1">
            <w:r w:rsidRPr="00CA07E8">
              <w:rPr>
                <w:rStyle w:val="Hyperlink"/>
                <w:noProof/>
              </w:rPr>
              <w:t>4. Risk Factors and their Physiological Impact</w:t>
            </w:r>
            <w:r>
              <w:rPr>
                <w:noProof/>
                <w:webHidden/>
              </w:rPr>
              <w:tab/>
            </w:r>
            <w:r>
              <w:rPr>
                <w:noProof/>
                <w:webHidden/>
              </w:rPr>
              <w:fldChar w:fldCharType="begin"/>
            </w:r>
            <w:r>
              <w:rPr>
                <w:noProof/>
                <w:webHidden/>
              </w:rPr>
              <w:instrText xml:space="preserve"> PAGEREF _Toc215832928 \h </w:instrText>
            </w:r>
            <w:r>
              <w:rPr>
                <w:noProof/>
                <w:webHidden/>
              </w:rPr>
            </w:r>
            <w:r>
              <w:rPr>
                <w:noProof/>
                <w:webHidden/>
              </w:rPr>
              <w:fldChar w:fldCharType="separate"/>
            </w:r>
            <w:r>
              <w:rPr>
                <w:noProof/>
                <w:webHidden/>
              </w:rPr>
              <w:t>6</w:t>
            </w:r>
            <w:r>
              <w:rPr>
                <w:noProof/>
                <w:webHidden/>
              </w:rPr>
              <w:fldChar w:fldCharType="end"/>
            </w:r>
          </w:hyperlink>
        </w:p>
        <w:p w14:paraId="05F79754" w14:textId="712CB493" w:rsidR="00E963BD" w:rsidRDefault="00E963BD">
          <w:pPr>
            <w:pStyle w:val="TOC1"/>
            <w:rPr>
              <w:rFonts w:asciiTheme="minorHAnsi" w:eastAsiaTheme="minorEastAsia" w:hAnsiTheme="minorHAnsi"/>
              <w:noProof/>
              <w:kern w:val="2"/>
              <w:szCs w:val="24"/>
              <w:lang w:val="en-US"/>
              <w14:ligatures w14:val="standardContextual"/>
            </w:rPr>
          </w:pPr>
          <w:hyperlink w:anchor="_Toc215832929" w:history="1">
            <w:r w:rsidRPr="00CA07E8">
              <w:rPr>
                <w:rStyle w:val="Hyperlink"/>
                <w:noProof/>
              </w:rPr>
              <w:t>5. Recording and Tracking Blood Sugar Levels for Type 2 Diabetes</w:t>
            </w:r>
            <w:r>
              <w:rPr>
                <w:noProof/>
                <w:webHidden/>
              </w:rPr>
              <w:tab/>
            </w:r>
            <w:r>
              <w:rPr>
                <w:noProof/>
                <w:webHidden/>
              </w:rPr>
              <w:fldChar w:fldCharType="begin"/>
            </w:r>
            <w:r>
              <w:rPr>
                <w:noProof/>
                <w:webHidden/>
              </w:rPr>
              <w:instrText xml:space="preserve"> PAGEREF _Toc215832929 \h </w:instrText>
            </w:r>
            <w:r>
              <w:rPr>
                <w:noProof/>
                <w:webHidden/>
              </w:rPr>
            </w:r>
            <w:r>
              <w:rPr>
                <w:noProof/>
                <w:webHidden/>
              </w:rPr>
              <w:fldChar w:fldCharType="separate"/>
            </w:r>
            <w:r>
              <w:rPr>
                <w:noProof/>
                <w:webHidden/>
              </w:rPr>
              <w:t>8</w:t>
            </w:r>
            <w:r>
              <w:rPr>
                <w:noProof/>
                <w:webHidden/>
              </w:rPr>
              <w:fldChar w:fldCharType="end"/>
            </w:r>
          </w:hyperlink>
        </w:p>
        <w:p w14:paraId="06752ECE" w14:textId="50FF20FC" w:rsidR="00E963BD" w:rsidRDefault="00E963BD">
          <w:pPr>
            <w:pStyle w:val="TOC1"/>
            <w:rPr>
              <w:rFonts w:asciiTheme="minorHAnsi" w:eastAsiaTheme="minorEastAsia" w:hAnsiTheme="minorHAnsi"/>
              <w:noProof/>
              <w:kern w:val="2"/>
              <w:szCs w:val="24"/>
              <w:lang w:val="en-US"/>
              <w14:ligatures w14:val="standardContextual"/>
            </w:rPr>
          </w:pPr>
          <w:hyperlink w:anchor="_Toc215832930" w:history="1">
            <w:r w:rsidRPr="00CA07E8">
              <w:rPr>
                <w:rStyle w:val="Hyperlink"/>
                <w:noProof/>
              </w:rPr>
              <w:t>6. Recommendations</w:t>
            </w:r>
            <w:r>
              <w:rPr>
                <w:noProof/>
                <w:webHidden/>
              </w:rPr>
              <w:tab/>
            </w:r>
            <w:r>
              <w:rPr>
                <w:noProof/>
                <w:webHidden/>
              </w:rPr>
              <w:fldChar w:fldCharType="begin"/>
            </w:r>
            <w:r>
              <w:rPr>
                <w:noProof/>
                <w:webHidden/>
              </w:rPr>
              <w:instrText xml:space="preserve"> PAGEREF _Toc215832930 \h </w:instrText>
            </w:r>
            <w:r>
              <w:rPr>
                <w:noProof/>
                <w:webHidden/>
              </w:rPr>
            </w:r>
            <w:r>
              <w:rPr>
                <w:noProof/>
                <w:webHidden/>
              </w:rPr>
              <w:fldChar w:fldCharType="separate"/>
            </w:r>
            <w:r>
              <w:rPr>
                <w:noProof/>
                <w:webHidden/>
              </w:rPr>
              <w:t>8</w:t>
            </w:r>
            <w:r>
              <w:rPr>
                <w:noProof/>
                <w:webHidden/>
              </w:rPr>
              <w:fldChar w:fldCharType="end"/>
            </w:r>
          </w:hyperlink>
        </w:p>
        <w:p w14:paraId="58915703" w14:textId="55A54F24" w:rsidR="00E963BD" w:rsidRDefault="00E963BD">
          <w:pPr>
            <w:pStyle w:val="TOC1"/>
            <w:rPr>
              <w:rFonts w:asciiTheme="minorHAnsi" w:eastAsiaTheme="minorEastAsia" w:hAnsiTheme="minorHAnsi"/>
              <w:noProof/>
              <w:kern w:val="2"/>
              <w:szCs w:val="24"/>
              <w:lang w:val="en-US"/>
              <w14:ligatures w14:val="standardContextual"/>
            </w:rPr>
          </w:pPr>
          <w:hyperlink w:anchor="_Toc215832931" w:history="1">
            <w:r w:rsidRPr="00CA07E8">
              <w:rPr>
                <w:rStyle w:val="Hyperlink"/>
                <w:noProof/>
              </w:rPr>
              <w:t>6. Conclusion</w:t>
            </w:r>
            <w:r>
              <w:rPr>
                <w:noProof/>
                <w:webHidden/>
              </w:rPr>
              <w:tab/>
            </w:r>
            <w:r>
              <w:rPr>
                <w:noProof/>
                <w:webHidden/>
              </w:rPr>
              <w:fldChar w:fldCharType="begin"/>
            </w:r>
            <w:r>
              <w:rPr>
                <w:noProof/>
                <w:webHidden/>
              </w:rPr>
              <w:instrText xml:space="preserve"> PAGEREF _Toc215832931 \h </w:instrText>
            </w:r>
            <w:r>
              <w:rPr>
                <w:noProof/>
                <w:webHidden/>
              </w:rPr>
            </w:r>
            <w:r>
              <w:rPr>
                <w:noProof/>
                <w:webHidden/>
              </w:rPr>
              <w:fldChar w:fldCharType="separate"/>
            </w:r>
            <w:r>
              <w:rPr>
                <w:noProof/>
                <w:webHidden/>
              </w:rPr>
              <w:t>10</w:t>
            </w:r>
            <w:r>
              <w:rPr>
                <w:noProof/>
                <w:webHidden/>
              </w:rPr>
              <w:fldChar w:fldCharType="end"/>
            </w:r>
          </w:hyperlink>
        </w:p>
        <w:p w14:paraId="5AC3E75C" w14:textId="6216EB0C" w:rsidR="00E963BD" w:rsidRDefault="00E963BD">
          <w:pPr>
            <w:pStyle w:val="TOC1"/>
            <w:rPr>
              <w:rFonts w:asciiTheme="minorHAnsi" w:eastAsiaTheme="minorEastAsia" w:hAnsiTheme="minorHAnsi"/>
              <w:noProof/>
              <w:kern w:val="2"/>
              <w:szCs w:val="24"/>
              <w:lang w:val="en-US"/>
              <w14:ligatures w14:val="standardContextual"/>
            </w:rPr>
          </w:pPr>
          <w:hyperlink w:anchor="_Toc215832932" w:history="1">
            <w:r w:rsidRPr="00CA07E8">
              <w:rPr>
                <w:rStyle w:val="Hyperlink"/>
                <w:noProof/>
              </w:rPr>
              <w:t>References</w:t>
            </w:r>
            <w:r>
              <w:rPr>
                <w:noProof/>
                <w:webHidden/>
              </w:rPr>
              <w:tab/>
            </w:r>
            <w:r>
              <w:rPr>
                <w:noProof/>
                <w:webHidden/>
              </w:rPr>
              <w:fldChar w:fldCharType="begin"/>
            </w:r>
            <w:r>
              <w:rPr>
                <w:noProof/>
                <w:webHidden/>
              </w:rPr>
              <w:instrText xml:space="preserve"> PAGEREF _Toc215832932 \h </w:instrText>
            </w:r>
            <w:r>
              <w:rPr>
                <w:noProof/>
                <w:webHidden/>
              </w:rPr>
            </w:r>
            <w:r>
              <w:rPr>
                <w:noProof/>
                <w:webHidden/>
              </w:rPr>
              <w:fldChar w:fldCharType="separate"/>
            </w:r>
            <w:r>
              <w:rPr>
                <w:noProof/>
                <w:webHidden/>
              </w:rPr>
              <w:t>11</w:t>
            </w:r>
            <w:r>
              <w:rPr>
                <w:noProof/>
                <w:webHidden/>
              </w:rPr>
              <w:fldChar w:fldCharType="end"/>
            </w:r>
          </w:hyperlink>
        </w:p>
        <w:p w14:paraId="256CF0D0" w14:textId="288FAA23" w:rsidR="002527AE" w:rsidRDefault="002527AE">
          <w:r>
            <w:rPr>
              <w:b/>
              <w:bCs/>
              <w:noProof/>
            </w:rPr>
            <w:fldChar w:fldCharType="end"/>
          </w:r>
        </w:p>
      </w:sdtContent>
    </w:sdt>
    <w:p w14:paraId="60C916A4" w14:textId="4ECB0370" w:rsidR="000C4EDA" w:rsidRPr="00C03A91" w:rsidRDefault="002527AE" w:rsidP="00C03A91">
      <w:pPr>
        <w:spacing w:line="360" w:lineRule="auto"/>
        <w:rPr>
          <w:rFonts w:ascii="Arial" w:hAnsi="Arial" w:cs="Arial"/>
          <w:sz w:val="28"/>
          <w:szCs w:val="28"/>
        </w:rPr>
      </w:pPr>
      <w:r>
        <w:rPr>
          <w:rFonts w:ascii="Arial" w:hAnsi="Arial" w:cs="Arial"/>
          <w:sz w:val="28"/>
          <w:szCs w:val="28"/>
        </w:rPr>
        <w:t xml:space="preserve"> </w:t>
      </w:r>
      <w:r w:rsidR="000C4EDA" w:rsidRPr="00C03A91">
        <w:rPr>
          <w:rFonts w:ascii="Arial" w:hAnsi="Arial" w:cs="Arial"/>
          <w:sz w:val="28"/>
          <w:szCs w:val="28"/>
        </w:rPr>
        <w:br w:type="page"/>
      </w:r>
    </w:p>
    <w:p w14:paraId="76E9FE1A" w14:textId="39FC0AFC" w:rsidR="00B23A3A" w:rsidRDefault="00B23A3A" w:rsidP="00CE7FF4">
      <w:pPr>
        <w:pStyle w:val="Heading1"/>
        <w:jc w:val="both"/>
      </w:pPr>
      <w:r>
        <w:lastRenderedPageBreak/>
        <w:t xml:space="preserve"> </w:t>
      </w:r>
      <w:bookmarkStart w:id="1" w:name="_Toc215832925"/>
      <w:r w:rsidR="000C4EDA" w:rsidRPr="002527AE">
        <w:t>Introduction</w:t>
      </w:r>
      <w:bookmarkEnd w:id="1"/>
    </w:p>
    <w:p w14:paraId="6A05B36F" w14:textId="702A43DC" w:rsidR="00B23A3A" w:rsidRPr="00A973AF" w:rsidRDefault="000B18DE" w:rsidP="00CE7FF4">
      <w:pPr>
        <w:spacing w:line="360" w:lineRule="auto"/>
        <w:jc w:val="both"/>
        <w:rPr>
          <w:rFonts w:ascii="Arial" w:hAnsi="Arial" w:cs="Arial"/>
          <w:sz w:val="22"/>
        </w:rPr>
      </w:pPr>
      <w:r w:rsidRPr="000B18DE">
        <w:rPr>
          <w:rFonts w:ascii="Arial" w:hAnsi="Arial" w:cs="Arial"/>
          <w:sz w:val="22"/>
        </w:rPr>
        <w:t>Diabetes is a chronic condition that affects how the body processes glucose, the primary source of energy for cells. Under normal circumstances, insulin—a hormone produced by the pancreas—facilitates the movement of glucose from the bloodstream into cells, where it is used for energy. If insulin is insufficient or not used effectively, glucose builds up in the blood, resulting in diabetes (American Diabetes Association, 2024).</w:t>
      </w:r>
    </w:p>
    <w:p w14:paraId="5868E275" w14:textId="1261D6BB" w:rsidR="007344F6" w:rsidRDefault="007344F6" w:rsidP="00CE7FF4">
      <w:pPr>
        <w:spacing w:line="360" w:lineRule="auto"/>
        <w:jc w:val="both"/>
        <w:rPr>
          <w:rFonts w:ascii="Arial" w:hAnsi="Arial" w:cs="Arial"/>
          <w:sz w:val="22"/>
          <w:lang w:val="en-US"/>
        </w:rPr>
      </w:pPr>
      <w:r w:rsidRPr="001B4DCA">
        <w:rPr>
          <w:rFonts w:ascii="Arial" w:hAnsi="Arial" w:cs="Arial"/>
          <w:noProof/>
          <w:sz w:val="22"/>
        </w:rPr>
        <w:drawing>
          <wp:inline distT="0" distB="0" distL="0" distR="0" wp14:anchorId="6629DAA0" wp14:editId="6EB514F2">
            <wp:extent cx="5507137" cy="3359785"/>
            <wp:effectExtent l="0" t="0" r="0" b="0"/>
            <wp:docPr id="1344541761" name="Picture 4" descr="A diagram of insulin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541761" name="Picture 4" descr="A diagram of insulin work"/>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544959" cy="3382859"/>
                    </a:xfrm>
                    <a:prstGeom prst="rect">
                      <a:avLst/>
                    </a:prstGeom>
                  </pic:spPr>
                </pic:pic>
              </a:graphicData>
            </a:graphic>
          </wp:inline>
        </w:drawing>
      </w:r>
    </w:p>
    <w:p w14:paraId="575D2EF9" w14:textId="77777777" w:rsidR="00A973AF" w:rsidRDefault="007344F6" w:rsidP="00CE7FF4">
      <w:pPr>
        <w:spacing w:line="360" w:lineRule="auto"/>
        <w:jc w:val="both"/>
        <w:rPr>
          <w:rFonts w:ascii="Arial" w:hAnsi="Arial" w:cs="Arial"/>
          <w:b/>
          <w:bCs/>
          <w:i/>
          <w:szCs w:val="24"/>
        </w:rPr>
      </w:pPr>
      <w:r w:rsidRPr="007344F6">
        <w:rPr>
          <w:rFonts w:ascii="Arial" w:hAnsi="Arial" w:cs="Arial"/>
          <w:b/>
          <w:bCs/>
          <w:i/>
          <w:szCs w:val="24"/>
        </w:rPr>
        <w:t xml:space="preserve">                       </w:t>
      </w:r>
      <w:r>
        <w:rPr>
          <w:rFonts w:ascii="Arial" w:hAnsi="Arial" w:cs="Arial"/>
          <w:b/>
          <w:bCs/>
          <w:i/>
          <w:szCs w:val="24"/>
        </w:rPr>
        <w:t xml:space="preserve">        </w:t>
      </w:r>
      <w:r w:rsidRPr="007344F6">
        <w:rPr>
          <w:rFonts w:ascii="Arial" w:hAnsi="Arial" w:cs="Arial"/>
          <w:b/>
          <w:bCs/>
          <w:i/>
          <w:szCs w:val="24"/>
        </w:rPr>
        <w:t xml:space="preserve">  Diagram 1: How insulin works in the body</w:t>
      </w:r>
    </w:p>
    <w:p w14:paraId="1D6A3996" w14:textId="6077C909" w:rsidR="007E08D8" w:rsidRDefault="007E08D8" w:rsidP="00CE7FF4">
      <w:pPr>
        <w:spacing w:line="360" w:lineRule="auto"/>
        <w:jc w:val="both"/>
        <w:rPr>
          <w:rFonts w:ascii="Arial" w:hAnsi="Arial" w:cs="Arial"/>
          <w:sz w:val="22"/>
          <w:lang w:val="en-US"/>
        </w:rPr>
      </w:pPr>
      <w:r w:rsidRPr="007E08D8">
        <w:rPr>
          <w:rFonts w:ascii="Arial" w:hAnsi="Arial" w:cs="Arial"/>
          <w:sz w:val="22"/>
          <w:lang w:val="en-US"/>
        </w:rPr>
        <w:t>There are three main forms of diabetes: Type 1, Type 2, and gestational diabetes. Type 1 diabetes occurs when the immune system attacks the insulin-producing cells in the pancreas, leaving the body unable to produce insulin. Type 2 diabetes, the most common form, develops when the body either resists insulin or does not produce enough of it. This type is strongly influenced by modifiable lifestyle factors such as poor diet, physical inactivity, and excess body weight, while non-modifiable factors such as age, family history, and ethnicity also contribute to risk (WHO, 2022). Gestational diabetes arises during pregnancy and typically resolves after childbirth but increases the mother’s future risk of developing Type 2 diabetes (NICE, 2020). Emerging evidence also suggests that chronic stress and insufficient sleep can further impair insulin sensitivity and glucose control (Cheng et al., 2021; Seidu et al., 2021).</w:t>
      </w:r>
    </w:p>
    <w:p w14:paraId="3A9929C3" w14:textId="77777777" w:rsidR="007E08D8" w:rsidRDefault="007E08D8" w:rsidP="00CE7FF4">
      <w:pPr>
        <w:spacing w:line="360" w:lineRule="auto"/>
        <w:jc w:val="both"/>
        <w:rPr>
          <w:rFonts w:ascii="Arial" w:hAnsi="Arial" w:cs="Arial"/>
          <w:sz w:val="22"/>
          <w:lang w:val="en-US"/>
        </w:rPr>
      </w:pPr>
    </w:p>
    <w:p w14:paraId="62237C97" w14:textId="77777777" w:rsidR="007E08D8" w:rsidRDefault="007E08D8" w:rsidP="00CE7FF4">
      <w:pPr>
        <w:spacing w:line="360" w:lineRule="auto"/>
        <w:jc w:val="both"/>
        <w:rPr>
          <w:rFonts w:ascii="Arial" w:hAnsi="Arial" w:cs="Arial"/>
          <w:sz w:val="22"/>
          <w:lang w:val="en-US"/>
        </w:rPr>
      </w:pPr>
    </w:p>
    <w:p w14:paraId="045D74FD" w14:textId="7D37F330" w:rsidR="007E08D8" w:rsidRDefault="00997E5E" w:rsidP="00CE7FF4">
      <w:pPr>
        <w:spacing w:line="360" w:lineRule="auto"/>
        <w:jc w:val="both"/>
        <w:rPr>
          <w:rFonts w:ascii="Arial" w:hAnsi="Arial" w:cs="Arial"/>
          <w:sz w:val="22"/>
          <w:lang w:val="en-US"/>
        </w:rPr>
      </w:pPr>
      <w:r w:rsidRPr="00997E5E">
        <w:rPr>
          <w:rFonts w:ascii="Arial" w:hAnsi="Arial" w:cs="Arial"/>
          <w:sz w:val="22"/>
          <w:lang w:val="en-US"/>
        </w:rPr>
        <w:lastRenderedPageBreak/>
        <w:t xml:space="preserve">Diabetes is closely linked to the endocrine system, which regulates hormone activity across the body. Dysfunction in the pancreas can affect other organs, including the liver and adrenal glands, complicating blood glucose regulation (Hall and Guyton, 2021). Poorly controlled diabetes can lead to inflammation, vascular damage, and long-term complications affecting the heart, kidneys, nervous system, and other organs (La Sala and </w:t>
      </w:r>
      <w:proofErr w:type="spellStart"/>
      <w:r w:rsidRPr="00997E5E">
        <w:rPr>
          <w:rFonts w:ascii="Arial" w:hAnsi="Arial" w:cs="Arial"/>
          <w:sz w:val="22"/>
          <w:lang w:val="en-US"/>
        </w:rPr>
        <w:t>Pontiroli</w:t>
      </w:r>
      <w:proofErr w:type="spellEnd"/>
      <w:r w:rsidRPr="00997E5E">
        <w:rPr>
          <w:rFonts w:ascii="Arial" w:hAnsi="Arial" w:cs="Arial"/>
          <w:sz w:val="22"/>
          <w:lang w:val="en-US"/>
        </w:rPr>
        <w:t>, 2020).</w:t>
      </w:r>
    </w:p>
    <w:p w14:paraId="49F300D3" w14:textId="6D3812E8" w:rsidR="00E963BD" w:rsidRDefault="00E963BD" w:rsidP="00CE7FF4">
      <w:pPr>
        <w:spacing w:line="360" w:lineRule="auto"/>
        <w:jc w:val="both"/>
        <w:rPr>
          <w:rFonts w:ascii="Arial" w:hAnsi="Arial" w:cs="Arial"/>
          <w:sz w:val="22"/>
          <w:lang w:val="en-US"/>
        </w:rPr>
      </w:pPr>
      <w:r w:rsidRPr="00E963BD">
        <w:rPr>
          <w:rFonts w:ascii="Arial" w:hAnsi="Arial" w:cs="Arial"/>
          <w:sz w:val="22"/>
          <w:lang w:val="en-US"/>
        </w:rPr>
        <w:t>The aim of this report is to provide evidence-based guidance that helps patients understand their diabetes, the importance of regular blood glucose monitoring, and the influence of lifestyle choices on long-term health outcomes. As a practice nurse in a GP surgery, I will support patients in learning about their condition, tracking their blood sugar, and implementing positive lifestyle changes. Improving patient knowledge and self-management skills empowers individuals to take control of their health, follow treatment plans, and lower the risk of complications (</w:t>
      </w:r>
      <w:proofErr w:type="spellStart"/>
      <w:r w:rsidRPr="00E963BD">
        <w:rPr>
          <w:rFonts w:ascii="Arial" w:hAnsi="Arial" w:cs="Arial"/>
          <w:sz w:val="22"/>
          <w:lang w:val="en-US"/>
        </w:rPr>
        <w:t>StatPearls</w:t>
      </w:r>
      <w:proofErr w:type="spellEnd"/>
      <w:r w:rsidRPr="00E963BD">
        <w:rPr>
          <w:rFonts w:ascii="Arial" w:hAnsi="Arial" w:cs="Arial"/>
          <w:sz w:val="22"/>
          <w:lang w:val="en-US"/>
        </w:rPr>
        <w:t xml:space="preserve">, 2024; </w:t>
      </w:r>
      <w:proofErr w:type="spellStart"/>
      <w:r w:rsidRPr="00E963BD">
        <w:rPr>
          <w:rFonts w:ascii="Arial" w:hAnsi="Arial" w:cs="Arial"/>
          <w:sz w:val="22"/>
          <w:lang w:val="en-US"/>
        </w:rPr>
        <w:t>StatPearls</w:t>
      </w:r>
      <w:proofErr w:type="spellEnd"/>
      <w:r w:rsidRPr="00E963BD">
        <w:rPr>
          <w:rFonts w:ascii="Arial" w:hAnsi="Arial" w:cs="Arial"/>
          <w:sz w:val="22"/>
          <w:lang w:val="en-US"/>
        </w:rPr>
        <w:t>, 2025).</w:t>
      </w:r>
    </w:p>
    <w:p w14:paraId="175073B0" w14:textId="7FAFCFE4" w:rsidR="0030289C" w:rsidRPr="0030289C" w:rsidRDefault="0030289C" w:rsidP="00CE7FF4">
      <w:pPr>
        <w:pStyle w:val="Heading2"/>
        <w:spacing w:line="360" w:lineRule="auto"/>
        <w:jc w:val="both"/>
      </w:pPr>
      <w:bookmarkStart w:id="2" w:name="_Toc215832926"/>
      <w:r w:rsidRPr="0030289C">
        <w:rPr>
          <w:rStyle w:val="Strong"/>
          <w:b/>
          <w:bCs w:val="0"/>
        </w:rPr>
        <w:t>2. Blood Sugar Regulation</w:t>
      </w:r>
      <w:bookmarkEnd w:id="2"/>
    </w:p>
    <w:p w14:paraId="6C7B0CD0" w14:textId="77777777" w:rsidR="003D49F6" w:rsidRDefault="003D49F6" w:rsidP="003D49F6">
      <w:pPr>
        <w:pStyle w:val="NormalWeb"/>
        <w:spacing w:line="360" w:lineRule="auto"/>
        <w:jc w:val="both"/>
        <w:rPr>
          <w:rFonts w:ascii="Arial" w:hAnsi="Arial" w:cs="Arial"/>
          <w:sz w:val="22"/>
        </w:rPr>
      </w:pPr>
      <w:r w:rsidRPr="003D49F6">
        <w:rPr>
          <w:rFonts w:ascii="Arial" w:hAnsi="Arial" w:cs="Arial"/>
          <w:sz w:val="22"/>
        </w:rPr>
        <w:t>Maintaining stable blood-glucose levels is a critical aspect of homeostasis, which keeps the body’s internal environment within safe limits. Glucose, mainly derived from dietary carbohydrates, is the body’s primary energy source. After meals, glucose enters the bloodstream, and insulin—a hormone secreted by the pancreas—enables cells to absorb it for energy or store it as glycogen in the liver and muscles (American Diabetes Association, 2024).</w:t>
      </w:r>
    </w:p>
    <w:p w14:paraId="77DD2B3E" w14:textId="5B33C78B" w:rsidR="003D49F6" w:rsidRPr="003D49F6" w:rsidRDefault="003D49F6" w:rsidP="003D49F6">
      <w:pPr>
        <w:pStyle w:val="NormalWeb"/>
        <w:spacing w:line="360" w:lineRule="auto"/>
        <w:jc w:val="both"/>
        <w:rPr>
          <w:rFonts w:ascii="Arial" w:hAnsi="Arial" w:cs="Arial"/>
          <w:sz w:val="22"/>
        </w:rPr>
      </w:pPr>
      <w:r w:rsidRPr="003D49F6">
        <w:rPr>
          <w:rFonts w:ascii="Arial" w:hAnsi="Arial" w:cs="Arial"/>
          <w:sz w:val="22"/>
        </w:rPr>
        <w:t>When blood glucose rises after eating, the pancreas releases insulin. This hormone acts like a key, allowing glucose to enter cells where it can be used to generate energy. As the cells take in glucose, blood glucose gradually decreases, helping the body maintain a steady balance (Hall &amp; Guyton, 2021).</w:t>
      </w:r>
    </w:p>
    <w:p w14:paraId="3C66CD86" w14:textId="77777777" w:rsidR="003D49F6" w:rsidRPr="003D49F6" w:rsidRDefault="003D49F6" w:rsidP="003D49F6">
      <w:pPr>
        <w:pStyle w:val="NormalWeb"/>
        <w:spacing w:line="360" w:lineRule="auto"/>
        <w:jc w:val="both"/>
        <w:rPr>
          <w:rFonts w:ascii="Arial" w:hAnsi="Arial" w:cs="Arial"/>
          <w:sz w:val="22"/>
        </w:rPr>
      </w:pPr>
      <w:r w:rsidRPr="003D49F6">
        <w:rPr>
          <w:rFonts w:ascii="Arial" w:hAnsi="Arial" w:cs="Arial"/>
          <w:sz w:val="22"/>
        </w:rPr>
        <w:t xml:space="preserve">On the other hand, if blood glucose drops too low, such as during physical activity or extended fasting, the pancreas releases glucagon. Glucagon signals the liver to convert stored glycogen back into glucose and release it into the blood. This process prevents </w:t>
      </w:r>
      <w:proofErr w:type="spellStart"/>
      <w:r w:rsidRPr="003D49F6">
        <w:rPr>
          <w:rFonts w:ascii="Arial" w:hAnsi="Arial" w:cs="Arial"/>
          <w:sz w:val="22"/>
        </w:rPr>
        <w:t>hypoglycaemia</w:t>
      </w:r>
      <w:proofErr w:type="spellEnd"/>
      <w:r w:rsidRPr="003D49F6">
        <w:rPr>
          <w:rFonts w:ascii="Arial" w:hAnsi="Arial" w:cs="Arial"/>
          <w:sz w:val="22"/>
        </w:rPr>
        <w:t xml:space="preserve"> and keeps glucose levels within a safe range (WHO, 2022). Together, insulin and glucagon work continuously to maintain glucose stability.</w:t>
      </w:r>
    </w:p>
    <w:p w14:paraId="156659BB" w14:textId="3A15AA0B" w:rsidR="00BC6651" w:rsidRPr="00BC6651" w:rsidRDefault="003D49F6" w:rsidP="003D49F6">
      <w:pPr>
        <w:pStyle w:val="NormalWeb"/>
        <w:spacing w:line="360" w:lineRule="auto"/>
        <w:jc w:val="both"/>
        <w:rPr>
          <w:rFonts w:ascii="Arial" w:hAnsi="Arial" w:cs="Arial"/>
          <w:sz w:val="22"/>
        </w:rPr>
      </w:pPr>
      <w:r w:rsidRPr="003D49F6">
        <w:rPr>
          <w:rFonts w:ascii="Arial" w:hAnsi="Arial" w:cs="Arial"/>
          <w:sz w:val="22"/>
        </w:rPr>
        <w:t xml:space="preserve">Other hormones, including adrenaline, cortisol, and growth hormone, also influence blood glucose. During stress or illness, these hormones can raise glucose levels to provide extra energy for the body’s “fight or flight” response. In people with diabetes, however, these natural responses can worsen </w:t>
      </w:r>
      <w:proofErr w:type="spellStart"/>
      <w:r w:rsidRPr="003D49F6">
        <w:rPr>
          <w:rFonts w:ascii="Arial" w:hAnsi="Arial" w:cs="Arial"/>
          <w:sz w:val="22"/>
        </w:rPr>
        <w:t>hyperglycaemia</w:t>
      </w:r>
      <w:proofErr w:type="spellEnd"/>
      <w:r w:rsidRPr="003D49F6">
        <w:rPr>
          <w:rFonts w:ascii="Arial" w:hAnsi="Arial" w:cs="Arial"/>
          <w:sz w:val="22"/>
        </w:rPr>
        <w:t xml:space="preserve"> if not properly managed (La Sala &amp; </w:t>
      </w:r>
      <w:proofErr w:type="spellStart"/>
      <w:r w:rsidRPr="003D49F6">
        <w:rPr>
          <w:rFonts w:ascii="Arial" w:hAnsi="Arial" w:cs="Arial"/>
          <w:sz w:val="22"/>
        </w:rPr>
        <w:t>Pontiroli</w:t>
      </w:r>
      <w:proofErr w:type="spellEnd"/>
      <w:r w:rsidRPr="003D49F6">
        <w:rPr>
          <w:rFonts w:ascii="Arial" w:hAnsi="Arial" w:cs="Arial"/>
          <w:sz w:val="22"/>
        </w:rPr>
        <w:t>, 2020).</w:t>
      </w:r>
    </w:p>
    <w:p w14:paraId="7FD2FBD1" w14:textId="4F80D164" w:rsidR="00A83E55" w:rsidRDefault="00DE7184" w:rsidP="00CE7FF4">
      <w:pPr>
        <w:pStyle w:val="NormalWeb"/>
        <w:spacing w:line="360" w:lineRule="auto"/>
        <w:jc w:val="both"/>
        <w:rPr>
          <w:rFonts w:ascii="Arial" w:hAnsi="Arial" w:cs="Arial"/>
          <w:sz w:val="22"/>
        </w:rPr>
      </w:pPr>
      <w:r>
        <w:rPr>
          <w:rFonts w:ascii="Arial" w:hAnsi="Arial" w:cs="Arial"/>
          <w:noProof/>
          <w:sz w:val="22"/>
        </w:rPr>
        <w:lastRenderedPageBreak/>
        <w:drawing>
          <wp:inline distT="0" distB="0" distL="0" distR="0" wp14:anchorId="1BEDDBBF" wp14:editId="2354583F">
            <wp:extent cx="5393055" cy="3365488"/>
            <wp:effectExtent l="0" t="0" r="0" b="6985"/>
            <wp:docPr id="2568578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57809" name="Picture 10"/>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406650" cy="3373972"/>
                    </a:xfrm>
                    <a:prstGeom prst="rect">
                      <a:avLst/>
                    </a:prstGeom>
                  </pic:spPr>
                </pic:pic>
              </a:graphicData>
            </a:graphic>
          </wp:inline>
        </w:drawing>
      </w:r>
    </w:p>
    <w:p w14:paraId="539230AC" w14:textId="0686568D" w:rsidR="00A83E55" w:rsidRPr="00DE7184" w:rsidRDefault="00DE7184" w:rsidP="00CE7FF4">
      <w:pPr>
        <w:spacing w:line="360" w:lineRule="auto"/>
        <w:jc w:val="both"/>
        <w:rPr>
          <w:rFonts w:ascii="Arial" w:hAnsi="Arial" w:cs="Arial"/>
          <w:b/>
          <w:bCs/>
          <w:szCs w:val="24"/>
        </w:rPr>
      </w:pPr>
      <w:r>
        <w:rPr>
          <w:rFonts w:ascii="Arial" w:hAnsi="Arial" w:cs="Arial"/>
          <w:b/>
          <w:bCs/>
          <w:i/>
          <w:szCs w:val="24"/>
        </w:rPr>
        <w:t xml:space="preserve">                   </w:t>
      </w:r>
      <w:r w:rsidRPr="00A44714">
        <w:rPr>
          <w:rFonts w:ascii="Arial" w:hAnsi="Arial" w:cs="Arial"/>
          <w:b/>
          <w:bCs/>
          <w:i/>
          <w:szCs w:val="24"/>
        </w:rPr>
        <w:t xml:space="preserve">Diagram </w:t>
      </w:r>
      <w:r>
        <w:rPr>
          <w:rFonts w:ascii="Arial" w:hAnsi="Arial" w:cs="Arial"/>
          <w:b/>
          <w:bCs/>
          <w:i/>
          <w:szCs w:val="24"/>
        </w:rPr>
        <w:t>2</w:t>
      </w:r>
      <w:r w:rsidRPr="00C04AF2">
        <w:rPr>
          <w:rFonts w:ascii="Arial" w:hAnsi="Arial" w:cs="Arial"/>
          <w:b/>
          <w:bCs/>
          <w:i/>
          <w:szCs w:val="24"/>
        </w:rPr>
        <w:t xml:space="preserve">: </w:t>
      </w:r>
      <w:r w:rsidRPr="00B02179">
        <w:rPr>
          <w:rFonts w:ascii="Arial" w:hAnsi="Arial" w:cs="Arial"/>
          <w:b/>
          <w:bCs/>
          <w:szCs w:val="24"/>
        </w:rPr>
        <w:t>Insulin vs Glucagon: A Balancing Scale</w:t>
      </w:r>
    </w:p>
    <w:p w14:paraId="30F0D2A4" w14:textId="77777777" w:rsidR="006B414F" w:rsidRPr="006B414F" w:rsidRDefault="006B414F" w:rsidP="006B414F">
      <w:pPr>
        <w:pStyle w:val="NormalWeb"/>
        <w:spacing w:line="360" w:lineRule="auto"/>
        <w:jc w:val="both"/>
        <w:rPr>
          <w:rFonts w:ascii="Arial" w:hAnsi="Arial" w:cs="Arial"/>
          <w:sz w:val="22"/>
        </w:rPr>
      </w:pPr>
      <w:r w:rsidRPr="006B414F">
        <w:rPr>
          <w:rFonts w:ascii="Arial" w:hAnsi="Arial" w:cs="Arial"/>
          <w:sz w:val="22"/>
        </w:rPr>
        <w:t>In diabetes, this balance is disrupted. Individuals with Type 1 diabetes are unable to produce insulin, while those with Type 2 diabetes may produce insulin but cannot use it effectively. Consequently, glucose accumulates in the bloodstream rather than entering the cells, potentially leading to dangerously high blood-glucose levels if left uncontrolled. Therefore, individuals with diabetes require regular blood glucose monitoring, proper medication, and healthy lifestyle measures to maintain safe levels (NICE, 2023).</w:t>
      </w:r>
    </w:p>
    <w:p w14:paraId="7662877A" w14:textId="699E1116" w:rsidR="0020031A" w:rsidRDefault="006B414F" w:rsidP="006B414F">
      <w:pPr>
        <w:pStyle w:val="NormalWeb"/>
        <w:spacing w:line="360" w:lineRule="auto"/>
        <w:jc w:val="both"/>
        <w:rPr>
          <w:rFonts w:ascii="Arial" w:hAnsi="Arial" w:cs="Arial"/>
          <w:sz w:val="22"/>
        </w:rPr>
      </w:pPr>
      <w:r w:rsidRPr="006B414F">
        <w:rPr>
          <w:rFonts w:ascii="Arial" w:hAnsi="Arial" w:cs="Arial"/>
          <w:sz w:val="22"/>
        </w:rPr>
        <w:t>Understanding how blood glucose is regulated clarifies the physiological processes involved in diabetes and demonstrates why lifestyle interventions—such as nutritious eating, regular exercise, and maintaining a healthy weight—are vital for sustaining stable blood-glucose levels over time (WHO, 2022; American Diabetes Association, 2024).</w:t>
      </w:r>
    </w:p>
    <w:p w14:paraId="6ED4519F" w14:textId="1930040D" w:rsidR="00464035" w:rsidRPr="002527AE" w:rsidRDefault="00464035" w:rsidP="00CE7FF4">
      <w:pPr>
        <w:pStyle w:val="Heading1"/>
        <w:ind w:left="0"/>
        <w:jc w:val="both"/>
      </w:pPr>
      <w:bookmarkStart w:id="3" w:name="_Toc215832927"/>
      <w:r w:rsidRPr="002527AE">
        <w:t>3. Cellular Metabolism</w:t>
      </w:r>
      <w:bookmarkEnd w:id="3"/>
      <w:r w:rsidRPr="002527AE">
        <w:t xml:space="preserve"> </w:t>
      </w:r>
    </w:p>
    <w:p w14:paraId="7588AF2F" w14:textId="41556EEE" w:rsidR="007137D6" w:rsidRPr="007137D6" w:rsidRDefault="007137D6" w:rsidP="00CE7FF4">
      <w:pPr>
        <w:pStyle w:val="NormalWeb"/>
        <w:spacing w:line="360" w:lineRule="auto"/>
        <w:jc w:val="both"/>
        <w:rPr>
          <w:rFonts w:ascii="Arial" w:hAnsi="Arial" w:cs="Arial"/>
          <w:sz w:val="22"/>
        </w:rPr>
      </w:pPr>
      <w:r w:rsidRPr="007137D6">
        <w:rPr>
          <w:rFonts w:ascii="Arial" w:hAnsi="Arial" w:cs="Arial"/>
          <w:sz w:val="22"/>
        </w:rPr>
        <w:t>Cellular metabolism refers to the processes the body uses to produce energy, which is essential for everything we do—including moving, breathing, and even thinking. Cells create this energy using glucose and oxygen, mainly within the mitochondria. These structures are often described as the “powerhouses” of the cell because of their vital role in energy production (Hall and Guyton, 2021).</w:t>
      </w:r>
    </w:p>
    <w:p w14:paraId="17B58CAC" w14:textId="24E102AB" w:rsidR="007137D6" w:rsidRPr="007137D6" w:rsidRDefault="007137D6" w:rsidP="00CE7FF4">
      <w:pPr>
        <w:pStyle w:val="NormalWeb"/>
        <w:spacing w:line="360" w:lineRule="auto"/>
        <w:jc w:val="both"/>
        <w:rPr>
          <w:rFonts w:ascii="Arial" w:hAnsi="Arial" w:cs="Arial"/>
          <w:sz w:val="22"/>
        </w:rPr>
      </w:pPr>
      <w:r w:rsidRPr="007137D6">
        <w:rPr>
          <w:rFonts w:ascii="Arial" w:hAnsi="Arial" w:cs="Arial"/>
          <w:sz w:val="22"/>
        </w:rPr>
        <w:lastRenderedPageBreak/>
        <w:t xml:space="preserve">After carbohydrates are eaten, they are broken down into glucose, which then enters the bloodstream. Insulin helps this glucose move from the blood into the body’s cells. Once inside the cell, glucose </w:t>
      </w:r>
      <w:r w:rsidR="004B2F24" w:rsidRPr="007137D6">
        <w:rPr>
          <w:rFonts w:ascii="Arial" w:hAnsi="Arial" w:cs="Arial"/>
          <w:sz w:val="22"/>
        </w:rPr>
        <w:t>combines</w:t>
      </w:r>
      <w:r w:rsidRPr="007137D6">
        <w:rPr>
          <w:rFonts w:ascii="Arial" w:hAnsi="Arial" w:cs="Arial"/>
          <w:sz w:val="22"/>
        </w:rPr>
        <w:t xml:space="preserve"> oxygen during aerobic respiration, a highly efficient process that produces ATP (adenosine triphosphate). ATP acts like a small packet of energy that cells can use immediately whenever they need it (American Diabetes Association, 2024).</w:t>
      </w:r>
    </w:p>
    <w:p w14:paraId="2AE259DC" w14:textId="03D03D04" w:rsidR="007137D6" w:rsidRPr="007137D6" w:rsidRDefault="007137D6" w:rsidP="00CE7FF4">
      <w:pPr>
        <w:pStyle w:val="NormalWeb"/>
        <w:spacing w:line="360" w:lineRule="auto"/>
        <w:jc w:val="both"/>
        <w:rPr>
          <w:rFonts w:ascii="Arial" w:hAnsi="Arial" w:cs="Arial"/>
          <w:sz w:val="22"/>
        </w:rPr>
      </w:pPr>
      <w:r w:rsidRPr="007137D6">
        <w:rPr>
          <w:rFonts w:ascii="Arial" w:hAnsi="Arial" w:cs="Arial"/>
          <w:sz w:val="22"/>
        </w:rPr>
        <w:t>The simplified chemical equation for aerobic respiration is:</w:t>
      </w:r>
    </w:p>
    <w:p w14:paraId="489E0950" w14:textId="77777777" w:rsidR="007137D6" w:rsidRPr="007137D6" w:rsidRDefault="007137D6" w:rsidP="00CE7FF4">
      <w:pPr>
        <w:pStyle w:val="NormalWeb"/>
        <w:spacing w:line="360" w:lineRule="auto"/>
        <w:jc w:val="both"/>
        <w:rPr>
          <w:rFonts w:ascii="Arial" w:hAnsi="Arial" w:cs="Arial"/>
          <w:sz w:val="22"/>
        </w:rPr>
      </w:pPr>
      <w:r w:rsidRPr="007137D6">
        <w:rPr>
          <w:rFonts w:ascii="Arial" w:hAnsi="Arial" w:cs="Arial"/>
          <w:sz w:val="22"/>
        </w:rPr>
        <w:t>Glucose + Oxygen → Carbon Dioxide + Water + Energy (ATP)</w:t>
      </w:r>
    </w:p>
    <w:p w14:paraId="71D82B56" w14:textId="5E447576" w:rsidR="007137D6" w:rsidRPr="007137D6" w:rsidRDefault="007137D6" w:rsidP="00CE7FF4">
      <w:pPr>
        <w:pStyle w:val="NormalWeb"/>
        <w:spacing w:line="360" w:lineRule="auto"/>
        <w:jc w:val="both"/>
        <w:rPr>
          <w:rFonts w:ascii="Arial" w:hAnsi="Arial" w:cs="Arial"/>
          <w:sz w:val="22"/>
        </w:rPr>
      </w:pPr>
      <w:r w:rsidRPr="007137D6">
        <w:rPr>
          <w:rFonts w:ascii="Arial" w:hAnsi="Arial" w:cs="Arial"/>
          <w:sz w:val="22"/>
        </w:rPr>
        <w:t>Although aerobic respiration provides a large amount of energy, cells can switch to anaerobic respiration when oxygen levels are low. However, anaerobic respiration is much less efficient and produces lactic acid, which can lead to muscle tiredness and discomfort (WHO, 2022).</w:t>
      </w:r>
    </w:p>
    <w:p w14:paraId="0D0363F4" w14:textId="77777777" w:rsidR="007137D6" w:rsidRPr="007137D6" w:rsidRDefault="007137D6" w:rsidP="00CE7FF4">
      <w:pPr>
        <w:pStyle w:val="NormalWeb"/>
        <w:spacing w:line="360" w:lineRule="auto"/>
        <w:jc w:val="both"/>
        <w:rPr>
          <w:rFonts w:ascii="Arial" w:hAnsi="Arial" w:cs="Arial"/>
          <w:sz w:val="22"/>
        </w:rPr>
      </w:pPr>
      <w:r w:rsidRPr="007137D6">
        <w:rPr>
          <w:rFonts w:ascii="Arial" w:hAnsi="Arial" w:cs="Arial"/>
          <w:sz w:val="22"/>
        </w:rPr>
        <w:t>Cellular metabolism is especially important to understand in diabetes. When insulin is absent, insufficient, or not used properly, glucose cannot enter the cells effectively. This means that even if blood glucose levels are high, the cells may still lack the energy they need. As a result, people with poorly controlled diabetes may experience symptoms such as fatigue, weakness, and increased hunger (NICE, 2023).</w:t>
      </w:r>
    </w:p>
    <w:p w14:paraId="332CA3D0" w14:textId="2372C75E" w:rsidR="00464035" w:rsidRPr="00464035" w:rsidRDefault="007137D6" w:rsidP="00CE7FF4">
      <w:pPr>
        <w:pStyle w:val="NormalWeb"/>
        <w:spacing w:line="360" w:lineRule="auto"/>
        <w:jc w:val="both"/>
        <w:rPr>
          <w:rFonts w:ascii="Arial" w:hAnsi="Arial" w:cs="Arial"/>
          <w:sz w:val="22"/>
        </w:rPr>
      </w:pPr>
      <w:r w:rsidRPr="007137D6">
        <w:rPr>
          <w:rFonts w:ascii="Arial" w:hAnsi="Arial" w:cs="Arial"/>
          <w:sz w:val="22"/>
        </w:rPr>
        <w:t>Understanding how cellular metabolism works highlights the importance of maintaining stable blood sugar levels. It also shows why balanced nutrition and regular physical activity are essential for supporting efficient energy production and promoting overall wellbeing.</w:t>
      </w:r>
    </w:p>
    <w:p w14:paraId="00AEA37C" w14:textId="769DD6A8" w:rsidR="000C4EDA" w:rsidRPr="00C03A91" w:rsidRDefault="00076AC0" w:rsidP="00CE7FF4">
      <w:pPr>
        <w:pStyle w:val="Heading1"/>
        <w:ind w:left="0"/>
        <w:jc w:val="both"/>
      </w:pPr>
      <w:bookmarkStart w:id="4" w:name="_Toc215832928"/>
      <w:r>
        <w:t>4</w:t>
      </w:r>
      <w:r w:rsidR="000C4EDA" w:rsidRPr="00C03A91">
        <w:t xml:space="preserve">. </w:t>
      </w:r>
      <w:bookmarkStart w:id="5" w:name="_Hlk215698912"/>
      <w:r w:rsidR="00C03A91" w:rsidRPr="00C03A91">
        <w:t>Ris</w:t>
      </w:r>
      <w:bookmarkEnd w:id="5"/>
      <w:r w:rsidR="00C03A91" w:rsidRPr="00C03A91">
        <w:t>k Factors and their Physiological Impact</w:t>
      </w:r>
      <w:bookmarkEnd w:id="4"/>
    </w:p>
    <w:p w14:paraId="184873DD" w14:textId="77777777" w:rsidR="008C5CBB" w:rsidRPr="008C5CBB" w:rsidRDefault="008C5CBB" w:rsidP="00CE7FF4">
      <w:pPr>
        <w:tabs>
          <w:tab w:val="left" w:pos="6540"/>
        </w:tabs>
        <w:spacing w:line="360" w:lineRule="auto"/>
        <w:jc w:val="both"/>
        <w:rPr>
          <w:rFonts w:ascii="Arial" w:hAnsi="Arial" w:cs="Arial"/>
          <w:sz w:val="22"/>
          <w:lang w:val="en-US"/>
        </w:rPr>
      </w:pPr>
      <w:r w:rsidRPr="008C5CBB">
        <w:rPr>
          <w:rFonts w:ascii="Arial" w:hAnsi="Arial" w:cs="Arial"/>
          <w:sz w:val="22"/>
          <w:lang w:val="en-US"/>
        </w:rPr>
        <w:t>Type 2 diabetes develops gradually and is influenced by both modifiable and non-modifiable risk factors, each contributing to physiological changes that affect insulin sensitivity and blood glucose regulation.</w:t>
      </w:r>
    </w:p>
    <w:p w14:paraId="2E919910" w14:textId="77777777" w:rsidR="008C5CBB" w:rsidRPr="008C5CBB" w:rsidRDefault="008C5CBB" w:rsidP="00CE7FF4">
      <w:pPr>
        <w:tabs>
          <w:tab w:val="left" w:pos="6540"/>
        </w:tabs>
        <w:spacing w:line="360" w:lineRule="auto"/>
        <w:jc w:val="both"/>
        <w:rPr>
          <w:rFonts w:ascii="Arial" w:hAnsi="Arial" w:cs="Arial"/>
          <w:sz w:val="22"/>
          <w:lang w:val="en-US"/>
        </w:rPr>
      </w:pPr>
      <w:r w:rsidRPr="008C5CBB">
        <w:rPr>
          <w:rFonts w:ascii="Arial" w:hAnsi="Arial" w:cs="Arial"/>
          <w:sz w:val="22"/>
          <w:lang w:val="en-US"/>
        </w:rPr>
        <w:t xml:space="preserve">A major modifiable risk factor is overweight or obesity, especially when excess fat accumulates around the abdomen. Central obesity increases insulin resistance, meaning cells respond poorly to insulin, and glucose remains in the bloodstream, causing chronic </w:t>
      </w:r>
      <w:proofErr w:type="spellStart"/>
      <w:r w:rsidRPr="008C5CBB">
        <w:rPr>
          <w:rFonts w:ascii="Arial" w:hAnsi="Arial" w:cs="Arial"/>
          <w:sz w:val="22"/>
          <w:lang w:val="en-US"/>
        </w:rPr>
        <w:t>hyperglycaemia</w:t>
      </w:r>
      <w:proofErr w:type="spellEnd"/>
      <w:r w:rsidRPr="008C5CBB">
        <w:rPr>
          <w:rFonts w:ascii="Arial" w:hAnsi="Arial" w:cs="Arial"/>
          <w:sz w:val="22"/>
          <w:lang w:val="en-US"/>
        </w:rPr>
        <w:t xml:space="preserve"> (WHO, 2022). This sustained insulin resistance stresses the pancreas, leading over time to beta-cell dysfunction, a key change in the progression from pre-diabetes to Type 2 diabetes (Hall &amp; Guyton, 2021).</w:t>
      </w:r>
    </w:p>
    <w:p w14:paraId="22A9C1FF" w14:textId="77777777" w:rsidR="008C5CBB" w:rsidRPr="008C5CBB" w:rsidRDefault="008C5CBB" w:rsidP="00CE7FF4">
      <w:pPr>
        <w:tabs>
          <w:tab w:val="left" w:pos="6540"/>
        </w:tabs>
        <w:spacing w:line="360" w:lineRule="auto"/>
        <w:jc w:val="both"/>
        <w:rPr>
          <w:rFonts w:ascii="Arial" w:hAnsi="Arial" w:cs="Arial"/>
          <w:sz w:val="22"/>
          <w:lang w:val="en-US"/>
        </w:rPr>
      </w:pPr>
      <w:r w:rsidRPr="008C5CBB">
        <w:rPr>
          <w:rFonts w:ascii="Arial" w:hAnsi="Arial" w:cs="Arial"/>
          <w:sz w:val="22"/>
          <w:lang w:val="en-US"/>
        </w:rPr>
        <w:t>Physical inactivity also reduces insulin sensitivity, as muscle cells become less efficient at absorbing glucose. Regular exercise enhances glucose uptake even without insulin, highlighting why a sedentary lifestyle contributes to poor blood sugar control (NICE, 2023).</w:t>
      </w:r>
    </w:p>
    <w:p w14:paraId="65841C8A" w14:textId="77777777" w:rsidR="008C5CBB" w:rsidRPr="008C5CBB" w:rsidRDefault="008C5CBB" w:rsidP="00CE7FF4">
      <w:pPr>
        <w:tabs>
          <w:tab w:val="left" w:pos="6540"/>
        </w:tabs>
        <w:spacing w:line="360" w:lineRule="auto"/>
        <w:jc w:val="both"/>
        <w:rPr>
          <w:rFonts w:ascii="Arial" w:hAnsi="Arial" w:cs="Arial"/>
          <w:sz w:val="22"/>
          <w:lang w:val="en-US"/>
        </w:rPr>
      </w:pPr>
      <w:r w:rsidRPr="008C5CBB">
        <w:rPr>
          <w:rFonts w:ascii="Arial" w:hAnsi="Arial" w:cs="Arial"/>
          <w:sz w:val="22"/>
          <w:lang w:val="en-US"/>
        </w:rPr>
        <w:lastRenderedPageBreak/>
        <w:t>Dietary patterns play a critical role. Diets high in saturated fats, refined carbohydrates, and sugary foods promote weight gain and worsen insulin resistance. These foods can cause rapid spikes in blood glucose, forcing the pancreas to work harder to maintain stable levels and increasing metabolic stress over time (American Diabetes Association, 2024).</w:t>
      </w:r>
    </w:p>
    <w:p w14:paraId="06FE41C1" w14:textId="77777777" w:rsidR="00606633" w:rsidRDefault="00606633" w:rsidP="00CE7FF4">
      <w:pPr>
        <w:tabs>
          <w:tab w:val="left" w:pos="6540"/>
        </w:tabs>
        <w:spacing w:line="360" w:lineRule="auto"/>
        <w:jc w:val="both"/>
        <w:rPr>
          <w:rFonts w:ascii="Arial" w:hAnsi="Arial" w:cs="Arial"/>
          <w:sz w:val="22"/>
          <w:lang w:val="en-US"/>
        </w:rPr>
      </w:pPr>
    </w:p>
    <w:p w14:paraId="332C50A4" w14:textId="63E00CA3" w:rsidR="00606633" w:rsidRDefault="009452A9" w:rsidP="00CE7FF4">
      <w:pPr>
        <w:tabs>
          <w:tab w:val="left" w:pos="6540"/>
        </w:tabs>
        <w:spacing w:line="360" w:lineRule="auto"/>
        <w:jc w:val="both"/>
        <w:rPr>
          <w:rFonts w:ascii="Arial" w:hAnsi="Arial" w:cs="Arial"/>
          <w:sz w:val="22"/>
          <w:lang w:val="en-US"/>
        </w:rPr>
      </w:pPr>
      <w:r>
        <w:rPr>
          <w:rFonts w:ascii="Arial" w:hAnsi="Arial" w:cs="Arial"/>
          <w:noProof/>
          <w:sz w:val="22"/>
          <w:lang w:val="en-US"/>
        </w:rPr>
        <w:drawing>
          <wp:inline distT="0" distB="0" distL="0" distR="0" wp14:anchorId="2551BBA2" wp14:editId="50CD9BF6">
            <wp:extent cx="5632416" cy="4168570"/>
            <wp:effectExtent l="0" t="0" r="6985" b="3810"/>
            <wp:docPr id="417048369" name="Picture 4" descr="A diagram of a dise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48369" name="Picture 4" descr="A diagram of a disease&#10;&#10;AI-generated content may be incorrect."/>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650147" cy="4181693"/>
                    </a:xfrm>
                    <a:prstGeom prst="rect">
                      <a:avLst/>
                    </a:prstGeom>
                  </pic:spPr>
                </pic:pic>
              </a:graphicData>
            </a:graphic>
          </wp:inline>
        </w:drawing>
      </w:r>
    </w:p>
    <w:p w14:paraId="6F3DF870" w14:textId="77777777" w:rsidR="005E6F1B" w:rsidRDefault="00A0386A" w:rsidP="00CE7FF4">
      <w:pPr>
        <w:tabs>
          <w:tab w:val="left" w:pos="6540"/>
        </w:tabs>
        <w:spacing w:line="360" w:lineRule="auto"/>
        <w:jc w:val="both"/>
        <w:rPr>
          <w:rFonts w:ascii="Arial" w:hAnsi="Arial" w:cs="Arial"/>
          <w:sz w:val="22"/>
          <w:lang w:val="en-US"/>
        </w:rPr>
      </w:pPr>
      <w:r>
        <w:rPr>
          <w:rFonts w:ascii="Arial" w:hAnsi="Arial" w:cs="Arial"/>
          <w:b/>
          <w:bCs/>
          <w:i/>
          <w:sz w:val="22"/>
        </w:rPr>
        <w:t xml:space="preserve">                </w:t>
      </w:r>
      <w:r w:rsidRPr="00A0386A">
        <w:rPr>
          <w:rFonts w:ascii="Arial" w:hAnsi="Arial" w:cs="Arial"/>
          <w:b/>
          <w:bCs/>
          <w:i/>
          <w:sz w:val="22"/>
        </w:rPr>
        <w:t>Diagram</w:t>
      </w:r>
      <w:r>
        <w:rPr>
          <w:rFonts w:ascii="Arial" w:hAnsi="Arial" w:cs="Arial"/>
          <w:b/>
          <w:bCs/>
          <w:i/>
          <w:sz w:val="22"/>
        </w:rPr>
        <w:t xml:space="preserve"> 3</w:t>
      </w:r>
      <w:r w:rsidR="00622B09">
        <w:rPr>
          <w:rFonts w:ascii="Arial" w:hAnsi="Arial" w:cs="Arial"/>
          <w:b/>
          <w:bCs/>
          <w:i/>
          <w:sz w:val="22"/>
        </w:rPr>
        <w:t>: Modif</w:t>
      </w:r>
      <w:r w:rsidR="00427A27">
        <w:rPr>
          <w:rFonts w:ascii="Arial" w:hAnsi="Arial" w:cs="Arial"/>
          <w:b/>
          <w:bCs/>
          <w:i/>
          <w:sz w:val="22"/>
        </w:rPr>
        <w:t xml:space="preserve">iable and </w:t>
      </w:r>
      <w:r w:rsidR="0056679B">
        <w:rPr>
          <w:rFonts w:ascii="Arial" w:hAnsi="Arial" w:cs="Arial"/>
          <w:b/>
          <w:bCs/>
          <w:i/>
          <w:sz w:val="22"/>
        </w:rPr>
        <w:t>N</w:t>
      </w:r>
      <w:r w:rsidR="00427A27">
        <w:rPr>
          <w:rFonts w:ascii="Arial" w:hAnsi="Arial" w:cs="Arial"/>
          <w:b/>
          <w:bCs/>
          <w:i/>
          <w:sz w:val="22"/>
        </w:rPr>
        <w:t>on-</w:t>
      </w:r>
      <w:r w:rsidR="0056679B">
        <w:rPr>
          <w:rFonts w:ascii="Arial" w:hAnsi="Arial" w:cs="Arial"/>
          <w:b/>
          <w:bCs/>
          <w:i/>
          <w:sz w:val="22"/>
        </w:rPr>
        <w:t>M</w:t>
      </w:r>
      <w:r w:rsidR="00427A27">
        <w:rPr>
          <w:rFonts w:ascii="Arial" w:hAnsi="Arial" w:cs="Arial"/>
          <w:b/>
          <w:bCs/>
          <w:i/>
          <w:sz w:val="22"/>
        </w:rPr>
        <w:t xml:space="preserve">odifiable </w:t>
      </w:r>
      <w:r w:rsidR="0056679B">
        <w:rPr>
          <w:rFonts w:ascii="Arial" w:hAnsi="Arial" w:cs="Arial"/>
          <w:b/>
          <w:bCs/>
          <w:i/>
          <w:sz w:val="22"/>
        </w:rPr>
        <w:t>Ri</w:t>
      </w:r>
      <w:r w:rsidR="00427A27">
        <w:rPr>
          <w:rFonts w:ascii="Arial" w:hAnsi="Arial" w:cs="Arial"/>
          <w:b/>
          <w:bCs/>
          <w:i/>
          <w:sz w:val="22"/>
        </w:rPr>
        <w:t xml:space="preserve">sk </w:t>
      </w:r>
      <w:r w:rsidR="0056679B">
        <w:rPr>
          <w:rFonts w:ascii="Arial" w:hAnsi="Arial" w:cs="Arial"/>
          <w:b/>
          <w:bCs/>
          <w:i/>
          <w:sz w:val="22"/>
        </w:rPr>
        <w:t>F</w:t>
      </w:r>
      <w:r w:rsidR="00427A27">
        <w:rPr>
          <w:rFonts w:ascii="Arial" w:hAnsi="Arial" w:cs="Arial"/>
          <w:b/>
          <w:bCs/>
          <w:i/>
          <w:sz w:val="22"/>
        </w:rPr>
        <w:t>actors</w:t>
      </w:r>
      <w:r w:rsidR="00AA698F">
        <w:rPr>
          <w:rFonts w:ascii="Arial" w:hAnsi="Arial" w:cs="Arial"/>
          <w:b/>
          <w:bCs/>
          <w:i/>
          <w:sz w:val="22"/>
        </w:rPr>
        <w:t xml:space="preserve"> for</w:t>
      </w:r>
      <w:r w:rsidR="00427A27">
        <w:rPr>
          <w:rFonts w:ascii="Arial" w:hAnsi="Arial" w:cs="Arial"/>
          <w:b/>
          <w:bCs/>
          <w:i/>
          <w:sz w:val="22"/>
        </w:rPr>
        <w:t xml:space="preserve"> </w:t>
      </w:r>
      <w:r w:rsidR="0056679B">
        <w:rPr>
          <w:rFonts w:ascii="Arial" w:hAnsi="Arial" w:cs="Arial"/>
          <w:b/>
          <w:bCs/>
          <w:i/>
          <w:sz w:val="22"/>
        </w:rPr>
        <w:t>D</w:t>
      </w:r>
      <w:r w:rsidR="00427A27">
        <w:rPr>
          <w:rFonts w:ascii="Arial" w:hAnsi="Arial" w:cs="Arial"/>
          <w:b/>
          <w:bCs/>
          <w:i/>
          <w:sz w:val="22"/>
        </w:rPr>
        <w:t xml:space="preserve">iabetes </w:t>
      </w:r>
    </w:p>
    <w:p w14:paraId="1847D039" w14:textId="1E0CE1C5" w:rsidR="008C5CBB" w:rsidRPr="008C5CBB" w:rsidRDefault="008C5CBB" w:rsidP="00CE7FF4">
      <w:pPr>
        <w:tabs>
          <w:tab w:val="left" w:pos="6540"/>
        </w:tabs>
        <w:spacing w:line="360" w:lineRule="auto"/>
        <w:jc w:val="both"/>
        <w:rPr>
          <w:rFonts w:ascii="Arial" w:hAnsi="Arial" w:cs="Arial"/>
          <w:sz w:val="22"/>
          <w:lang w:val="en-US"/>
        </w:rPr>
      </w:pPr>
      <w:r w:rsidRPr="008C5CBB">
        <w:rPr>
          <w:rFonts w:ascii="Arial" w:hAnsi="Arial" w:cs="Arial"/>
          <w:sz w:val="22"/>
          <w:lang w:val="en-US"/>
        </w:rPr>
        <w:t>Non-modifiable risk factors include age, family history, and ethnicity. Insulin sensitivity naturally declines with age, and older adults are more likely to accumulate visceral fat (WHO, 2022). A family history of Type 2 diabetes increases susceptibility due to shared genetic and lifestyle factors (NICE, 2023). Ethnic groups such as African, Asian, and Caribbean populations are at higher risk, partly due to differences in fat distribution and genetic influences on insulin function (WHO, 2022).</w:t>
      </w:r>
    </w:p>
    <w:p w14:paraId="160BD860" w14:textId="77777777" w:rsidR="008C5CBB" w:rsidRPr="008C5CBB" w:rsidRDefault="008C5CBB" w:rsidP="00CE7FF4">
      <w:pPr>
        <w:tabs>
          <w:tab w:val="left" w:pos="6540"/>
        </w:tabs>
        <w:spacing w:line="360" w:lineRule="auto"/>
        <w:jc w:val="both"/>
        <w:rPr>
          <w:rFonts w:ascii="Arial" w:hAnsi="Arial" w:cs="Arial"/>
          <w:sz w:val="22"/>
          <w:lang w:val="en-US"/>
        </w:rPr>
      </w:pPr>
      <w:r w:rsidRPr="008C5CBB">
        <w:rPr>
          <w:rFonts w:ascii="Arial" w:hAnsi="Arial" w:cs="Arial"/>
          <w:sz w:val="22"/>
          <w:lang w:val="en-US"/>
        </w:rPr>
        <w:t xml:space="preserve">Lifestyle </w:t>
      </w:r>
      <w:proofErr w:type="spellStart"/>
      <w:r w:rsidRPr="008C5CBB">
        <w:rPr>
          <w:rFonts w:ascii="Arial" w:hAnsi="Arial" w:cs="Arial"/>
          <w:sz w:val="22"/>
          <w:lang w:val="en-US"/>
        </w:rPr>
        <w:t>behaviours</w:t>
      </w:r>
      <w:proofErr w:type="spellEnd"/>
      <w:r w:rsidRPr="008C5CBB">
        <w:rPr>
          <w:rFonts w:ascii="Arial" w:hAnsi="Arial" w:cs="Arial"/>
          <w:sz w:val="22"/>
          <w:lang w:val="en-US"/>
        </w:rPr>
        <w:t xml:space="preserve"> such as smoking further exacerbate risk. Smoking damages blood vessels, increases inflammation, and reduces insulin effectiveness, not only raising the likelihood of developing diabetes but also increasing the risk of cardiovascular complications once diabetes is present (American Diabetes Association, 2024).</w:t>
      </w:r>
    </w:p>
    <w:p w14:paraId="5F78A128" w14:textId="77777777" w:rsidR="008C5CBB" w:rsidRPr="008C5CBB" w:rsidRDefault="008C5CBB" w:rsidP="00CE7FF4">
      <w:pPr>
        <w:tabs>
          <w:tab w:val="left" w:pos="6540"/>
        </w:tabs>
        <w:spacing w:line="360" w:lineRule="auto"/>
        <w:jc w:val="both"/>
        <w:rPr>
          <w:rFonts w:ascii="Arial" w:hAnsi="Arial" w:cs="Arial"/>
          <w:sz w:val="22"/>
          <w:lang w:val="en-US"/>
        </w:rPr>
      </w:pPr>
      <w:r w:rsidRPr="008C5CBB">
        <w:rPr>
          <w:rFonts w:ascii="Arial" w:hAnsi="Arial" w:cs="Arial"/>
          <w:sz w:val="22"/>
          <w:lang w:val="en-US"/>
        </w:rPr>
        <w:lastRenderedPageBreak/>
        <w:t xml:space="preserve">Collectively, these risk factors contribute to insulin resistance, chronic </w:t>
      </w:r>
      <w:proofErr w:type="spellStart"/>
      <w:r w:rsidRPr="008C5CBB">
        <w:rPr>
          <w:rFonts w:ascii="Arial" w:hAnsi="Arial" w:cs="Arial"/>
          <w:sz w:val="22"/>
          <w:lang w:val="en-US"/>
        </w:rPr>
        <w:t>hyperglycaemia</w:t>
      </w:r>
      <w:proofErr w:type="spellEnd"/>
      <w:r w:rsidRPr="008C5CBB">
        <w:rPr>
          <w:rFonts w:ascii="Arial" w:hAnsi="Arial" w:cs="Arial"/>
          <w:sz w:val="22"/>
          <w:lang w:val="en-US"/>
        </w:rPr>
        <w:t>, and increased inflammation. If unmanaged, they can lead to long-term complications including cardiovascular disease, kidney damage, nerve damage, and impaired wound healing (NICE, 2023). Early identification and modification of these factors are therefore essential to prevent disease progression and support long-term health.</w:t>
      </w:r>
    </w:p>
    <w:p w14:paraId="64205A85" w14:textId="3135C57C" w:rsidR="008E5F4D" w:rsidRPr="008E5F4D" w:rsidRDefault="00EE4893" w:rsidP="00CE7FF4">
      <w:pPr>
        <w:pStyle w:val="Heading1"/>
        <w:jc w:val="both"/>
      </w:pPr>
      <w:bookmarkStart w:id="6" w:name="_Toc215832929"/>
      <w:r>
        <w:t>5. R</w:t>
      </w:r>
      <w:r w:rsidRPr="00EE4893">
        <w:t>ecording and Tracking Blood Sugar Levels for Type 2 Diabetes</w:t>
      </w:r>
      <w:bookmarkEnd w:id="6"/>
    </w:p>
    <w:p w14:paraId="39B241D2" w14:textId="77777777" w:rsidR="008E5F4D" w:rsidRPr="008E5F4D" w:rsidRDefault="008E5F4D" w:rsidP="00CE7FF4">
      <w:pPr>
        <w:tabs>
          <w:tab w:val="left" w:pos="6540"/>
        </w:tabs>
        <w:spacing w:line="360" w:lineRule="auto"/>
        <w:jc w:val="both"/>
        <w:rPr>
          <w:rFonts w:ascii="Arial" w:hAnsi="Arial" w:cs="Arial"/>
          <w:sz w:val="22"/>
          <w:lang w:val="en-US"/>
        </w:rPr>
      </w:pPr>
      <w:r w:rsidRPr="008E5F4D">
        <w:rPr>
          <w:rFonts w:ascii="Arial" w:hAnsi="Arial" w:cs="Arial"/>
          <w:sz w:val="22"/>
          <w:lang w:val="en-US"/>
        </w:rPr>
        <w:t>Monitoring blood glucose is essential for effective diabetes management. Regularly recording levels helps patients and healthcare professionals understand how lifestyle, diet, and medication influence glucose control (American Diabetes Association, 2024).</w:t>
      </w:r>
    </w:p>
    <w:p w14:paraId="0693F5BA" w14:textId="321409AF" w:rsidR="008E5F4D" w:rsidRDefault="008E5F4D" w:rsidP="00CE7FF4">
      <w:pPr>
        <w:tabs>
          <w:tab w:val="left" w:pos="6540"/>
        </w:tabs>
        <w:spacing w:line="360" w:lineRule="auto"/>
        <w:jc w:val="both"/>
        <w:rPr>
          <w:rFonts w:ascii="Arial" w:hAnsi="Arial" w:cs="Arial"/>
          <w:sz w:val="22"/>
          <w:lang w:val="en-US"/>
        </w:rPr>
      </w:pPr>
      <w:r w:rsidRPr="008E5F4D">
        <w:rPr>
          <w:rFonts w:ascii="Arial" w:hAnsi="Arial" w:cs="Arial"/>
          <w:sz w:val="22"/>
          <w:lang w:val="en-US"/>
        </w:rPr>
        <w:t xml:space="preserve">Blood </w:t>
      </w:r>
      <w:r w:rsidR="004D094B">
        <w:rPr>
          <w:rFonts w:ascii="Arial" w:hAnsi="Arial" w:cs="Arial"/>
          <w:sz w:val="22"/>
          <w:lang w:val="en-US"/>
        </w:rPr>
        <w:t>glucose</w:t>
      </w:r>
      <w:r w:rsidRPr="008E5F4D">
        <w:rPr>
          <w:rFonts w:ascii="Arial" w:hAnsi="Arial" w:cs="Arial"/>
          <w:sz w:val="22"/>
          <w:lang w:val="en-US"/>
        </w:rPr>
        <w:t xml:space="preserve"> can be measured with a glucometer or continuous glucose monitoring (CGM). These tools provide immediate feedback, allowing adjustments to diet, activity, or medication. Early detection of low blood sugar prevents </w:t>
      </w:r>
      <w:proofErr w:type="spellStart"/>
      <w:r w:rsidRPr="008E5F4D">
        <w:rPr>
          <w:rFonts w:ascii="Arial" w:hAnsi="Arial" w:cs="Arial"/>
          <w:sz w:val="22"/>
          <w:lang w:val="en-US"/>
        </w:rPr>
        <w:t>hypoglycaemia</w:t>
      </w:r>
      <w:proofErr w:type="spellEnd"/>
      <w:r w:rsidRPr="008E5F4D">
        <w:rPr>
          <w:rFonts w:ascii="Arial" w:hAnsi="Arial" w:cs="Arial"/>
          <w:sz w:val="22"/>
          <w:lang w:val="en-US"/>
        </w:rPr>
        <w:t>, which can cause dizziness or loss of consciousness (NICE, 2023).</w:t>
      </w:r>
    </w:p>
    <w:p w14:paraId="41A5DF22" w14:textId="77777777" w:rsidR="00DE3D9D" w:rsidRPr="00DE3D9D" w:rsidRDefault="00DE3D9D" w:rsidP="00CE7FF4">
      <w:pPr>
        <w:tabs>
          <w:tab w:val="left" w:pos="6540"/>
        </w:tabs>
        <w:spacing w:line="360" w:lineRule="auto"/>
        <w:jc w:val="both"/>
        <w:rPr>
          <w:rFonts w:ascii="Arial" w:hAnsi="Arial" w:cs="Arial"/>
          <w:sz w:val="22"/>
          <w:lang w:val="en-US"/>
        </w:rPr>
      </w:pPr>
      <w:r w:rsidRPr="00DE3D9D">
        <w:rPr>
          <w:rFonts w:ascii="Arial" w:hAnsi="Arial" w:cs="Arial"/>
          <w:sz w:val="22"/>
          <w:lang w:val="en-US"/>
        </w:rPr>
        <w:t xml:space="preserve">Tracking trends over time, rather than single readings, identifies patterns linked to meals, exercise, stress, or sleep. This supports </w:t>
      </w:r>
      <w:proofErr w:type="spellStart"/>
      <w:r w:rsidRPr="00DE3D9D">
        <w:rPr>
          <w:rFonts w:ascii="Arial" w:hAnsi="Arial" w:cs="Arial"/>
          <w:sz w:val="22"/>
          <w:lang w:val="en-US"/>
        </w:rPr>
        <w:t>personalised</w:t>
      </w:r>
      <w:proofErr w:type="spellEnd"/>
      <w:r w:rsidRPr="00DE3D9D">
        <w:rPr>
          <w:rFonts w:ascii="Arial" w:hAnsi="Arial" w:cs="Arial"/>
          <w:sz w:val="22"/>
          <w:lang w:val="en-US"/>
        </w:rPr>
        <w:t xml:space="preserve"> care planning, medication adjustments, and lifestyle goals. Without tracking, patterns may be missed, increasing the risk of long-term complications such as kidney disease, neuropathy, and cardiovascular problems (WHO, 2022).</w:t>
      </w:r>
    </w:p>
    <w:p w14:paraId="400FE5DF" w14:textId="77777777" w:rsidR="00FF154A" w:rsidRDefault="008E5F4D" w:rsidP="00CE7FF4">
      <w:pPr>
        <w:tabs>
          <w:tab w:val="left" w:pos="6540"/>
        </w:tabs>
        <w:spacing w:line="360" w:lineRule="auto"/>
        <w:jc w:val="both"/>
        <w:rPr>
          <w:rFonts w:ascii="Arial" w:hAnsi="Arial" w:cs="Arial"/>
          <w:sz w:val="22"/>
          <w:lang w:val="en-US"/>
        </w:rPr>
      </w:pPr>
      <w:r w:rsidRPr="008E5F4D">
        <w:rPr>
          <w:rFonts w:ascii="Arial" w:hAnsi="Arial" w:cs="Arial"/>
          <w:sz w:val="22"/>
          <w:lang w:val="en-US"/>
        </w:rPr>
        <w:t xml:space="preserve">Physiologically, regular monitoring helps patients understand how insulin resistance, glucose uptake, and energy production respond to daily </w:t>
      </w:r>
      <w:proofErr w:type="spellStart"/>
      <w:r w:rsidRPr="008E5F4D">
        <w:rPr>
          <w:rFonts w:ascii="Arial" w:hAnsi="Arial" w:cs="Arial"/>
          <w:sz w:val="22"/>
          <w:lang w:val="en-US"/>
        </w:rPr>
        <w:t>behaviours</w:t>
      </w:r>
      <w:proofErr w:type="spellEnd"/>
      <w:r w:rsidRPr="008E5F4D">
        <w:rPr>
          <w:rFonts w:ascii="Arial" w:hAnsi="Arial" w:cs="Arial"/>
          <w:sz w:val="22"/>
          <w:lang w:val="en-US"/>
        </w:rPr>
        <w:t>, encouraging adherence to diet, exercise, and medication (Hall &amp; Guyton, 2021).</w:t>
      </w:r>
    </w:p>
    <w:p w14:paraId="5C2CC182" w14:textId="6C767E6C" w:rsidR="00480CDC" w:rsidRPr="00FF154A" w:rsidRDefault="008E5F4D" w:rsidP="00CE7FF4">
      <w:pPr>
        <w:tabs>
          <w:tab w:val="left" w:pos="6540"/>
        </w:tabs>
        <w:spacing w:line="360" w:lineRule="auto"/>
        <w:jc w:val="both"/>
        <w:rPr>
          <w:rFonts w:ascii="Arial" w:hAnsi="Arial" w:cs="Arial"/>
          <w:sz w:val="22"/>
          <w:lang w:val="en-US"/>
        </w:rPr>
      </w:pPr>
      <w:r w:rsidRPr="008E5F4D">
        <w:rPr>
          <w:rFonts w:ascii="Arial" w:hAnsi="Arial" w:cs="Arial"/>
          <w:sz w:val="22"/>
          <w:lang w:val="en-US"/>
        </w:rPr>
        <w:t>In summary, recording and tracking blood sugar supports stable glucose control, prevents complications, and promotes long-term wellbeing for people with Type 2 diabetes.</w:t>
      </w:r>
      <w:r w:rsidR="006C2CA2">
        <w:rPr>
          <w:rFonts w:ascii="Arial" w:hAnsi="Arial" w:cs="Arial"/>
          <w:b/>
          <w:bCs/>
          <w:i/>
          <w:sz w:val="22"/>
        </w:rPr>
        <w:t xml:space="preserve"> </w:t>
      </w:r>
    </w:p>
    <w:p w14:paraId="02168128" w14:textId="701260F0" w:rsidR="00856A93" w:rsidRPr="00856A93" w:rsidRDefault="003F0603" w:rsidP="00CE7FF4">
      <w:pPr>
        <w:pStyle w:val="Heading1"/>
        <w:jc w:val="both"/>
      </w:pPr>
      <w:bookmarkStart w:id="7" w:name="_Toc215832930"/>
      <w:r>
        <w:t>6</w:t>
      </w:r>
      <w:r w:rsidR="001B7A40" w:rsidRPr="00C03A91">
        <w:t>. Recommendations</w:t>
      </w:r>
      <w:bookmarkEnd w:id="7"/>
    </w:p>
    <w:p w14:paraId="65578285" w14:textId="77777777" w:rsidR="00EE79DE" w:rsidRPr="00EE79DE" w:rsidRDefault="00EE79DE" w:rsidP="00CE7FF4">
      <w:pPr>
        <w:tabs>
          <w:tab w:val="left" w:pos="6540"/>
        </w:tabs>
        <w:spacing w:line="360" w:lineRule="auto"/>
        <w:jc w:val="both"/>
        <w:rPr>
          <w:rFonts w:ascii="Arial" w:hAnsi="Arial" w:cs="Arial"/>
          <w:sz w:val="22"/>
          <w:lang w:val="en-US"/>
        </w:rPr>
      </w:pPr>
      <w:r w:rsidRPr="00EE79DE">
        <w:rPr>
          <w:rFonts w:ascii="Arial" w:hAnsi="Arial" w:cs="Arial"/>
          <w:sz w:val="22"/>
          <w:lang w:val="en-US"/>
        </w:rPr>
        <w:t>Effective management of Type 2 diabetes requires a combination of medical interventions and lifestyle modifications. As a practice nurse working in a local GP surgery, providing patients with clear guidance and support is essential to improve their overall health and wellbeing.</w:t>
      </w:r>
    </w:p>
    <w:p w14:paraId="6937267E" w14:textId="77777777" w:rsidR="00EE79DE" w:rsidRPr="00EE79DE" w:rsidRDefault="00EE79DE" w:rsidP="00CE7FF4">
      <w:pPr>
        <w:tabs>
          <w:tab w:val="left" w:pos="6540"/>
        </w:tabs>
        <w:spacing w:line="360" w:lineRule="auto"/>
        <w:jc w:val="both"/>
        <w:rPr>
          <w:rFonts w:ascii="Arial" w:hAnsi="Arial" w:cs="Arial"/>
          <w:sz w:val="22"/>
          <w:lang w:val="en-US"/>
        </w:rPr>
      </w:pPr>
      <w:r w:rsidRPr="00EE79DE">
        <w:rPr>
          <w:rFonts w:ascii="Arial" w:hAnsi="Arial" w:cs="Arial"/>
          <w:b/>
          <w:bCs/>
          <w:sz w:val="22"/>
          <w:lang w:val="en-US"/>
        </w:rPr>
        <w:t>Dietary interventions are crucial.</w:t>
      </w:r>
      <w:r w:rsidRPr="00EE79DE">
        <w:rPr>
          <w:rFonts w:ascii="Arial" w:hAnsi="Arial" w:cs="Arial"/>
          <w:sz w:val="22"/>
          <w:lang w:val="en-US"/>
        </w:rPr>
        <w:t xml:space="preserve"> Patients should be encouraged to follow a balanced diet rich in whole grains, fruits, vegetables, lean proteins, and healthy fats while limiting intake of refined sugars and saturated fats. Such dietary changes can reduce postprandial blood </w:t>
      </w:r>
      <w:r w:rsidRPr="00EE79DE">
        <w:rPr>
          <w:rFonts w:ascii="Arial" w:hAnsi="Arial" w:cs="Arial"/>
          <w:sz w:val="22"/>
          <w:lang w:val="en-US"/>
        </w:rPr>
        <w:lastRenderedPageBreak/>
        <w:t>glucose spikes, improve insulin sensitivity, and support weight management (American Diabetes Association, 2024; Evert et al., 2020).</w:t>
      </w:r>
    </w:p>
    <w:p w14:paraId="03CCAB7C" w14:textId="77777777" w:rsidR="00EE79DE" w:rsidRPr="00EE79DE" w:rsidRDefault="00EE79DE" w:rsidP="00CE7FF4">
      <w:pPr>
        <w:tabs>
          <w:tab w:val="left" w:pos="6540"/>
        </w:tabs>
        <w:spacing w:line="360" w:lineRule="auto"/>
        <w:jc w:val="both"/>
        <w:rPr>
          <w:rFonts w:ascii="Arial" w:hAnsi="Arial" w:cs="Arial"/>
          <w:sz w:val="22"/>
          <w:lang w:val="en-US"/>
        </w:rPr>
      </w:pPr>
      <w:r w:rsidRPr="00EE79DE">
        <w:rPr>
          <w:rFonts w:ascii="Arial" w:hAnsi="Arial" w:cs="Arial"/>
          <w:b/>
          <w:bCs/>
          <w:sz w:val="22"/>
          <w:lang w:val="en-US"/>
        </w:rPr>
        <w:t>Regular physical activity</w:t>
      </w:r>
      <w:r w:rsidRPr="00EE79DE">
        <w:rPr>
          <w:rFonts w:ascii="Arial" w:hAnsi="Arial" w:cs="Arial"/>
          <w:sz w:val="22"/>
          <w:lang w:val="en-US"/>
        </w:rPr>
        <w:t xml:space="preserve"> is another key recommendation. Moderate-intensity aerobic exercise for at least 150 minutes per week, combined with resistance training, enhances glucose uptake by muscles, improves cardiovascular health, and supports weight management (Colberg et al., 2016; NICE, 2023). Encouraging patients to incorporate activity into daily routines, such as walking or cycling, can increase adherence.</w:t>
      </w:r>
    </w:p>
    <w:p w14:paraId="5DDB6340" w14:textId="77777777" w:rsidR="00EE79DE" w:rsidRPr="00EE79DE" w:rsidRDefault="00EE79DE" w:rsidP="00CE7FF4">
      <w:pPr>
        <w:tabs>
          <w:tab w:val="left" w:pos="6540"/>
        </w:tabs>
        <w:spacing w:line="360" w:lineRule="auto"/>
        <w:jc w:val="both"/>
        <w:rPr>
          <w:rFonts w:ascii="Arial" w:hAnsi="Arial" w:cs="Arial"/>
          <w:sz w:val="22"/>
          <w:lang w:val="en-US"/>
        </w:rPr>
      </w:pPr>
      <w:r w:rsidRPr="00EE79DE">
        <w:rPr>
          <w:rFonts w:ascii="Arial" w:hAnsi="Arial" w:cs="Arial"/>
          <w:b/>
          <w:bCs/>
          <w:sz w:val="22"/>
          <w:lang w:val="en-US"/>
        </w:rPr>
        <w:t>Weight management</w:t>
      </w:r>
      <w:r w:rsidRPr="00EE79DE">
        <w:rPr>
          <w:rFonts w:ascii="Arial" w:hAnsi="Arial" w:cs="Arial"/>
          <w:sz w:val="22"/>
          <w:lang w:val="en-US"/>
        </w:rPr>
        <w:t xml:space="preserve"> is essential for patients who are overweight or obese. Even modest weight loss of 5–10% can significantly improve insulin sensitivity and reduce the risk of diabetes-related complications (Look AHEAD Research Group, 2014). This can be achieved through a combination of diet, exercise, and </w:t>
      </w:r>
      <w:proofErr w:type="spellStart"/>
      <w:r w:rsidRPr="00EE79DE">
        <w:rPr>
          <w:rFonts w:ascii="Arial" w:hAnsi="Arial" w:cs="Arial"/>
          <w:sz w:val="22"/>
          <w:lang w:val="en-US"/>
        </w:rPr>
        <w:t>behaviour</w:t>
      </w:r>
      <w:proofErr w:type="spellEnd"/>
      <w:r w:rsidRPr="00EE79DE">
        <w:rPr>
          <w:rFonts w:ascii="Arial" w:hAnsi="Arial" w:cs="Arial"/>
          <w:sz w:val="22"/>
          <w:lang w:val="en-US"/>
        </w:rPr>
        <w:t xml:space="preserve"> modification programs.</w:t>
      </w:r>
    </w:p>
    <w:p w14:paraId="447B78B9" w14:textId="77777777" w:rsidR="00EE79DE" w:rsidRPr="00EE79DE" w:rsidRDefault="00EE79DE" w:rsidP="00CE7FF4">
      <w:pPr>
        <w:tabs>
          <w:tab w:val="left" w:pos="6540"/>
        </w:tabs>
        <w:spacing w:line="360" w:lineRule="auto"/>
        <w:jc w:val="both"/>
        <w:rPr>
          <w:rFonts w:ascii="Arial" w:hAnsi="Arial" w:cs="Arial"/>
          <w:sz w:val="22"/>
          <w:lang w:val="en-US"/>
        </w:rPr>
      </w:pPr>
      <w:r w:rsidRPr="00EE79DE">
        <w:rPr>
          <w:rFonts w:ascii="Arial" w:hAnsi="Arial" w:cs="Arial"/>
          <w:b/>
          <w:bCs/>
          <w:sz w:val="22"/>
          <w:lang w:val="en-US"/>
        </w:rPr>
        <w:t xml:space="preserve">Smoking cessation </w:t>
      </w:r>
      <w:r w:rsidRPr="00EE79DE">
        <w:rPr>
          <w:rFonts w:ascii="Arial" w:hAnsi="Arial" w:cs="Arial"/>
          <w:sz w:val="22"/>
          <w:lang w:val="en-US"/>
        </w:rPr>
        <w:t>should be promoted, as smoking increases inflammation, reduces insulin effectiveness, and heightens cardiovascular risk (American Diabetes Association, 2024; WHO, 2022). Nurses can refer patients to support programs or pharmacological aids to improve success rates.</w:t>
      </w:r>
    </w:p>
    <w:p w14:paraId="4FD32F51" w14:textId="77777777" w:rsidR="00EE79DE" w:rsidRPr="00EE79DE" w:rsidRDefault="00EE79DE" w:rsidP="00CE7FF4">
      <w:pPr>
        <w:tabs>
          <w:tab w:val="left" w:pos="6540"/>
        </w:tabs>
        <w:spacing w:line="360" w:lineRule="auto"/>
        <w:jc w:val="both"/>
        <w:rPr>
          <w:rFonts w:ascii="Arial" w:hAnsi="Arial" w:cs="Arial"/>
          <w:sz w:val="22"/>
          <w:lang w:val="en-US"/>
        </w:rPr>
      </w:pPr>
      <w:r w:rsidRPr="00EE79DE">
        <w:rPr>
          <w:rFonts w:ascii="Arial" w:hAnsi="Arial" w:cs="Arial"/>
          <w:b/>
          <w:bCs/>
          <w:sz w:val="22"/>
          <w:lang w:val="en-US"/>
        </w:rPr>
        <w:t xml:space="preserve">Blood glucose monitoring and patient education </w:t>
      </w:r>
      <w:r w:rsidRPr="00EE79DE">
        <w:rPr>
          <w:rFonts w:ascii="Arial" w:hAnsi="Arial" w:cs="Arial"/>
          <w:sz w:val="22"/>
          <w:lang w:val="en-US"/>
        </w:rPr>
        <w:t>are also vital. Teaching patients to regularly monitor their blood sugar, interpret results, and understand the impact of diet, exercise, and medication allows them to make informed decisions and maintain stable glucose levels (NICE, 2023; Polonsky &amp; Fisher, 2015).</w:t>
      </w:r>
    </w:p>
    <w:p w14:paraId="73CB15A8" w14:textId="24039AF6" w:rsidR="00EE79DE" w:rsidRPr="00EE79DE" w:rsidRDefault="00EE79DE" w:rsidP="00CE7FF4">
      <w:pPr>
        <w:tabs>
          <w:tab w:val="left" w:pos="6540"/>
        </w:tabs>
        <w:spacing w:line="360" w:lineRule="auto"/>
        <w:jc w:val="both"/>
        <w:rPr>
          <w:rFonts w:ascii="Arial" w:hAnsi="Arial" w:cs="Arial"/>
          <w:sz w:val="22"/>
          <w:lang w:val="en-US"/>
        </w:rPr>
      </w:pPr>
      <w:r w:rsidRPr="00EE79DE">
        <w:rPr>
          <w:rFonts w:ascii="Arial" w:hAnsi="Arial" w:cs="Arial"/>
          <w:sz w:val="22"/>
          <w:lang w:val="en-US"/>
        </w:rPr>
        <w:t xml:space="preserve">Finally, psychosocial support and health education should not be overlooked. Structured education programs such as </w:t>
      </w:r>
      <w:r w:rsidR="003B56AF" w:rsidRPr="003B56AF">
        <w:rPr>
          <w:rFonts w:ascii="Arial" w:hAnsi="Arial" w:cs="Arial"/>
          <w:sz w:val="22"/>
          <w:lang w:val="en-US"/>
        </w:rPr>
        <w:t>(Diabetes Education and Self-Management for Ongoing and Newly Diagnosed</w:t>
      </w:r>
      <w:r w:rsidR="003B56AF">
        <w:rPr>
          <w:rFonts w:ascii="Arial" w:hAnsi="Arial" w:cs="Arial"/>
          <w:sz w:val="22"/>
          <w:lang w:val="en-US"/>
        </w:rPr>
        <w:t>)</w:t>
      </w:r>
      <w:r w:rsidR="003B56AF" w:rsidRPr="003B56AF">
        <w:rPr>
          <w:rFonts w:ascii="Arial" w:hAnsi="Arial" w:cs="Arial"/>
          <w:sz w:val="22"/>
          <w:lang w:val="en-US"/>
        </w:rPr>
        <w:t xml:space="preserve"> </w:t>
      </w:r>
      <w:r w:rsidRPr="00EE79DE">
        <w:rPr>
          <w:rFonts w:ascii="Arial" w:hAnsi="Arial" w:cs="Arial"/>
          <w:sz w:val="22"/>
          <w:lang w:val="en-US"/>
        </w:rPr>
        <w:t>DESMOND or DAFNE</w:t>
      </w:r>
      <w:r w:rsidR="00815722">
        <w:rPr>
          <w:rFonts w:ascii="Arial" w:hAnsi="Arial" w:cs="Arial"/>
          <w:sz w:val="22"/>
          <w:lang w:val="en-US"/>
        </w:rPr>
        <w:t xml:space="preserve"> (</w:t>
      </w:r>
      <w:r w:rsidR="00815722" w:rsidRPr="00815722">
        <w:rPr>
          <w:rFonts w:ascii="Arial" w:hAnsi="Arial" w:cs="Arial"/>
          <w:sz w:val="22"/>
          <w:lang w:val="en-US"/>
        </w:rPr>
        <w:t xml:space="preserve">Dose Adjustment </w:t>
      </w:r>
      <w:proofErr w:type="gramStart"/>
      <w:r w:rsidR="00815722" w:rsidRPr="00815722">
        <w:rPr>
          <w:rFonts w:ascii="Arial" w:hAnsi="Arial" w:cs="Arial"/>
          <w:sz w:val="22"/>
          <w:lang w:val="en-US"/>
        </w:rPr>
        <w:t>For</w:t>
      </w:r>
      <w:proofErr w:type="gramEnd"/>
      <w:r w:rsidR="00815722" w:rsidRPr="00815722">
        <w:rPr>
          <w:rFonts w:ascii="Arial" w:hAnsi="Arial" w:cs="Arial"/>
          <w:sz w:val="22"/>
          <w:lang w:val="en-US"/>
        </w:rPr>
        <w:t xml:space="preserve"> Normal Eating</w:t>
      </w:r>
      <w:r w:rsidR="00815722">
        <w:rPr>
          <w:rFonts w:ascii="Arial" w:hAnsi="Arial" w:cs="Arial"/>
          <w:sz w:val="22"/>
          <w:lang w:val="en-US"/>
        </w:rPr>
        <w:t>)</w:t>
      </w:r>
      <w:r w:rsidRPr="00EE79DE">
        <w:rPr>
          <w:rFonts w:ascii="Arial" w:hAnsi="Arial" w:cs="Arial"/>
          <w:sz w:val="22"/>
          <w:lang w:val="en-US"/>
        </w:rPr>
        <w:t xml:space="preserve"> empower patients with knowledge, self-management skills, and confidence to adopt healthy </w:t>
      </w:r>
      <w:proofErr w:type="spellStart"/>
      <w:r w:rsidRPr="00EE79DE">
        <w:rPr>
          <w:rFonts w:ascii="Arial" w:hAnsi="Arial" w:cs="Arial"/>
          <w:sz w:val="22"/>
          <w:lang w:val="en-US"/>
        </w:rPr>
        <w:t>behaviours</w:t>
      </w:r>
      <w:proofErr w:type="spellEnd"/>
      <w:r w:rsidRPr="00EE79DE">
        <w:rPr>
          <w:rFonts w:ascii="Arial" w:hAnsi="Arial" w:cs="Arial"/>
          <w:sz w:val="22"/>
          <w:lang w:val="en-US"/>
        </w:rPr>
        <w:t xml:space="preserve"> (NICE, 2023; Davies et al., 2008). Culturally tailored interventions are particularly important for ethnic groups at higher risk to ensure engagement and long-term adherence.</w:t>
      </w:r>
    </w:p>
    <w:p w14:paraId="2C8DD64B" w14:textId="2B943B84" w:rsidR="001D0F9C" w:rsidRDefault="00EE79DE" w:rsidP="00CE7FF4">
      <w:pPr>
        <w:tabs>
          <w:tab w:val="left" w:pos="6540"/>
        </w:tabs>
        <w:spacing w:line="360" w:lineRule="auto"/>
        <w:jc w:val="both"/>
        <w:rPr>
          <w:rFonts w:ascii="Arial" w:hAnsi="Arial" w:cs="Arial"/>
          <w:sz w:val="22"/>
          <w:lang w:val="en-US"/>
        </w:rPr>
      </w:pPr>
      <w:r w:rsidRPr="00EE79DE">
        <w:rPr>
          <w:rFonts w:ascii="Arial" w:hAnsi="Arial" w:cs="Arial"/>
          <w:sz w:val="22"/>
          <w:lang w:val="en-US"/>
        </w:rPr>
        <w:t xml:space="preserve">By implementing these strategies, patients can improve </w:t>
      </w:r>
      <w:proofErr w:type="spellStart"/>
      <w:r w:rsidRPr="00EE79DE">
        <w:rPr>
          <w:rFonts w:ascii="Arial" w:hAnsi="Arial" w:cs="Arial"/>
          <w:sz w:val="22"/>
          <w:lang w:val="en-US"/>
        </w:rPr>
        <w:t>glycaemic</w:t>
      </w:r>
      <w:proofErr w:type="spellEnd"/>
      <w:r w:rsidRPr="00EE79DE">
        <w:rPr>
          <w:rFonts w:ascii="Arial" w:hAnsi="Arial" w:cs="Arial"/>
          <w:sz w:val="22"/>
          <w:lang w:val="en-US"/>
        </w:rPr>
        <w:t xml:space="preserve"> control, reduce risk of complications, and enhance overall wellbeing. Collaboration between healthcare providers and patients is essential to ensure that interventions are </w:t>
      </w:r>
      <w:proofErr w:type="spellStart"/>
      <w:r w:rsidRPr="00EE79DE">
        <w:rPr>
          <w:rFonts w:ascii="Arial" w:hAnsi="Arial" w:cs="Arial"/>
          <w:sz w:val="22"/>
          <w:lang w:val="en-US"/>
        </w:rPr>
        <w:t>personalised</w:t>
      </w:r>
      <w:proofErr w:type="spellEnd"/>
      <w:r w:rsidRPr="00EE79DE">
        <w:rPr>
          <w:rFonts w:ascii="Arial" w:hAnsi="Arial" w:cs="Arial"/>
          <w:sz w:val="22"/>
          <w:lang w:val="en-US"/>
        </w:rPr>
        <w:t>, achievable, and sustainable.</w:t>
      </w:r>
      <w:r w:rsidR="00A82BAF">
        <w:rPr>
          <w:noProof/>
        </w:rPr>
        <w:lastRenderedPageBreak/>
        <w:drawing>
          <wp:inline distT="0" distB="0" distL="0" distR="0" wp14:anchorId="69D1D815" wp14:editId="6D030F7C">
            <wp:extent cx="5731510" cy="4139565"/>
            <wp:effectExtent l="0" t="0" r="2540" b="0"/>
            <wp:docPr id="1835339738" name="Picture 10" descr="A chart of diabe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39738" name="Picture 10" descr="A chart of diabetes&#10;&#10;AI-generated content may be incorrect."/>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4139565"/>
                    </a:xfrm>
                    <a:prstGeom prst="rect">
                      <a:avLst/>
                    </a:prstGeom>
                  </pic:spPr>
                </pic:pic>
              </a:graphicData>
            </a:graphic>
          </wp:inline>
        </w:drawing>
      </w:r>
      <w:r w:rsidR="00A82BAF">
        <w:rPr>
          <w:rFonts w:ascii="Arial" w:hAnsi="Arial" w:cs="Arial"/>
          <w:b/>
          <w:bCs/>
          <w:i/>
          <w:sz w:val="22"/>
        </w:rPr>
        <w:t xml:space="preserve"> </w:t>
      </w:r>
      <w:r w:rsidR="00BD469D">
        <w:rPr>
          <w:rFonts w:ascii="Arial" w:hAnsi="Arial" w:cs="Arial"/>
          <w:b/>
          <w:bCs/>
          <w:i/>
          <w:sz w:val="22"/>
        </w:rPr>
        <w:t xml:space="preserve">                                    </w:t>
      </w:r>
      <w:r w:rsidR="00A82BAF" w:rsidRPr="00A0386A">
        <w:rPr>
          <w:rFonts w:ascii="Arial" w:hAnsi="Arial" w:cs="Arial"/>
          <w:b/>
          <w:bCs/>
          <w:i/>
          <w:sz w:val="22"/>
        </w:rPr>
        <w:t>Diagram</w:t>
      </w:r>
      <w:r w:rsidR="00A82BAF">
        <w:rPr>
          <w:rFonts w:ascii="Arial" w:hAnsi="Arial" w:cs="Arial"/>
          <w:b/>
          <w:bCs/>
          <w:i/>
          <w:sz w:val="22"/>
        </w:rPr>
        <w:t xml:space="preserve"> 4: Ho</w:t>
      </w:r>
      <w:r w:rsidR="00BD469D">
        <w:rPr>
          <w:rFonts w:ascii="Arial" w:hAnsi="Arial" w:cs="Arial"/>
          <w:b/>
          <w:bCs/>
          <w:i/>
          <w:sz w:val="22"/>
        </w:rPr>
        <w:t>w</w:t>
      </w:r>
      <w:r w:rsidR="00A82BAF">
        <w:rPr>
          <w:rFonts w:ascii="Arial" w:hAnsi="Arial" w:cs="Arial"/>
          <w:b/>
          <w:bCs/>
          <w:i/>
          <w:sz w:val="22"/>
        </w:rPr>
        <w:t xml:space="preserve"> </w:t>
      </w:r>
      <w:r w:rsidR="00545D31">
        <w:rPr>
          <w:rFonts w:ascii="Arial" w:hAnsi="Arial" w:cs="Arial"/>
          <w:b/>
          <w:bCs/>
          <w:i/>
          <w:sz w:val="22"/>
        </w:rPr>
        <w:t>to</w:t>
      </w:r>
      <w:r w:rsidR="00A82BAF">
        <w:rPr>
          <w:rFonts w:ascii="Arial" w:hAnsi="Arial" w:cs="Arial"/>
          <w:b/>
          <w:bCs/>
          <w:i/>
          <w:sz w:val="22"/>
        </w:rPr>
        <w:t xml:space="preserve"> Manage Diabetes</w:t>
      </w:r>
    </w:p>
    <w:p w14:paraId="59F05989" w14:textId="19BD97AF" w:rsidR="001B7A40" w:rsidRPr="00C03A91" w:rsidRDefault="001B7A40" w:rsidP="00CE7FF4">
      <w:pPr>
        <w:pStyle w:val="Heading1"/>
        <w:ind w:left="0"/>
        <w:jc w:val="both"/>
      </w:pPr>
      <w:bookmarkStart w:id="8" w:name="_Toc215832931"/>
      <w:r w:rsidRPr="00C03A91">
        <w:t>6. Conclusion</w:t>
      </w:r>
      <w:bookmarkEnd w:id="8"/>
    </w:p>
    <w:p w14:paraId="2DA8FF7E" w14:textId="77777777" w:rsidR="004B2F24" w:rsidRPr="004B2F24" w:rsidRDefault="004B2F24" w:rsidP="00CE7FF4">
      <w:pPr>
        <w:tabs>
          <w:tab w:val="left" w:pos="6540"/>
        </w:tabs>
        <w:spacing w:line="360" w:lineRule="auto"/>
        <w:jc w:val="both"/>
        <w:rPr>
          <w:rFonts w:ascii="Arial" w:hAnsi="Arial" w:cs="Arial"/>
          <w:sz w:val="22"/>
          <w:lang w:val="en-US"/>
        </w:rPr>
      </w:pPr>
      <w:r w:rsidRPr="004B2F24">
        <w:rPr>
          <w:rFonts w:ascii="Arial" w:hAnsi="Arial" w:cs="Arial"/>
          <w:sz w:val="22"/>
          <w:lang w:val="en-US"/>
        </w:rPr>
        <w:t xml:space="preserve">This report has outlined the key aspects of Type 2 diabetes and its management in primary care. It discussed the condition, its types, and the main risk factors—including lifestyle, age, genetics, and ethnicity—along with their physiological effects, such as insulin resistance, chronic </w:t>
      </w:r>
      <w:proofErr w:type="spellStart"/>
      <w:r w:rsidRPr="004B2F24">
        <w:rPr>
          <w:rFonts w:ascii="Arial" w:hAnsi="Arial" w:cs="Arial"/>
          <w:sz w:val="22"/>
          <w:lang w:val="en-US"/>
        </w:rPr>
        <w:t>hyperglycaemia</w:t>
      </w:r>
      <w:proofErr w:type="spellEnd"/>
      <w:r w:rsidRPr="004B2F24">
        <w:rPr>
          <w:rFonts w:ascii="Arial" w:hAnsi="Arial" w:cs="Arial"/>
          <w:sz w:val="22"/>
          <w:lang w:val="en-US"/>
        </w:rPr>
        <w:t>, and long-term complications.</w:t>
      </w:r>
    </w:p>
    <w:p w14:paraId="475E5AF1" w14:textId="77777777" w:rsidR="004B2F24" w:rsidRPr="004B2F24" w:rsidRDefault="004B2F24" w:rsidP="00CE7FF4">
      <w:pPr>
        <w:tabs>
          <w:tab w:val="left" w:pos="6540"/>
        </w:tabs>
        <w:spacing w:line="360" w:lineRule="auto"/>
        <w:jc w:val="both"/>
        <w:rPr>
          <w:rFonts w:ascii="Arial" w:hAnsi="Arial" w:cs="Arial"/>
          <w:sz w:val="22"/>
          <w:lang w:val="en-US"/>
        </w:rPr>
      </w:pPr>
      <w:r w:rsidRPr="004B2F24">
        <w:rPr>
          <w:rFonts w:ascii="Arial" w:hAnsi="Arial" w:cs="Arial"/>
          <w:sz w:val="22"/>
          <w:lang w:val="en-US"/>
        </w:rPr>
        <w:t>Blood glucose regulation was explained, highlighting the roles of insulin and glucagon and how this system is disrupted in diabetes. Cellular metabolism was also described, demonstrating how glucose and oxygen produce ATP and how impaired insulin function affects cellular energy availability.</w:t>
      </w:r>
    </w:p>
    <w:p w14:paraId="09D3A50C" w14:textId="77777777" w:rsidR="004B2F24" w:rsidRPr="004B2F24" w:rsidRDefault="004B2F24" w:rsidP="00CE7FF4">
      <w:pPr>
        <w:tabs>
          <w:tab w:val="left" w:pos="6540"/>
        </w:tabs>
        <w:spacing w:line="360" w:lineRule="auto"/>
        <w:jc w:val="both"/>
        <w:rPr>
          <w:rFonts w:ascii="Arial" w:hAnsi="Arial" w:cs="Arial"/>
          <w:sz w:val="22"/>
          <w:lang w:val="en-US"/>
        </w:rPr>
      </w:pPr>
      <w:r w:rsidRPr="004B2F24">
        <w:rPr>
          <w:rFonts w:ascii="Arial" w:hAnsi="Arial" w:cs="Arial"/>
          <w:sz w:val="22"/>
          <w:lang w:val="en-US"/>
        </w:rPr>
        <w:t xml:space="preserve">The importance of recording and tracking blood glucose was </w:t>
      </w:r>
      <w:proofErr w:type="spellStart"/>
      <w:r w:rsidRPr="004B2F24">
        <w:rPr>
          <w:rFonts w:ascii="Arial" w:hAnsi="Arial" w:cs="Arial"/>
          <w:sz w:val="22"/>
          <w:lang w:val="en-US"/>
        </w:rPr>
        <w:t>emphasised</w:t>
      </w:r>
      <w:proofErr w:type="spellEnd"/>
      <w:r w:rsidRPr="004B2F24">
        <w:rPr>
          <w:rFonts w:ascii="Arial" w:hAnsi="Arial" w:cs="Arial"/>
          <w:sz w:val="22"/>
          <w:lang w:val="en-US"/>
        </w:rPr>
        <w:t xml:space="preserve">, illustrating how regular monitoring helps patients manage their condition effectively and reduce the risk of complications. Evidence-based recommendations were provided, including lifestyle modifications, education, medication adherence, and </w:t>
      </w:r>
      <w:proofErr w:type="spellStart"/>
      <w:r w:rsidRPr="004B2F24">
        <w:rPr>
          <w:rFonts w:ascii="Arial" w:hAnsi="Arial" w:cs="Arial"/>
          <w:sz w:val="22"/>
          <w:lang w:val="en-US"/>
        </w:rPr>
        <w:t>personalised</w:t>
      </w:r>
      <w:proofErr w:type="spellEnd"/>
      <w:r w:rsidRPr="004B2F24">
        <w:rPr>
          <w:rFonts w:ascii="Arial" w:hAnsi="Arial" w:cs="Arial"/>
          <w:sz w:val="22"/>
          <w:lang w:val="en-US"/>
        </w:rPr>
        <w:t xml:space="preserve"> care plans.</w:t>
      </w:r>
    </w:p>
    <w:p w14:paraId="2C734163" w14:textId="3872FB14" w:rsidR="008E5F4D" w:rsidRDefault="004B2F24" w:rsidP="00831B65">
      <w:pPr>
        <w:tabs>
          <w:tab w:val="left" w:pos="6540"/>
        </w:tabs>
        <w:spacing w:line="360" w:lineRule="auto"/>
        <w:jc w:val="both"/>
        <w:rPr>
          <w:rFonts w:ascii="Arial" w:hAnsi="Arial" w:cs="Arial"/>
          <w:sz w:val="22"/>
          <w:lang w:val="en-US"/>
        </w:rPr>
      </w:pPr>
      <w:r w:rsidRPr="004B2F24">
        <w:rPr>
          <w:rFonts w:ascii="Arial" w:hAnsi="Arial" w:cs="Arial"/>
          <w:sz w:val="22"/>
          <w:lang w:val="en-US"/>
        </w:rPr>
        <w:t>In summary, effective management of Type 2 diabetes relies on patient education, lifestyle interventions, consistent monitoring, and professional support, enabling better glucose control, prevention of complications, and improved overall quality of life</w:t>
      </w:r>
      <w:r w:rsidR="00FF48A0" w:rsidRPr="00FF48A0">
        <w:rPr>
          <w:rFonts w:ascii="Arial" w:hAnsi="Arial" w:cs="Arial"/>
          <w:sz w:val="32"/>
          <w:szCs w:val="32"/>
        </w:rPr>
        <w:t xml:space="preserve">                         </w:t>
      </w:r>
      <w:r w:rsidR="00BA2963">
        <w:rPr>
          <w:rFonts w:ascii="Arial" w:hAnsi="Arial" w:cs="Arial"/>
          <w:sz w:val="22"/>
          <w:lang w:val="en-US"/>
        </w:rPr>
        <w:t xml:space="preserve">                                 </w:t>
      </w:r>
    </w:p>
    <w:p w14:paraId="0D75EFC6" w14:textId="2E16FE11" w:rsidR="00BA2963" w:rsidRPr="002527AE" w:rsidRDefault="008E5F4D" w:rsidP="00831B65">
      <w:pPr>
        <w:pStyle w:val="Heading1"/>
        <w:ind w:left="0"/>
        <w:jc w:val="both"/>
      </w:pPr>
      <w:r w:rsidRPr="002527AE">
        <w:lastRenderedPageBreak/>
        <w:t xml:space="preserve">           </w:t>
      </w:r>
      <w:r w:rsidR="00831B65">
        <w:t xml:space="preserve"> </w:t>
      </w:r>
      <w:r w:rsidRPr="002527AE">
        <w:t xml:space="preserve">                        </w:t>
      </w:r>
      <w:bookmarkStart w:id="9" w:name="_Toc215832932"/>
      <w:r w:rsidR="00BA2963" w:rsidRPr="002527AE">
        <w:t>References</w:t>
      </w:r>
      <w:bookmarkEnd w:id="9"/>
      <w:r w:rsidR="00BA2963" w:rsidRPr="002527AE">
        <w:t xml:space="preserve">      </w:t>
      </w:r>
    </w:p>
    <w:p w14:paraId="2E783972"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American Diabetes Association (ADA) (2024) </w:t>
      </w:r>
      <w:r w:rsidRPr="00CE7FF4">
        <w:rPr>
          <w:rFonts w:ascii="Arial" w:hAnsi="Arial" w:cs="Arial"/>
          <w:i/>
          <w:iCs/>
          <w:sz w:val="22"/>
          <w:lang w:val="en-US"/>
        </w:rPr>
        <w:t>Understanding diabetes</w:t>
      </w:r>
      <w:r w:rsidRPr="00CE7FF4">
        <w:rPr>
          <w:rFonts w:ascii="Arial" w:hAnsi="Arial" w:cs="Arial"/>
          <w:sz w:val="22"/>
          <w:lang w:val="en-US"/>
        </w:rPr>
        <w:t xml:space="preserve">. American Diabetes Association. Available at: </w:t>
      </w:r>
      <w:hyperlink r:id="rId18" w:tgtFrame="_new" w:history="1">
        <w:r w:rsidRPr="00CE7FF4">
          <w:rPr>
            <w:rStyle w:val="Hyperlink"/>
            <w:rFonts w:ascii="Arial" w:hAnsi="Arial" w:cs="Arial"/>
            <w:sz w:val="22"/>
            <w:lang w:val="en-US"/>
          </w:rPr>
          <w:t>https://diabetes.org</w:t>
        </w:r>
      </w:hyperlink>
      <w:r w:rsidRPr="00CE7FF4">
        <w:rPr>
          <w:rFonts w:ascii="Arial" w:hAnsi="Arial" w:cs="Arial"/>
          <w:sz w:val="22"/>
          <w:lang w:val="en-US"/>
        </w:rPr>
        <w:t xml:space="preserve"> (Accessed: 3 December 2025).</w:t>
      </w:r>
    </w:p>
    <w:p w14:paraId="55409C29"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Colberg, S.R. et al. (2016) ‘Physical Activity/Exercise and Diabetes: A Position Statement of the American Diabetes Association’, </w:t>
      </w:r>
      <w:r w:rsidRPr="00CE7FF4">
        <w:rPr>
          <w:rFonts w:ascii="Arial" w:hAnsi="Arial" w:cs="Arial"/>
          <w:i/>
          <w:iCs/>
          <w:sz w:val="22"/>
          <w:lang w:val="en-US"/>
        </w:rPr>
        <w:t>Diabetes Care</w:t>
      </w:r>
      <w:r w:rsidRPr="00CE7FF4">
        <w:rPr>
          <w:rFonts w:ascii="Arial" w:hAnsi="Arial" w:cs="Arial"/>
          <w:sz w:val="22"/>
          <w:lang w:val="en-US"/>
        </w:rPr>
        <w:t>, 39(11), pp. 2065–2079.</w:t>
      </w:r>
    </w:p>
    <w:p w14:paraId="2AB3B141"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Davies, M.J. et al. (2008) ‘Structured diabetes education: The DESMOND </w:t>
      </w:r>
      <w:proofErr w:type="spellStart"/>
      <w:r w:rsidRPr="00CE7FF4">
        <w:rPr>
          <w:rFonts w:ascii="Arial" w:hAnsi="Arial" w:cs="Arial"/>
          <w:sz w:val="22"/>
          <w:lang w:val="en-US"/>
        </w:rPr>
        <w:t>programme</w:t>
      </w:r>
      <w:proofErr w:type="spellEnd"/>
      <w:r w:rsidRPr="00CE7FF4">
        <w:rPr>
          <w:rFonts w:ascii="Arial" w:hAnsi="Arial" w:cs="Arial"/>
          <w:sz w:val="22"/>
          <w:lang w:val="en-US"/>
        </w:rPr>
        <w:t xml:space="preserve">’, </w:t>
      </w:r>
      <w:r w:rsidRPr="00CE7FF4">
        <w:rPr>
          <w:rFonts w:ascii="Arial" w:hAnsi="Arial" w:cs="Arial"/>
          <w:i/>
          <w:iCs/>
          <w:sz w:val="22"/>
          <w:lang w:val="en-US"/>
        </w:rPr>
        <w:t>Diabetic Medicine</w:t>
      </w:r>
      <w:r w:rsidRPr="00CE7FF4">
        <w:rPr>
          <w:rFonts w:ascii="Arial" w:hAnsi="Arial" w:cs="Arial"/>
          <w:sz w:val="22"/>
          <w:lang w:val="en-US"/>
        </w:rPr>
        <w:t>, 25(8), pp. 1019–1027.</w:t>
      </w:r>
    </w:p>
    <w:p w14:paraId="4AA3D4B8"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Evert, A.B. et al. (2020) ‘Nutrition Therapy for Adults </w:t>
      </w:r>
      <w:proofErr w:type="gramStart"/>
      <w:r w:rsidRPr="00CE7FF4">
        <w:rPr>
          <w:rFonts w:ascii="Arial" w:hAnsi="Arial" w:cs="Arial"/>
          <w:sz w:val="22"/>
          <w:lang w:val="en-US"/>
        </w:rPr>
        <w:t>With</w:t>
      </w:r>
      <w:proofErr w:type="gramEnd"/>
      <w:r w:rsidRPr="00CE7FF4">
        <w:rPr>
          <w:rFonts w:ascii="Arial" w:hAnsi="Arial" w:cs="Arial"/>
          <w:sz w:val="22"/>
          <w:lang w:val="en-US"/>
        </w:rPr>
        <w:t xml:space="preserve"> Diabetes or Prediabetes: A Consensus Report’, </w:t>
      </w:r>
      <w:r w:rsidRPr="00CE7FF4">
        <w:rPr>
          <w:rFonts w:ascii="Arial" w:hAnsi="Arial" w:cs="Arial"/>
          <w:i/>
          <w:iCs/>
          <w:sz w:val="22"/>
          <w:lang w:val="en-US"/>
        </w:rPr>
        <w:t>Diabetes Care</w:t>
      </w:r>
      <w:r w:rsidRPr="00CE7FF4">
        <w:rPr>
          <w:rFonts w:ascii="Arial" w:hAnsi="Arial" w:cs="Arial"/>
          <w:sz w:val="22"/>
          <w:lang w:val="en-US"/>
        </w:rPr>
        <w:t>, 43(5), pp. 731–754.</w:t>
      </w:r>
    </w:p>
    <w:p w14:paraId="0A2462F9"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Hall, J.E. and Guyton, A.C. (2021) </w:t>
      </w:r>
      <w:r w:rsidRPr="00CE7FF4">
        <w:rPr>
          <w:rFonts w:ascii="Arial" w:hAnsi="Arial" w:cs="Arial"/>
          <w:i/>
          <w:iCs/>
          <w:sz w:val="22"/>
          <w:lang w:val="en-US"/>
        </w:rPr>
        <w:t>Guyton and Hall Textbook of Medical Physiology</w:t>
      </w:r>
      <w:r w:rsidRPr="00CE7FF4">
        <w:rPr>
          <w:rFonts w:ascii="Arial" w:hAnsi="Arial" w:cs="Arial"/>
          <w:sz w:val="22"/>
          <w:lang w:val="en-US"/>
        </w:rPr>
        <w:t xml:space="preserve">. 14th </w:t>
      </w:r>
      <w:proofErr w:type="spellStart"/>
      <w:proofErr w:type="gramStart"/>
      <w:r w:rsidRPr="00CE7FF4">
        <w:rPr>
          <w:rFonts w:ascii="Arial" w:hAnsi="Arial" w:cs="Arial"/>
          <w:sz w:val="22"/>
          <w:lang w:val="en-US"/>
        </w:rPr>
        <w:t>edn</w:t>
      </w:r>
      <w:proofErr w:type="spellEnd"/>
      <w:proofErr w:type="gramEnd"/>
      <w:r w:rsidRPr="00CE7FF4">
        <w:rPr>
          <w:rFonts w:ascii="Arial" w:hAnsi="Arial" w:cs="Arial"/>
          <w:sz w:val="22"/>
          <w:lang w:val="en-US"/>
        </w:rPr>
        <w:t>. Philadelphia: Elsevier.</w:t>
      </w:r>
    </w:p>
    <w:p w14:paraId="30F5B2EA"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La Sala, L. and </w:t>
      </w:r>
      <w:proofErr w:type="spellStart"/>
      <w:r w:rsidRPr="00CE7FF4">
        <w:rPr>
          <w:rFonts w:ascii="Arial" w:hAnsi="Arial" w:cs="Arial"/>
          <w:sz w:val="22"/>
          <w:lang w:val="en-US"/>
        </w:rPr>
        <w:t>Pontiroli</w:t>
      </w:r>
      <w:proofErr w:type="spellEnd"/>
      <w:r w:rsidRPr="00CE7FF4">
        <w:rPr>
          <w:rFonts w:ascii="Arial" w:hAnsi="Arial" w:cs="Arial"/>
          <w:sz w:val="22"/>
          <w:lang w:val="en-US"/>
        </w:rPr>
        <w:t>, A.E. (</w:t>
      </w:r>
      <w:proofErr w:type="gramStart"/>
      <w:r w:rsidRPr="00CE7FF4">
        <w:rPr>
          <w:rFonts w:ascii="Arial" w:hAnsi="Arial" w:cs="Arial"/>
          <w:sz w:val="22"/>
          <w:lang w:val="en-US"/>
        </w:rPr>
        <w:t>2020) ‘</w:t>
      </w:r>
      <w:proofErr w:type="gramEnd"/>
      <w:r w:rsidRPr="00CE7FF4">
        <w:rPr>
          <w:rFonts w:ascii="Arial" w:hAnsi="Arial" w:cs="Arial"/>
          <w:sz w:val="22"/>
          <w:lang w:val="en-US"/>
        </w:rPr>
        <w:t xml:space="preserve">Prevention of Diabetes and Cardiovascular Disease in Obesity’, </w:t>
      </w:r>
      <w:r w:rsidRPr="00CE7FF4">
        <w:rPr>
          <w:rFonts w:ascii="Arial" w:hAnsi="Arial" w:cs="Arial"/>
          <w:i/>
          <w:iCs/>
          <w:sz w:val="22"/>
          <w:lang w:val="en-US"/>
        </w:rPr>
        <w:t>International Journal of Molecular Sciences</w:t>
      </w:r>
      <w:r w:rsidRPr="00CE7FF4">
        <w:rPr>
          <w:rFonts w:ascii="Arial" w:hAnsi="Arial" w:cs="Arial"/>
          <w:sz w:val="22"/>
          <w:lang w:val="en-US"/>
        </w:rPr>
        <w:t>, 21(21), 8178.</w:t>
      </w:r>
    </w:p>
    <w:p w14:paraId="5CDD8749"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Look AHEAD Research Group (2014) ‘Cardiovascular effects of intensive lifestyle intervention in type 2 diabetes’, </w:t>
      </w:r>
      <w:r w:rsidRPr="00CE7FF4">
        <w:rPr>
          <w:rFonts w:ascii="Arial" w:hAnsi="Arial" w:cs="Arial"/>
          <w:i/>
          <w:iCs/>
          <w:sz w:val="22"/>
          <w:lang w:val="en-US"/>
        </w:rPr>
        <w:t>New England Journal of Medicine</w:t>
      </w:r>
      <w:r w:rsidRPr="00CE7FF4">
        <w:rPr>
          <w:rFonts w:ascii="Arial" w:hAnsi="Arial" w:cs="Arial"/>
          <w:sz w:val="22"/>
          <w:lang w:val="en-US"/>
        </w:rPr>
        <w:t>, 369, pp. 145–154.</w:t>
      </w:r>
    </w:p>
    <w:p w14:paraId="399BD1EA" w14:textId="3E1D308E"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National Institute for Health and Care Excellence (NICE) (2020) </w:t>
      </w:r>
      <w:r w:rsidRPr="00CE7FF4">
        <w:rPr>
          <w:rFonts w:ascii="Arial" w:hAnsi="Arial" w:cs="Arial"/>
          <w:i/>
          <w:iCs/>
          <w:sz w:val="22"/>
          <w:lang w:val="en-US"/>
        </w:rPr>
        <w:t>Diabetes in pregnancy: management from preconception to the postnatal period</w:t>
      </w:r>
      <w:r w:rsidRPr="00CE7FF4">
        <w:rPr>
          <w:rFonts w:ascii="Arial" w:hAnsi="Arial" w:cs="Arial"/>
          <w:sz w:val="22"/>
          <w:lang w:val="en-US"/>
        </w:rPr>
        <w:t xml:space="preserve">. London: NICE. Available at: </w:t>
      </w:r>
      <w:hyperlink r:id="rId19" w:tgtFrame="_new" w:history="1">
        <w:r w:rsidRPr="00CE7FF4">
          <w:rPr>
            <w:rStyle w:val="Hyperlink"/>
            <w:rFonts w:ascii="Arial" w:hAnsi="Arial" w:cs="Arial"/>
            <w:sz w:val="22"/>
            <w:lang w:val="en-US"/>
          </w:rPr>
          <w:t>https://www.nice.org.uk</w:t>
        </w:r>
      </w:hyperlink>
      <w:r w:rsidRPr="00CE7FF4">
        <w:rPr>
          <w:rFonts w:ascii="Arial" w:hAnsi="Arial" w:cs="Arial"/>
          <w:sz w:val="22"/>
          <w:lang w:val="en-US"/>
        </w:rPr>
        <w:t xml:space="preserve"> (Accessed: 1 December 2025).</w:t>
      </w:r>
    </w:p>
    <w:p w14:paraId="29D0C20B" w14:textId="032F683B"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National Institute for Health and Care Excellence (NICE) (2023) </w:t>
      </w:r>
      <w:r w:rsidRPr="00CE7FF4">
        <w:rPr>
          <w:rFonts w:ascii="Arial" w:hAnsi="Arial" w:cs="Arial"/>
          <w:i/>
          <w:iCs/>
          <w:sz w:val="22"/>
          <w:lang w:val="en-US"/>
        </w:rPr>
        <w:t>Type 2 diabetes in adults: management</w:t>
      </w:r>
      <w:r w:rsidRPr="00CE7FF4">
        <w:rPr>
          <w:rFonts w:ascii="Arial" w:hAnsi="Arial" w:cs="Arial"/>
          <w:sz w:val="22"/>
          <w:lang w:val="en-US"/>
        </w:rPr>
        <w:t xml:space="preserve">. London: NICE. Available at: </w:t>
      </w:r>
      <w:hyperlink r:id="rId20" w:tgtFrame="_new" w:history="1">
        <w:r w:rsidRPr="00CE7FF4">
          <w:rPr>
            <w:rStyle w:val="Hyperlink"/>
            <w:rFonts w:ascii="Arial" w:hAnsi="Arial" w:cs="Arial"/>
            <w:sz w:val="22"/>
            <w:lang w:val="en-US"/>
          </w:rPr>
          <w:t>https://www.nice.org.uk</w:t>
        </w:r>
      </w:hyperlink>
      <w:r w:rsidRPr="00CE7FF4">
        <w:rPr>
          <w:rFonts w:ascii="Arial" w:hAnsi="Arial" w:cs="Arial"/>
          <w:sz w:val="22"/>
          <w:lang w:val="en-US"/>
        </w:rPr>
        <w:t xml:space="preserve"> (Accessed: 28 November 2025).</w:t>
      </w:r>
    </w:p>
    <w:p w14:paraId="48B0F723"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Polonsky, W.H. and Fisher, L. (2015) </w:t>
      </w:r>
      <w:r w:rsidRPr="00CE7FF4">
        <w:rPr>
          <w:rFonts w:ascii="Arial" w:hAnsi="Arial" w:cs="Arial"/>
          <w:i/>
          <w:iCs/>
          <w:sz w:val="22"/>
          <w:lang w:val="en-US"/>
        </w:rPr>
        <w:t>Psychosocial aspects of diabetes care</w:t>
      </w:r>
      <w:r w:rsidRPr="00CE7FF4">
        <w:rPr>
          <w:rFonts w:ascii="Arial" w:hAnsi="Arial" w:cs="Arial"/>
          <w:sz w:val="22"/>
          <w:lang w:val="en-US"/>
        </w:rPr>
        <w:t xml:space="preserve">. 2nd </w:t>
      </w:r>
      <w:proofErr w:type="spellStart"/>
      <w:proofErr w:type="gramStart"/>
      <w:r w:rsidRPr="00CE7FF4">
        <w:rPr>
          <w:rFonts w:ascii="Arial" w:hAnsi="Arial" w:cs="Arial"/>
          <w:sz w:val="22"/>
          <w:lang w:val="en-US"/>
        </w:rPr>
        <w:t>edn</w:t>
      </w:r>
      <w:proofErr w:type="spellEnd"/>
      <w:proofErr w:type="gramEnd"/>
      <w:r w:rsidRPr="00CE7FF4">
        <w:rPr>
          <w:rFonts w:ascii="Arial" w:hAnsi="Arial" w:cs="Arial"/>
          <w:sz w:val="22"/>
          <w:lang w:val="en-US"/>
        </w:rPr>
        <w:t>. Alexandria, VA: American Diabetes Association.</w:t>
      </w:r>
    </w:p>
    <w:p w14:paraId="4805DD12" w14:textId="77777777"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Seidu, S. et al. (2021) ‘The importance of physical activity in management of type 2 diabetes and COVID</w:t>
      </w:r>
      <w:r w:rsidRPr="00CE7FF4">
        <w:rPr>
          <w:rFonts w:ascii="Arial" w:hAnsi="Arial" w:cs="Arial"/>
          <w:sz w:val="22"/>
          <w:lang w:val="en-US"/>
        </w:rPr>
        <w:noBreakHyphen/>
        <w:t xml:space="preserve">19’, </w:t>
      </w:r>
      <w:r w:rsidRPr="00CE7FF4">
        <w:rPr>
          <w:rFonts w:ascii="Arial" w:hAnsi="Arial" w:cs="Arial"/>
          <w:i/>
          <w:iCs/>
          <w:sz w:val="22"/>
          <w:lang w:val="en-US"/>
        </w:rPr>
        <w:t>Therapeutic Advances in Endocrinology and Metabolism</w:t>
      </w:r>
      <w:r w:rsidRPr="00CE7FF4">
        <w:rPr>
          <w:rFonts w:ascii="Arial" w:hAnsi="Arial" w:cs="Arial"/>
          <w:sz w:val="22"/>
          <w:lang w:val="en-US"/>
        </w:rPr>
        <w:t>, 12, 20420188211054686.</w:t>
      </w:r>
    </w:p>
    <w:p w14:paraId="23FECFD6" w14:textId="77777777" w:rsidR="00D26CA0" w:rsidRPr="00CE7FF4" w:rsidRDefault="00D26CA0" w:rsidP="00CE7FF4">
      <w:pPr>
        <w:spacing w:line="360" w:lineRule="auto"/>
        <w:ind w:firstLine="568"/>
        <w:jc w:val="both"/>
        <w:rPr>
          <w:rFonts w:ascii="Arial" w:hAnsi="Arial" w:cs="Arial"/>
          <w:sz w:val="22"/>
          <w:lang w:val="en-US"/>
        </w:rPr>
      </w:pPr>
      <w:proofErr w:type="spellStart"/>
      <w:r w:rsidRPr="00CE7FF4">
        <w:rPr>
          <w:rFonts w:ascii="Arial" w:hAnsi="Arial" w:cs="Arial"/>
          <w:sz w:val="22"/>
          <w:lang w:val="en-US"/>
        </w:rPr>
        <w:t>StatPearls</w:t>
      </w:r>
      <w:proofErr w:type="spellEnd"/>
      <w:r w:rsidRPr="00CE7FF4">
        <w:rPr>
          <w:rFonts w:ascii="Arial" w:hAnsi="Arial" w:cs="Arial"/>
          <w:sz w:val="22"/>
          <w:lang w:val="en-US"/>
        </w:rPr>
        <w:t xml:space="preserve"> (</w:t>
      </w:r>
      <w:proofErr w:type="gramStart"/>
      <w:r w:rsidRPr="00CE7FF4">
        <w:rPr>
          <w:rFonts w:ascii="Arial" w:hAnsi="Arial" w:cs="Arial"/>
          <w:sz w:val="22"/>
          <w:lang w:val="en-US"/>
        </w:rPr>
        <w:t>2025) ‘</w:t>
      </w:r>
      <w:proofErr w:type="gramEnd"/>
      <w:r w:rsidRPr="00CE7FF4">
        <w:rPr>
          <w:rFonts w:ascii="Arial" w:hAnsi="Arial" w:cs="Arial"/>
          <w:sz w:val="22"/>
          <w:lang w:val="en-US"/>
        </w:rPr>
        <w:t xml:space="preserve">Diabetes and Exercise’, </w:t>
      </w:r>
      <w:r w:rsidRPr="00CE7FF4">
        <w:rPr>
          <w:rFonts w:ascii="Arial" w:hAnsi="Arial" w:cs="Arial"/>
          <w:i/>
          <w:iCs/>
          <w:sz w:val="22"/>
          <w:lang w:val="en-US"/>
        </w:rPr>
        <w:t>NCBI Bookshelf</w:t>
      </w:r>
      <w:r w:rsidRPr="00CE7FF4">
        <w:rPr>
          <w:rFonts w:ascii="Arial" w:hAnsi="Arial" w:cs="Arial"/>
          <w:sz w:val="22"/>
          <w:lang w:val="en-US"/>
        </w:rPr>
        <w:t xml:space="preserve">. Available at: </w:t>
      </w:r>
      <w:hyperlink r:id="rId21" w:tgtFrame="_new" w:history="1">
        <w:r w:rsidRPr="00CE7FF4">
          <w:rPr>
            <w:rStyle w:val="Hyperlink"/>
            <w:rFonts w:ascii="Arial" w:hAnsi="Arial" w:cs="Arial"/>
            <w:sz w:val="22"/>
            <w:lang w:val="en-US"/>
          </w:rPr>
          <w:t>https://www.ncbi.nlm.nih.gov/books/NBK526095</w:t>
        </w:r>
      </w:hyperlink>
      <w:r w:rsidRPr="00CE7FF4">
        <w:rPr>
          <w:rFonts w:ascii="Arial" w:hAnsi="Arial" w:cs="Arial"/>
          <w:sz w:val="22"/>
          <w:lang w:val="en-US"/>
        </w:rPr>
        <w:t xml:space="preserve"> (Accessed: 3 December 2025).</w:t>
      </w:r>
    </w:p>
    <w:p w14:paraId="0178057C" w14:textId="3C2C2A12" w:rsidR="00D26CA0" w:rsidRPr="00CE7FF4" w:rsidRDefault="00D26CA0" w:rsidP="00CE7FF4">
      <w:pPr>
        <w:spacing w:line="360" w:lineRule="auto"/>
        <w:ind w:firstLine="568"/>
        <w:jc w:val="both"/>
        <w:rPr>
          <w:rFonts w:ascii="Arial" w:hAnsi="Arial" w:cs="Arial"/>
          <w:sz w:val="22"/>
          <w:lang w:val="en-US"/>
        </w:rPr>
      </w:pPr>
      <w:r w:rsidRPr="00CE7FF4">
        <w:rPr>
          <w:rFonts w:ascii="Arial" w:hAnsi="Arial" w:cs="Arial"/>
          <w:sz w:val="22"/>
          <w:lang w:val="en-US"/>
        </w:rPr>
        <w:t xml:space="preserve">World Health Organization (WHO) (2022) </w:t>
      </w:r>
      <w:r w:rsidRPr="00CE7FF4">
        <w:rPr>
          <w:rFonts w:ascii="Arial" w:hAnsi="Arial" w:cs="Arial"/>
          <w:i/>
          <w:iCs/>
          <w:sz w:val="22"/>
          <w:lang w:val="en-US"/>
        </w:rPr>
        <w:t>Diabetes fact sheet</w:t>
      </w:r>
      <w:r w:rsidRPr="00CE7FF4">
        <w:rPr>
          <w:rFonts w:ascii="Arial" w:hAnsi="Arial" w:cs="Arial"/>
          <w:sz w:val="22"/>
          <w:lang w:val="en-US"/>
        </w:rPr>
        <w:t xml:space="preserve">. Geneva: WHO. Available at: </w:t>
      </w:r>
      <w:hyperlink r:id="rId22" w:tgtFrame="_new" w:history="1">
        <w:r w:rsidRPr="00CE7FF4">
          <w:rPr>
            <w:rStyle w:val="Hyperlink"/>
            <w:rFonts w:ascii="Arial" w:hAnsi="Arial" w:cs="Arial"/>
            <w:sz w:val="22"/>
            <w:lang w:val="en-US"/>
          </w:rPr>
          <w:t>https://www.who.int</w:t>
        </w:r>
      </w:hyperlink>
      <w:r w:rsidRPr="00CE7FF4">
        <w:rPr>
          <w:rFonts w:ascii="Arial" w:hAnsi="Arial" w:cs="Arial"/>
          <w:sz w:val="22"/>
          <w:lang w:val="en-US"/>
        </w:rPr>
        <w:t xml:space="preserve"> (Accessed: 2 December 2025).</w:t>
      </w:r>
    </w:p>
    <w:p w14:paraId="1C1B5B6E" w14:textId="77777777" w:rsidR="001B7A40" w:rsidRPr="00CE7FF4" w:rsidRDefault="001B7A40" w:rsidP="00CE7FF4">
      <w:pPr>
        <w:spacing w:line="360" w:lineRule="auto"/>
        <w:ind w:firstLine="568"/>
        <w:jc w:val="both"/>
        <w:rPr>
          <w:rFonts w:ascii="Arial" w:hAnsi="Arial" w:cs="Arial"/>
          <w:sz w:val="22"/>
        </w:rPr>
      </w:pPr>
    </w:p>
    <w:sectPr w:rsidR="001B7A40" w:rsidRPr="00CE7FF4" w:rsidSect="0037028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E9603" w14:textId="77777777" w:rsidR="001E383E" w:rsidRDefault="001E383E" w:rsidP="00C03A91">
      <w:pPr>
        <w:spacing w:after="0" w:line="240" w:lineRule="auto"/>
      </w:pPr>
      <w:r>
        <w:separator/>
      </w:r>
    </w:p>
  </w:endnote>
  <w:endnote w:type="continuationSeparator" w:id="0">
    <w:p w14:paraId="008EBD08" w14:textId="77777777" w:rsidR="001E383E" w:rsidRDefault="001E383E"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64E6D" w14:textId="77777777" w:rsidR="001E383E" w:rsidRDefault="001E383E" w:rsidP="00C03A91">
      <w:pPr>
        <w:spacing w:after="0" w:line="240" w:lineRule="auto"/>
      </w:pPr>
      <w:r>
        <w:separator/>
      </w:r>
    </w:p>
  </w:footnote>
  <w:footnote w:type="continuationSeparator" w:id="0">
    <w:p w14:paraId="33A59772" w14:textId="77777777" w:rsidR="001E383E" w:rsidRDefault="001E383E"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F767A"/>
    <w:multiLevelType w:val="multilevel"/>
    <w:tmpl w:val="D9566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B3F6D"/>
    <w:multiLevelType w:val="hybridMultilevel"/>
    <w:tmpl w:val="591CD82A"/>
    <w:lvl w:ilvl="0" w:tplc="5CC6A46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075744">
    <w:abstractNumId w:val="1"/>
  </w:num>
  <w:num w:numId="2" w16cid:durableId="1452944685">
    <w:abstractNumId w:val="3"/>
  </w:num>
  <w:num w:numId="3" w16cid:durableId="1940680655">
    <w:abstractNumId w:val="2"/>
  </w:num>
  <w:num w:numId="4" w16cid:durableId="922177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7DEB"/>
    <w:rsid w:val="00063180"/>
    <w:rsid w:val="00076AC0"/>
    <w:rsid w:val="000A532B"/>
    <w:rsid w:val="000B07DB"/>
    <w:rsid w:val="000B1787"/>
    <w:rsid w:val="000B18DE"/>
    <w:rsid w:val="000C4EDA"/>
    <w:rsid w:val="00130F78"/>
    <w:rsid w:val="0016673F"/>
    <w:rsid w:val="001924FB"/>
    <w:rsid w:val="001B480D"/>
    <w:rsid w:val="001B4DCA"/>
    <w:rsid w:val="001B53E1"/>
    <w:rsid w:val="001B7A40"/>
    <w:rsid w:val="001D0F9C"/>
    <w:rsid w:val="001E383E"/>
    <w:rsid w:val="001E76FA"/>
    <w:rsid w:val="001F4936"/>
    <w:rsid w:val="001F6DDB"/>
    <w:rsid w:val="0020031A"/>
    <w:rsid w:val="00216C85"/>
    <w:rsid w:val="002527AE"/>
    <w:rsid w:val="0025611D"/>
    <w:rsid w:val="00257881"/>
    <w:rsid w:val="002623A8"/>
    <w:rsid w:val="00273EDD"/>
    <w:rsid w:val="002829BF"/>
    <w:rsid w:val="002863A5"/>
    <w:rsid w:val="00290EE5"/>
    <w:rsid w:val="0029605C"/>
    <w:rsid w:val="002A013C"/>
    <w:rsid w:val="002A2391"/>
    <w:rsid w:val="002C3965"/>
    <w:rsid w:val="002D5EDB"/>
    <w:rsid w:val="0030289C"/>
    <w:rsid w:val="00321C4C"/>
    <w:rsid w:val="00353EA0"/>
    <w:rsid w:val="003646D0"/>
    <w:rsid w:val="00370282"/>
    <w:rsid w:val="00381230"/>
    <w:rsid w:val="003B56AF"/>
    <w:rsid w:val="003C0AF8"/>
    <w:rsid w:val="003D49F6"/>
    <w:rsid w:val="003F0603"/>
    <w:rsid w:val="004041F3"/>
    <w:rsid w:val="00414FA3"/>
    <w:rsid w:val="00422E34"/>
    <w:rsid w:val="004238E0"/>
    <w:rsid w:val="00423BFB"/>
    <w:rsid w:val="00427A27"/>
    <w:rsid w:val="00434C66"/>
    <w:rsid w:val="004577F7"/>
    <w:rsid w:val="00464035"/>
    <w:rsid w:val="00480CDC"/>
    <w:rsid w:val="004A2949"/>
    <w:rsid w:val="004B2F24"/>
    <w:rsid w:val="004D094B"/>
    <w:rsid w:val="00504AD8"/>
    <w:rsid w:val="00545D31"/>
    <w:rsid w:val="00551EE9"/>
    <w:rsid w:val="00562B70"/>
    <w:rsid w:val="0056679B"/>
    <w:rsid w:val="0056702C"/>
    <w:rsid w:val="005A459A"/>
    <w:rsid w:val="005B2C07"/>
    <w:rsid w:val="005B37E0"/>
    <w:rsid w:val="005C3998"/>
    <w:rsid w:val="005E6951"/>
    <w:rsid w:val="005E6F1B"/>
    <w:rsid w:val="00606633"/>
    <w:rsid w:val="00611707"/>
    <w:rsid w:val="00622B09"/>
    <w:rsid w:val="0064109C"/>
    <w:rsid w:val="00663041"/>
    <w:rsid w:val="00685507"/>
    <w:rsid w:val="006B414F"/>
    <w:rsid w:val="006B4CCB"/>
    <w:rsid w:val="006C2CA2"/>
    <w:rsid w:val="006E36BC"/>
    <w:rsid w:val="006F6D9C"/>
    <w:rsid w:val="007137D6"/>
    <w:rsid w:val="007331E3"/>
    <w:rsid w:val="007344F6"/>
    <w:rsid w:val="00776FC7"/>
    <w:rsid w:val="00780AD3"/>
    <w:rsid w:val="007E08D8"/>
    <w:rsid w:val="007E7745"/>
    <w:rsid w:val="00804F3D"/>
    <w:rsid w:val="00815722"/>
    <w:rsid w:val="00821AFE"/>
    <w:rsid w:val="00826639"/>
    <w:rsid w:val="00831B65"/>
    <w:rsid w:val="008353D4"/>
    <w:rsid w:val="00855DF7"/>
    <w:rsid w:val="00856A93"/>
    <w:rsid w:val="00864A6C"/>
    <w:rsid w:val="00877327"/>
    <w:rsid w:val="0089143D"/>
    <w:rsid w:val="008A7313"/>
    <w:rsid w:val="008B432D"/>
    <w:rsid w:val="008C5CBB"/>
    <w:rsid w:val="008E5F4D"/>
    <w:rsid w:val="008E6C1D"/>
    <w:rsid w:val="009133F5"/>
    <w:rsid w:val="00914C0C"/>
    <w:rsid w:val="009452A9"/>
    <w:rsid w:val="009752F3"/>
    <w:rsid w:val="0097744C"/>
    <w:rsid w:val="00997E5E"/>
    <w:rsid w:val="009A44DC"/>
    <w:rsid w:val="009D1D1E"/>
    <w:rsid w:val="009D3563"/>
    <w:rsid w:val="009E5C15"/>
    <w:rsid w:val="009E6836"/>
    <w:rsid w:val="00A035FD"/>
    <w:rsid w:val="00A0386A"/>
    <w:rsid w:val="00A04EE8"/>
    <w:rsid w:val="00A121A6"/>
    <w:rsid w:val="00A12320"/>
    <w:rsid w:val="00A166A7"/>
    <w:rsid w:val="00A40AE1"/>
    <w:rsid w:val="00A413ED"/>
    <w:rsid w:val="00A44714"/>
    <w:rsid w:val="00A82BAF"/>
    <w:rsid w:val="00A83E55"/>
    <w:rsid w:val="00A973AF"/>
    <w:rsid w:val="00AA1721"/>
    <w:rsid w:val="00AA698F"/>
    <w:rsid w:val="00AA756C"/>
    <w:rsid w:val="00AD4576"/>
    <w:rsid w:val="00AD5E57"/>
    <w:rsid w:val="00B229D3"/>
    <w:rsid w:val="00B23A3A"/>
    <w:rsid w:val="00B23E41"/>
    <w:rsid w:val="00B331BB"/>
    <w:rsid w:val="00B34FA3"/>
    <w:rsid w:val="00B435EE"/>
    <w:rsid w:val="00B55431"/>
    <w:rsid w:val="00B909A2"/>
    <w:rsid w:val="00B95222"/>
    <w:rsid w:val="00BA2963"/>
    <w:rsid w:val="00BC6651"/>
    <w:rsid w:val="00BC7961"/>
    <w:rsid w:val="00BD469D"/>
    <w:rsid w:val="00BD5953"/>
    <w:rsid w:val="00C03A91"/>
    <w:rsid w:val="00C0735F"/>
    <w:rsid w:val="00C234D7"/>
    <w:rsid w:val="00C91ABD"/>
    <w:rsid w:val="00CA26DC"/>
    <w:rsid w:val="00CD2863"/>
    <w:rsid w:val="00CD5D26"/>
    <w:rsid w:val="00CE7A90"/>
    <w:rsid w:val="00CE7FF4"/>
    <w:rsid w:val="00D106A4"/>
    <w:rsid w:val="00D2133B"/>
    <w:rsid w:val="00D26CA0"/>
    <w:rsid w:val="00D73FB0"/>
    <w:rsid w:val="00DE3D9D"/>
    <w:rsid w:val="00DE7184"/>
    <w:rsid w:val="00DF0E21"/>
    <w:rsid w:val="00DF26AE"/>
    <w:rsid w:val="00E34160"/>
    <w:rsid w:val="00E963BD"/>
    <w:rsid w:val="00EB12BC"/>
    <w:rsid w:val="00EC3E83"/>
    <w:rsid w:val="00EC40E7"/>
    <w:rsid w:val="00EE335D"/>
    <w:rsid w:val="00EE4893"/>
    <w:rsid w:val="00EE4A64"/>
    <w:rsid w:val="00EE7690"/>
    <w:rsid w:val="00EE79DE"/>
    <w:rsid w:val="00F07C07"/>
    <w:rsid w:val="00F137E3"/>
    <w:rsid w:val="00F15952"/>
    <w:rsid w:val="00F15BC7"/>
    <w:rsid w:val="00F50643"/>
    <w:rsid w:val="00F65B2F"/>
    <w:rsid w:val="00F7306B"/>
    <w:rsid w:val="00F75948"/>
    <w:rsid w:val="00F93CB7"/>
    <w:rsid w:val="00FA2D38"/>
    <w:rsid w:val="00FE2596"/>
    <w:rsid w:val="00FE5E38"/>
    <w:rsid w:val="00FF154A"/>
    <w:rsid w:val="00FF48A0"/>
    <w:rsid w:val="00FF5F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527AE"/>
    <w:pPr>
      <w:keepNext/>
      <w:keepLines/>
      <w:spacing w:before="240" w:after="0" w:line="360" w:lineRule="auto"/>
      <w:ind w:left="-142"/>
      <w:outlineLvl w:val="0"/>
    </w:pPr>
    <w:rPr>
      <w:rFonts w:ascii="Arial" w:eastAsiaTheme="majorEastAsia" w:hAnsi="Arial" w:cs="Arial"/>
      <w:b/>
      <w:color w:val="4472C4" w:themeColor="accent1"/>
      <w:sz w:val="32"/>
      <w:szCs w:val="32"/>
      <w:lang w:val="en-US"/>
    </w:rPr>
  </w:style>
  <w:style w:type="paragraph" w:styleId="Heading2">
    <w:name w:val="heading 2"/>
    <w:basedOn w:val="Normal"/>
    <w:next w:val="Normal"/>
    <w:link w:val="Heading2Char"/>
    <w:autoRedefine/>
    <w:uiPriority w:val="9"/>
    <w:unhideWhenUsed/>
    <w:qFormat/>
    <w:rsid w:val="0030289C"/>
    <w:pPr>
      <w:keepNext/>
      <w:keepLines/>
      <w:spacing w:before="40" w:after="0"/>
      <w:outlineLvl w:val="1"/>
    </w:pPr>
    <w:rPr>
      <w:rFonts w:ascii="Arial" w:eastAsiaTheme="majorEastAsia" w:hAnsi="Arial" w:cstheme="majorBidi"/>
      <w:b/>
      <w:i/>
      <w:color w:val="2F5496" w:themeColor="accent1" w:themeShade="BF"/>
      <w:sz w:val="32"/>
      <w:szCs w:val="3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6">
    <w:name w:val="heading 6"/>
    <w:basedOn w:val="Normal"/>
    <w:next w:val="Normal"/>
    <w:link w:val="Heading6Char"/>
    <w:uiPriority w:val="9"/>
    <w:semiHidden/>
    <w:unhideWhenUsed/>
    <w:qFormat/>
    <w:rsid w:val="00C234D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7AE"/>
    <w:rPr>
      <w:rFonts w:ascii="Arial" w:eastAsiaTheme="majorEastAsia" w:hAnsi="Arial" w:cs="Arial"/>
      <w:b/>
      <w:color w:val="4472C4" w:themeColor="accent1"/>
      <w:sz w:val="32"/>
      <w:szCs w:val="32"/>
      <w:lang w:val="en-US"/>
    </w:rPr>
  </w:style>
  <w:style w:type="character" w:customStyle="1" w:styleId="Heading2Char">
    <w:name w:val="Heading 2 Char"/>
    <w:basedOn w:val="DefaultParagraphFont"/>
    <w:link w:val="Heading2"/>
    <w:uiPriority w:val="9"/>
    <w:rsid w:val="0030289C"/>
    <w:rPr>
      <w:rFonts w:ascii="Arial" w:eastAsiaTheme="majorEastAsia" w:hAnsi="Arial" w:cstheme="majorBidi"/>
      <w:b/>
      <w:i/>
      <w:color w:val="2F5496" w:themeColor="accent1" w:themeShade="BF"/>
      <w:sz w:val="32"/>
      <w:szCs w:val="3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30289C"/>
    <w:pPr>
      <w:ind w:left="720"/>
      <w:contextualSpacing/>
    </w:pPr>
  </w:style>
  <w:style w:type="character" w:styleId="Strong">
    <w:name w:val="Strong"/>
    <w:basedOn w:val="DefaultParagraphFont"/>
    <w:uiPriority w:val="22"/>
    <w:qFormat/>
    <w:rsid w:val="0030289C"/>
    <w:rPr>
      <w:b/>
      <w:bCs/>
    </w:rPr>
  </w:style>
  <w:style w:type="paragraph" w:styleId="NormalWeb">
    <w:name w:val="Normal (Web)"/>
    <w:basedOn w:val="Normal"/>
    <w:uiPriority w:val="99"/>
    <w:unhideWhenUsed/>
    <w:rsid w:val="0030289C"/>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30289C"/>
    <w:rPr>
      <w:i/>
      <w:iCs/>
    </w:rPr>
  </w:style>
  <w:style w:type="character" w:customStyle="1" w:styleId="Heading6Char">
    <w:name w:val="Heading 6 Char"/>
    <w:basedOn w:val="DefaultParagraphFont"/>
    <w:link w:val="Heading6"/>
    <w:uiPriority w:val="9"/>
    <w:semiHidden/>
    <w:rsid w:val="00C234D7"/>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527AE"/>
    <w:pPr>
      <w:spacing w:line="259" w:lineRule="auto"/>
      <w:outlineLvl w:val="9"/>
    </w:pPr>
    <w:rPr>
      <w:rFonts w:asciiTheme="majorHAnsi" w:hAnsiTheme="majorHAnsi" w:cstheme="majorBidi"/>
      <w:b w:val="0"/>
      <w:color w:val="2F5496" w:themeColor="accent1" w:themeShade="BF"/>
    </w:rPr>
  </w:style>
  <w:style w:type="paragraph" w:styleId="TOC1">
    <w:name w:val="toc 1"/>
    <w:basedOn w:val="Normal"/>
    <w:next w:val="Normal"/>
    <w:autoRedefine/>
    <w:uiPriority w:val="39"/>
    <w:unhideWhenUsed/>
    <w:rsid w:val="001F4936"/>
    <w:pPr>
      <w:tabs>
        <w:tab w:val="right" w:leader="dot" w:pos="9016"/>
      </w:tabs>
      <w:spacing w:after="100"/>
    </w:pPr>
  </w:style>
  <w:style w:type="paragraph" w:styleId="TOC2">
    <w:name w:val="toc 2"/>
    <w:basedOn w:val="Normal"/>
    <w:next w:val="Normal"/>
    <w:autoRedefine/>
    <w:uiPriority w:val="39"/>
    <w:unhideWhenUsed/>
    <w:rsid w:val="002527AE"/>
    <w:pPr>
      <w:spacing w:after="100"/>
      <w:ind w:left="240"/>
    </w:pPr>
  </w:style>
  <w:style w:type="paragraph" w:styleId="NoSpacing">
    <w:name w:val="No Spacing"/>
    <w:uiPriority w:val="1"/>
    <w:qFormat/>
    <w:rsid w:val="002527AE"/>
    <w:pPr>
      <w:spacing w:after="0" w:line="240" w:lineRule="auto"/>
    </w:pPr>
  </w:style>
  <w:style w:type="paragraph" w:styleId="Revision">
    <w:name w:val="Revision"/>
    <w:hidden/>
    <w:uiPriority w:val="99"/>
    <w:semiHidden/>
    <w:rsid w:val="00855D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ologycorner.com/2017/08/22/feedback-loops-insulin-and-glucagon/" TargetMode="External"/><Relationship Id="rId18" Type="http://schemas.openxmlformats.org/officeDocument/2006/relationships/hyperlink" Target="https://diabetes.org" TargetMode="External"/><Relationship Id="rId3" Type="http://schemas.openxmlformats.org/officeDocument/2006/relationships/styles" Target="styles.xml"/><Relationship Id="rId21" Type="http://schemas.openxmlformats.org/officeDocument/2006/relationships/hyperlink" Target="https://www.ncbi.nlm.nih.gov/books/NBK526095?utm_source=chatgpt.co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elitecarehc.com/blog/8-practical-ways-to-manage-diabetes-in-senio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nic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reamstime.com/how-does-insulin-work-vector-illustration-medical-infographic-physiological-process-glucose-sugar-metabolism-poster-image31254906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rontiersin.org/articles/10.3389/fcvm.2021.635280/full" TargetMode="External"/><Relationship Id="rId23"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s://www.nice.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jpg"/><Relationship Id="rId22"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9C5D9-A681-45EF-887E-4D8C80AD6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2779</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Noor Al Kemer Muzemil</cp:lastModifiedBy>
  <cp:revision>2</cp:revision>
  <dcterms:created xsi:type="dcterms:W3CDTF">2025-12-05T13:16:00Z</dcterms:created>
  <dcterms:modified xsi:type="dcterms:W3CDTF">2025-12-05T13:16:00Z</dcterms:modified>
</cp:coreProperties>
</file>