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72D17" w14:textId="77777777" w:rsidR="004B4123" w:rsidRPr="006C158A" w:rsidRDefault="004B4123" w:rsidP="006C158A">
      <w:pPr>
        <w:spacing w:before="480" w:after="120" w:line="360" w:lineRule="auto"/>
        <w:jc w:val="center"/>
        <w:rPr>
          <w:b/>
          <w:bCs/>
        </w:rPr>
      </w:pPr>
      <w:r w:rsidRPr="006C158A">
        <w:rPr>
          <w:b/>
          <w:bCs/>
        </w:rPr>
        <w:t>Psychology in Health and Social Care</w:t>
      </w:r>
    </w:p>
    <w:p w14:paraId="5B39B321" w14:textId="77777777" w:rsidR="004B4123" w:rsidRPr="006C158A" w:rsidRDefault="004B4123" w:rsidP="006C158A">
      <w:pPr>
        <w:spacing w:before="60" w:after="60" w:line="360" w:lineRule="auto"/>
        <w:jc w:val="center"/>
        <w:rPr>
          <w:b/>
          <w:bCs/>
        </w:rPr>
      </w:pPr>
      <w:r w:rsidRPr="006C158A">
        <w:rPr>
          <w:b/>
          <w:bCs/>
        </w:rPr>
        <w:t>Module Code: LCHS4010</w:t>
      </w:r>
    </w:p>
    <w:p w14:paraId="4F99E8C8" w14:textId="77777777" w:rsidR="004B4123" w:rsidRPr="006C158A" w:rsidRDefault="004B4123" w:rsidP="006C158A">
      <w:pPr>
        <w:spacing w:before="40" w:after="40" w:line="360" w:lineRule="auto"/>
        <w:jc w:val="center"/>
        <w:rPr>
          <w:b/>
          <w:bCs/>
        </w:rPr>
      </w:pPr>
    </w:p>
    <w:p w14:paraId="63E48FA2" w14:textId="0B20AFBD" w:rsidR="004B4123" w:rsidRPr="006C158A" w:rsidRDefault="008813DE" w:rsidP="006C158A">
      <w:pPr>
        <w:spacing w:before="80" w:after="80" w:line="360" w:lineRule="auto"/>
        <w:jc w:val="center"/>
        <w:rPr>
          <w:b/>
          <w:bCs/>
          <w:lang w:val="en-US"/>
        </w:rPr>
      </w:pPr>
      <w:r w:rsidRPr="006C158A">
        <w:rPr>
          <w:b/>
          <w:bCs/>
          <w:lang w:val="en-US"/>
        </w:rPr>
        <w:t>Assessment 2: Annotated Bibliography and short report</w:t>
      </w:r>
    </w:p>
    <w:p w14:paraId="6D1DA36D" w14:textId="77777777" w:rsidR="008813DE" w:rsidRPr="006C158A" w:rsidRDefault="008813DE" w:rsidP="006C158A">
      <w:pPr>
        <w:spacing w:before="80" w:after="80" w:line="360" w:lineRule="auto"/>
        <w:jc w:val="center"/>
        <w:rPr>
          <w:b/>
          <w:bCs/>
          <w:lang w:val="en-US"/>
        </w:rPr>
      </w:pPr>
    </w:p>
    <w:p w14:paraId="46F5C290" w14:textId="5C8E9D8F" w:rsidR="004B4123" w:rsidRPr="00886FE0" w:rsidRDefault="004B4123" w:rsidP="006C158A">
      <w:pPr>
        <w:spacing w:before="80" w:after="80" w:line="360" w:lineRule="auto"/>
        <w:jc w:val="center"/>
        <w:rPr>
          <w:b/>
          <w:bCs/>
          <w:lang w:val="en-US"/>
        </w:rPr>
      </w:pPr>
      <w:r w:rsidRPr="006C158A">
        <w:rPr>
          <w:b/>
          <w:bCs/>
        </w:rPr>
        <w:t>Student Name:</w:t>
      </w:r>
      <w:r w:rsidR="00886FE0">
        <w:rPr>
          <w:b/>
          <w:bCs/>
          <w:lang w:val="en-US"/>
        </w:rPr>
        <w:t xml:space="preserve"> Farzana Mukhtar</w:t>
      </w:r>
    </w:p>
    <w:p w14:paraId="5D35F291" w14:textId="7183B769" w:rsidR="004B4123" w:rsidRPr="00886FE0" w:rsidRDefault="004B4123" w:rsidP="006C158A">
      <w:pPr>
        <w:spacing w:before="80" w:after="80" w:line="360" w:lineRule="auto"/>
        <w:jc w:val="center"/>
        <w:rPr>
          <w:b/>
          <w:bCs/>
          <w:lang w:val="en-US"/>
        </w:rPr>
      </w:pPr>
      <w:r w:rsidRPr="006C158A">
        <w:rPr>
          <w:b/>
          <w:bCs/>
        </w:rPr>
        <w:t>Student Number:</w:t>
      </w:r>
      <w:r w:rsidR="00886FE0">
        <w:rPr>
          <w:b/>
          <w:bCs/>
          <w:lang w:val="en-US"/>
        </w:rPr>
        <w:t xml:space="preserve"> 2432703</w:t>
      </w:r>
    </w:p>
    <w:p w14:paraId="29E11D4C" w14:textId="77777777" w:rsidR="004B4123" w:rsidRPr="006C158A" w:rsidRDefault="004B4123" w:rsidP="006C158A">
      <w:pPr>
        <w:spacing w:before="80" w:after="80" w:line="360" w:lineRule="auto"/>
        <w:jc w:val="center"/>
        <w:rPr>
          <w:b/>
          <w:bCs/>
        </w:rPr>
      </w:pPr>
      <w:r w:rsidRPr="006C158A">
        <w:rPr>
          <w:b/>
          <w:bCs/>
        </w:rPr>
        <w:t>Lecturer:  Neale Haddon</w:t>
      </w:r>
    </w:p>
    <w:p w14:paraId="3C2DC88C" w14:textId="5DA07AAA" w:rsidR="004B4123" w:rsidRPr="006C158A" w:rsidRDefault="004B4123" w:rsidP="006C158A">
      <w:pPr>
        <w:spacing w:before="80" w:after="80" w:line="360" w:lineRule="auto"/>
        <w:jc w:val="center"/>
        <w:rPr>
          <w:b/>
          <w:bCs/>
        </w:rPr>
      </w:pPr>
      <w:r w:rsidRPr="006C158A">
        <w:rPr>
          <w:b/>
          <w:bCs/>
        </w:rPr>
        <w:t>Submission Date:  2</w:t>
      </w:r>
      <w:r w:rsidR="00886FE0">
        <w:rPr>
          <w:b/>
          <w:bCs/>
          <w:lang w:val="en-US"/>
        </w:rPr>
        <w:t>3</w:t>
      </w:r>
      <w:r w:rsidR="00886FE0" w:rsidRPr="00886FE0">
        <w:rPr>
          <w:b/>
          <w:bCs/>
          <w:vertAlign w:val="superscript"/>
          <w:lang w:val="en-US"/>
        </w:rPr>
        <w:t>rd</w:t>
      </w:r>
      <w:r w:rsidR="00886FE0">
        <w:rPr>
          <w:b/>
          <w:bCs/>
          <w:lang w:val="en-US"/>
        </w:rPr>
        <w:t xml:space="preserve">, </w:t>
      </w:r>
      <w:r w:rsidR="00886FE0" w:rsidRPr="006C158A">
        <w:rPr>
          <w:b/>
          <w:bCs/>
        </w:rPr>
        <w:t>March</w:t>
      </w:r>
      <w:r w:rsidRPr="006C158A">
        <w:rPr>
          <w:b/>
          <w:bCs/>
        </w:rPr>
        <w:t xml:space="preserve"> 2026</w:t>
      </w:r>
    </w:p>
    <w:p w14:paraId="31A37F99" w14:textId="77777777" w:rsidR="004B4123" w:rsidRPr="006C158A" w:rsidRDefault="004B4123" w:rsidP="006C158A">
      <w:pPr>
        <w:spacing w:after="160" w:line="360" w:lineRule="auto"/>
        <w:jc w:val="center"/>
        <w:rPr>
          <w:b/>
          <w:bCs/>
        </w:rPr>
      </w:pPr>
      <w:r w:rsidRPr="006C158A">
        <w:br w:type="page"/>
      </w:r>
    </w:p>
    <w:p w14:paraId="0BC99E54" w14:textId="51AE9553" w:rsidR="006F2B15" w:rsidRPr="006C158A" w:rsidRDefault="006F2B15" w:rsidP="006C158A">
      <w:pPr>
        <w:pStyle w:val="Heading1"/>
        <w:spacing w:line="360" w:lineRule="auto"/>
        <w:jc w:val="both"/>
        <w:rPr>
          <w:color w:val="auto"/>
          <w:sz w:val="22"/>
          <w:szCs w:val="22"/>
        </w:rPr>
      </w:pPr>
      <w:r w:rsidRPr="006C158A">
        <w:rPr>
          <w:color w:val="auto"/>
          <w:sz w:val="22"/>
          <w:szCs w:val="22"/>
        </w:rPr>
        <w:lastRenderedPageBreak/>
        <w:t>Part A: Annotated Bibliography</w:t>
      </w:r>
    </w:p>
    <w:p w14:paraId="50CBC6B2" w14:textId="0E13E864" w:rsidR="006F2B15" w:rsidRPr="006C158A" w:rsidRDefault="006F2B15" w:rsidP="006C158A">
      <w:pPr>
        <w:pStyle w:val="Heading2"/>
        <w:spacing w:line="360" w:lineRule="auto"/>
        <w:jc w:val="both"/>
        <w:rPr>
          <w:color w:val="auto"/>
          <w:sz w:val="22"/>
          <w:szCs w:val="22"/>
        </w:rPr>
      </w:pPr>
      <w:r w:rsidRPr="006C158A">
        <w:rPr>
          <w:color w:val="auto"/>
          <w:sz w:val="22"/>
          <w:szCs w:val="22"/>
        </w:rPr>
        <w:t>Source 1</w:t>
      </w:r>
    </w:p>
    <w:p w14:paraId="34926DC3" w14:textId="77777777" w:rsidR="006F2B15" w:rsidRPr="006C158A" w:rsidRDefault="006F2B15" w:rsidP="006C158A">
      <w:pPr>
        <w:spacing w:before="60" w:after="80" w:line="360" w:lineRule="auto"/>
        <w:jc w:val="both"/>
      </w:pPr>
      <w:r w:rsidRPr="006C158A">
        <w:rPr>
          <w:b/>
          <w:bCs/>
        </w:rPr>
        <w:t xml:space="preserve">Reference: </w:t>
      </w:r>
      <w:r w:rsidRPr="006C158A">
        <w:t xml:space="preserve">Yang, M.C., Singh, G. and Sakakibara, B.M. (2024) ‘Social cognitive predictors of health promotion self-efficacy among older adults during the COVID-19 pandemic’, </w:t>
      </w:r>
      <w:r w:rsidRPr="006C158A">
        <w:rPr>
          <w:i/>
          <w:iCs/>
        </w:rPr>
        <w:t>American Journal of Health Promotion,</w:t>
      </w:r>
      <w:r w:rsidRPr="006C158A">
        <w:t xml:space="preserve"> 38(8), pp. 1147–1152.</w:t>
      </w:r>
      <w:r w:rsidRPr="006C158A">
        <w:rPr>
          <w:lang w:val="en-US"/>
        </w:rPr>
        <w:t xml:space="preserve"> </w:t>
      </w:r>
      <w:hyperlink r:id="rId7" w:history="1">
        <w:r w:rsidRPr="006C158A">
          <w:rPr>
            <w:rStyle w:val="Hyperlink"/>
            <w:color w:val="auto"/>
          </w:rPr>
          <w:t>https://doi.org/10.1177/08901171241256703</w:t>
        </w:r>
      </w:hyperlink>
      <w:r w:rsidRPr="006C158A">
        <w:t xml:space="preserve"> </w:t>
      </w:r>
    </w:p>
    <w:p w14:paraId="0B498C34" w14:textId="28D85C5A" w:rsidR="00684423" w:rsidRPr="006C158A" w:rsidRDefault="006F2B15" w:rsidP="006C158A">
      <w:pPr>
        <w:spacing w:before="60" w:after="80" w:line="360" w:lineRule="auto"/>
        <w:jc w:val="both"/>
      </w:pPr>
      <w:r w:rsidRPr="006C158A">
        <w:rPr>
          <w:b/>
          <w:bCs/>
        </w:rPr>
        <w:t>Summary:</w:t>
      </w:r>
      <w:r w:rsidRPr="006C158A">
        <w:t xml:space="preserve"> </w:t>
      </w:r>
      <w:r w:rsidR="00684423" w:rsidRPr="006C158A">
        <w:t>The study</w:t>
      </w:r>
      <w:r w:rsidR="00684423" w:rsidRPr="006C158A">
        <w:rPr>
          <w:lang w:val="en-US"/>
        </w:rPr>
        <w:t xml:space="preserve"> explores four social cognitive predictors: </w:t>
      </w:r>
      <w:r w:rsidR="00684423" w:rsidRPr="006C158A">
        <w:t xml:space="preserve">performance accomplishment, </w:t>
      </w:r>
      <w:r w:rsidR="00396B32">
        <w:rPr>
          <w:lang w:val="en-US"/>
        </w:rPr>
        <w:t>observation learning</w:t>
      </w:r>
      <w:r w:rsidR="00684423" w:rsidRPr="006C158A">
        <w:t>, verbal persuasion, and affective state</w:t>
      </w:r>
      <w:r w:rsidR="00396B32">
        <w:rPr>
          <w:lang w:val="en-US"/>
        </w:rPr>
        <w:t xml:space="preserve">. Performance </w:t>
      </w:r>
      <w:r w:rsidR="00684423" w:rsidRPr="006C158A">
        <w:t>accomplishment</w:t>
      </w:r>
      <w:r w:rsidR="00396B32">
        <w:rPr>
          <w:lang w:val="en-US"/>
        </w:rPr>
        <w:t xml:space="preserve"> is determined</w:t>
      </w:r>
      <w:r w:rsidR="00684423" w:rsidRPr="006C158A">
        <w:t xml:space="preserve"> as the finest predictor, followed by verbal persuasion. Self-efficacy predictability is also suitable in observational learning of peers' activity. It is known that the most effective strategies of developing self-efficacy among the older adult population include graded task success, encouragement and peer modelling.</w:t>
      </w:r>
    </w:p>
    <w:p w14:paraId="695308FF" w14:textId="2B70390E" w:rsidR="006F2B15" w:rsidRPr="006C158A" w:rsidRDefault="006F2B15" w:rsidP="006C158A">
      <w:pPr>
        <w:spacing w:before="60" w:after="80" w:line="360" w:lineRule="auto"/>
        <w:jc w:val="both"/>
      </w:pPr>
      <w:r w:rsidRPr="006C158A">
        <w:rPr>
          <w:b/>
          <w:bCs/>
        </w:rPr>
        <w:t>Critical Comment:</w:t>
      </w:r>
      <w:r w:rsidRPr="006C158A">
        <w:t xml:space="preserve"> The current source offers a direct testing of the Social Learning Theory with an adult population/group that is already a mature adult, which offers </w:t>
      </w:r>
      <w:r w:rsidR="00CD180D" w:rsidRPr="006C158A">
        <w:t>up-to-date</w:t>
      </w:r>
      <w:r w:rsidRPr="006C158A">
        <w:t xml:space="preserve"> findings that the constructs of SLT can be used in adulthood. One of the strengths is that all four sources of self-efficacy are measured by using a sample that is applicable in the care setting. The limitation is that the study size is limited </w:t>
      </w:r>
      <w:r w:rsidR="00CD180D" w:rsidRPr="006C158A">
        <w:t>to</w:t>
      </w:r>
      <w:r w:rsidRPr="006C158A">
        <w:t xml:space="preserve"> 75 participants</w:t>
      </w:r>
      <w:r w:rsidR="00CD180D" w:rsidRPr="006C158A">
        <w:t>,</w:t>
      </w:r>
      <w:r w:rsidRPr="006C158A">
        <w:t xml:space="preserve"> which limits its generalisation. The COVID-19 scenario can also indicate uncharacteristic conditions that are not typical in residential care.</w:t>
      </w:r>
    </w:p>
    <w:p w14:paraId="5DC7B7CB" w14:textId="0C2F3D13" w:rsidR="006F2B15" w:rsidRPr="006C158A" w:rsidRDefault="006F2B15" w:rsidP="006C158A">
      <w:pPr>
        <w:pStyle w:val="Heading2"/>
        <w:spacing w:line="360" w:lineRule="auto"/>
        <w:jc w:val="both"/>
        <w:rPr>
          <w:color w:val="auto"/>
          <w:sz w:val="22"/>
          <w:szCs w:val="22"/>
        </w:rPr>
      </w:pPr>
      <w:r w:rsidRPr="006C158A">
        <w:rPr>
          <w:color w:val="auto"/>
          <w:sz w:val="22"/>
          <w:szCs w:val="22"/>
        </w:rPr>
        <w:t>Source 2</w:t>
      </w:r>
    </w:p>
    <w:p w14:paraId="61DFB24A" w14:textId="0107E826" w:rsidR="006F2B15" w:rsidRPr="006C158A" w:rsidRDefault="006F2B15" w:rsidP="006C158A">
      <w:pPr>
        <w:spacing w:before="60" w:after="80" w:line="360" w:lineRule="auto"/>
        <w:jc w:val="both"/>
      </w:pPr>
      <w:r w:rsidRPr="006C158A">
        <w:t xml:space="preserve">Steward, A. and Hasche, L. (2022) ‘Exploring lifestyle activities to reduce </w:t>
      </w:r>
      <w:r w:rsidR="00CD180D" w:rsidRPr="006C158A">
        <w:t>internalised</w:t>
      </w:r>
      <w:r w:rsidRPr="006C158A">
        <w:t xml:space="preserve"> ageism: self-efficacy as a mediator between exercise, volunteering, computer use, and self-perceptions of </w:t>
      </w:r>
      <w:r w:rsidR="00CD180D" w:rsidRPr="006C158A">
        <w:t>ageing</w:t>
      </w:r>
      <w:r w:rsidRPr="006C158A">
        <w:t xml:space="preserve">’, </w:t>
      </w:r>
      <w:r w:rsidRPr="006C158A">
        <w:rPr>
          <w:i/>
          <w:iCs/>
        </w:rPr>
        <w:t>The Gerontologist,</w:t>
      </w:r>
      <w:r w:rsidRPr="006C158A">
        <w:t xml:space="preserve"> 62(3), pp. 382–392. </w:t>
      </w:r>
      <w:hyperlink r:id="rId8" w:history="1">
        <w:r w:rsidRPr="006C158A">
          <w:rPr>
            <w:u w:val="single"/>
          </w:rPr>
          <w:t>https://doi.org/10.1177/00914150211024175</w:t>
        </w:r>
      </w:hyperlink>
      <w:r w:rsidRPr="006C158A">
        <w:t xml:space="preserve"> </w:t>
      </w:r>
    </w:p>
    <w:p w14:paraId="5728CF5A" w14:textId="42084AD7" w:rsidR="006F2B15" w:rsidRPr="006C158A" w:rsidRDefault="006F2B15" w:rsidP="006C158A">
      <w:pPr>
        <w:spacing w:line="360" w:lineRule="auto"/>
        <w:jc w:val="both"/>
      </w:pPr>
      <w:r w:rsidRPr="006C158A">
        <w:rPr>
          <w:b/>
          <w:bCs/>
        </w:rPr>
        <w:t>Summary:</w:t>
      </w:r>
      <w:r w:rsidRPr="006C158A">
        <w:t xml:space="preserve"> </w:t>
      </w:r>
      <w:r w:rsidR="00684423" w:rsidRPr="006C158A">
        <w:rPr>
          <w:lang w:val="en-US"/>
        </w:rPr>
        <w:t xml:space="preserve">The study </w:t>
      </w:r>
      <w:r w:rsidRPr="006C158A">
        <w:t>explore</w:t>
      </w:r>
      <w:r w:rsidR="00684423" w:rsidRPr="006C158A">
        <w:rPr>
          <w:lang w:val="en-US"/>
        </w:rPr>
        <w:t>s</w:t>
      </w:r>
      <w:r w:rsidRPr="006C158A">
        <w:t xml:space="preserve"> whether lifestyle activity participation has an intermediate relationship with self-perceptions of ageing in older adults. The study conducted in a large national survey and structural equation modelling results in a statistically significant mediation of the relationship between exercise and volunteering through self-efficacy and positive ageing self-perceptions. The authors conclude that the most important mechanism to reduce internalised ageism and enhance the psychological </w:t>
      </w:r>
      <w:r w:rsidR="00CD180D" w:rsidRPr="006C158A">
        <w:t>well-being</w:t>
      </w:r>
      <w:r w:rsidRPr="006C158A">
        <w:t xml:space="preserve"> of older adults is the development of self-efficacy by organised activity rather than</w:t>
      </w:r>
      <w:r w:rsidR="006E0673" w:rsidRPr="006C158A">
        <w:rPr>
          <w:lang w:val="en-US"/>
        </w:rPr>
        <w:t xml:space="preserve"> </w:t>
      </w:r>
      <w:r w:rsidRPr="006C158A">
        <w:t>increasing participation.</w:t>
      </w:r>
    </w:p>
    <w:p w14:paraId="53A78CC1" w14:textId="77777777" w:rsidR="006F2B15" w:rsidRPr="006C158A" w:rsidRDefault="006F2B15" w:rsidP="006C158A">
      <w:pPr>
        <w:spacing w:line="360" w:lineRule="auto"/>
        <w:jc w:val="both"/>
      </w:pPr>
    </w:p>
    <w:p w14:paraId="7F32E0A4" w14:textId="1467E3F3" w:rsidR="006F2B15" w:rsidRPr="006C158A" w:rsidRDefault="006F2B15" w:rsidP="006C158A">
      <w:pPr>
        <w:spacing w:line="360" w:lineRule="auto"/>
        <w:jc w:val="both"/>
      </w:pPr>
      <w:r w:rsidRPr="006C158A">
        <w:rPr>
          <w:b/>
          <w:bCs/>
        </w:rPr>
        <w:t>Critical Comment:</w:t>
      </w:r>
      <w:r w:rsidRPr="006C158A">
        <w:t xml:space="preserve"> The strengths of this study include its nationally representative sample size and high structural equation modelling, which support the fact that self-efficacy is a </w:t>
      </w:r>
      <w:r w:rsidRPr="006C158A">
        <w:lastRenderedPageBreak/>
        <w:t>mediating variable between the activity and wellbeing. The community-dwelling sample is a limitation, as it may not be generalizable to the residents of residential care who can be subjected to more physical limitations and have less autonomy.</w:t>
      </w:r>
    </w:p>
    <w:p w14:paraId="73E69FBC" w14:textId="11B19EF4" w:rsidR="006F2B15" w:rsidRPr="006C158A" w:rsidRDefault="006F2B15" w:rsidP="006C158A">
      <w:pPr>
        <w:pStyle w:val="Heading2"/>
        <w:spacing w:line="360" w:lineRule="auto"/>
        <w:jc w:val="both"/>
        <w:rPr>
          <w:color w:val="auto"/>
          <w:sz w:val="22"/>
          <w:szCs w:val="22"/>
        </w:rPr>
      </w:pPr>
      <w:r w:rsidRPr="006C158A">
        <w:rPr>
          <w:color w:val="auto"/>
          <w:sz w:val="22"/>
          <w:szCs w:val="22"/>
        </w:rPr>
        <w:t xml:space="preserve">Source 3 </w:t>
      </w:r>
    </w:p>
    <w:p w14:paraId="718ADDD0" w14:textId="590436A8" w:rsidR="006F2B15" w:rsidRPr="006C158A" w:rsidRDefault="006F2B15" w:rsidP="006C158A">
      <w:pPr>
        <w:spacing w:before="60" w:after="80" w:line="360" w:lineRule="auto"/>
        <w:jc w:val="both"/>
      </w:pPr>
      <w:r w:rsidRPr="006C158A">
        <w:t xml:space="preserve">Hagger, M.S. and Hamilton, K. (2024) ‘Longitudinal tests of the theory of planned behaviour: A meta-analysis’, </w:t>
      </w:r>
      <w:r w:rsidRPr="006C158A">
        <w:rPr>
          <w:i/>
          <w:iCs/>
        </w:rPr>
        <w:t>European Review of Social Psychology,</w:t>
      </w:r>
      <w:r w:rsidRPr="006C158A">
        <w:t xml:space="preserve"> 35(1), pp. 198–254. </w:t>
      </w:r>
      <w:hyperlink r:id="rId9" w:history="1">
        <w:r w:rsidRPr="006C158A">
          <w:rPr>
            <w:u w:val="single"/>
          </w:rPr>
          <w:t>https://doi.org/10.1080/10463283.2023.2225897</w:t>
        </w:r>
      </w:hyperlink>
      <w:r w:rsidRPr="006C158A">
        <w:t xml:space="preserve"> </w:t>
      </w:r>
    </w:p>
    <w:p w14:paraId="35B69203" w14:textId="2C8F867E" w:rsidR="006F2B15" w:rsidRPr="006C158A" w:rsidRDefault="006F2B15" w:rsidP="006C158A">
      <w:pPr>
        <w:spacing w:line="360" w:lineRule="auto"/>
        <w:jc w:val="both"/>
      </w:pPr>
      <w:r w:rsidRPr="006C158A">
        <w:rPr>
          <w:b/>
          <w:bCs/>
        </w:rPr>
        <w:t>Summary:</w:t>
      </w:r>
      <w:r w:rsidRPr="006C158A">
        <w:t xml:space="preserve"> The review establishes that perceived behavioural control is </w:t>
      </w:r>
      <w:r w:rsidR="00875E77">
        <w:rPr>
          <w:lang w:val="en-US"/>
        </w:rPr>
        <w:t xml:space="preserve">the </w:t>
      </w:r>
      <w:r w:rsidRPr="006C158A">
        <w:t>best predictor of behavioural intention and actual behaviour. The predictive validity of the TPB is very strong when used on diverse populations with diverse health behaviours</w:t>
      </w:r>
      <w:r w:rsidR="00CD180D" w:rsidRPr="006C158A">
        <w:t>,</w:t>
      </w:r>
      <w:r w:rsidRPr="006C158A">
        <w:t xml:space="preserve"> such as exercise behaviour, eating habits</w:t>
      </w:r>
      <w:r w:rsidR="00CD180D" w:rsidRPr="006C158A">
        <w:t>,</w:t>
      </w:r>
      <w:r w:rsidRPr="006C158A">
        <w:t xml:space="preserve"> as well as introduction to health services</w:t>
      </w:r>
      <w:r w:rsidR="00CD180D" w:rsidRPr="006C158A">
        <w:t>,</w:t>
      </w:r>
      <w:r w:rsidRPr="006C158A">
        <w:t xml:space="preserve"> which are pertinent in the case of older adults and the subject of residential care.</w:t>
      </w:r>
    </w:p>
    <w:p w14:paraId="380C4FA9" w14:textId="77777777" w:rsidR="006F2B15" w:rsidRPr="006C158A" w:rsidRDefault="006F2B15" w:rsidP="006C158A">
      <w:pPr>
        <w:spacing w:line="360" w:lineRule="auto"/>
        <w:jc w:val="both"/>
      </w:pPr>
    </w:p>
    <w:p w14:paraId="17996C90" w14:textId="4D8C26BD" w:rsidR="006F2B15" w:rsidRPr="006C158A" w:rsidRDefault="006F2B15" w:rsidP="006C158A">
      <w:pPr>
        <w:spacing w:line="360" w:lineRule="auto"/>
        <w:jc w:val="both"/>
      </w:pPr>
      <w:r w:rsidRPr="006C158A">
        <w:rPr>
          <w:b/>
          <w:bCs/>
        </w:rPr>
        <w:t xml:space="preserve">Critical </w:t>
      </w:r>
      <w:r w:rsidRPr="006C158A">
        <w:rPr>
          <w:b/>
          <w:bCs/>
          <w:lang w:val="en-US"/>
        </w:rPr>
        <w:t>comment</w:t>
      </w:r>
      <w:r w:rsidRPr="006C158A">
        <w:rPr>
          <w:b/>
          <w:bCs/>
        </w:rPr>
        <w:t xml:space="preserve">: </w:t>
      </w:r>
      <w:r w:rsidRPr="006C158A">
        <w:t xml:space="preserve">The meta-analysis by Hagger and Hamilton (2024) incorporates hundreds of longitudinal studies that prove TPB to be still a valid model </w:t>
      </w:r>
      <w:r w:rsidR="00CD180D" w:rsidRPr="006C158A">
        <w:t>for</w:t>
      </w:r>
      <w:r w:rsidRPr="006C158A">
        <w:t xml:space="preserve"> designing a behaviour-change intervention. Especially important is the discovery that perceived behavioural control </w:t>
      </w:r>
      <w:r w:rsidR="00CD180D" w:rsidRPr="006C158A">
        <w:t>mediates</w:t>
      </w:r>
      <w:r w:rsidRPr="006C158A">
        <w:t xml:space="preserve"> the intention to behaviour translation, given that the environment and physical abilities in care homes pose environmental and physical restrictions to perceived behavioural </w:t>
      </w:r>
      <w:r w:rsidR="00CD180D" w:rsidRPr="006C158A">
        <w:t>control</w:t>
      </w:r>
      <w:r w:rsidRPr="006C158A">
        <w:t>. One of the weaknesses is that the studies on residential care are not specific to the meta-analysis, and practitioners need to ensure that the findings are carefully applied to that context.</w:t>
      </w:r>
    </w:p>
    <w:p w14:paraId="6B0CEE4D" w14:textId="4DDF2164" w:rsidR="00904E11" w:rsidRPr="006C158A" w:rsidRDefault="00904E11" w:rsidP="006C158A">
      <w:pPr>
        <w:pStyle w:val="Heading2"/>
        <w:spacing w:line="360" w:lineRule="auto"/>
        <w:jc w:val="both"/>
        <w:rPr>
          <w:color w:val="auto"/>
          <w:sz w:val="22"/>
          <w:szCs w:val="22"/>
        </w:rPr>
      </w:pPr>
      <w:r w:rsidRPr="006C158A">
        <w:rPr>
          <w:color w:val="auto"/>
          <w:sz w:val="22"/>
          <w:szCs w:val="22"/>
        </w:rPr>
        <w:t xml:space="preserve">Source 4 </w:t>
      </w:r>
    </w:p>
    <w:p w14:paraId="75C6EA06" w14:textId="3713E245" w:rsidR="00904E11" w:rsidRPr="006C158A" w:rsidRDefault="00904E11" w:rsidP="006C158A">
      <w:pPr>
        <w:spacing w:line="360" w:lineRule="auto"/>
        <w:jc w:val="both"/>
        <w:rPr>
          <w:u w:val="single"/>
        </w:rPr>
      </w:pPr>
      <w:r w:rsidRPr="006C158A">
        <w:t xml:space="preserve">Paul, B., Kirubakaran, R., Isaac, R., Dozier, M., Grant, L., Weller, D. and RESPIRE Collaboration (2023) ‘A systematic review of the theory of planned behaviour interventions for chronic diseases in low health-literacy settings’, </w:t>
      </w:r>
      <w:r w:rsidRPr="006C158A">
        <w:rPr>
          <w:i/>
          <w:iCs/>
        </w:rPr>
        <w:t>Journal of Global Health,</w:t>
      </w:r>
      <w:r w:rsidRPr="006C158A">
        <w:t xml:space="preserve"> 13, p. 04079. </w:t>
      </w:r>
      <w:hyperlink r:id="rId10" w:history="1">
        <w:r w:rsidRPr="006C158A">
          <w:rPr>
            <w:u w:val="single"/>
          </w:rPr>
          <w:t>https://doi.org/10.7189/jogh.13.04079</w:t>
        </w:r>
      </w:hyperlink>
    </w:p>
    <w:p w14:paraId="37985C9C" w14:textId="77777777" w:rsidR="00904E11" w:rsidRPr="006C158A" w:rsidRDefault="00904E11" w:rsidP="006C158A">
      <w:pPr>
        <w:spacing w:line="360" w:lineRule="auto"/>
        <w:jc w:val="both"/>
        <w:rPr>
          <w:u w:val="single"/>
        </w:rPr>
      </w:pPr>
    </w:p>
    <w:p w14:paraId="703814FE" w14:textId="66F06B72" w:rsidR="00904E11" w:rsidRPr="006C158A" w:rsidRDefault="00A0353A" w:rsidP="006C158A">
      <w:pPr>
        <w:spacing w:line="360" w:lineRule="auto"/>
        <w:jc w:val="both"/>
        <w:rPr>
          <w:shd w:val="clear" w:color="auto" w:fill="FFFFFF"/>
        </w:rPr>
      </w:pPr>
      <w:r w:rsidRPr="006C158A">
        <w:rPr>
          <w:b/>
          <w:bCs/>
          <w:shd w:val="clear" w:color="auto" w:fill="FFFFFF"/>
        </w:rPr>
        <w:t>Summary:</w:t>
      </w:r>
      <w:r w:rsidRPr="006C158A">
        <w:rPr>
          <w:shd w:val="clear" w:color="auto" w:fill="FFFFFF"/>
        </w:rPr>
        <w:t xml:space="preserve"> The review synthesises the evidence of numerous controlled trials and discovers that the TPB interventions always contribute to better health behaviour and self-management (especially when the three constructs are addressed within a single intervention). The construct that is most responsive to intervention is perceived behavioural control, and the use of the literacy level of the participants to modify communication is important in enhancing outcomes. </w:t>
      </w:r>
    </w:p>
    <w:p w14:paraId="173853B8" w14:textId="77777777" w:rsidR="00A0353A" w:rsidRPr="006C158A" w:rsidRDefault="00A0353A" w:rsidP="006C158A">
      <w:pPr>
        <w:spacing w:line="360" w:lineRule="auto"/>
        <w:jc w:val="both"/>
        <w:rPr>
          <w:b/>
          <w:bCs/>
        </w:rPr>
      </w:pPr>
    </w:p>
    <w:p w14:paraId="3F262483" w14:textId="0B28E482" w:rsidR="00904E11" w:rsidRPr="006C158A" w:rsidRDefault="00904E11" w:rsidP="006C158A">
      <w:pPr>
        <w:spacing w:line="360" w:lineRule="auto"/>
        <w:jc w:val="both"/>
      </w:pPr>
      <w:r w:rsidRPr="006C158A">
        <w:rPr>
          <w:b/>
          <w:bCs/>
        </w:rPr>
        <w:lastRenderedPageBreak/>
        <w:t>Critical Comment</w:t>
      </w:r>
      <w:r w:rsidRPr="006C158A">
        <w:t xml:space="preserve">: PRISMA-compliant systematic review by Paul et al. (2023) can be most readily applied to residential care </w:t>
      </w:r>
      <w:r w:rsidR="00CD180D" w:rsidRPr="006C158A">
        <w:t>because</w:t>
      </w:r>
      <w:r w:rsidRPr="006C158A">
        <w:t xml:space="preserve"> its population has most of the challenges in common with older adult residents. As a regular observation, multi-construct TPB interventions are more effective than single-construct interventions, which </w:t>
      </w:r>
      <w:r w:rsidR="00CD180D" w:rsidRPr="006C158A">
        <w:t>can be directly</w:t>
      </w:r>
      <w:r w:rsidRPr="006C158A">
        <w:t xml:space="preserve"> applied to care planning. </w:t>
      </w:r>
      <w:r w:rsidR="00875E77">
        <w:rPr>
          <w:lang w:val="en-US"/>
        </w:rPr>
        <w:t xml:space="preserve">Its </w:t>
      </w:r>
      <w:r w:rsidRPr="006C158A">
        <w:t>weakness is that the majority of included studies have been done in the low- and middle-income setting, which makes it difficult to compare the results to the situation in the UK care. TTP constructs measurement also exhibits heterogeneity and thus cannot be compared with accuracy.</w:t>
      </w:r>
    </w:p>
    <w:p w14:paraId="62675120" w14:textId="77777777" w:rsidR="00CD180D" w:rsidRPr="006C158A" w:rsidRDefault="00CD180D" w:rsidP="006C158A">
      <w:pPr>
        <w:spacing w:after="160" w:line="360" w:lineRule="auto"/>
        <w:jc w:val="both"/>
      </w:pPr>
      <w:r w:rsidRPr="006C158A">
        <w:br w:type="page"/>
      </w:r>
    </w:p>
    <w:p w14:paraId="09C5BBD3" w14:textId="0E19BF08" w:rsidR="00CD180D" w:rsidRPr="006C158A" w:rsidRDefault="00CD180D" w:rsidP="006C158A">
      <w:pPr>
        <w:spacing w:line="360" w:lineRule="auto"/>
        <w:jc w:val="both"/>
        <w:rPr>
          <w:b/>
          <w:bCs/>
        </w:rPr>
      </w:pPr>
      <w:r w:rsidRPr="006C158A">
        <w:rPr>
          <w:b/>
          <w:bCs/>
        </w:rPr>
        <w:lastRenderedPageBreak/>
        <w:t>Part B: Short Report</w:t>
      </w:r>
    </w:p>
    <w:p w14:paraId="33032AF5" w14:textId="30A01EAE" w:rsidR="00CD180D" w:rsidRPr="006C158A" w:rsidRDefault="00CD180D" w:rsidP="006C158A">
      <w:pPr>
        <w:spacing w:line="360" w:lineRule="auto"/>
        <w:jc w:val="both"/>
        <w:rPr>
          <w:b/>
          <w:bCs/>
        </w:rPr>
      </w:pPr>
      <w:r w:rsidRPr="006C158A">
        <w:rPr>
          <w:b/>
          <w:bCs/>
        </w:rPr>
        <w:t>Introduction</w:t>
      </w:r>
    </w:p>
    <w:p w14:paraId="0D9721FA" w14:textId="77761CA9" w:rsidR="00CD180D" w:rsidRPr="006C158A" w:rsidRDefault="00CD180D" w:rsidP="006C158A">
      <w:pPr>
        <w:spacing w:line="360" w:lineRule="auto"/>
        <w:jc w:val="both"/>
      </w:pPr>
      <w:r w:rsidRPr="006C158A">
        <w:t xml:space="preserve">The report discusses the application of the Theory of Planned Behaviour (TPB) to enhance the psychological well-being of older adults in residential care. The TPB hypothesises that behaviour is conditioned by attitudes towards a behaviour, perceived social norms and perceived behavioural control, which comprise a behavioural intention and predict behaviour (Hagger and Hamilton, 2024). Remm et al. (2023) </w:t>
      </w:r>
      <w:r w:rsidR="008303E5" w:rsidRPr="006C158A">
        <w:t>affirm</w:t>
      </w:r>
      <w:r w:rsidRPr="006C158A">
        <w:t xml:space="preserve"> that self-efficacy</w:t>
      </w:r>
      <w:r w:rsidR="00875E77">
        <w:rPr>
          <w:lang w:val="en-US"/>
        </w:rPr>
        <w:t xml:space="preserve"> (</w:t>
      </w:r>
      <w:r w:rsidRPr="006C158A">
        <w:t>the centre of perceived behavioural control</w:t>
      </w:r>
      <w:r w:rsidR="00875E77">
        <w:rPr>
          <w:lang w:val="en-US"/>
        </w:rPr>
        <w:t xml:space="preserve">) </w:t>
      </w:r>
      <w:r w:rsidRPr="006C158A">
        <w:t>has a robust and consistent positive relationship with the positive health and wellbeing outcomes of older adults in the broad array of health outcomes, which validates the theoretical relevance of this construct to the practice of residential care. The information provided by the Social Learning Theory complements this framework even more.</w:t>
      </w:r>
    </w:p>
    <w:p w14:paraId="217E6E0F" w14:textId="77777777" w:rsidR="008303E5" w:rsidRPr="006C158A" w:rsidRDefault="008303E5" w:rsidP="006C158A">
      <w:pPr>
        <w:spacing w:line="360" w:lineRule="auto"/>
        <w:jc w:val="both"/>
      </w:pPr>
    </w:p>
    <w:p w14:paraId="79FF2A24" w14:textId="411D0D95" w:rsidR="00CD180D" w:rsidRPr="006C158A" w:rsidRDefault="00CD180D" w:rsidP="006C158A">
      <w:pPr>
        <w:spacing w:line="360" w:lineRule="auto"/>
        <w:jc w:val="both"/>
        <w:rPr>
          <w:b/>
          <w:bCs/>
        </w:rPr>
      </w:pPr>
      <w:r w:rsidRPr="006C158A">
        <w:rPr>
          <w:b/>
          <w:bCs/>
        </w:rPr>
        <w:t>Theory, Explanation, and Application.</w:t>
      </w:r>
    </w:p>
    <w:p w14:paraId="2B553B64" w14:textId="6CDAD134" w:rsidR="00CD180D" w:rsidRPr="006C158A" w:rsidRDefault="00CD180D" w:rsidP="006C158A">
      <w:pPr>
        <w:spacing w:line="360" w:lineRule="auto"/>
        <w:jc w:val="both"/>
      </w:pPr>
      <w:r w:rsidRPr="006C158A">
        <w:t>In a structural equation modelling analysis of 865 adults over 65 years of age, Stehr et al. (2021) verify that perceived behavioural control (PBC) is the most predictive construct of the TPB among older adults, even by comparison with attitude or subjective norms.</w:t>
      </w:r>
      <w:r w:rsidR="008303E5" w:rsidRPr="006C158A">
        <w:rPr>
          <w:lang w:val="en-US"/>
        </w:rPr>
        <w:t xml:space="preserve"> </w:t>
      </w:r>
      <w:r w:rsidRPr="006C158A">
        <w:t>Baidya et al. (2024) note that intrapersonal barriers are the most commonly used in preventing residents' physical activities. The most commonly reported factors include fear of falls, low confidence, and low mobility. An opinion on activities may be altered through introducing them at a slow pace, associating them with the personal histories and identities of residents. This is reinforced by the Social Learning Theory: when residents see their peers perform the activities positively, they are more likely to hold more favourable intentions due to vicarious reinforcement (Yang et al., 2024). Indirect behavioural regulation may be reinforced with the aid of graded mastery experiences, peer modelling, verbal reinforcement and positive emotional states (Yang et al., 2024). It turns out that the well-being of older adults is not only improved by activity but rather participation, which is self-efficacy constructed through the participation, i.e., whether they are offered or not, how they are offered is equally important (Steward and Hasche, 2022).</w:t>
      </w:r>
    </w:p>
    <w:p w14:paraId="7FD447C9" w14:textId="77777777" w:rsidR="00CD180D" w:rsidRPr="006C158A" w:rsidRDefault="00CD180D" w:rsidP="006C158A">
      <w:pPr>
        <w:spacing w:line="360" w:lineRule="auto"/>
        <w:jc w:val="both"/>
        <w:rPr>
          <w:b/>
          <w:bCs/>
        </w:rPr>
      </w:pPr>
      <w:r w:rsidRPr="006C158A">
        <w:rPr>
          <w:b/>
          <w:bCs/>
        </w:rPr>
        <w:t>Case Scenario</w:t>
      </w:r>
    </w:p>
    <w:p w14:paraId="0DD2EFC5" w14:textId="4C84EE65" w:rsidR="00CD180D" w:rsidRPr="006C158A" w:rsidRDefault="004B4123" w:rsidP="006C158A">
      <w:pPr>
        <w:spacing w:line="360" w:lineRule="auto"/>
        <w:jc w:val="both"/>
      </w:pPr>
      <w:r w:rsidRPr="006C158A">
        <w:rPr>
          <w:lang w:val="en-US"/>
        </w:rPr>
        <w:t>An</w:t>
      </w:r>
      <w:r w:rsidR="00CD180D" w:rsidRPr="006C158A">
        <w:t xml:space="preserve"> 81-year-old resident, Dorothy, has refused the weekly seated exercise group since admission. According to the TPB framework, her key worker determines three barriers in line with what was reported by Baidya et al. (2024): Dorothy thinks that exercise is a younger person thing and is afraid of falling; her subjective norm is that the family would prefer her to be at rest; her perceived behavioural control is extremely low. The key worker considers all three constructs.</w:t>
      </w:r>
      <w:r w:rsidRPr="006C158A">
        <w:rPr>
          <w:lang w:val="en-US"/>
        </w:rPr>
        <w:t xml:space="preserve"> T</w:t>
      </w:r>
      <w:r w:rsidR="00CD180D" w:rsidRPr="006C158A">
        <w:t>he first step, Dorothy is invited to watch the exercise group in an informal setting; this practice allows gaining vicarious learning with competent colleagues</w:t>
      </w:r>
      <w:r w:rsidRPr="006C158A">
        <w:t>,</w:t>
      </w:r>
      <w:r w:rsidR="00CD180D" w:rsidRPr="006C158A">
        <w:t xml:space="preserve"> one of the sources of self-efficacy validated by Yang et al. (2024). The physiotherapist changes this to a </w:t>
      </w:r>
      <w:r w:rsidR="00CD180D" w:rsidRPr="006C158A">
        <w:lastRenderedPageBreak/>
        <w:t>positive assessment of the physical ability of Dorothy, which is directly constructed by verbal persuasion to perceived behavioural control, which Remm et al. (2023) are content with as being central to assisting health ageing outcomes. The key worker calls Dorothy's daughter to give her evidence of the benefits of gentle movement by refraining from the subjective norm. Dorothy and her key worker develop a particular action plan in which there is a pre-arranged strategy of managing anxiety. During the four-week follow-up, Dorothy has participated in three sessions and states she feels more confident, which is in line with Steward and Hasche (2022), who have established that self-efficacy developed during participation mediates wellbeing gain.</w:t>
      </w:r>
    </w:p>
    <w:p w14:paraId="704514E2" w14:textId="77777777" w:rsidR="00CD180D" w:rsidRPr="006C158A" w:rsidRDefault="00CD180D" w:rsidP="006C158A">
      <w:pPr>
        <w:spacing w:line="360" w:lineRule="auto"/>
        <w:jc w:val="both"/>
      </w:pPr>
    </w:p>
    <w:p w14:paraId="253F0469" w14:textId="77777777" w:rsidR="00CD180D" w:rsidRPr="006C158A" w:rsidRDefault="00CD180D" w:rsidP="006C158A">
      <w:pPr>
        <w:spacing w:line="360" w:lineRule="auto"/>
        <w:jc w:val="both"/>
        <w:rPr>
          <w:b/>
          <w:bCs/>
        </w:rPr>
      </w:pPr>
      <w:r w:rsidRPr="006C158A">
        <w:rPr>
          <w:b/>
          <w:bCs/>
        </w:rPr>
        <w:t>Challenge</w:t>
      </w:r>
    </w:p>
    <w:p w14:paraId="6F2D07BD" w14:textId="30F11555" w:rsidR="00CD180D" w:rsidRPr="006C158A" w:rsidRDefault="00CD180D" w:rsidP="006C158A">
      <w:pPr>
        <w:spacing w:line="360" w:lineRule="auto"/>
        <w:jc w:val="both"/>
      </w:pPr>
      <w:r w:rsidRPr="006C158A">
        <w:t xml:space="preserve">One of the main </w:t>
      </w:r>
      <w:r w:rsidR="004B4123" w:rsidRPr="006C158A">
        <w:rPr>
          <w:lang w:val="en-US"/>
        </w:rPr>
        <w:t xml:space="preserve">challenges </w:t>
      </w:r>
      <w:r w:rsidRPr="006C158A">
        <w:t xml:space="preserve">is that employees might not have the time or education to carry out individual TPB-based research on each resident. In their scoping review of physical activity interventions in care homes, Wylie et al. (2023) concluded that the current programmes do not tend to consider the multi-level factors, such as attitudes at an individual level, social influences, and perceived capability, that take part in determining participation, leading to the low effectiveness of the current programmes. </w:t>
      </w:r>
    </w:p>
    <w:p w14:paraId="2D8ED65F" w14:textId="77777777" w:rsidR="00CD180D" w:rsidRPr="006C158A" w:rsidRDefault="00CD180D" w:rsidP="006C158A">
      <w:pPr>
        <w:spacing w:line="360" w:lineRule="auto"/>
        <w:jc w:val="both"/>
        <w:rPr>
          <w:b/>
          <w:bCs/>
        </w:rPr>
      </w:pPr>
      <w:r w:rsidRPr="006C158A">
        <w:rPr>
          <w:b/>
          <w:bCs/>
        </w:rPr>
        <w:t>Strategy</w:t>
      </w:r>
    </w:p>
    <w:p w14:paraId="52B95414" w14:textId="77777777" w:rsidR="004B4123" w:rsidRPr="006C158A" w:rsidRDefault="00CD180D" w:rsidP="006C158A">
      <w:pPr>
        <w:spacing w:line="360" w:lineRule="auto"/>
        <w:jc w:val="both"/>
      </w:pPr>
      <w:r w:rsidRPr="006C158A">
        <w:t xml:space="preserve">A possible and viable immediate solution is to incorporate three items with TPB-informed questions into monthly key-worker assessments: </w:t>
      </w:r>
    </w:p>
    <w:p w14:paraId="76B9F5B8" w14:textId="77777777" w:rsidR="004B4123" w:rsidRPr="006C158A" w:rsidRDefault="00CD180D" w:rsidP="006C158A">
      <w:pPr>
        <w:pStyle w:val="ListParagraph"/>
        <w:numPr>
          <w:ilvl w:val="0"/>
          <w:numId w:val="1"/>
        </w:numPr>
        <w:spacing w:line="360" w:lineRule="auto"/>
        <w:jc w:val="both"/>
      </w:pPr>
      <w:r w:rsidRPr="006C158A">
        <w:t xml:space="preserve">How does the resident feel about this activity? What are the expectations of their surroundings? </w:t>
      </w:r>
    </w:p>
    <w:p w14:paraId="42054D13" w14:textId="77777777" w:rsidR="004B4123" w:rsidRPr="006C158A" w:rsidRDefault="00CD180D" w:rsidP="006C158A">
      <w:pPr>
        <w:pStyle w:val="ListParagraph"/>
        <w:numPr>
          <w:ilvl w:val="0"/>
          <w:numId w:val="1"/>
        </w:numPr>
        <w:spacing w:line="360" w:lineRule="auto"/>
        <w:jc w:val="both"/>
      </w:pPr>
      <w:r w:rsidRPr="006C158A">
        <w:t xml:space="preserve">Do they believe that they can do it? </w:t>
      </w:r>
    </w:p>
    <w:p w14:paraId="5BC2C5F7" w14:textId="12A224F6" w:rsidR="00CD180D" w:rsidRPr="006C158A" w:rsidRDefault="00CD180D" w:rsidP="006C158A">
      <w:pPr>
        <w:spacing w:line="360" w:lineRule="auto"/>
        <w:jc w:val="both"/>
      </w:pPr>
      <w:r w:rsidRPr="006C158A">
        <w:t>Stehr et al. (2021)</w:t>
      </w:r>
      <w:r w:rsidR="004B4123" w:rsidRPr="006C158A">
        <w:rPr>
          <w:lang w:val="en-US"/>
        </w:rPr>
        <w:t xml:space="preserve"> </w:t>
      </w:r>
      <w:r w:rsidRPr="006C158A">
        <w:t>affirm that perceived behavioural control is the most significant predictor of activity intention in the elderly</w:t>
      </w:r>
      <w:r w:rsidR="004B4123" w:rsidRPr="006C158A">
        <w:t>;</w:t>
      </w:r>
      <w:r w:rsidRPr="006C158A">
        <w:t xml:space="preserve"> the care plan must focus on interventions that proactively foster the confidence and ability of the residents. Baidya et al. (2024) refer to professional support and facilitation as some of the most essential organisational facilitators of physical activity in residential environments, and thus, staff training in the principles of the theory of Social Learning</w:t>
      </w:r>
      <w:r w:rsidR="004B4123" w:rsidRPr="006C158A">
        <w:t>,</w:t>
      </w:r>
      <w:r w:rsidRPr="006C158A">
        <w:t xml:space="preserve"> graded tasks, peer modelling, and verbal encouragement is an organisational necessity </w:t>
      </w:r>
      <w:r w:rsidR="004B4123" w:rsidRPr="006C158A">
        <w:rPr>
          <w:lang w:val="en-US"/>
        </w:rPr>
        <w:t xml:space="preserve">for </w:t>
      </w:r>
      <w:r w:rsidRPr="006C158A">
        <w:t>physical activity promotion.</w:t>
      </w:r>
    </w:p>
    <w:p w14:paraId="5A316B32" w14:textId="77777777" w:rsidR="00CD180D" w:rsidRPr="006C158A" w:rsidRDefault="00CD180D" w:rsidP="006C158A">
      <w:pPr>
        <w:spacing w:line="360" w:lineRule="auto"/>
        <w:jc w:val="both"/>
      </w:pPr>
    </w:p>
    <w:p w14:paraId="34EA4E88" w14:textId="77777777" w:rsidR="00CD180D" w:rsidRPr="006C158A" w:rsidRDefault="00CD180D" w:rsidP="006C158A">
      <w:pPr>
        <w:spacing w:line="360" w:lineRule="auto"/>
        <w:jc w:val="both"/>
        <w:rPr>
          <w:b/>
          <w:bCs/>
        </w:rPr>
      </w:pPr>
      <w:r w:rsidRPr="006C158A">
        <w:rPr>
          <w:b/>
          <w:bCs/>
        </w:rPr>
        <w:t>Conclusion</w:t>
      </w:r>
    </w:p>
    <w:p w14:paraId="1BD38A6E" w14:textId="6E4ECFE3" w:rsidR="00CD180D" w:rsidRPr="006C158A" w:rsidRDefault="00CD180D" w:rsidP="006C158A">
      <w:pPr>
        <w:spacing w:line="360" w:lineRule="auto"/>
        <w:jc w:val="both"/>
      </w:pPr>
      <w:r w:rsidRPr="006C158A">
        <w:t xml:space="preserve">The Theory of Planned Behaviour offers an appropriate structure of evidence-based methods to enhance the interaction and well-being of older adult residential care. It allows the genuinely person-centred, targeted intervention through determining attitudinal, normative and barriers related to control that are unique to each resident. The approach would be complemented by the Social Learning Theory, which focuses on self-efficacy based on evidence of the barriers </w:t>
      </w:r>
      <w:r w:rsidRPr="006C158A">
        <w:lastRenderedPageBreak/>
        <w:t>to activity in care homes, and informed by the analysis of care home physical activity programmes, which can provide practitioners with a clearly systematic and practical model of promoting psychological well-being in a residential care context.</w:t>
      </w:r>
    </w:p>
    <w:p w14:paraId="387EF325" w14:textId="77777777" w:rsidR="004B4123" w:rsidRPr="006C158A" w:rsidRDefault="004B4123" w:rsidP="006C158A">
      <w:pPr>
        <w:spacing w:line="360" w:lineRule="auto"/>
        <w:jc w:val="both"/>
        <w:rPr>
          <w:b/>
          <w:bCs/>
          <w:lang w:val="en-US"/>
        </w:rPr>
      </w:pPr>
    </w:p>
    <w:p w14:paraId="448EFB67" w14:textId="77777777" w:rsidR="006945EB" w:rsidRDefault="006945EB">
      <w:pPr>
        <w:spacing w:after="160" w:line="259" w:lineRule="auto"/>
        <w:rPr>
          <w:b/>
          <w:bCs/>
          <w:lang w:val="en-US"/>
        </w:rPr>
      </w:pPr>
      <w:r>
        <w:rPr>
          <w:b/>
          <w:bCs/>
          <w:lang w:val="en-US"/>
        </w:rPr>
        <w:br w:type="page"/>
      </w:r>
    </w:p>
    <w:p w14:paraId="2587B2C3" w14:textId="6E5B6DC4" w:rsidR="00CD180D" w:rsidRPr="006C158A" w:rsidRDefault="004B4123" w:rsidP="006C158A">
      <w:pPr>
        <w:spacing w:line="360" w:lineRule="auto"/>
        <w:jc w:val="both"/>
        <w:rPr>
          <w:b/>
          <w:bCs/>
          <w:lang w:val="en-US"/>
        </w:rPr>
      </w:pPr>
      <w:r w:rsidRPr="006C158A">
        <w:rPr>
          <w:b/>
          <w:bCs/>
          <w:lang w:val="en-US"/>
        </w:rPr>
        <w:lastRenderedPageBreak/>
        <w:t xml:space="preserve">List of references </w:t>
      </w:r>
    </w:p>
    <w:p w14:paraId="66FE628B" w14:textId="77777777" w:rsidR="004B4123" w:rsidRPr="006C158A" w:rsidRDefault="004B4123" w:rsidP="006945EB">
      <w:pPr>
        <w:spacing w:before="100" w:after="100" w:line="360" w:lineRule="auto"/>
        <w:jc w:val="both"/>
      </w:pPr>
      <w:r w:rsidRPr="006C158A">
        <w:t xml:space="preserve">Baidya, S., Connolly, C.J., Petersen, J.M., Baldwin, C., van den Berg, M.E.L., Harris, I. and Lewis, L.K. (2024) ‘Barriers and facilitators to physical activity among older adults in residential aged care facilities: A mixed methods systematic review using the social ecological model’, </w:t>
      </w:r>
      <w:r w:rsidRPr="006C158A">
        <w:rPr>
          <w:i/>
          <w:iCs/>
        </w:rPr>
        <w:t>Journal of Applied Gerontology,</w:t>
      </w:r>
      <w:r w:rsidRPr="006C158A">
        <w:t xml:space="preserve"> Online first. </w:t>
      </w:r>
      <w:hyperlink r:id="rId11" w:history="1">
        <w:r w:rsidRPr="006C158A">
          <w:rPr>
            <w:u w:val="single"/>
          </w:rPr>
          <w:t>https://doi.org/10.1177/08982643241302209</w:t>
        </w:r>
      </w:hyperlink>
      <w:r w:rsidRPr="006C158A">
        <w:t xml:space="preserve"> </w:t>
      </w:r>
    </w:p>
    <w:p w14:paraId="48176EFF" w14:textId="77777777" w:rsidR="004B4123" w:rsidRPr="006C158A" w:rsidRDefault="004B4123" w:rsidP="006945EB">
      <w:pPr>
        <w:spacing w:before="100" w:after="100" w:line="360" w:lineRule="auto"/>
        <w:jc w:val="both"/>
      </w:pPr>
      <w:r w:rsidRPr="006C158A">
        <w:t xml:space="preserve">Hagger, M.S. and Hamilton, K. (2024) ‘Longitudinal tests of the theory of planned behaviour: A meta-analysis’, </w:t>
      </w:r>
      <w:r w:rsidRPr="006C158A">
        <w:rPr>
          <w:i/>
          <w:iCs/>
        </w:rPr>
        <w:t>European Review of Social Psychology,</w:t>
      </w:r>
      <w:r w:rsidRPr="006C158A">
        <w:t xml:space="preserve"> 35(1), pp. 198–254. </w:t>
      </w:r>
      <w:hyperlink r:id="rId12" w:history="1">
        <w:r w:rsidRPr="006C158A">
          <w:rPr>
            <w:u w:val="single"/>
          </w:rPr>
          <w:t>https://doi.org/10.1080/10463283.2023.2225897</w:t>
        </w:r>
      </w:hyperlink>
      <w:r w:rsidRPr="006C158A">
        <w:t xml:space="preserve"> </w:t>
      </w:r>
    </w:p>
    <w:p w14:paraId="460A1A2F" w14:textId="77777777" w:rsidR="004B4123" w:rsidRPr="006C158A" w:rsidRDefault="004B4123" w:rsidP="006945EB">
      <w:pPr>
        <w:spacing w:before="100" w:after="100" w:line="360" w:lineRule="auto"/>
        <w:jc w:val="both"/>
      </w:pPr>
      <w:r w:rsidRPr="006C158A">
        <w:t xml:space="preserve">Paul, B., Kirubakaran, R., Isaac, R., Dozier, M., Grant, L., Weller, D. and RESPIRE Collaboration (2023) ‘A systematic review of the theory of planned behaviour interventions for chronic diseases in low health-literacy settings’, </w:t>
      </w:r>
      <w:r w:rsidRPr="006C158A">
        <w:rPr>
          <w:i/>
          <w:iCs/>
        </w:rPr>
        <w:t>Journal of Global Health,</w:t>
      </w:r>
      <w:r w:rsidRPr="006C158A">
        <w:t xml:space="preserve"> 13, p. 04079. </w:t>
      </w:r>
      <w:hyperlink r:id="rId13" w:history="1">
        <w:r w:rsidRPr="006C158A">
          <w:rPr>
            <w:u w:val="single"/>
          </w:rPr>
          <w:t>https://doi.org/10.7189/jogh.13.04079</w:t>
        </w:r>
      </w:hyperlink>
      <w:r w:rsidRPr="006C158A">
        <w:t xml:space="preserve"> </w:t>
      </w:r>
    </w:p>
    <w:p w14:paraId="0C9B45FC" w14:textId="77777777" w:rsidR="004B4123" w:rsidRPr="006C158A" w:rsidRDefault="004B4123" w:rsidP="006945EB">
      <w:pPr>
        <w:spacing w:before="100" w:after="100" w:line="360" w:lineRule="auto"/>
        <w:jc w:val="both"/>
      </w:pPr>
      <w:r w:rsidRPr="006C158A">
        <w:t xml:space="preserve">Remm, S., Halcomb, E., Hatcher, D., Frost, S.A. and Peters, K. (2023) ‘Understanding relationships between general self-efficacy and the healthy ageing of older people: An integrative review’, </w:t>
      </w:r>
      <w:r w:rsidRPr="006C158A">
        <w:rPr>
          <w:i/>
          <w:iCs/>
        </w:rPr>
        <w:t>Journal of Clinical Nursing,</w:t>
      </w:r>
      <w:r w:rsidRPr="006C158A">
        <w:t xml:space="preserve"> 32(9–10), pp. 1587–1598. </w:t>
      </w:r>
      <w:hyperlink r:id="rId14" w:history="1">
        <w:r w:rsidRPr="006C158A">
          <w:rPr>
            <w:u w:val="single"/>
          </w:rPr>
          <w:t>https://doi.org/10.1111/jocn.16104</w:t>
        </w:r>
      </w:hyperlink>
      <w:r w:rsidRPr="006C158A">
        <w:t xml:space="preserve"> </w:t>
      </w:r>
    </w:p>
    <w:p w14:paraId="3BD87DE8" w14:textId="1F864ADC" w:rsidR="004B4123" w:rsidRPr="006C158A" w:rsidRDefault="004B4123" w:rsidP="006945EB">
      <w:pPr>
        <w:spacing w:before="100" w:after="100" w:line="360" w:lineRule="auto"/>
        <w:jc w:val="both"/>
      </w:pPr>
      <w:r w:rsidRPr="006C158A">
        <w:t xml:space="preserve">Stehr, P., Rossmann, C., Kremer, T. and Geppert, J. (2021) ‘Determinants of physical activity in older adults: Integrating self-concordance into the Theory of Planned </w:t>
      </w:r>
      <w:r w:rsidR="00355CEA">
        <w:t>Behaviour</w:t>
      </w:r>
      <w:r w:rsidRPr="006C158A">
        <w:t xml:space="preserve">’, </w:t>
      </w:r>
      <w:r w:rsidRPr="006C158A">
        <w:rPr>
          <w:i/>
          <w:iCs/>
        </w:rPr>
        <w:t>International Journal of Environmental Research and Public Health,</w:t>
      </w:r>
      <w:r w:rsidRPr="006C158A">
        <w:t xml:space="preserve"> 18(11), p. 5759. </w:t>
      </w:r>
      <w:hyperlink r:id="rId15" w:history="1">
        <w:r w:rsidRPr="006C158A">
          <w:rPr>
            <w:u w:val="single"/>
          </w:rPr>
          <w:t>https://doi.org/10.3390/ijerph18115759</w:t>
        </w:r>
      </w:hyperlink>
      <w:r w:rsidRPr="006C158A">
        <w:t xml:space="preserve"> </w:t>
      </w:r>
    </w:p>
    <w:p w14:paraId="7B63114F" w14:textId="1D796E56" w:rsidR="004B4123" w:rsidRPr="006C158A" w:rsidRDefault="004B4123" w:rsidP="006945EB">
      <w:pPr>
        <w:spacing w:before="100" w:after="100" w:line="360" w:lineRule="auto"/>
        <w:jc w:val="both"/>
      </w:pPr>
      <w:r w:rsidRPr="006C158A">
        <w:t xml:space="preserve">Steward, A. and Hasche, L. (2022) ‘Exploring lifestyle activities to reduce </w:t>
      </w:r>
      <w:r w:rsidR="00355CEA">
        <w:t>internalised</w:t>
      </w:r>
      <w:r w:rsidRPr="006C158A">
        <w:t xml:space="preserve"> ageism: self-efficacy as a mediator between exercise, volunteering, computer use, and self-perceptions of </w:t>
      </w:r>
      <w:r w:rsidR="00355CEA">
        <w:t>ageing</w:t>
      </w:r>
      <w:r w:rsidRPr="006C158A">
        <w:t xml:space="preserve">’, </w:t>
      </w:r>
      <w:r w:rsidRPr="006C158A">
        <w:rPr>
          <w:i/>
          <w:iCs/>
        </w:rPr>
        <w:t>The Gerontologist,</w:t>
      </w:r>
      <w:r w:rsidRPr="006C158A">
        <w:t xml:space="preserve"> 62(3), pp. 382–392. </w:t>
      </w:r>
      <w:hyperlink r:id="rId16" w:history="1">
        <w:r w:rsidRPr="006C158A">
          <w:rPr>
            <w:u w:val="single"/>
          </w:rPr>
          <w:t>https://doi.org/10.1177/00914150211024175</w:t>
        </w:r>
      </w:hyperlink>
      <w:r w:rsidRPr="006C158A">
        <w:t xml:space="preserve"> </w:t>
      </w:r>
    </w:p>
    <w:p w14:paraId="229BF059" w14:textId="77777777" w:rsidR="004B4123" w:rsidRPr="006C158A" w:rsidRDefault="004B4123" w:rsidP="006945EB">
      <w:pPr>
        <w:spacing w:before="100" w:after="100" w:line="360" w:lineRule="auto"/>
        <w:jc w:val="both"/>
      </w:pPr>
      <w:r w:rsidRPr="006C158A">
        <w:t xml:space="preserve">Wylie, G., Torrens, C., Campbell, P., Frost, H., Gordon, A.L., Menz, H., Skelton, D.A., Cawthon, P., Hagen, S., Morris, J. and Witham, M.D. (2023) ‘Increasing physical activity levels in care homes for older people: a quantitative scoping review of intervention studies to guide future research’, </w:t>
      </w:r>
      <w:r w:rsidRPr="006C158A">
        <w:rPr>
          <w:i/>
          <w:iCs/>
        </w:rPr>
        <w:t>Disability and Rehabilitation,</w:t>
      </w:r>
      <w:r w:rsidRPr="006C158A">
        <w:t xml:space="preserve"> 45(14), pp. 2243–2254. </w:t>
      </w:r>
      <w:hyperlink r:id="rId17" w:history="1">
        <w:r w:rsidRPr="006C158A">
          <w:rPr>
            <w:u w:val="single"/>
          </w:rPr>
          <w:t>https://doi.org/10.1080/09638288.2022.2118869</w:t>
        </w:r>
      </w:hyperlink>
      <w:r w:rsidRPr="006C158A">
        <w:t xml:space="preserve"> </w:t>
      </w:r>
    </w:p>
    <w:p w14:paraId="5360487E" w14:textId="77777777" w:rsidR="004B4123" w:rsidRPr="006C158A" w:rsidRDefault="004B4123" w:rsidP="006945EB">
      <w:pPr>
        <w:spacing w:before="100" w:after="100" w:line="360" w:lineRule="auto"/>
        <w:jc w:val="both"/>
      </w:pPr>
      <w:r w:rsidRPr="006C158A">
        <w:t xml:space="preserve">Yang, M.C., Singh, G. and Sakakibara, B.M. (2024) ‘Social cognitive predictors of health promotion self-efficacy among older adults during the COVID-19 pandemic’, </w:t>
      </w:r>
      <w:r w:rsidRPr="006C158A">
        <w:rPr>
          <w:i/>
          <w:iCs/>
        </w:rPr>
        <w:t>American Journal of Health Promotion,</w:t>
      </w:r>
      <w:r w:rsidRPr="006C158A">
        <w:t xml:space="preserve"> 38(8), pp. 1147–1152.</w:t>
      </w:r>
      <w:r w:rsidRPr="006C158A">
        <w:rPr>
          <w:lang w:val="en-US"/>
        </w:rPr>
        <w:t xml:space="preserve"> </w:t>
      </w:r>
      <w:hyperlink r:id="rId18" w:history="1">
        <w:r w:rsidRPr="006C158A">
          <w:rPr>
            <w:u w:val="single"/>
          </w:rPr>
          <w:t>https://doi.org/10.1177/08901171241256703</w:t>
        </w:r>
      </w:hyperlink>
      <w:r w:rsidRPr="006C158A">
        <w:t xml:space="preserve"> </w:t>
      </w:r>
    </w:p>
    <w:p w14:paraId="2FC9F286" w14:textId="77777777" w:rsidR="004B4123" w:rsidRPr="006C158A" w:rsidRDefault="004B4123" w:rsidP="006C158A">
      <w:pPr>
        <w:spacing w:before="40" w:after="40" w:line="360" w:lineRule="auto"/>
        <w:jc w:val="both"/>
      </w:pPr>
    </w:p>
    <w:p w14:paraId="0CC46FB6" w14:textId="79ACD819" w:rsidR="004B4123" w:rsidRPr="006C158A" w:rsidRDefault="004B4123" w:rsidP="006C158A">
      <w:pPr>
        <w:spacing w:line="360" w:lineRule="auto"/>
        <w:jc w:val="both"/>
        <w:rPr>
          <w:b/>
          <w:bCs/>
          <w:lang w:val="en-US"/>
        </w:rPr>
      </w:pPr>
    </w:p>
    <w:sectPr w:rsidR="004B4123" w:rsidRPr="006C158A">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437A3" w14:textId="77777777" w:rsidR="00462A9B" w:rsidRDefault="00462A9B" w:rsidP="006945EB">
      <w:r>
        <w:separator/>
      </w:r>
    </w:p>
  </w:endnote>
  <w:endnote w:type="continuationSeparator" w:id="0">
    <w:p w14:paraId="7934E7F9" w14:textId="77777777" w:rsidR="00462A9B" w:rsidRDefault="00462A9B" w:rsidP="00694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02079"/>
      <w:docPartObj>
        <w:docPartGallery w:val="Page Numbers (Bottom of Page)"/>
        <w:docPartUnique/>
      </w:docPartObj>
    </w:sdtPr>
    <w:sdtContent>
      <w:sdt>
        <w:sdtPr>
          <w:id w:val="-1705238520"/>
          <w:docPartObj>
            <w:docPartGallery w:val="Page Numbers (Top of Page)"/>
            <w:docPartUnique/>
          </w:docPartObj>
        </w:sdtPr>
        <w:sdtContent>
          <w:p w14:paraId="32068FAB" w14:textId="252E4A03" w:rsidR="006945EB" w:rsidRDefault="006945EB">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A77AA86" w14:textId="77777777" w:rsidR="006945EB" w:rsidRDefault="00694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B444E" w14:textId="77777777" w:rsidR="00462A9B" w:rsidRDefault="00462A9B" w:rsidP="006945EB">
      <w:r>
        <w:separator/>
      </w:r>
    </w:p>
  </w:footnote>
  <w:footnote w:type="continuationSeparator" w:id="0">
    <w:p w14:paraId="0EADD7D5" w14:textId="77777777" w:rsidR="00462A9B" w:rsidRDefault="00462A9B" w:rsidP="006945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2C25"/>
    <w:multiLevelType w:val="hybridMultilevel"/>
    <w:tmpl w:val="5510DB50"/>
    <w:lvl w:ilvl="0" w:tplc="60FCF792">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021933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B15"/>
    <w:rsid w:val="00355CEA"/>
    <w:rsid w:val="00396B32"/>
    <w:rsid w:val="00462A9B"/>
    <w:rsid w:val="004B4123"/>
    <w:rsid w:val="00666549"/>
    <w:rsid w:val="00684423"/>
    <w:rsid w:val="006945EB"/>
    <w:rsid w:val="006C158A"/>
    <w:rsid w:val="006E0673"/>
    <w:rsid w:val="006F2B15"/>
    <w:rsid w:val="008303E5"/>
    <w:rsid w:val="00875E77"/>
    <w:rsid w:val="008813DE"/>
    <w:rsid w:val="00886FE0"/>
    <w:rsid w:val="00904E11"/>
    <w:rsid w:val="00A0353A"/>
    <w:rsid w:val="00A047D4"/>
    <w:rsid w:val="00CD180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BA974"/>
  <w15:chartTrackingRefBased/>
  <w15:docId w15:val="{20C3A354-F7F9-4842-89FE-2D508286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B15"/>
    <w:pPr>
      <w:spacing w:after="0" w:line="240" w:lineRule="auto"/>
    </w:pPr>
    <w:rPr>
      <w:rFonts w:ascii="Arial" w:eastAsia="Arial" w:hAnsi="Arial" w:cs="Arial"/>
      <w:lang w:eastAsia="en-KE"/>
    </w:rPr>
  </w:style>
  <w:style w:type="paragraph" w:styleId="Heading1">
    <w:name w:val="heading 1"/>
    <w:link w:val="Heading1Char"/>
    <w:uiPriority w:val="9"/>
    <w:qFormat/>
    <w:rsid w:val="006F2B15"/>
    <w:pPr>
      <w:spacing w:before="360" w:after="180" w:line="240" w:lineRule="auto"/>
      <w:outlineLvl w:val="0"/>
    </w:pPr>
    <w:rPr>
      <w:rFonts w:ascii="Arial" w:eastAsia="Arial" w:hAnsi="Arial" w:cs="Arial"/>
      <w:b/>
      <w:bCs/>
      <w:color w:val="1F3864"/>
      <w:sz w:val="28"/>
      <w:szCs w:val="28"/>
      <w:lang w:eastAsia="en-KE"/>
    </w:rPr>
  </w:style>
  <w:style w:type="paragraph" w:styleId="Heading2">
    <w:name w:val="heading 2"/>
    <w:link w:val="Heading2Char"/>
    <w:uiPriority w:val="9"/>
    <w:unhideWhenUsed/>
    <w:qFormat/>
    <w:rsid w:val="006F2B15"/>
    <w:pPr>
      <w:spacing w:before="240" w:after="100" w:line="240" w:lineRule="auto"/>
      <w:outlineLvl w:val="1"/>
    </w:pPr>
    <w:rPr>
      <w:rFonts w:ascii="Arial" w:eastAsia="Arial" w:hAnsi="Arial" w:cs="Arial"/>
      <w:b/>
      <w:bCs/>
      <w:color w:val="2E5090"/>
      <w:sz w:val="24"/>
      <w:szCs w:val="24"/>
      <w:lang w:eastAsia="en-K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B15"/>
    <w:rPr>
      <w:rFonts w:ascii="Arial" w:eastAsia="Arial" w:hAnsi="Arial" w:cs="Arial"/>
      <w:b/>
      <w:bCs/>
      <w:color w:val="1F3864"/>
      <w:sz w:val="28"/>
      <w:szCs w:val="28"/>
      <w:lang w:val="en-KE" w:eastAsia="en-KE"/>
    </w:rPr>
  </w:style>
  <w:style w:type="character" w:customStyle="1" w:styleId="Heading2Char">
    <w:name w:val="Heading 2 Char"/>
    <w:basedOn w:val="DefaultParagraphFont"/>
    <w:link w:val="Heading2"/>
    <w:uiPriority w:val="9"/>
    <w:rsid w:val="006F2B15"/>
    <w:rPr>
      <w:rFonts w:ascii="Arial" w:eastAsia="Arial" w:hAnsi="Arial" w:cs="Arial"/>
      <w:b/>
      <w:bCs/>
      <w:color w:val="2E5090"/>
      <w:sz w:val="24"/>
      <w:szCs w:val="24"/>
      <w:lang w:val="en-KE" w:eastAsia="en-KE"/>
    </w:rPr>
  </w:style>
  <w:style w:type="character" w:styleId="Hyperlink">
    <w:name w:val="Hyperlink"/>
    <w:uiPriority w:val="99"/>
    <w:unhideWhenUsed/>
    <w:rsid w:val="006F2B15"/>
    <w:rPr>
      <w:color w:val="0563C1"/>
      <w:u w:val="single"/>
    </w:rPr>
  </w:style>
  <w:style w:type="paragraph" w:styleId="ListParagraph">
    <w:name w:val="List Paragraph"/>
    <w:basedOn w:val="Normal"/>
    <w:uiPriority w:val="34"/>
    <w:qFormat/>
    <w:rsid w:val="004B4123"/>
    <w:pPr>
      <w:ind w:left="720"/>
      <w:contextualSpacing/>
    </w:pPr>
  </w:style>
  <w:style w:type="paragraph" w:styleId="Header">
    <w:name w:val="header"/>
    <w:basedOn w:val="Normal"/>
    <w:link w:val="HeaderChar"/>
    <w:uiPriority w:val="99"/>
    <w:unhideWhenUsed/>
    <w:rsid w:val="006945EB"/>
    <w:pPr>
      <w:tabs>
        <w:tab w:val="center" w:pos="4513"/>
        <w:tab w:val="right" w:pos="9026"/>
      </w:tabs>
    </w:pPr>
  </w:style>
  <w:style w:type="character" w:customStyle="1" w:styleId="HeaderChar">
    <w:name w:val="Header Char"/>
    <w:basedOn w:val="DefaultParagraphFont"/>
    <w:link w:val="Header"/>
    <w:uiPriority w:val="99"/>
    <w:rsid w:val="006945EB"/>
    <w:rPr>
      <w:rFonts w:ascii="Arial" w:eastAsia="Arial" w:hAnsi="Arial" w:cs="Arial"/>
      <w:lang w:eastAsia="en-KE"/>
    </w:rPr>
  </w:style>
  <w:style w:type="paragraph" w:styleId="Footer">
    <w:name w:val="footer"/>
    <w:basedOn w:val="Normal"/>
    <w:link w:val="FooterChar"/>
    <w:uiPriority w:val="99"/>
    <w:unhideWhenUsed/>
    <w:rsid w:val="006945EB"/>
    <w:pPr>
      <w:tabs>
        <w:tab w:val="center" w:pos="4513"/>
        <w:tab w:val="right" w:pos="9026"/>
      </w:tabs>
    </w:pPr>
  </w:style>
  <w:style w:type="character" w:customStyle="1" w:styleId="FooterChar">
    <w:name w:val="Footer Char"/>
    <w:basedOn w:val="DefaultParagraphFont"/>
    <w:link w:val="Footer"/>
    <w:uiPriority w:val="99"/>
    <w:rsid w:val="006945EB"/>
    <w:rPr>
      <w:rFonts w:ascii="Arial" w:eastAsia="Arial" w:hAnsi="Arial" w:cs="Arial"/>
      <w:lang w:eastAsia="en-K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914150211024175" TargetMode="External"/><Relationship Id="rId13" Type="http://schemas.openxmlformats.org/officeDocument/2006/relationships/hyperlink" Target="https://doi.org/10.7189/jogh.13.04079" TargetMode="External"/><Relationship Id="rId18" Type="http://schemas.openxmlformats.org/officeDocument/2006/relationships/hyperlink" Target="https://doi.org/10.1177/0890117124125670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177/08901171241256703" TargetMode="External"/><Relationship Id="rId12" Type="http://schemas.openxmlformats.org/officeDocument/2006/relationships/hyperlink" Target="https://doi.org/10.1080/10463283.2023.2225897" TargetMode="External"/><Relationship Id="rId17" Type="http://schemas.openxmlformats.org/officeDocument/2006/relationships/hyperlink" Target="https://doi.org/10.1080/09638288.2022.2118869" TargetMode="External"/><Relationship Id="rId2" Type="http://schemas.openxmlformats.org/officeDocument/2006/relationships/styles" Target="styles.xml"/><Relationship Id="rId16" Type="http://schemas.openxmlformats.org/officeDocument/2006/relationships/hyperlink" Target="https://doi.org/10.1177/0091415021102417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8982643241302209" TargetMode="External"/><Relationship Id="rId5" Type="http://schemas.openxmlformats.org/officeDocument/2006/relationships/footnotes" Target="footnotes.xml"/><Relationship Id="rId15" Type="http://schemas.openxmlformats.org/officeDocument/2006/relationships/hyperlink" Target="https://doi.org/10.3390/ijerph18115759" TargetMode="External"/><Relationship Id="rId10" Type="http://schemas.openxmlformats.org/officeDocument/2006/relationships/hyperlink" Target="https://doi.org/10.7189/jogh.13.04079"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80/10463283.2023.2225897" TargetMode="External"/><Relationship Id="rId14" Type="http://schemas.openxmlformats.org/officeDocument/2006/relationships/hyperlink" Target="https://doi.org/10.1111/jocn.16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2206</Words>
  <Characters>12576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2026-03-23T22:22:00Z</dcterms:created>
  <dcterms:modified xsi:type="dcterms:W3CDTF">2026-03-23T22:22:00Z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7bf598e3-d113-46e1-8688-7a17b7862fc2</vt:lpwstr>
  </property>
</Properties>
</file>