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3876" w:rsidRPr="00253876" w:rsidRDefault="00253876" w:rsidP="00253876">
      <w:pPr>
        <w:jc w:val="center"/>
        <w:rPr>
          <w:sz w:val="24"/>
        </w:rPr>
      </w:pPr>
      <w:r w:rsidRPr="00253876">
        <w:rPr>
          <w:i/>
          <w:sz w:val="24"/>
        </w:rPr>
        <w:t>Can we attribute the birth of Medieval Europe to Charlemagne?</w:t>
      </w:r>
    </w:p>
    <w:p w:rsidR="00BE3783" w:rsidRDefault="009B5450">
      <w:r>
        <w:t xml:space="preserve">To say that the birth of medieval Europe can be attributed to Charlemagne </w:t>
      </w:r>
      <w:r w:rsidR="00961E5C">
        <w:t>is largely problematic in itself</w:t>
      </w:r>
      <w:r w:rsidR="00E940B4">
        <w:t>,</w:t>
      </w:r>
      <w:r w:rsidR="00B5177B">
        <w:t xml:space="preserve"> </w:t>
      </w:r>
      <w:r w:rsidR="00961E5C">
        <w:t>due to the</w:t>
      </w:r>
      <w:r w:rsidR="00B5177B">
        <w:t xml:space="preserve"> fact that there are other contributing factors which aided in the development of Europe as we recognise it today.</w:t>
      </w:r>
      <w:r w:rsidR="008E47AB">
        <w:t xml:space="preserve"> These</w:t>
      </w:r>
      <w:r w:rsidR="0028224C">
        <w:t xml:space="preserve"> factors </w:t>
      </w:r>
      <w:r w:rsidR="00E940B4">
        <w:t xml:space="preserve">include </w:t>
      </w:r>
      <w:r w:rsidR="00B5789D">
        <w:t xml:space="preserve">Charlemagne’s father and grandfather, also known as </w:t>
      </w:r>
      <w:r w:rsidR="00B5789D" w:rsidRPr="00127DAA">
        <w:t xml:space="preserve">Charles </w:t>
      </w:r>
      <w:r w:rsidR="00E940B4">
        <w:t xml:space="preserve">Martel </w:t>
      </w:r>
      <w:r w:rsidR="00174521" w:rsidRPr="00127DAA">
        <w:t>and Pippin I</w:t>
      </w:r>
      <w:r w:rsidR="00E940B4">
        <w:t>I</w:t>
      </w:r>
      <w:r w:rsidR="00174521" w:rsidRPr="00127DAA">
        <w:t>I</w:t>
      </w:r>
      <w:r w:rsidR="00B5789D" w:rsidRPr="006F2CAE">
        <w:rPr>
          <w:b/>
        </w:rPr>
        <w:t>.</w:t>
      </w:r>
      <w:r w:rsidR="006F2CAE">
        <w:rPr>
          <w:b/>
        </w:rPr>
        <w:t xml:space="preserve"> </w:t>
      </w:r>
      <w:r w:rsidR="009840CB">
        <w:t>In addition to thi</w:t>
      </w:r>
      <w:r w:rsidR="00394CAE">
        <w:t xml:space="preserve">s, it must also be noted that with the long term development of </w:t>
      </w:r>
      <w:r w:rsidR="009840CB">
        <w:t xml:space="preserve">medieval Europe, the effect of papal influence cannot be ignored as </w:t>
      </w:r>
      <w:r w:rsidR="009840CB" w:rsidRPr="00127DAA">
        <w:t>Christianity</w:t>
      </w:r>
      <w:r w:rsidR="009840CB">
        <w:t xml:space="preserve"> played a key role in</w:t>
      </w:r>
      <w:r w:rsidR="002F29D6">
        <w:t xml:space="preserve"> surrendering people under one influence</w:t>
      </w:r>
      <w:r w:rsidR="00792699">
        <w:t xml:space="preserve"> and with that, </w:t>
      </w:r>
      <w:r w:rsidR="00081F62">
        <w:t xml:space="preserve">the role of </w:t>
      </w:r>
      <w:r w:rsidR="00D471DF">
        <w:t>the popes due to their position in society</w:t>
      </w:r>
      <w:r w:rsidR="00081F62">
        <w:t>.</w:t>
      </w:r>
      <w:r w:rsidR="0016472F">
        <w:t xml:space="preserve"> With all this in mind, it can be said th</w:t>
      </w:r>
      <w:bookmarkStart w:id="0" w:name="_GoBack"/>
      <w:bookmarkEnd w:id="0"/>
      <w:r w:rsidR="0016472F">
        <w:t xml:space="preserve">at although Charlemagne is credited with establishing medieval Europe, it was his father and grandfather who began and continued the expansion. Therefore, it was Charles Martel and </w:t>
      </w:r>
      <w:r w:rsidR="0016472F" w:rsidRPr="00127DAA">
        <w:t>Pippin III</w:t>
      </w:r>
      <w:r w:rsidR="0016472F">
        <w:t xml:space="preserve"> who instigated the development of Medieval Europe, however it was Charlemagne who solidified it.</w:t>
      </w:r>
    </w:p>
    <w:p w:rsidR="009D017E" w:rsidRDefault="002104BF">
      <w:r>
        <w:t>To begin with, w</w:t>
      </w:r>
      <w:r w:rsidR="00E940B4">
        <w:t>hat constitutes Medieval Europe is an important matter of discussion</w:t>
      </w:r>
      <w:r>
        <w:t xml:space="preserve"> so that how it was shaped and wh</w:t>
      </w:r>
      <w:r w:rsidR="008B7DA8">
        <w:t>o was responsible for its development</w:t>
      </w:r>
      <w:r w:rsidR="00E940B4">
        <w:t xml:space="preserve"> can be recognised</w:t>
      </w:r>
      <w:r>
        <w:t xml:space="preserve">. </w:t>
      </w:r>
      <w:r w:rsidR="00251E31">
        <w:t>Hollister remarks that d</w:t>
      </w:r>
      <w:r w:rsidR="008C27DB">
        <w:t>uring the three centuries following the end of the Roman imperial line in the West in A.D. 476, the Mediterranean world underwent a profound transformation</w:t>
      </w:r>
      <w:r w:rsidR="00251E31">
        <w:rPr>
          <w:rStyle w:val="FootnoteReference"/>
        </w:rPr>
        <w:footnoteReference w:id="1"/>
      </w:r>
      <w:r w:rsidR="008C27DB">
        <w:t xml:space="preserve">. </w:t>
      </w:r>
      <w:r w:rsidR="00251E31">
        <w:t xml:space="preserve">This transformation signifies the beginning of the end of the Roman Empire and the beginning of a new era, </w:t>
      </w:r>
      <w:r w:rsidR="00E940B4">
        <w:t>specifically the medieval world;</w:t>
      </w:r>
      <w:r w:rsidR="00251E31">
        <w:t xml:space="preserve"> w</w:t>
      </w:r>
      <w:r w:rsidR="008C27DB">
        <w:t>here once a single state had encompassed the far-flung lands of the Mediterranean basin, now three distinct civilisations were established on the ruins of the old Empire</w:t>
      </w:r>
      <w:r w:rsidR="00251E31">
        <w:rPr>
          <w:rStyle w:val="FootnoteReference"/>
        </w:rPr>
        <w:footnoteReference w:id="2"/>
      </w:r>
      <w:r w:rsidR="008C27DB">
        <w:t>. These three – Byzantium, Western Europe, and Islam – differed sharply from one another in style and outlook</w:t>
      </w:r>
      <w:r w:rsidR="00264404">
        <w:t xml:space="preserve"> as</w:t>
      </w:r>
      <w:r w:rsidR="008C27DB">
        <w:t xml:space="preserve"> all had broken appreciably from the traditions of Old Rome</w:t>
      </w:r>
      <w:r w:rsidR="00264404">
        <w:rPr>
          <w:rStyle w:val="FootnoteReference"/>
        </w:rPr>
        <w:footnoteReference w:id="3"/>
      </w:r>
      <w:r w:rsidR="00264404">
        <w:t xml:space="preserve"> due to its decline, however </w:t>
      </w:r>
      <w:r w:rsidR="008C27DB">
        <w:t>each</w:t>
      </w:r>
      <w:r w:rsidR="00264404">
        <w:t>, as Hollister continues to reason</w:t>
      </w:r>
      <w:r w:rsidR="008C27DB">
        <w:t>, was a product of the Greco-Roman past</w:t>
      </w:r>
      <w:r w:rsidR="00264404">
        <w:rPr>
          <w:rStyle w:val="FootnoteReference"/>
        </w:rPr>
        <w:footnoteReference w:id="4"/>
      </w:r>
      <w:r w:rsidR="008C27DB">
        <w:t>. Although no longer Roman, all were deeply indebted to the legacy of classical antiquity</w:t>
      </w:r>
      <w:r w:rsidR="00A36FAA">
        <w:rPr>
          <w:rStyle w:val="FootnoteReference"/>
        </w:rPr>
        <w:footnoteReference w:id="5"/>
      </w:r>
      <w:r w:rsidR="008C27DB">
        <w:t>.</w:t>
      </w:r>
      <w:r w:rsidR="00F307B0">
        <w:t xml:space="preserve"> With this in mind it can be observed that the transformation of Europe began after the decline of the Roman Empire, however it was a gradual process and despite this, it still retained much of its influence as it carried through into the Middle Ages</w:t>
      </w:r>
      <w:r w:rsidR="00264404">
        <w:t>. Most</w:t>
      </w:r>
      <w:r w:rsidR="00F307B0">
        <w:t xml:space="preserve"> notably</w:t>
      </w:r>
      <w:r w:rsidR="00264404">
        <w:t>,</w:t>
      </w:r>
      <w:r w:rsidR="00F307B0">
        <w:t xml:space="preserve"> the rise of Christianity </w:t>
      </w:r>
      <w:r w:rsidR="006E4C31">
        <w:t>and its authority throughout the rise of medieval Europe</w:t>
      </w:r>
      <w:r w:rsidR="00264404">
        <w:t xml:space="preserve"> played a key role in the development of Europe as we know it today</w:t>
      </w:r>
      <w:r w:rsidR="006E4C31">
        <w:t>.</w:t>
      </w:r>
      <w:r w:rsidR="00D5118B">
        <w:t xml:space="preserve"> This statement is supported once more by Hollister who notes that M</w:t>
      </w:r>
      <w:r w:rsidR="009D017E">
        <w:t>edieval civilisation owed much to its Greco-Roman heritage, but it drew sustenance also from the Judaeo-Christian and t</w:t>
      </w:r>
      <w:r w:rsidR="00D5118B">
        <w:t>he Germanic cultural traditions</w:t>
      </w:r>
      <w:r w:rsidR="009D017E">
        <w:rPr>
          <w:rStyle w:val="FootnoteReference"/>
        </w:rPr>
        <w:footnoteReference w:id="6"/>
      </w:r>
      <w:r w:rsidR="00532F66">
        <w:t xml:space="preserve"> which is again supported by Hoyt and Chodorow, who note that the late Roman world was transformed as a result of institutional </w:t>
      </w:r>
      <w:r w:rsidR="003472CC">
        <w:t>and cultur</w:t>
      </w:r>
      <w:r w:rsidR="00532F66">
        <w:t>al changes in the empire and from interaction of Germans and Romans</w:t>
      </w:r>
      <w:r w:rsidR="00532F66">
        <w:rPr>
          <w:rStyle w:val="FootnoteReference"/>
        </w:rPr>
        <w:footnoteReference w:id="7"/>
      </w:r>
      <w:r w:rsidR="00D5118B">
        <w:t>.</w:t>
      </w:r>
      <w:r w:rsidR="00264404">
        <w:t xml:space="preserve"> </w:t>
      </w:r>
      <w:r w:rsidR="00E940B4">
        <w:t>However, d</w:t>
      </w:r>
      <w:r w:rsidR="008D1C7A">
        <w:t>rawing away from Christianity momentarily, it can be greatly argued that Medieval Europe can be explained through a geographical sense of its meaning</w:t>
      </w:r>
      <w:r w:rsidR="00E940B4">
        <w:t>, more specifically the geographical boundaries which were expanded during Charles Martel’s campaigns</w:t>
      </w:r>
      <w:r w:rsidR="008D1C7A">
        <w:t>.</w:t>
      </w:r>
    </w:p>
    <w:p w:rsidR="00BD02B9" w:rsidRDefault="006A57DB">
      <w:r>
        <w:t>Firstly it is important to observe the fact that Charles Martel’s diplomacy and warring played a</w:t>
      </w:r>
      <w:r w:rsidRPr="00701EC9">
        <w:rPr>
          <w:b/>
        </w:rPr>
        <w:t xml:space="preserve"> </w:t>
      </w:r>
      <w:r w:rsidRPr="00AD7C06">
        <w:t>huge and pivotal part in</w:t>
      </w:r>
      <w:r w:rsidR="00E940B4">
        <w:t xml:space="preserve"> the</w:t>
      </w:r>
      <w:r w:rsidRPr="00AD7C06">
        <w:t xml:space="preserve"> eighth century of the medieval world</w:t>
      </w:r>
      <w:r w:rsidR="00C13387">
        <w:t>,</w:t>
      </w:r>
      <w:r w:rsidR="0072310A" w:rsidRPr="00AD7C06">
        <w:t xml:space="preserve"> </w:t>
      </w:r>
      <w:r w:rsidR="0072310A">
        <w:t>and therefore can be attributed with the shaping of Medieval Europe</w:t>
      </w:r>
      <w:r>
        <w:t>.</w:t>
      </w:r>
      <w:r w:rsidR="00701EC9">
        <w:t xml:space="preserve"> It is a well-known fact that Martel’s military successes brought him great prestige and renown, as agreed by E. Peters</w:t>
      </w:r>
      <w:r w:rsidR="00C27F5C">
        <w:t xml:space="preserve"> who </w:t>
      </w:r>
      <w:r w:rsidR="001376F9">
        <w:t>recognises that t</w:t>
      </w:r>
      <w:r w:rsidR="00701EC9">
        <w:t xml:space="preserve">he Frankish army, as </w:t>
      </w:r>
      <w:r w:rsidR="00701EC9">
        <w:lastRenderedPageBreak/>
        <w:t>reorganised by Charles Martel, was the most successful offensive fighting force in the West</w:t>
      </w:r>
      <w:r w:rsidR="001376F9">
        <w:rPr>
          <w:rStyle w:val="FootnoteReference"/>
        </w:rPr>
        <w:footnoteReference w:id="8"/>
      </w:r>
      <w:r w:rsidR="00701EC9">
        <w:t xml:space="preserve">. </w:t>
      </w:r>
      <w:r w:rsidR="00C13387">
        <w:t>With</w:t>
      </w:r>
      <w:r w:rsidR="00701EC9">
        <w:t xml:space="preserve"> </w:t>
      </w:r>
      <w:r w:rsidR="00C13387">
        <w:t xml:space="preserve">its </w:t>
      </w:r>
      <w:r w:rsidR="00701EC9">
        <w:t xml:space="preserve">organisation and supply under the close observation of royal officials, its command in </w:t>
      </w:r>
      <w:r w:rsidR="00C13387">
        <w:t>the hands of the king, his sons</w:t>
      </w:r>
      <w:r w:rsidR="00701EC9">
        <w:t xml:space="preserve"> or proven war leaders, and its area of operations carefully considered, it was the single institution upon which the expansion of the kingdom depended</w:t>
      </w:r>
      <w:r w:rsidR="00633720">
        <w:rPr>
          <w:rStyle w:val="FootnoteReference"/>
        </w:rPr>
        <w:footnoteReference w:id="9"/>
      </w:r>
      <w:r w:rsidR="00633720">
        <w:t>.</w:t>
      </w:r>
      <w:r w:rsidR="00E74DA4">
        <w:t xml:space="preserve"> Consider</w:t>
      </w:r>
      <w:r w:rsidR="00C13387">
        <w:t xml:space="preserve">ing this statement, it can be </w:t>
      </w:r>
      <w:r w:rsidR="00E74DA4">
        <w:t>claimed that Martel was a figure who consolidated his power wisely and continued to spread this influence</w:t>
      </w:r>
      <w:r w:rsidR="00EE25C8">
        <w:t xml:space="preserve"> broadly. </w:t>
      </w:r>
      <w:r w:rsidR="004078C3">
        <w:t xml:space="preserve">To support this, D. Nichols also notes that </w:t>
      </w:r>
      <w:r w:rsidR="00701EC9">
        <w:t xml:space="preserve">Charles </w:t>
      </w:r>
      <w:r w:rsidR="004078C3">
        <w:t xml:space="preserve">(Martel) </w:t>
      </w:r>
      <w:r w:rsidR="00701EC9">
        <w:t>evidently considered his power base in the Frankish heartland secure after 719, for thereafter he devoted most of his considerable energies to the frontiers</w:t>
      </w:r>
      <w:r w:rsidR="004078C3">
        <w:rPr>
          <w:rStyle w:val="FootnoteReference"/>
        </w:rPr>
        <w:footnoteReference w:id="10"/>
      </w:r>
      <w:r w:rsidR="00BD02B9">
        <w:t>, also pushing the borders and continuing his father’s cultivation of Rome and missions as part of a general policy of extending his influence east of the Rhine</w:t>
      </w:r>
      <w:r w:rsidR="00BD02B9">
        <w:rPr>
          <w:rStyle w:val="FootnoteReference"/>
        </w:rPr>
        <w:footnoteReference w:id="11"/>
      </w:r>
      <w:r w:rsidR="00BD02B9">
        <w:t xml:space="preserve">. </w:t>
      </w:r>
      <w:r w:rsidR="005A113F">
        <w:t xml:space="preserve">This is clear evidence demonstrating </w:t>
      </w:r>
      <w:r w:rsidR="00C13387">
        <w:t xml:space="preserve">that </w:t>
      </w:r>
      <w:r w:rsidR="005A113F">
        <w:t>the intentions of Martel were to expand and consolidate sole power</w:t>
      </w:r>
      <w:r w:rsidR="0064073D">
        <w:t xml:space="preserve">, however </w:t>
      </w:r>
      <w:r w:rsidR="001862E9">
        <w:t>h</w:t>
      </w:r>
      <w:r w:rsidR="0064073D">
        <w:t>is real objective</w:t>
      </w:r>
      <w:r w:rsidR="00D309A0">
        <w:t xml:space="preserve"> </w:t>
      </w:r>
      <w:r w:rsidR="00C13387">
        <w:t xml:space="preserve">of the </w:t>
      </w:r>
      <w:r w:rsidR="00D309A0">
        <w:t xml:space="preserve">unification of the mainland </w:t>
      </w:r>
      <w:r w:rsidR="00C13387">
        <w:t xml:space="preserve">cannot be confirmed to have been </w:t>
      </w:r>
      <w:r w:rsidR="00AC1BE6">
        <w:t xml:space="preserve">his primary goal, which limits </w:t>
      </w:r>
      <w:r w:rsidR="00C13387">
        <w:t>his</w:t>
      </w:r>
      <w:r w:rsidR="00AC1BE6">
        <w:t xml:space="preserve"> </w:t>
      </w:r>
      <w:r w:rsidR="00F05C90" w:rsidRPr="00F05C90">
        <w:t>involvement</w:t>
      </w:r>
      <w:r w:rsidR="00764FE7">
        <w:t xml:space="preserve"> concerning the birth of medieval Europe.</w:t>
      </w:r>
    </w:p>
    <w:p w:rsidR="00A448E2" w:rsidRDefault="0073321C" w:rsidP="005726CE">
      <w:r>
        <w:t>Another factor that contribute</w:t>
      </w:r>
      <w:r w:rsidR="00F05C90">
        <w:t>d</w:t>
      </w:r>
      <w:r>
        <w:t xml:space="preserve"> </w:t>
      </w:r>
      <w:r w:rsidR="00F6487C">
        <w:t xml:space="preserve">to the </w:t>
      </w:r>
      <w:r w:rsidR="001D373F">
        <w:t xml:space="preserve">beginning of medieval Europe was Charles’s son Pippin III. </w:t>
      </w:r>
      <w:r w:rsidR="003C1A20">
        <w:t>After his brother retired to a monastery in Rome, it was not until three years later that an embassy was sent to Pope Zacharias to ask if it was just that he who held power should not have the title of ‘king’</w:t>
      </w:r>
      <w:r w:rsidR="003C1A20">
        <w:rPr>
          <w:rStyle w:val="FootnoteReference"/>
        </w:rPr>
        <w:footnoteReference w:id="12"/>
      </w:r>
      <w:r w:rsidR="003C1A20">
        <w:t xml:space="preserve">. </w:t>
      </w:r>
      <w:r w:rsidR="00964E33">
        <w:t>I</w:t>
      </w:r>
      <w:r w:rsidR="003C1A20">
        <w:t>n 751 Pippin III packed Childeric III, the last Merovingian king, into a monastery and had himself inaugurated king at Soissons</w:t>
      </w:r>
      <w:r w:rsidR="00964E33">
        <w:rPr>
          <w:rStyle w:val="FootnoteReference"/>
        </w:rPr>
        <w:footnoteReference w:id="13"/>
      </w:r>
      <w:r w:rsidR="003C1A20">
        <w:t>. This ceremony was the first in Francia to inco</w:t>
      </w:r>
      <w:r w:rsidR="00DA4D0D">
        <w:t>rporate anointing with holy oil</w:t>
      </w:r>
      <w:r w:rsidR="003C1A20">
        <w:t xml:space="preserve"> and perhaps the first in Europe to emphasize the act of crowning by a bishop</w:t>
      </w:r>
      <w:r w:rsidR="00DA4D0D">
        <w:rPr>
          <w:rStyle w:val="FootnoteReference"/>
        </w:rPr>
        <w:footnoteReference w:id="14"/>
      </w:r>
      <w:r w:rsidR="003C1A20">
        <w:t>. Pippin, now King Pippin I, wanted to take no chances that anyone would object to the legiti</w:t>
      </w:r>
      <w:r w:rsidR="00DA4D0D">
        <w:t>macy of his revolutionary move</w:t>
      </w:r>
      <w:r w:rsidR="00DA4D0D">
        <w:rPr>
          <w:rStyle w:val="FootnoteReference"/>
        </w:rPr>
        <w:footnoteReference w:id="15"/>
      </w:r>
      <w:r w:rsidR="00DA4D0D">
        <w:t xml:space="preserve">. The </w:t>
      </w:r>
      <w:r w:rsidR="0014082D">
        <w:t xml:space="preserve">significance of this </w:t>
      </w:r>
      <w:r w:rsidR="00E13644">
        <w:t xml:space="preserve">entire </w:t>
      </w:r>
      <w:r w:rsidR="0014082D">
        <w:t xml:space="preserve">movement </w:t>
      </w:r>
      <w:r w:rsidR="00CB458B">
        <w:t>should</w:t>
      </w:r>
      <w:r w:rsidR="0014082D">
        <w:t xml:space="preserve"> be recognised as </w:t>
      </w:r>
      <w:r w:rsidR="00CB458B">
        <w:t xml:space="preserve">highly </w:t>
      </w:r>
      <w:r w:rsidR="001B4F35">
        <w:t>momentous</w:t>
      </w:r>
      <w:r w:rsidR="00CB458B">
        <w:t xml:space="preserve"> as </w:t>
      </w:r>
      <w:r w:rsidR="00F05C90">
        <w:t>it wa</w:t>
      </w:r>
      <w:r w:rsidR="0014082D">
        <w:t xml:space="preserve">s the first step towards solidifying </w:t>
      </w:r>
      <w:r w:rsidR="00735D45">
        <w:t>a solitary rule through the authority of the papacy.</w:t>
      </w:r>
      <w:r w:rsidR="00CB458B">
        <w:t xml:space="preserve"> Furthermore, Holmes recognises that although </w:t>
      </w:r>
      <w:r w:rsidR="005A3981">
        <w:t>Charles Martel led several campaigns into Burgundy and Aquitaine</w:t>
      </w:r>
      <w:r w:rsidR="00F05C90">
        <w:t>,</w:t>
      </w:r>
      <w:r w:rsidR="00CB458B">
        <w:t xml:space="preserve"> it was his son</w:t>
      </w:r>
      <w:r w:rsidR="005A3981">
        <w:t xml:space="preserve"> Pippin III </w:t>
      </w:r>
      <w:r w:rsidR="00CB458B">
        <w:t xml:space="preserve">who </w:t>
      </w:r>
      <w:r w:rsidR="005A3981">
        <w:t xml:space="preserve">campaigned in Burgundy and Provence, and restored those provinces to his </w:t>
      </w:r>
      <w:r w:rsidR="00CB458B">
        <w:t>rule</w:t>
      </w:r>
      <w:r w:rsidR="00CB458B">
        <w:rPr>
          <w:rStyle w:val="FootnoteReference"/>
        </w:rPr>
        <w:footnoteReference w:id="16"/>
      </w:r>
      <w:r w:rsidR="00CB458B">
        <w:t xml:space="preserve">, further adding to the evidence that Pippin III expanded his father’s control to solidify the boundaries of countries under his </w:t>
      </w:r>
      <w:r w:rsidR="00F05C90">
        <w:t>authority,</w:t>
      </w:r>
      <w:r w:rsidR="00CB458B">
        <w:t xml:space="preserve"> and begin to shape Europe into the </w:t>
      </w:r>
      <w:r w:rsidR="00A56C01">
        <w:t>centralised power that we see today.</w:t>
      </w:r>
      <w:r w:rsidR="00E06CF8">
        <w:t xml:space="preserve"> Both Charles Martel and Pippin III </w:t>
      </w:r>
      <w:r w:rsidR="001548C5">
        <w:t>play</w:t>
      </w:r>
      <w:r w:rsidR="00F05C90">
        <w:t>ed</w:t>
      </w:r>
      <w:r w:rsidR="001548C5">
        <w:t xml:space="preserve"> key roles in expanding their </w:t>
      </w:r>
      <w:r w:rsidR="00F05C90">
        <w:t>command</w:t>
      </w:r>
      <w:r w:rsidR="001548C5">
        <w:t xml:space="preserve"> throughout their</w:t>
      </w:r>
      <w:r w:rsidR="00F05C90">
        <w:t xml:space="preserve"> conquered territories, re-imposing</w:t>
      </w:r>
      <w:r w:rsidR="001548C5">
        <w:t xml:space="preserve"> </w:t>
      </w:r>
      <w:r w:rsidR="00E06CF8">
        <w:t>a greater measure of centralised authority</w:t>
      </w:r>
      <w:r w:rsidR="001548C5">
        <w:rPr>
          <w:rStyle w:val="FootnoteReference"/>
        </w:rPr>
        <w:footnoteReference w:id="17"/>
      </w:r>
      <w:r w:rsidR="00674DD9">
        <w:t xml:space="preserve">. This again connotes the strong fortification of the boundaries in which Europe is forged into the recognisable </w:t>
      </w:r>
      <w:r w:rsidR="00392980">
        <w:t xml:space="preserve">landscape seen today. </w:t>
      </w:r>
      <w:r w:rsidR="00A448E2">
        <w:t>On the other hand, there is a limi</w:t>
      </w:r>
      <w:r w:rsidR="00F05C90">
        <w:t>tation to the idea that Pippin III had sole responsibility in</w:t>
      </w:r>
      <w:r w:rsidR="00A448E2">
        <w:t xml:space="preserve"> develop</w:t>
      </w:r>
      <w:r w:rsidR="00F05C90">
        <w:t>ing</w:t>
      </w:r>
      <w:r w:rsidR="00A448E2">
        <w:t xml:space="preserve"> medieval Europe, as </w:t>
      </w:r>
      <w:r w:rsidR="00361FAB">
        <w:t>t</w:t>
      </w:r>
      <w:r w:rsidR="00A448E2">
        <w:t>he latter part of his (Pippin</w:t>
      </w:r>
      <w:r w:rsidR="00F05C90">
        <w:t>’s</w:t>
      </w:r>
      <w:r w:rsidR="00A448E2">
        <w:t>) reign was principally devoted to checking the Saxons and trying to conquer Aquitaine</w:t>
      </w:r>
      <w:r w:rsidR="00361FAB">
        <w:rPr>
          <w:rStyle w:val="FootnoteReference"/>
        </w:rPr>
        <w:footnoteReference w:id="18"/>
      </w:r>
      <w:r w:rsidR="00361FAB">
        <w:t xml:space="preserve"> which drew him away from solidifying the borders of Europe. In addition to this</w:t>
      </w:r>
      <w:r w:rsidR="00F05C90">
        <w:t>,</w:t>
      </w:r>
      <w:r w:rsidR="00361FAB">
        <w:t xml:space="preserve"> t</w:t>
      </w:r>
      <w:r w:rsidR="005726CE">
        <w:t xml:space="preserve">he pope’s help in the coup of 751 </w:t>
      </w:r>
      <w:r w:rsidR="00361FAB">
        <w:t xml:space="preserve">to proclaim himself king </w:t>
      </w:r>
      <w:r w:rsidR="005726CE">
        <w:lastRenderedPageBreak/>
        <w:t>had a price</w:t>
      </w:r>
      <w:r w:rsidR="00361FAB">
        <w:rPr>
          <w:rStyle w:val="FootnoteReference"/>
        </w:rPr>
        <w:footnoteReference w:id="19"/>
      </w:r>
      <w:r w:rsidR="00F05C90">
        <w:t>,</w:t>
      </w:r>
      <w:r w:rsidR="002A14D0">
        <w:t xml:space="preserve"> which meant that </w:t>
      </w:r>
      <w:r w:rsidR="005726CE">
        <w:t>Pippin spent most of his reign in Italy fighting the pope’s enemies, the Lombards, which Charles Martel had refused to do</w:t>
      </w:r>
      <w:r w:rsidR="002A14D0">
        <w:t xml:space="preserve">. Because of this, Pippin’s </w:t>
      </w:r>
      <w:r w:rsidR="00137054">
        <w:t>achievements were not as extraordinary as Charlemagne’s since his attention and the majority of his fighting power was spent on the enemies of the pope rather than using them to achieve his own personal goals, whatever they may</w:t>
      </w:r>
      <w:r w:rsidR="00E34B15">
        <w:t xml:space="preserve"> have</w:t>
      </w:r>
      <w:r w:rsidR="00137054">
        <w:t xml:space="preserve"> be</w:t>
      </w:r>
      <w:r w:rsidR="00E34B15">
        <w:t>en</w:t>
      </w:r>
      <w:r w:rsidR="00137054">
        <w:t xml:space="preserve">. </w:t>
      </w:r>
    </w:p>
    <w:p w:rsidR="00E902AD" w:rsidRDefault="00392980" w:rsidP="001548C5">
      <w:r>
        <w:t>Although both</w:t>
      </w:r>
      <w:r w:rsidR="00E34B15">
        <w:t xml:space="preserve"> Charles Martel and Pippin III each have individual roles concerning the birth of medieval Europe</w:t>
      </w:r>
      <w:r w:rsidR="00873405">
        <w:t xml:space="preserve">, </w:t>
      </w:r>
      <w:r w:rsidR="00BA5AF1">
        <w:t xml:space="preserve">the solidifying role that Charlemagne </w:t>
      </w:r>
      <w:r w:rsidR="00430BBA">
        <w:t xml:space="preserve">played </w:t>
      </w:r>
      <w:r w:rsidR="00E34B15">
        <w:t>is arguable. It is contended</w:t>
      </w:r>
      <w:r w:rsidR="0073491D">
        <w:t xml:space="preserve"> that Charlemagne was only a </w:t>
      </w:r>
      <w:r w:rsidR="00E34B15">
        <w:t xml:space="preserve">singular </w:t>
      </w:r>
      <w:r w:rsidR="0073491D">
        <w:t xml:space="preserve">part in a large series of events and conquests instigated predominantly by his grandfather which led to the formation of medieval Europe, yet on the other hand it could be argued that </w:t>
      </w:r>
      <w:r w:rsidR="00E34B15">
        <w:t>Charlemagne</w:t>
      </w:r>
      <w:r w:rsidR="0073491D">
        <w:t xml:space="preserve"> can claim sole responsibility due to his much larger success in </w:t>
      </w:r>
      <w:r w:rsidR="00E34B15">
        <w:t xml:space="preserve">those </w:t>
      </w:r>
      <w:r w:rsidR="0073491D">
        <w:t>conquest</w:t>
      </w:r>
      <w:r w:rsidR="00E34B15">
        <w:t>s</w:t>
      </w:r>
      <w:r w:rsidR="0073491D">
        <w:t xml:space="preserve"> and his </w:t>
      </w:r>
      <w:r w:rsidR="00E34B15">
        <w:t xml:space="preserve">triumph in </w:t>
      </w:r>
      <w:r w:rsidR="0073491D">
        <w:t>solidifying the boundaries during his reign as the Holy Roman Emperor.</w:t>
      </w:r>
      <w:r w:rsidR="00BE3783">
        <w:t xml:space="preserve"> In the first half of the ninth century the Christian West and the Frankish empire had come close to being coterminous</w:t>
      </w:r>
      <w:r w:rsidR="00BE3783">
        <w:rPr>
          <w:rStyle w:val="FootnoteReference"/>
        </w:rPr>
        <w:footnoteReference w:id="20"/>
      </w:r>
      <w:r w:rsidR="007272C8">
        <w:t>, a fact that agrees with the argument that Charlemagne’s part in solidifying the boundaries of Europe</w:t>
      </w:r>
      <w:r w:rsidR="00EA4B12">
        <w:t xml:space="preserve"> and a</w:t>
      </w:r>
      <w:r w:rsidR="00BE3783">
        <w:t>part from the British Isles and the kingdom of Asturias, virtually no Latin Christians acknowledg</w:t>
      </w:r>
      <w:r w:rsidR="007272C8">
        <w:t xml:space="preserve">ed any overlord but Charlemagne </w:t>
      </w:r>
      <w:r w:rsidR="00BE3783">
        <w:t>and his son</w:t>
      </w:r>
      <w:r w:rsidR="007272C8">
        <w:rPr>
          <w:rStyle w:val="FootnoteReference"/>
        </w:rPr>
        <w:footnoteReference w:id="21"/>
      </w:r>
      <w:r w:rsidR="007272C8">
        <w:t xml:space="preserve">. </w:t>
      </w:r>
      <w:r w:rsidR="00D93806">
        <w:t>Unlike his father and grandfather, Charlemagne appears to have possessed a broad vision of his place as king, a vision in which his personal responsibility for rectifying church and kingdom looms particularly large, in which his sense of mission was directed primarily at the eradication of abuses and disorder and at the restoration of an ideal pattern of life on many levels</w:t>
      </w:r>
      <w:r w:rsidR="00D93806">
        <w:rPr>
          <w:rStyle w:val="FootnoteReference"/>
        </w:rPr>
        <w:footnoteReference w:id="22"/>
      </w:r>
      <w:r w:rsidR="00C47804">
        <w:t>. Although the general proof agrees with this statement, it is impossible to know exactly how far Charlemagne intended to go with his vision, limiting the credibility of his attribution towards the birth of medieval Europe. On the other hand, however, n</w:t>
      </w:r>
      <w:r w:rsidR="00842FA5">
        <w:t>ot only was the kingdom rarely divided, but it expanded und</w:t>
      </w:r>
      <w:r w:rsidR="00C85759">
        <w:t>er Pip</w:t>
      </w:r>
      <w:r w:rsidR="00842FA5">
        <w:t xml:space="preserve">pin and </w:t>
      </w:r>
      <w:r w:rsidR="00C47804">
        <w:t xml:space="preserve">more notably, </w:t>
      </w:r>
      <w:r w:rsidR="00842FA5">
        <w:t>Charlemagne</w:t>
      </w:r>
      <w:r w:rsidR="009B4B43">
        <w:rPr>
          <w:rStyle w:val="FootnoteReference"/>
        </w:rPr>
        <w:footnoteReference w:id="23"/>
      </w:r>
      <w:r w:rsidR="00842FA5">
        <w:t xml:space="preserve">. </w:t>
      </w:r>
      <w:r w:rsidR="009B4B43">
        <w:t>R</w:t>
      </w:r>
      <w:r w:rsidR="00842FA5">
        <w:t xml:space="preserve">egional rebellions </w:t>
      </w:r>
      <w:r w:rsidR="009B4B43">
        <w:t xml:space="preserve">were </w:t>
      </w:r>
      <w:r w:rsidR="00842FA5">
        <w:t>suppressed and the governance of the</w:t>
      </w:r>
      <w:r w:rsidR="009B4B43">
        <w:t xml:space="preserve"> kingdom put into better order and </w:t>
      </w:r>
      <w:r w:rsidR="00842FA5">
        <w:t>the frontiers moved slowly outward towards Spain, Italy, Germany, the Slavic Lands and the Netherlands</w:t>
      </w:r>
      <w:r w:rsidR="00842FA5">
        <w:rPr>
          <w:rStyle w:val="FootnoteReference"/>
        </w:rPr>
        <w:footnoteReference w:id="24"/>
      </w:r>
      <w:r w:rsidR="009A12E5">
        <w:t>, demonstrating the vastness of Charlemagne’s influence and the outline of the borders he was taking control over.</w:t>
      </w:r>
      <w:r w:rsidR="00D5063B">
        <w:t xml:space="preserve"> </w:t>
      </w:r>
      <w:r w:rsidR="009B4B43">
        <w:t>The reign of Charlemagne established patterns of governance, political relations and culture that would dominate Europe for centuries. Although the unification of Europe under a single king was a personal achievement that survived only a generation after his death, Charlemagne’s transformation of local institutions was to survive, albeit in a changed form, throughout the Middle Ages</w:t>
      </w:r>
      <w:r w:rsidR="009B4B43">
        <w:rPr>
          <w:rStyle w:val="FootnoteReference"/>
        </w:rPr>
        <w:footnoteReference w:id="25"/>
      </w:r>
      <w:r w:rsidR="000177EE">
        <w:t xml:space="preserve"> and this greatly supports the argument that Charlemagne can be attributed with the birth of medieval Europe, as it was his overall influence which integrated a largely diverse culture and furthermore, his influence survived long after his death.</w:t>
      </w:r>
      <w:r w:rsidR="006D4BF9">
        <w:t xml:space="preserve"> </w:t>
      </w:r>
      <w:r w:rsidR="00D5063B">
        <w:t>A</w:t>
      </w:r>
      <w:r w:rsidR="006D4BF9">
        <w:t>nother</w:t>
      </w:r>
      <w:r w:rsidR="00D5063B">
        <w:t xml:space="preserve"> huge factor to consider in the argument over Charlemagne’s role of shaping medieval Europe, </w:t>
      </w:r>
      <w:r w:rsidR="00B84E6C">
        <w:t xml:space="preserve">was the coronation of Charlemagne in 800 which named him Holy Roman Emperor, solidifying his </w:t>
      </w:r>
      <w:r w:rsidR="00BC1F08">
        <w:t xml:space="preserve">claim to rule by divine right as he was anointed by </w:t>
      </w:r>
      <w:r w:rsidR="00464B02">
        <w:t>the Roman Emperor, which signifies the support of the papacy to Charlemagne’s movement to expand the Frankish empire.</w:t>
      </w:r>
      <w:r w:rsidR="00354AFD">
        <w:t xml:space="preserve"> In addition to this, it is important to note that </w:t>
      </w:r>
      <w:r w:rsidR="006D579C">
        <w:t xml:space="preserve">despite the </w:t>
      </w:r>
      <w:r w:rsidR="00851932">
        <w:t xml:space="preserve">fact that Charlemagne’s father and grandfather </w:t>
      </w:r>
      <w:r w:rsidR="00FE4247">
        <w:t xml:space="preserve">had a part in helping to shape medieval Europe, </w:t>
      </w:r>
      <w:r w:rsidR="00300EC5">
        <w:t xml:space="preserve">their overall influence was assisted through the church and its </w:t>
      </w:r>
      <w:r w:rsidR="00BD13D2">
        <w:lastRenderedPageBreak/>
        <w:t>authority</w:t>
      </w:r>
      <w:r w:rsidR="000815E8">
        <w:t xml:space="preserve"> </w:t>
      </w:r>
      <w:r w:rsidR="00090539">
        <w:t>over people in the medieval world.</w:t>
      </w:r>
      <w:r w:rsidR="00BD13D2" w:rsidRPr="00BD13D2">
        <w:t xml:space="preserve"> </w:t>
      </w:r>
      <w:r w:rsidR="00BD13D2">
        <w:t>As the historian Notker put it - ‘Charlemagne…grieved that the provinces, and even the regions and cities, differed in divine service, namely in their manner of chant’, and hence sent to the pope for help</w:t>
      </w:r>
      <w:r w:rsidR="00BD13D2">
        <w:rPr>
          <w:rStyle w:val="FootnoteReference"/>
        </w:rPr>
        <w:footnoteReference w:id="26"/>
      </w:r>
      <w:r w:rsidR="002452A4">
        <w:t xml:space="preserve"> which again indicates the role that the papacy and church played in unifying Europe as a whole.</w:t>
      </w:r>
    </w:p>
    <w:p w:rsidR="009E02C7" w:rsidRDefault="003B4BF2" w:rsidP="001548C5">
      <w:r>
        <w:t xml:space="preserve">The papacy itself, although perhaps playing a very minimalistic role, had its influence which </w:t>
      </w:r>
      <w:r w:rsidR="004300D7">
        <w:t xml:space="preserve">assisted developing the geographical outline of medieval Europe mainly due to the cultural effect the papacy’s </w:t>
      </w:r>
      <w:r w:rsidR="006F3ACE">
        <w:t>power</w:t>
      </w:r>
      <w:r w:rsidR="003615CB">
        <w:t xml:space="preserve"> had, predominantly through religion.</w:t>
      </w:r>
      <w:r w:rsidR="00906D10">
        <w:t xml:space="preserve"> Because of this vast power that the papacy wielded, especially the pope, it is important </w:t>
      </w:r>
      <w:r w:rsidR="008248E9">
        <w:t>to consider how this power was used and whether this use was effective in the solidifying of Europe.</w:t>
      </w:r>
      <w:r w:rsidR="003615CB">
        <w:t xml:space="preserve"> From Pope Stephen II</w:t>
      </w:r>
      <w:r w:rsidR="00906D10">
        <w:t xml:space="preserve">, who </w:t>
      </w:r>
      <w:r w:rsidR="00D471DF">
        <w:t xml:space="preserve">allowed </w:t>
      </w:r>
      <w:r w:rsidR="00906D10">
        <w:t xml:space="preserve">Pippin III </w:t>
      </w:r>
      <w:r w:rsidR="00D471DF">
        <w:t xml:space="preserve">to be crowned </w:t>
      </w:r>
      <w:r w:rsidR="00906D10">
        <w:t>king, it was clear that originally Stephen</w:t>
      </w:r>
      <w:r w:rsidR="00D471DF">
        <w:t xml:space="preserve"> II</w:t>
      </w:r>
      <w:r w:rsidR="00906D10">
        <w:t xml:space="preserve"> simply requested Pippin to</w:t>
      </w:r>
      <w:r w:rsidR="008248E9">
        <w:t xml:space="preserve"> arrange matters with the Lombard King</w:t>
      </w:r>
      <w:r w:rsidR="008248E9">
        <w:rPr>
          <w:rStyle w:val="FootnoteReference"/>
        </w:rPr>
        <w:footnoteReference w:id="27"/>
      </w:r>
      <w:r w:rsidR="009E02C7">
        <w:t xml:space="preserve"> to encourage them to abstain from hostilities in the neighbourhood of Rome out of respect for St Peter and St Paul</w:t>
      </w:r>
      <w:r w:rsidR="009E02C7">
        <w:rPr>
          <w:rStyle w:val="FootnoteReference"/>
        </w:rPr>
        <w:footnoteReference w:id="28"/>
      </w:r>
      <w:r w:rsidR="009F6D58">
        <w:t xml:space="preserve"> however since these peaceful appeals were not successful, Pippin then decided to use force</w:t>
      </w:r>
      <w:r w:rsidR="009F6D58">
        <w:rPr>
          <w:rStyle w:val="FootnoteReference"/>
        </w:rPr>
        <w:footnoteReference w:id="29"/>
      </w:r>
      <w:r w:rsidR="009F6D58">
        <w:t xml:space="preserve"> instead. This is clear evidence of the authority that the pope and the papacy wielded, demonstrated by how Pippin was obliged to assist the</w:t>
      </w:r>
      <w:r w:rsidR="00BE443C">
        <w:t>m in their own troubles despite</w:t>
      </w:r>
      <w:r w:rsidR="002656F8">
        <w:t xml:space="preserve"> there being no political advantage to him engaging into the war.</w:t>
      </w:r>
      <w:r w:rsidR="00E07541">
        <w:t xml:space="preserve"> In addition to this, the papacy was involved in another highly significant historical event of the middle ages, whereby Pippin handed over extensive territories in Italy to the pope</w:t>
      </w:r>
      <w:r w:rsidR="00E07541">
        <w:rPr>
          <w:rStyle w:val="FootnoteReference"/>
        </w:rPr>
        <w:footnoteReference w:id="30"/>
      </w:r>
      <w:r w:rsidR="00E07541">
        <w:t xml:space="preserve">, which again signifies the shift of territories over to the control of the church, therefore allowing the argument to be made that they also had a part in the birth of medieval Europe. In </w:t>
      </w:r>
      <w:r w:rsidR="00994ACA">
        <w:t>further detail, the dynamical release of territories such as Ravenna, Spoleto, Benevento, the provinces of Venice and Istria and the southern part of Lombard</w:t>
      </w:r>
      <w:r w:rsidR="00994ACA">
        <w:rPr>
          <w:rStyle w:val="FootnoteReference"/>
        </w:rPr>
        <w:footnoteReference w:id="31"/>
      </w:r>
      <w:r w:rsidR="00A02989">
        <w:t xml:space="preserve"> indicate that the outline of medieval Europe shifted due to the demands of the papacy claiming the territory for their own, albeit through political diplomacy.</w:t>
      </w:r>
      <w:r w:rsidR="00BA6E0B">
        <w:t xml:space="preserve"> This donation of land, named the ‘Donation of Quierzy’, is an oblique indication of the pope’s ideals and intentions</w:t>
      </w:r>
      <w:r w:rsidR="00A04F52">
        <w:rPr>
          <w:rStyle w:val="FootnoteReference"/>
        </w:rPr>
        <w:footnoteReference w:id="32"/>
      </w:r>
      <w:r w:rsidR="00BA6E0B">
        <w:t xml:space="preserve">. It is noted by Barraclough that within papal sources there is </w:t>
      </w:r>
      <w:r w:rsidR="001D6953">
        <w:t xml:space="preserve">talk of the ‘Roman republic’ and also of the </w:t>
      </w:r>
      <w:r w:rsidR="001D6953">
        <w:rPr>
          <w:i/>
        </w:rPr>
        <w:t>‘sanctae Dei ecclesiae respublica’</w:t>
      </w:r>
      <w:r w:rsidR="00F81A59">
        <w:t xml:space="preserve">, which is theoretically </w:t>
      </w:r>
      <w:r w:rsidR="0035315C">
        <w:t>meant to imply an au</w:t>
      </w:r>
      <w:r w:rsidR="00050C84">
        <w:t>tonomous Roman duchy governed by</w:t>
      </w:r>
      <w:r w:rsidR="0035315C">
        <w:t>, or at least closely dependent on the pope</w:t>
      </w:r>
      <w:r w:rsidR="0035315C">
        <w:rPr>
          <w:rStyle w:val="FootnoteReference"/>
        </w:rPr>
        <w:footnoteReference w:id="33"/>
      </w:r>
      <w:r w:rsidR="00563D86">
        <w:t xml:space="preserve">. </w:t>
      </w:r>
      <w:r w:rsidR="00050C84">
        <w:t xml:space="preserve">The point brought up by Barroclough </w:t>
      </w:r>
      <w:r w:rsidR="00383C32">
        <w:t xml:space="preserve">is the highlighting fact that </w:t>
      </w:r>
      <w:r w:rsidR="00AF3F62">
        <w:t xml:space="preserve">the pope did in fact use his power, and because this authority was used </w:t>
      </w:r>
      <w:r w:rsidR="00A04F52">
        <w:t>th</w:t>
      </w:r>
      <w:r w:rsidR="004C197D">
        <w:t>is culturally affected the shape of Europe, as the lands donated accumulated to more than half of the Italian peninsula.</w:t>
      </w:r>
      <w:r w:rsidR="00B62B83">
        <w:t xml:space="preserve"> Continuing on, it is theorised by Barroclough that the reason why the pope conferred on Pippin and his sons the title </w:t>
      </w:r>
      <w:r w:rsidR="00B62B83">
        <w:rPr>
          <w:i/>
        </w:rPr>
        <w:t>‘patricius Romanorum</w:t>
      </w:r>
      <w:r w:rsidR="00B62B83">
        <w:t>’</w:t>
      </w:r>
      <w:r w:rsidR="008E3B57">
        <w:rPr>
          <w:rStyle w:val="FootnoteReference"/>
        </w:rPr>
        <w:footnoteReference w:id="34"/>
      </w:r>
      <w:r w:rsidR="008E3B57">
        <w:t xml:space="preserve">, however Pippin refrained from using the title, indicates that he wished </w:t>
      </w:r>
      <w:r w:rsidR="000E7DFE">
        <w:t>for Pippin to be regarded</w:t>
      </w:r>
      <w:r w:rsidR="008E3B57">
        <w:t xml:space="preserve"> as the protector of the new ‘republic’</w:t>
      </w:r>
      <w:r w:rsidR="008E3B57">
        <w:rPr>
          <w:rStyle w:val="FootnoteReference"/>
        </w:rPr>
        <w:footnoteReference w:id="35"/>
      </w:r>
      <w:r w:rsidR="000E7DFE">
        <w:t>.</w:t>
      </w:r>
      <w:r w:rsidR="00FC08CA">
        <w:t xml:space="preserve"> The limitation of this speculation is that nothing can be certain and due to the </w:t>
      </w:r>
      <w:r w:rsidR="00C71D63">
        <w:t>inadequate</w:t>
      </w:r>
      <w:r w:rsidR="00FC08CA">
        <w:t xml:space="preserve"> amount of sources available to us about the specific subject</w:t>
      </w:r>
      <w:r w:rsidR="00C71D63">
        <w:t>, which means that it is</w:t>
      </w:r>
      <w:r w:rsidR="00FC08CA">
        <w:t xml:space="preserve"> widely open to conjecture</w:t>
      </w:r>
      <w:r w:rsidR="00C71D63">
        <w:t xml:space="preserve"> and therefore reduces its reliability.</w:t>
      </w:r>
      <w:r w:rsidR="002F5EE2">
        <w:t xml:space="preserve"> Although these facts have been taken into consideration, it is imperative to also consider the fact that the p</w:t>
      </w:r>
      <w:r w:rsidR="00321C0A">
        <w:t xml:space="preserve">apacy’s power was not solely responsible for the birth of medieval Europe, as Charlemagne also had </w:t>
      </w:r>
      <w:r w:rsidR="00684F78">
        <w:t xml:space="preserve">such an </w:t>
      </w:r>
      <w:r w:rsidR="00321C0A">
        <w:t xml:space="preserve">authority </w:t>
      </w:r>
      <w:r w:rsidR="00684F78">
        <w:t xml:space="preserve">that in </w:t>
      </w:r>
      <w:r w:rsidR="00684F78">
        <w:lastRenderedPageBreak/>
        <w:t>most senses overshadowed all that the papacy had direct involvement with concerning the birth of medieval Europe.</w:t>
      </w:r>
    </w:p>
    <w:p w:rsidR="001243B5" w:rsidRDefault="00A7637F" w:rsidP="001548C5">
      <w:r>
        <w:t xml:space="preserve">Conclusively, it can be summarised that </w:t>
      </w:r>
      <w:r w:rsidR="000E031D">
        <w:t xml:space="preserve">despite the effective parts that Charles Martel, Pippin III and the papacy all played towards the birth of Medieval Europe, the overall responsibility for its solidification can be attributed to Charlemagne. As Bartlett states, </w:t>
      </w:r>
      <w:r w:rsidR="000E031D">
        <w:rPr>
          <w:b/>
        </w:rPr>
        <w:t>t</w:t>
      </w:r>
      <w:r w:rsidR="00F468F7">
        <w:t>he phrase ‘the Europeanization of Europe’ may initially sound paradoxical</w:t>
      </w:r>
      <w:r w:rsidR="000E031D">
        <w:t>, however it is</w:t>
      </w:r>
      <w:r w:rsidR="00F468F7">
        <w:t xml:space="preserve"> clear that such terms serve as a shorthand to point to </w:t>
      </w:r>
      <w:r w:rsidR="000E031D">
        <w:t>a variety of complex processes</w:t>
      </w:r>
      <w:r w:rsidR="000E031D">
        <w:rPr>
          <w:rStyle w:val="FootnoteReference"/>
        </w:rPr>
        <w:footnoteReference w:id="36"/>
      </w:r>
      <w:r w:rsidR="000E031D">
        <w:t xml:space="preserve">, which connotes the individual roles that each factor contributed towards the birth of medieval Europe. </w:t>
      </w:r>
      <w:r w:rsidR="00F468F7">
        <w:t>It is notable that historians of the Middle Ages have used the term ‘Europeanization’ especially when referring to those regions which underwent cultural and social transformation in the High Middle Ages without the pressure of foreign invasion or conquest</w:t>
      </w:r>
      <w:r w:rsidR="000E031D">
        <w:rPr>
          <w:rStyle w:val="FootnoteReference"/>
        </w:rPr>
        <w:footnoteReference w:id="37"/>
      </w:r>
      <w:r w:rsidR="00F468F7">
        <w:t xml:space="preserve">. The Hungarian historian Fügedi writes: ‘We maintain that Hungary was Europeanized </w:t>
      </w:r>
      <w:r w:rsidR="00F468F7">
        <w:rPr>
          <w:i/>
        </w:rPr>
        <w:t xml:space="preserve">(europäisiert) </w:t>
      </w:r>
      <w:r w:rsidR="00F468F7">
        <w:t>in the course of the tw</w:t>
      </w:r>
      <w:r w:rsidR="000E031D">
        <w:t>elfth and thirteenth centuries’, which again pertains to the argument that the medieval world was Europeanized</w:t>
      </w:r>
      <w:r w:rsidR="002C4A1A">
        <w:t xml:space="preserve">, and its main contributor was in fact Charlemagne as his </w:t>
      </w:r>
      <w:r w:rsidR="00684F78">
        <w:t xml:space="preserve">long reign changed the face of Europe politically and culturally, and he himself </w:t>
      </w:r>
      <w:r w:rsidR="00684F78" w:rsidRPr="00A7637F">
        <w:t>would remain in in the minds of the people in the Middle Ages as the ideal king</w:t>
      </w:r>
      <w:r w:rsidR="00AC697A">
        <w:rPr>
          <w:rStyle w:val="FootnoteReference"/>
        </w:rPr>
        <w:footnoteReference w:id="38"/>
      </w:r>
      <w:r w:rsidR="00684F78" w:rsidRPr="00A7637F">
        <w:t>. In more recent times, many historians have taken his reign to be the beginning of the Middle Ages ‘proper’</w:t>
      </w:r>
      <w:r w:rsidR="00366F3E">
        <w:t>, y</w:t>
      </w:r>
      <w:r w:rsidR="00684F78" w:rsidRPr="00A7637F">
        <w:t>et in terms of territorial expansion and consolidation, church reform and entanglement with Rome, Charlemagne’s reign was merely bringing the policies of his father Pippin to their logical conclusions</w:t>
      </w:r>
      <w:r w:rsidR="00A64790">
        <w:rPr>
          <w:rStyle w:val="FootnoteReference"/>
        </w:rPr>
        <w:footnoteReference w:id="39"/>
      </w:r>
      <w:r w:rsidR="00AC697A">
        <w:t>.</w:t>
      </w:r>
      <w:r w:rsidR="00366F3E">
        <w:t xml:space="preserve"> With this finalising </w:t>
      </w:r>
      <w:r w:rsidR="00A64790">
        <w:t>statement</w:t>
      </w:r>
      <w:r w:rsidR="00366F3E">
        <w:t xml:space="preserve">, it is appropriate to settle the argument that although Charlemagne can claim </w:t>
      </w:r>
      <w:r w:rsidR="00A64790">
        <w:t xml:space="preserve">the </w:t>
      </w:r>
      <w:r w:rsidR="00366F3E">
        <w:t>most responsibility for the birth of medieval Europe, he was only solidifying and ending the conquests and wars that his father and grandfather began, therefore they too can be attributed to the birth of medieval Europe.</w:t>
      </w:r>
    </w:p>
    <w:p w:rsidR="00450B7D" w:rsidRDefault="00450B7D" w:rsidP="001548C5"/>
    <w:p w:rsidR="00450B7D" w:rsidRDefault="00450B7D" w:rsidP="001548C5"/>
    <w:p w:rsidR="00450B7D" w:rsidRDefault="00450B7D" w:rsidP="001548C5"/>
    <w:p w:rsidR="00450B7D" w:rsidRDefault="00450B7D" w:rsidP="001548C5"/>
    <w:p w:rsidR="00450B7D" w:rsidRDefault="00450B7D" w:rsidP="001548C5"/>
    <w:p w:rsidR="00450B7D" w:rsidRDefault="00450B7D" w:rsidP="001548C5"/>
    <w:p w:rsidR="00450B7D" w:rsidRDefault="00450B7D" w:rsidP="001548C5"/>
    <w:p w:rsidR="00450B7D" w:rsidRDefault="00450B7D" w:rsidP="001548C5"/>
    <w:p w:rsidR="00450B7D" w:rsidRDefault="00450B7D" w:rsidP="001548C5"/>
    <w:p w:rsidR="00450B7D" w:rsidRDefault="00450B7D" w:rsidP="001548C5"/>
    <w:p w:rsidR="00450B7D" w:rsidRDefault="00450B7D" w:rsidP="001548C5"/>
    <w:p w:rsidR="00450B7D" w:rsidRDefault="00450B7D" w:rsidP="001548C5"/>
    <w:p w:rsidR="00450B7D" w:rsidRDefault="00450B7D" w:rsidP="001548C5">
      <w:r w:rsidRPr="00450B7D">
        <w:rPr>
          <w:sz w:val="24"/>
        </w:rPr>
        <w:lastRenderedPageBreak/>
        <w:t>Bibliography</w:t>
      </w:r>
      <w:r>
        <w:t>:</w:t>
      </w:r>
    </w:p>
    <w:p w:rsidR="00E01FF4" w:rsidRDefault="00E04E82" w:rsidP="001548C5">
      <w:r>
        <w:t>Secondary Sources</w:t>
      </w:r>
      <w:r w:rsidR="00E01FF4">
        <w:t xml:space="preserve"> –</w:t>
      </w:r>
    </w:p>
    <w:p w:rsidR="00E6482A" w:rsidRDefault="00450B7D" w:rsidP="001548C5">
      <w:r>
        <w:t xml:space="preserve">C. Warren Hollister, </w:t>
      </w:r>
      <w:r w:rsidRPr="00EA7E73">
        <w:rPr>
          <w:i/>
        </w:rPr>
        <w:t>Medieval Europe: A Short History</w:t>
      </w:r>
      <w:r>
        <w:rPr>
          <w:i/>
        </w:rPr>
        <w:t xml:space="preserve"> </w:t>
      </w:r>
      <w:r>
        <w:t>(New Jersey; John Wiley and Sons INC, 1968).</w:t>
      </w:r>
    </w:p>
    <w:p w:rsidR="00E01FF4" w:rsidRDefault="00E01FF4" w:rsidP="00E01FF4">
      <w:r w:rsidRPr="00450B7D">
        <w:t xml:space="preserve">D. Nichols, </w:t>
      </w:r>
      <w:r w:rsidRPr="00050551">
        <w:rPr>
          <w:i/>
        </w:rPr>
        <w:t xml:space="preserve">The Evolution of the Medieval World: Society, Government and thought in Europe 312-1500 </w:t>
      </w:r>
      <w:r w:rsidRPr="00450B7D">
        <w:t>(London; Longman Group UK Ltd, 1992).</w:t>
      </w:r>
    </w:p>
    <w:p w:rsidR="00E01FF4" w:rsidRPr="00450B7D" w:rsidRDefault="00E01FF4" w:rsidP="00E01FF4">
      <w:r w:rsidRPr="00450B7D">
        <w:t xml:space="preserve">E. Peters, </w:t>
      </w:r>
      <w:r w:rsidRPr="00050551">
        <w:rPr>
          <w:i/>
        </w:rPr>
        <w:t>Europe the World of the Middle Ages</w:t>
      </w:r>
      <w:r w:rsidRPr="00450B7D">
        <w:t xml:space="preserve"> (New Jersey; Prentice-Hall, 1977).</w:t>
      </w:r>
    </w:p>
    <w:p w:rsidR="00E01FF4" w:rsidRPr="00450B7D" w:rsidRDefault="00E01FF4" w:rsidP="00E01FF4">
      <w:r w:rsidRPr="00450B7D">
        <w:t xml:space="preserve">G. Barraclough, </w:t>
      </w:r>
      <w:r w:rsidRPr="00050551">
        <w:rPr>
          <w:i/>
        </w:rPr>
        <w:t>The Medieval Papacy</w:t>
      </w:r>
      <w:r w:rsidRPr="00450B7D">
        <w:t xml:space="preserve"> (London; Thames and Hudson, 1968).</w:t>
      </w:r>
    </w:p>
    <w:p w:rsidR="00E01FF4" w:rsidRDefault="00E01FF4" w:rsidP="00E01FF4">
      <w:r>
        <w:t xml:space="preserve">G. Holmes, </w:t>
      </w:r>
      <w:r>
        <w:rPr>
          <w:i/>
        </w:rPr>
        <w:t xml:space="preserve">The Oxford Illustrated History of Medieval Europe </w:t>
      </w:r>
      <w:r>
        <w:t>(Oxford; Oxford University Press, 1988).</w:t>
      </w:r>
    </w:p>
    <w:p w:rsidR="007F69BD" w:rsidRPr="007F69BD" w:rsidRDefault="007F69BD" w:rsidP="00E01FF4">
      <w:r>
        <w:t xml:space="preserve">H. W. Carless-Davies, </w:t>
      </w:r>
      <w:r>
        <w:rPr>
          <w:i/>
        </w:rPr>
        <w:t>Charlemagne (Charles the Great) The Hero of Two Nations</w:t>
      </w:r>
      <w:r>
        <w:t xml:space="preserve"> (</w:t>
      </w:r>
      <w:r w:rsidR="009978D6">
        <w:t>London; G. P. Putnam’s Sons, 1905)</w:t>
      </w:r>
      <w:r w:rsidR="00AB743D">
        <w:t>.</w:t>
      </w:r>
    </w:p>
    <w:p w:rsidR="00E6482A" w:rsidRDefault="00E6482A" w:rsidP="00E01FF4">
      <w:r>
        <w:t xml:space="preserve">K. G. Cushing, </w:t>
      </w:r>
      <w:r>
        <w:rPr>
          <w:i/>
        </w:rPr>
        <w:t>Reform and the Papacy in the Eleventh Century – Spirituality and Social Change</w:t>
      </w:r>
      <w:r>
        <w:t xml:space="preserve"> (Manchester; Manchester University Press, 2005).</w:t>
      </w:r>
    </w:p>
    <w:p w:rsidR="00505E73" w:rsidRPr="00AB743D" w:rsidRDefault="00505E73" w:rsidP="00505E73">
      <w:r>
        <w:t xml:space="preserve">P. D. </w:t>
      </w:r>
      <w:r w:rsidRPr="00AB743D">
        <w:t>King,</w:t>
      </w:r>
      <w:r>
        <w:t xml:space="preserve"> </w:t>
      </w:r>
      <w:r w:rsidRPr="00AB743D">
        <w:rPr>
          <w:i/>
        </w:rPr>
        <w:t>Charlemagne Translated Sources</w:t>
      </w:r>
      <w:r w:rsidRPr="00AB743D">
        <w:t xml:space="preserve"> (Lancaster</w:t>
      </w:r>
      <w:r>
        <w:t>;</w:t>
      </w:r>
      <w:r w:rsidRPr="00AB743D">
        <w:t xml:space="preserve"> Lancaster University Press</w:t>
      </w:r>
      <w:r>
        <w:t>,</w:t>
      </w:r>
      <w:r w:rsidRPr="00AB743D">
        <w:t xml:space="preserve"> 1987)</w:t>
      </w:r>
      <w:r>
        <w:t>.</w:t>
      </w:r>
    </w:p>
    <w:p w:rsidR="00505E73" w:rsidRPr="00E6482A" w:rsidRDefault="00505E73" w:rsidP="00E01FF4">
      <w:r w:rsidRPr="00AB743D">
        <w:t xml:space="preserve">P. Riche, </w:t>
      </w:r>
      <w:r w:rsidRPr="00AB743D">
        <w:rPr>
          <w:i/>
        </w:rPr>
        <w:t>The Carolingians – A Family who Forged Europe</w:t>
      </w:r>
      <w:r w:rsidRPr="00AB743D">
        <w:t xml:space="preserve"> trans. </w:t>
      </w:r>
      <w:r>
        <w:t>M. I. Allen</w:t>
      </w:r>
      <w:r w:rsidRPr="00AB743D">
        <w:t xml:space="preserve"> (</w:t>
      </w:r>
      <w:r>
        <w:t xml:space="preserve">Philadelphia; </w:t>
      </w:r>
      <w:r w:rsidRPr="00AB743D">
        <w:t>University of Pennsylvania</w:t>
      </w:r>
      <w:r>
        <w:t>,</w:t>
      </w:r>
      <w:r w:rsidRPr="00AB743D">
        <w:t xml:space="preserve"> 1993)</w:t>
      </w:r>
      <w:r>
        <w:t>.</w:t>
      </w:r>
    </w:p>
    <w:p w:rsidR="00E01FF4" w:rsidRPr="00450B7D" w:rsidRDefault="00E01FF4" w:rsidP="00E01FF4">
      <w:r w:rsidRPr="00450B7D">
        <w:t xml:space="preserve">R. Bartlett, </w:t>
      </w:r>
      <w:r w:rsidRPr="00050551">
        <w:rPr>
          <w:i/>
        </w:rPr>
        <w:t>The Making of Europe – Conquest, Colonization and Cultural Change, 950-1350</w:t>
      </w:r>
      <w:r w:rsidRPr="00450B7D">
        <w:t xml:space="preserve"> (London; Penguin, 1993).</w:t>
      </w:r>
    </w:p>
    <w:p w:rsidR="00450B7D" w:rsidRDefault="00E01FF4" w:rsidP="001548C5">
      <w:r>
        <w:t xml:space="preserve">R. Collins, </w:t>
      </w:r>
      <w:r>
        <w:rPr>
          <w:i/>
        </w:rPr>
        <w:t xml:space="preserve">Early Medieval Europe 300 – 1000 </w:t>
      </w:r>
      <w:r>
        <w:t>(London; Macmillan, 1991).</w:t>
      </w:r>
      <w:r w:rsidR="00450B7D">
        <w:t xml:space="preserve">R. S. Hoyt, and S. Chodorow, </w:t>
      </w:r>
      <w:r w:rsidR="00450B7D" w:rsidRPr="00092BB6">
        <w:rPr>
          <w:i/>
        </w:rPr>
        <w:t>Europe in the Middle Ages</w:t>
      </w:r>
      <w:r w:rsidR="00450B7D">
        <w:t xml:space="preserve"> (United States of America; Harcourt Brace Jovanovich INC, 1976).</w:t>
      </w:r>
    </w:p>
    <w:p w:rsidR="009978D6" w:rsidRPr="006145DF" w:rsidRDefault="009978D6" w:rsidP="001548C5">
      <w:r>
        <w:t xml:space="preserve">R. Latouche, </w:t>
      </w:r>
      <w:r>
        <w:rPr>
          <w:i/>
        </w:rPr>
        <w:t>Caesar to Charlemagne – the beginnings of France</w:t>
      </w:r>
      <w:r w:rsidR="006145DF">
        <w:rPr>
          <w:i/>
        </w:rPr>
        <w:t xml:space="preserve"> </w:t>
      </w:r>
      <w:r w:rsidR="006145DF">
        <w:t>(London: Phoenix House, 1968)</w:t>
      </w:r>
      <w:r w:rsidR="00AB743D">
        <w:t>.</w:t>
      </w:r>
    </w:p>
    <w:p w:rsidR="00AB743D" w:rsidRPr="00AB743D" w:rsidRDefault="00050551" w:rsidP="00AB743D">
      <w:r>
        <w:t xml:space="preserve">S. C. Easton, and H. Wieruszowski, </w:t>
      </w:r>
      <w:r>
        <w:rPr>
          <w:i/>
        </w:rPr>
        <w:t xml:space="preserve">The Era of Charlemagne </w:t>
      </w:r>
      <w:r>
        <w:t>(</w:t>
      </w:r>
      <w:r w:rsidR="00346A8D">
        <w:t>New York; Robert E. Krieger Publishing Company INC, 1961).</w:t>
      </w:r>
    </w:p>
    <w:p w:rsidR="00AB743D" w:rsidRPr="00AB743D" w:rsidRDefault="00505E73">
      <w:r>
        <w:t>W. Blockmans</w:t>
      </w:r>
      <w:r w:rsidR="00AB743D" w:rsidRPr="00AB743D">
        <w:t xml:space="preserve">, and </w:t>
      </w:r>
      <w:r>
        <w:t xml:space="preserve">P. </w:t>
      </w:r>
      <w:r w:rsidR="00AB743D" w:rsidRPr="00AB743D">
        <w:t xml:space="preserve">Hoppenbrouwers, </w:t>
      </w:r>
      <w:r w:rsidR="00AB743D" w:rsidRPr="00AB743D">
        <w:rPr>
          <w:i/>
        </w:rPr>
        <w:t>Introdu</w:t>
      </w:r>
      <w:r>
        <w:rPr>
          <w:i/>
        </w:rPr>
        <w:t>c</w:t>
      </w:r>
      <w:r w:rsidR="00AB743D" w:rsidRPr="00AB743D">
        <w:rPr>
          <w:i/>
        </w:rPr>
        <w:t xml:space="preserve">tion to Medieval Europe 300 – 1550 </w:t>
      </w:r>
      <w:r w:rsidR="00AB743D" w:rsidRPr="00AB743D">
        <w:t>(</w:t>
      </w:r>
      <w:r>
        <w:t>Oxon; Routledge, 2007).</w:t>
      </w:r>
    </w:p>
    <w:sectPr w:rsidR="00AB743D" w:rsidRPr="00AB74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D71" w:rsidRDefault="00D10D71" w:rsidP="00CE75B5">
      <w:pPr>
        <w:spacing w:after="0" w:line="240" w:lineRule="auto"/>
      </w:pPr>
      <w:r>
        <w:separator/>
      </w:r>
    </w:p>
  </w:endnote>
  <w:endnote w:type="continuationSeparator" w:id="0">
    <w:p w:rsidR="00D10D71" w:rsidRDefault="00D10D71" w:rsidP="00CE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D71" w:rsidRDefault="00D10D71" w:rsidP="00CE75B5">
      <w:pPr>
        <w:spacing w:after="0" w:line="240" w:lineRule="auto"/>
      </w:pPr>
      <w:r>
        <w:separator/>
      </w:r>
    </w:p>
  </w:footnote>
  <w:footnote w:type="continuationSeparator" w:id="0">
    <w:p w:rsidR="00D10D71" w:rsidRDefault="00D10D71" w:rsidP="00CE75B5">
      <w:pPr>
        <w:spacing w:after="0" w:line="240" w:lineRule="auto"/>
      </w:pPr>
      <w:r>
        <w:continuationSeparator/>
      </w:r>
    </w:p>
  </w:footnote>
  <w:footnote w:id="1">
    <w:p w:rsidR="00BE3783" w:rsidRDefault="00BE3783">
      <w:pPr>
        <w:pStyle w:val="FootnoteText"/>
      </w:pPr>
      <w:r>
        <w:rPr>
          <w:rStyle w:val="FootnoteReference"/>
        </w:rPr>
        <w:footnoteRef/>
      </w:r>
      <w:r>
        <w:t xml:space="preserve"> </w:t>
      </w:r>
      <w:r w:rsidR="00EA7E73">
        <w:t xml:space="preserve">C. Warren Hollister, </w:t>
      </w:r>
      <w:r w:rsidRPr="00EA7E73">
        <w:rPr>
          <w:i/>
        </w:rPr>
        <w:t>Medieval Europe: A Short History</w:t>
      </w:r>
      <w:r w:rsidR="00EA7E73">
        <w:rPr>
          <w:i/>
        </w:rPr>
        <w:t xml:space="preserve"> </w:t>
      </w:r>
      <w:r w:rsidR="00EA7E73">
        <w:t>(New Jersey; John Wiley and Sons INC, 1968).</w:t>
      </w:r>
    </w:p>
  </w:footnote>
  <w:footnote w:id="2">
    <w:p w:rsidR="00BE3783" w:rsidRDefault="00BE3783">
      <w:pPr>
        <w:pStyle w:val="FootnoteText"/>
      </w:pPr>
      <w:r>
        <w:rPr>
          <w:rStyle w:val="FootnoteReference"/>
        </w:rPr>
        <w:footnoteRef/>
      </w:r>
      <w:r>
        <w:t xml:space="preserve"> </w:t>
      </w:r>
      <w:r w:rsidRPr="00362FC6">
        <w:rPr>
          <w:i/>
        </w:rPr>
        <w:t>ibid</w:t>
      </w:r>
    </w:p>
  </w:footnote>
  <w:footnote w:id="3">
    <w:p w:rsidR="00BE3783" w:rsidRDefault="00BE3783">
      <w:pPr>
        <w:pStyle w:val="FootnoteText"/>
      </w:pPr>
      <w:r>
        <w:rPr>
          <w:rStyle w:val="FootnoteReference"/>
        </w:rPr>
        <w:footnoteRef/>
      </w:r>
      <w:r>
        <w:t xml:space="preserve"> </w:t>
      </w:r>
      <w:r w:rsidRPr="00362FC6">
        <w:rPr>
          <w:i/>
        </w:rPr>
        <w:t>ibid</w:t>
      </w:r>
    </w:p>
  </w:footnote>
  <w:footnote w:id="4">
    <w:p w:rsidR="00BE3783" w:rsidRDefault="00BE3783">
      <w:pPr>
        <w:pStyle w:val="FootnoteText"/>
      </w:pPr>
      <w:r>
        <w:rPr>
          <w:rStyle w:val="FootnoteReference"/>
        </w:rPr>
        <w:footnoteRef/>
      </w:r>
      <w:r>
        <w:t xml:space="preserve"> </w:t>
      </w:r>
      <w:r w:rsidRPr="00362FC6">
        <w:rPr>
          <w:i/>
        </w:rPr>
        <w:t>ibid</w:t>
      </w:r>
    </w:p>
  </w:footnote>
  <w:footnote w:id="5">
    <w:p w:rsidR="00BE3783" w:rsidRDefault="00BE3783">
      <w:pPr>
        <w:pStyle w:val="FootnoteText"/>
      </w:pPr>
      <w:r>
        <w:rPr>
          <w:rStyle w:val="FootnoteReference"/>
        </w:rPr>
        <w:footnoteRef/>
      </w:r>
      <w:r>
        <w:t xml:space="preserve"> </w:t>
      </w:r>
      <w:r w:rsidRPr="00362FC6">
        <w:rPr>
          <w:i/>
        </w:rPr>
        <w:t>ibid</w:t>
      </w:r>
    </w:p>
  </w:footnote>
  <w:footnote w:id="6">
    <w:p w:rsidR="00BE3783" w:rsidRDefault="00BE3783">
      <w:pPr>
        <w:pStyle w:val="FootnoteText"/>
      </w:pPr>
      <w:r>
        <w:rPr>
          <w:rStyle w:val="FootnoteReference"/>
        </w:rPr>
        <w:footnoteRef/>
      </w:r>
      <w:r>
        <w:t xml:space="preserve"> </w:t>
      </w:r>
      <w:r w:rsidRPr="00362FC6">
        <w:rPr>
          <w:i/>
        </w:rPr>
        <w:t>ibid</w:t>
      </w:r>
    </w:p>
  </w:footnote>
  <w:footnote w:id="7">
    <w:p w:rsidR="00BE3783" w:rsidRPr="00092BB6" w:rsidRDefault="00BE3783">
      <w:pPr>
        <w:pStyle w:val="FootnoteText"/>
      </w:pPr>
      <w:r>
        <w:rPr>
          <w:rStyle w:val="FootnoteReference"/>
        </w:rPr>
        <w:footnoteRef/>
      </w:r>
      <w:r>
        <w:t xml:space="preserve"> </w:t>
      </w:r>
      <w:r w:rsidR="00092BB6">
        <w:t xml:space="preserve">R. S. Hoyt, and S. Chodorow, </w:t>
      </w:r>
      <w:r w:rsidRPr="00092BB6">
        <w:rPr>
          <w:i/>
        </w:rPr>
        <w:t>Europe in the Middle Ages</w:t>
      </w:r>
      <w:r w:rsidR="00092BB6">
        <w:t xml:space="preserve"> (</w:t>
      </w:r>
      <w:r w:rsidR="00CA7245">
        <w:t>United States of America; Harcourt Brace Jovanovich INC, 1976).</w:t>
      </w:r>
    </w:p>
  </w:footnote>
  <w:footnote w:id="8">
    <w:p w:rsidR="00BE3783" w:rsidRPr="00633720" w:rsidRDefault="00BE3783">
      <w:pPr>
        <w:pStyle w:val="FootnoteText"/>
      </w:pPr>
      <w:r>
        <w:rPr>
          <w:rStyle w:val="FootnoteReference"/>
        </w:rPr>
        <w:footnoteRef/>
      </w:r>
      <w:r>
        <w:t xml:space="preserve"> </w:t>
      </w:r>
      <w:r w:rsidR="00E92E68">
        <w:t>E. Peters,</w:t>
      </w:r>
      <w:r>
        <w:t xml:space="preserve"> </w:t>
      </w:r>
      <w:r>
        <w:rPr>
          <w:i/>
        </w:rPr>
        <w:t xml:space="preserve">Europe the World of the Middle Ages </w:t>
      </w:r>
      <w:r>
        <w:t>(</w:t>
      </w:r>
      <w:r w:rsidR="00EA7E73">
        <w:t xml:space="preserve">New Jersey; </w:t>
      </w:r>
      <w:r w:rsidR="00E92E68">
        <w:t xml:space="preserve">Prentice-Hall, </w:t>
      </w:r>
      <w:r>
        <w:t>1977)</w:t>
      </w:r>
      <w:r w:rsidR="00EA7E73">
        <w:t>.</w:t>
      </w:r>
    </w:p>
  </w:footnote>
  <w:footnote w:id="9">
    <w:p w:rsidR="00BE3783" w:rsidRPr="00E74DA4" w:rsidRDefault="00BE3783">
      <w:pPr>
        <w:pStyle w:val="FootnoteText"/>
        <w:rPr>
          <w:i/>
        </w:rPr>
      </w:pPr>
      <w:r>
        <w:rPr>
          <w:rStyle w:val="FootnoteReference"/>
        </w:rPr>
        <w:footnoteRef/>
      </w:r>
      <w:r>
        <w:t xml:space="preserve"> </w:t>
      </w:r>
      <w:r>
        <w:rPr>
          <w:i/>
        </w:rPr>
        <w:t>ibid</w:t>
      </w:r>
    </w:p>
  </w:footnote>
  <w:footnote w:id="10">
    <w:p w:rsidR="00BE3783" w:rsidRPr="004078C3" w:rsidRDefault="00BE3783">
      <w:pPr>
        <w:pStyle w:val="FootnoteText"/>
      </w:pPr>
      <w:r>
        <w:rPr>
          <w:rStyle w:val="FootnoteReference"/>
        </w:rPr>
        <w:footnoteRef/>
      </w:r>
      <w:r>
        <w:t xml:space="preserve"> </w:t>
      </w:r>
      <w:r w:rsidR="00B958DE">
        <w:t xml:space="preserve">D. </w:t>
      </w:r>
      <w:r>
        <w:t xml:space="preserve">Nichols, </w:t>
      </w:r>
      <w:r>
        <w:rPr>
          <w:i/>
        </w:rPr>
        <w:t xml:space="preserve">The Evolution of the Medieval World: Society, Government and thought in Europe 312-1500 </w:t>
      </w:r>
      <w:r w:rsidR="00B958DE">
        <w:t>(</w:t>
      </w:r>
      <w:r w:rsidR="006B696C">
        <w:t>London; Longman Group UK Ltd,</w:t>
      </w:r>
      <w:r w:rsidR="001A46D0">
        <w:t xml:space="preserve"> </w:t>
      </w:r>
      <w:r w:rsidR="00B958DE">
        <w:t>1992)</w:t>
      </w:r>
      <w:r w:rsidR="006B696C">
        <w:t>.</w:t>
      </w:r>
    </w:p>
  </w:footnote>
  <w:footnote w:id="11">
    <w:p w:rsidR="00BE3783" w:rsidRPr="00BD02B9" w:rsidRDefault="00BE3783">
      <w:pPr>
        <w:pStyle w:val="FootnoteText"/>
        <w:rPr>
          <w:i/>
        </w:rPr>
      </w:pPr>
      <w:r>
        <w:rPr>
          <w:rStyle w:val="FootnoteReference"/>
        </w:rPr>
        <w:footnoteRef/>
      </w:r>
      <w:r>
        <w:t xml:space="preserve"> </w:t>
      </w:r>
      <w:r>
        <w:rPr>
          <w:i/>
        </w:rPr>
        <w:t>ibid</w:t>
      </w:r>
    </w:p>
  </w:footnote>
  <w:footnote w:id="12">
    <w:p w:rsidR="00BE3783" w:rsidRPr="00F16A7B" w:rsidRDefault="00BE3783">
      <w:pPr>
        <w:pStyle w:val="FootnoteText"/>
      </w:pPr>
      <w:r>
        <w:rPr>
          <w:rStyle w:val="FootnoteReference"/>
        </w:rPr>
        <w:footnoteRef/>
      </w:r>
      <w:r>
        <w:t xml:space="preserve"> </w:t>
      </w:r>
      <w:r w:rsidR="00C02325">
        <w:t xml:space="preserve">G. Holmes, </w:t>
      </w:r>
      <w:r w:rsidR="00C02325">
        <w:rPr>
          <w:i/>
        </w:rPr>
        <w:t xml:space="preserve">The Oxford Illustrated History of Medieval Europe </w:t>
      </w:r>
      <w:r w:rsidR="00C02325">
        <w:t>(Oxford; Oxford University Press, 1988)</w:t>
      </w:r>
      <w:r w:rsidR="00EA7E73">
        <w:t>.</w:t>
      </w:r>
    </w:p>
  </w:footnote>
  <w:footnote w:id="13">
    <w:p w:rsidR="00BE3783" w:rsidRPr="00964E33" w:rsidRDefault="00BE3783">
      <w:pPr>
        <w:pStyle w:val="FootnoteText"/>
        <w:rPr>
          <w:i/>
        </w:rPr>
      </w:pPr>
      <w:r>
        <w:rPr>
          <w:rStyle w:val="FootnoteReference"/>
        </w:rPr>
        <w:footnoteRef/>
      </w:r>
      <w:r>
        <w:t xml:space="preserve"> </w:t>
      </w:r>
      <w:r>
        <w:rPr>
          <w:i/>
        </w:rPr>
        <w:t>ibid</w:t>
      </w:r>
    </w:p>
  </w:footnote>
  <w:footnote w:id="14">
    <w:p w:rsidR="00BE3783" w:rsidRPr="00DA4D0D" w:rsidRDefault="00BE3783">
      <w:pPr>
        <w:pStyle w:val="FootnoteText"/>
        <w:rPr>
          <w:i/>
        </w:rPr>
      </w:pPr>
      <w:r>
        <w:rPr>
          <w:rStyle w:val="FootnoteReference"/>
        </w:rPr>
        <w:footnoteRef/>
      </w:r>
      <w:r>
        <w:t xml:space="preserve"> </w:t>
      </w:r>
      <w:r>
        <w:rPr>
          <w:i/>
        </w:rPr>
        <w:t>ibid</w:t>
      </w:r>
    </w:p>
  </w:footnote>
  <w:footnote w:id="15">
    <w:p w:rsidR="00BE3783" w:rsidRPr="00DA4D0D" w:rsidRDefault="00BE3783">
      <w:pPr>
        <w:pStyle w:val="FootnoteText"/>
        <w:rPr>
          <w:i/>
        </w:rPr>
      </w:pPr>
      <w:r>
        <w:rPr>
          <w:rStyle w:val="FootnoteReference"/>
        </w:rPr>
        <w:footnoteRef/>
      </w:r>
      <w:r>
        <w:t xml:space="preserve"> </w:t>
      </w:r>
      <w:r>
        <w:rPr>
          <w:i/>
        </w:rPr>
        <w:t>ibid</w:t>
      </w:r>
    </w:p>
  </w:footnote>
  <w:footnote w:id="16">
    <w:p w:rsidR="00BE3783" w:rsidRPr="00CB458B" w:rsidRDefault="00BE3783">
      <w:pPr>
        <w:pStyle w:val="FootnoteText"/>
        <w:rPr>
          <w:i/>
        </w:rPr>
      </w:pPr>
      <w:r>
        <w:rPr>
          <w:rStyle w:val="FootnoteReference"/>
        </w:rPr>
        <w:footnoteRef/>
      </w:r>
      <w:r>
        <w:t xml:space="preserve"> </w:t>
      </w:r>
      <w:r>
        <w:rPr>
          <w:i/>
        </w:rPr>
        <w:t>ibid</w:t>
      </w:r>
    </w:p>
  </w:footnote>
  <w:footnote w:id="17">
    <w:p w:rsidR="00BE3783" w:rsidRPr="001548C5" w:rsidRDefault="00BE3783">
      <w:pPr>
        <w:pStyle w:val="FootnoteText"/>
      </w:pPr>
      <w:r>
        <w:rPr>
          <w:rStyle w:val="FootnoteReference"/>
        </w:rPr>
        <w:footnoteRef/>
      </w:r>
      <w:r>
        <w:t xml:space="preserve"> </w:t>
      </w:r>
      <w:r w:rsidR="006F3369">
        <w:t>R. Collins</w:t>
      </w:r>
      <w:r>
        <w:t xml:space="preserve">, </w:t>
      </w:r>
      <w:r>
        <w:rPr>
          <w:i/>
        </w:rPr>
        <w:t xml:space="preserve">Early Medieval Europe 300 – 1000 </w:t>
      </w:r>
      <w:r>
        <w:t>(</w:t>
      </w:r>
      <w:r w:rsidR="006F3369">
        <w:t xml:space="preserve">London; Macmillan, </w:t>
      </w:r>
      <w:r>
        <w:t>1991)</w:t>
      </w:r>
      <w:r w:rsidR="006F3369">
        <w:t>.</w:t>
      </w:r>
    </w:p>
  </w:footnote>
  <w:footnote w:id="18">
    <w:p w:rsidR="00BE3783" w:rsidRDefault="00BE3783">
      <w:pPr>
        <w:pStyle w:val="FootnoteText"/>
      </w:pPr>
      <w:r>
        <w:rPr>
          <w:rStyle w:val="FootnoteReference"/>
        </w:rPr>
        <w:footnoteRef/>
      </w:r>
      <w:r>
        <w:t xml:space="preserve"> </w:t>
      </w:r>
      <w:r w:rsidRPr="00362FC6">
        <w:rPr>
          <w:i/>
        </w:rPr>
        <w:t>ibid</w:t>
      </w:r>
    </w:p>
  </w:footnote>
  <w:footnote w:id="19">
    <w:p w:rsidR="00BE3783" w:rsidRDefault="00BE3783">
      <w:pPr>
        <w:pStyle w:val="FootnoteText"/>
      </w:pPr>
      <w:r>
        <w:rPr>
          <w:rStyle w:val="FootnoteReference"/>
        </w:rPr>
        <w:footnoteRef/>
      </w:r>
      <w:r>
        <w:t xml:space="preserve"> </w:t>
      </w:r>
      <w:r w:rsidR="006B696C">
        <w:t xml:space="preserve">D. Nichols, </w:t>
      </w:r>
      <w:r w:rsidR="006B696C">
        <w:rPr>
          <w:i/>
        </w:rPr>
        <w:t xml:space="preserve">The Evolution of the Medieval World: Society, Government and thought in Europe 312-1500 </w:t>
      </w:r>
      <w:r w:rsidR="006B696C">
        <w:t>(London; Longman Group UK Ltd,</w:t>
      </w:r>
      <w:r w:rsidR="001A46D0">
        <w:t xml:space="preserve"> </w:t>
      </w:r>
      <w:r w:rsidR="006B696C">
        <w:t>1992).</w:t>
      </w:r>
    </w:p>
  </w:footnote>
  <w:footnote w:id="20">
    <w:p w:rsidR="00BE3783" w:rsidRDefault="00BE3783">
      <w:pPr>
        <w:pStyle w:val="FootnoteText"/>
      </w:pPr>
      <w:r>
        <w:rPr>
          <w:rStyle w:val="FootnoteReference"/>
        </w:rPr>
        <w:footnoteRef/>
      </w:r>
      <w:r>
        <w:t xml:space="preserve"> </w:t>
      </w:r>
      <w:r w:rsidR="001243B5">
        <w:t xml:space="preserve">R. </w:t>
      </w:r>
      <w:r w:rsidR="001243B5" w:rsidRPr="00A7637F">
        <w:t xml:space="preserve">Bartlett, </w:t>
      </w:r>
      <w:r w:rsidR="001243B5" w:rsidRPr="001243B5">
        <w:rPr>
          <w:i/>
        </w:rPr>
        <w:t>The Making of Europe – Conquest, Colonization and Cultural Change, 950-1350</w:t>
      </w:r>
      <w:r w:rsidR="001243B5" w:rsidRPr="00A7637F">
        <w:t xml:space="preserve"> (</w:t>
      </w:r>
      <w:r w:rsidR="001243B5">
        <w:t xml:space="preserve">London; Penguin, </w:t>
      </w:r>
      <w:r w:rsidR="001243B5" w:rsidRPr="00A7637F">
        <w:t>1993)</w:t>
      </w:r>
      <w:r w:rsidR="001243B5">
        <w:t>.</w:t>
      </w:r>
    </w:p>
  </w:footnote>
  <w:footnote w:id="21">
    <w:p w:rsidR="007272C8" w:rsidRDefault="007272C8">
      <w:pPr>
        <w:pStyle w:val="FootnoteText"/>
      </w:pPr>
      <w:r>
        <w:rPr>
          <w:rStyle w:val="FootnoteReference"/>
        </w:rPr>
        <w:footnoteRef/>
      </w:r>
      <w:r>
        <w:t xml:space="preserve"> </w:t>
      </w:r>
      <w:r w:rsidRPr="00362FC6">
        <w:rPr>
          <w:i/>
        </w:rPr>
        <w:t>ibid</w:t>
      </w:r>
    </w:p>
  </w:footnote>
  <w:footnote w:id="22">
    <w:p w:rsidR="00BE3783" w:rsidRDefault="00BE3783">
      <w:pPr>
        <w:pStyle w:val="FootnoteText"/>
      </w:pPr>
      <w:r>
        <w:rPr>
          <w:rStyle w:val="FootnoteReference"/>
        </w:rPr>
        <w:footnoteRef/>
      </w:r>
      <w:r>
        <w:t xml:space="preserve"> </w:t>
      </w:r>
      <w:r w:rsidR="00EA7E73">
        <w:t xml:space="preserve">E. Peters, </w:t>
      </w:r>
      <w:r w:rsidR="00EA7E73">
        <w:rPr>
          <w:i/>
        </w:rPr>
        <w:t xml:space="preserve">Europe the World of the Middle Ages </w:t>
      </w:r>
      <w:r w:rsidR="00EA7E73">
        <w:t>(New Jersey; Prentice-Hall, 1977).</w:t>
      </w:r>
    </w:p>
  </w:footnote>
  <w:footnote w:id="23">
    <w:p w:rsidR="00BE3783" w:rsidRDefault="00BE3783">
      <w:pPr>
        <w:pStyle w:val="FootnoteText"/>
      </w:pPr>
      <w:r>
        <w:rPr>
          <w:rStyle w:val="FootnoteReference"/>
        </w:rPr>
        <w:footnoteRef/>
      </w:r>
      <w:r>
        <w:t xml:space="preserve"> </w:t>
      </w:r>
      <w:r w:rsidRPr="00362FC6">
        <w:rPr>
          <w:i/>
        </w:rPr>
        <w:t>ibid</w:t>
      </w:r>
    </w:p>
  </w:footnote>
  <w:footnote w:id="24">
    <w:p w:rsidR="00BE3783" w:rsidRPr="00842FA5" w:rsidRDefault="00BE3783">
      <w:pPr>
        <w:pStyle w:val="FootnoteText"/>
      </w:pPr>
      <w:r>
        <w:rPr>
          <w:rStyle w:val="FootnoteReference"/>
        </w:rPr>
        <w:footnoteRef/>
      </w:r>
      <w:r>
        <w:t xml:space="preserve"> </w:t>
      </w:r>
      <w:r w:rsidRPr="00362FC6">
        <w:rPr>
          <w:i/>
        </w:rPr>
        <w:t>ibid</w:t>
      </w:r>
    </w:p>
  </w:footnote>
  <w:footnote w:id="25">
    <w:p w:rsidR="00BE3783" w:rsidRDefault="00BE3783">
      <w:pPr>
        <w:pStyle w:val="FootnoteText"/>
      </w:pPr>
      <w:r>
        <w:rPr>
          <w:rStyle w:val="FootnoteReference"/>
        </w:rPr>
        <w:footnoteRef/>
      </w:r>
      <w:r>
        <w:t xml:space="preserve"> </w:t>
      </w:r>
      <w:r w:rsidR="00092BB6">
        <w:t xml:space="preserve">D. Nichols, </w:t>
      </w:r>
      <w:r w:rsidR="00092BB6">
        <w:rPr>
          <w:i/>
        </w:rPr>
        <w:t xml:space="preserve">The Evolution of the Medieval World: Society, Government and thought in Europe 312-1500 </w:t>
      </w:r>
      <w:r w:rsidR="00092BB6">
        <w:t>(London; Longman Group UK Ltd,</w:t>
      </w:r>
      <w:r w:rsidR="001A46D0">
        <w:t xml:space="preserve"> </w:t>
      </w:r>
      <w:r w:rsidR="00092BB6">
        <w:t>1992).</w:t>
      </w:r>
    </w:p>
  </w:footnote>
  <w:footnote w:id="26">
    <w:p w:rsidR="00BE3783" w:rsidRPr="00A7637F" w:rsidRDefault="00BE3783" w:rsidP="00A7637F">
      <w:pPr>
        <w:pStyle w:val="NoSpacing"/>
        <w:rPr>
          <w:b/>
          <w:sz w:val="20"/>
        </w:rPr>
      </w:pPr>
      <w:r w:rsidRPr="00A7637F">
        <w:rPr>
          <w:rStyle w:val="FootnoteReference"/>
          <w:sz w:val="20"/>
        </w:rPr>
        <w:footnoteRef/>
      </w:r>
      <w:r w:rsidRPr="00A7637F">
        <w:rPr>
          <w:sz w:val="20"/>
        </w:rPr>
        <w:t xml:space="preserve"> </w:t>
      </w:r>
      <w:r w:rsidR="001243B5">
        <w:t xml:space="preserve">R. </w:t>
      </w:r>
      <w:r w:rsidR="001243B5" w:rsidRPr="00A7637F">
        <w:rPr>
          <w:sz w:val="20"/>
        </w:rPr>
        <w:t xml:space="preserve">Bartlett, </w:t>
      </w:r>
      <w:r w:rsidR="001243B5" w:rsidRPr="001243B5">
        <w:rPr>
          <w:i/>
          <w:sz w:val="20"/>
        </w:rPr>
        <w:t>The Making of Europe – Conquest, Colonization and Cultural Change, 950-1350</w:t>
      </w:r>
      <w:r w:rsidR="001243B5" w:rsidRPr="00A7637F">
        <w:rPr>
          <w:sz w:val="20"/>
        </w:rPr>
        <w:t xml:space="preserve"> (</w:t>
      </w:r>
      <w:r w:rsidR="001243B5">
        <w:t xml:space="preserve">London; Penguin, </w:t>
      </w:r>
      <w:r w:rsidR="001243B5" w:rsidRPr="00A7637F">
        <w:rPr>
          <w:sz w:val="20"/>
        </w:rPr>
        <w:t>1993)</w:t>
      </w:r>
      <w:r w:rsidR="001243B5">
        <w:t>.</w:t>
      </w:r>
    </w:p>
  </w:footnote>
  <w:footnote w:id="27">
    <w:p w:rsidR="00DB0353" w:rsidRPr="00DB0353" w:rsidRDefault="00BE3783" w:rsidP="00A7637F">
      <w:pPr>
        <w:pStyle w:val="NoSpacing"/>
        <w:rPr>
          <w:sz w:val="20"/>
        </w:rPr>
      </w:pPr>
      <w:r w:rsidRPr="00A7637F">
        <w:rPr>
          <w:rStyle w:val="FootnoteReference"/>
          <w:sz w:val="20"/>
        </w:rPr>
        <w:footnoteRef/>
      </w:r>
      <w:r w:rsidRPr="00A7637F">
        <w:rPr>
          <w:sz w:val="20"/>
        </w:rPr>
        <w:t xml:space="preserve"> </w:t>
      </w:r>
      <w:r w:rsidR="00DB0353" w:rsidRPr="00A7637F">
        <w:rPr>
          <w:sz w:val="20"/>
        </w:rPr>
        <w:t>G. Barraclough</w:t>
      </w:r>
      <w:r w:rsidR="00DB0353">
        <w:rPr>
          <w:sz w:val="20"/>
        </w:rPr>
        <w:t xml:space="preserve">, </w:t>
      </w:r>
      <w:r w:rsidRPr="00DB0353">
        <w:rPr>
          <w:i/>
          <w:sz w:val="20"/>
        </w:rPr>
        <w:t>The Medieval Papacy</w:t>
      </w:r>
      <w:r w:rsidR="00DB0353">
        <w:rPr>
          <w:sz w:val="20"/>
        </w:rPr>
        <w:t xml:space="preserve"> (London; Thames and Hudson, 1968)</w:t>
      </w:r>
      <w:r w:rsidR="006F3369">
        <w:rPr>
          <w:sz w:val="20"/>
        </w:rPr>
        <w:t>.</w:t>
      </w:r>
    </w:p>
  </w:footnote>
  <w:footnote w:id="28">
    <w:p w:rsidR="00BE3783" w:rsidRDefault="00BE3783">
      <w:pPr>
        <w:pStyle w:val="FootnoteText"/>
      </w:pPr>
      <w:r>
        <w:rPr>
          <w:rStyle w:val="FootnoteReference"/>
        </w:rPr>
        <w:footnoteRef/>
      </w:r>
      <w:r>
        <w:t xml:space="preserve"> </w:t>
      </w:r>
      <w:r w:rsidRPr="00362FC6">
        <w:rPr>
          <w:i/>
        </w:rPr>
        <w:t>ibid</w:t>
      </w:r>
    </w:p>
  </w:footnote>
  <w:footnote w:id="29">
    <w:p w:rsidR="00BE3783" w:rsidRDefault="00BE3783">
      <w:pPr>
        <w:pStyle w:val="FootnoteText"/>
      </w:pPr>
      <w:r>
        <w:rPr>
          <w:rStyle w:val="FootnoteReference"/>
        </w:rPr>
        <w:footnoteRef/>
      </w:r>
      <w:r>
        <w:t xml:space="preserve"> </w:t>
      </w:r>
      <w:r w:rsidRPr="00362FC6">
        <w:rPr>
          <w:i/>
        </w:rPr>
        <w:t>ibid</w:t>
      </w:r>
    </w:p>
  </w:footnote>
  <w:footnote w:id="30">
    <w:p w:rsidR="00BE3783" w:rsidRDefault="00BE3783">
      <w:pPr>
        <w:pStyle w:val="FootnoteText"/>
      </w:pPr>
      <w:r>
        <w:rPr>
          <w:rStyle w:val="FootnoteReference"/>
        </w:rPr>
        <w:footnoteRef/>
      </w:r>
      <w:r>
        <w:t xml:space="preserve"> </w:t>
      </w:r>
      <w:r w:rsidRPr="00362FC6">
        <w:rPr>
          <w:i/>
        </w:rPr>
        <w:t>ibid</w:t>
      </w:r>
    </w:p>
  </w:footnote>
  <w:footnote w:id="31">
    <w:p w:rsidR="00BE3783" w:rsidRDefault="00BE3783">
      <w:pPr>
        <w:pStyle w:val="FootnoteText"/>
      </w:pPr>
      <w:r>
        <w:rPr>
          <w:rStyle w:val="FootnoteReference"/>
        </w:rPr>
        <w:footnoteRef/>
      </w:r>
      <w:r>
        <w:t xml:space="preserve"> </w:t>
      </w:r>
      <w:r w:rsidRPr="00362FC6">
        <w:rPr>
          <w:i/>
        </w:rPr>
        <w:t>ibid</w:t>
      </w:r>
    </w:p>
  </w:footnote>
  <w:footnote w:id="32">
    <w:p w:rsidR="00BE3783" w:rsidRDefault="00BE3783">
      <w:pPr>
        <w:pStyle w:val="FootnoteText"/>
      </w:pPr>
      <w:r>
        <w:rPr>
          <w:rStyle w:val="FootnoteReference"/>
        </w:rPr>
        <w:footnoteRef/>
      </w:r>
      <w:r>
        <w:t xml:space="preserve"> </w:t>
      </w:r>
      <w:r w:rsidRPr="00362FC6">
        <w:rPr>
          <w:i/>
        </w:rPr>
        <w:t>ibid</w:t>
      </w:r>
    </w:p>
  </w:footnote>
  <w:footnote w:id="33">
    <w:p w:rsidR="00BE3783" w:rsidRDefault="00BE3783">
      <w:pPr>
        <w:pStyle w:val="FootnoteText"/>
      </w:pPr>
      <w:r>
        <w:rPr>
          <w:rStyle w:val="FootnoteReference"/>
        </w:rPr>
        <w:footnoteRef/>
      </w:r>
      <w:r>
        <w:t xml:space="preserve"> </w:t>
      </w:r>
      <w:r w:rsidRPr="00362FC6">
        <w:rPr>
          <w:i/>
        </w:rPr>
        <w:t>ibid</w:t>
      </w:r>
    </w:p>
  </w:footnote>
  <w:footnote w:id="34">
    <w:p w:rsidR="00BE3783" w:rsidRDefault="00BE3783">
      <w:pPr>
        <w:pStyle w:val="FootnoteText"/>
      </w:pPr>
      <w:r>
        <w:rPr>
          <w:rStyle w:val="FootnoteReference"/>
        </w:rPr>
        <w:footnoteRef/>
      </w:r>
      <w:r>
        <w:t xml:space="preserve"> </w:t>
      </w:r>
      <w:r w:rsidRPr="00362FC6">
        <w:rPr>
          <w:i/>
        </w:rPr>
        <w:t>ibid</w:t>
      </w:r>
    </w:p>
  </w:footnote>
  <w:footnote w:id="35">
    <w:p w:rsidR="00BE3783" w:rsidRDefault="00BE3783">
      <w:pPr>
        <w:pStyle w:val="FootnoteText"/>
      </w:pPr>
      <w:r>
        <w:rPr>
          <w:rStyle w:val="FootnoteReference"/>
        </w:rPr>
        <w:footnoteRef/>
      </w:r>
      <w:r>
        <w:t xml:space="preserve"> </w:t>
      </w:r>
      <w:r w:rsidRPr="00362FC6">
        <w:rPr>
          <w:i/>
        </w:rPr>
        <w:t>ibid</w:t>
      </w:r>
    </w:p>
  </w:footnote>
  <w:footnote w:id="36">
    <w:p w:rsidR="000E031D" w:rsidRDefault="000E031D">
      <w:pPr>
        <w:pStyle w:val="FootnoteText"/>
      </w:pPr>
      <w:r>
        <w:rPr>
          <w:rStyle w:val="FootnoteReference"/>
        </w:rPr>
        <w:footnoteRef/>
      </w:r>
      <w:r>
        <w:t xml:space="preserve"> </w:t>
      </w:r>
      <w:r w:rsidR="001243B5">
        <w:t xml:space="preserve">R. </w:t>
      </w:r>
      <w:r w:rsidRPr="00A7637F">
        <w:t xml:space="preserve">Bartlett, </w:t>
      </w:r>
      <w:r w:rsidRPr="001243B5">
        <w:rPr>
          <w:i/>
        </w:rPr>
        <w:t>The Making of Europe – Conquest, Colonization and Cultural Change, 950-1350</w:t>
      </w:r>
      <w:r w:rsidRPr="00A7637F">
        <w:t xml:space="preserve"> (</w:t>
      </w:r>
      <w:r w:rsidR="001243B5">
        <w:t xml:space="preserve">London; Penguin, </w:t>
      </w:r>
      <w:r w:rsidRPr="00A7637F">
        <w:t>1993)</w:t>
      </w:r>
      <w:r w:rsidR="001243B5">
        <w:t>.</w:t>
      </w:r>
    </w:p>
  </w:footnote>
  <w:footnote w:id="37">
    <w:p w:rsidR="000E031D" w:rsidRDefault="000E031D">
      <w:pPr>
        <w:pStyle w:val="FootnoteText"/>
      </w:pPr>
      <w:r>
        <w:rPr>
          <w:rStyle w:val="FootnoteReference"/>
        </w:rPr>
        <w:footnoteRef/>
      </w:r>
      <w:r>
        <w:t xml:space="preserve"> </w:t>
      </w:r>
      <w:r w:rsidRPr="00362FC6">
        <w:rPr>
          <w:i/>
        </w:rPr>
        <w:t>ibid</w:t>
      </w:r>
    </w:p>
  </w:footnote>
  <w:footnote w:id="38">
    <w:p w:rsidR="00AC697A" w:rsidRPr="00AC697A" w:rsidRDefault="00AC697A">
      <w:pPr>
        <w:pStyle w:val="FootnoteText"/>
      </w:pPr>
      <w:r>
        <w:rPr>
          <w:rStyle w:val="FootnoteReference"/>
        </w:rPr>
        <w:footnoteRef/>
      </w:r>
      <w:r>
        <w:t xml:space="preserve"> </w:t>
      </w:r>
      <w:r w:rsidR="00570101">
        <w:t xml:space="preserve">G. </w:t>
      </w:r>
      <w:r>
        <w:t xml:space="preserve">Holmes, </w:t>
      </w:r>
      <w:r>
        <w:rPr>
          <w:i/>
        </w:rPr>
        <w:t xml:space="preserve">The Oxford Illustrated History of Medieval Europe </w:t>
      </w:r>
      <w:r>
        <w:t>(</w:t>
      </w:r>
      <w:r w:rsidR="00804AFF">
        <w:t xml:space="preserve">Oxford; Oxford University Press, </w:t>
      </w:r>
      <w:r>
        <w:t>1988)</w:t>
      </w:r>
      <w:r w:rsidR="00EA7E73">
        <w:t>.</w:t>
      </w:r>
    </w:p>
  </w:footnote>
  <w:footnote w:id="39">
    <w:p w:rsidR="00A64790" w:rsidRDefault="00A64790">
      <w:pPr>
        <w:pStyle w:val="FootnoteText"/>
      </w:pPr>
      <w:r>
        <w:rPr>
          <w:rStyle w:val="FootnoteReference"/>
        </w:rPr>
        <w:footnoteRef/>
      </w:r>
      <w:r>
        <w:t xml:space="preserve"> </w:t>
      </w:r>
      <w:r w:rsidRPr="00362FC6">
        <w:rPr>
          <w:i/>
        </w:rPr>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876"/>
    <w:rsid w:val="000177EE"/>
    <w:rsid w:val="00050551"/>
    <w:rsid w:val="00050C84"/>
    <w:rsid w:val="00074CA3"/>
    <w:rsid w:val="000815E8"/>
    <w:rsid w:val="00081F62"/>
    <w:rsid w:val="00090539"/>
    <w:rsid w:val="00092BB6"/>
    <w:rsid w:val="000B3F09"/>
    <w:rsid w:val="000E031D"/>
    <w:rsid w:val="000E7DFE"/>
    <w:rsid w:val="001243B5"/>
    <w:rsid w:val="00127DAA"/>
    <w:rsid w:val="00137054"/>
    <w:rsid w:val="001376F9"/>
    <w:rsid w:val="0014082D"/>
    <w:rsid w:val="001548C5"/>
    <w:rsid w:val="0016472F"/>
    <w:rsid w:val="00174521"/>
    <w:rsid w:val="001862E9"/>
    <w:rsid w:val="001A46D0"/>
    <w:rsid w:val="001B4F35"/>
    <w:rsid w:val="001D373F"/>
    <w:rsid w:val="001D6953"/>
    <w:rsid w:val="001F086D"/>
    <w:rsid w:val="001F1D9D"/>
    <w:rsid w:val="002104BF"/>
    <w:rsid w:val="002452A4"/>
    <w:rsid w:val="00251E31"/>
    <w:rsid w:val="00253876"/>
    <w:rsid w:val="00264404"/>
    <w:rsid w:val="002656F8"/>
    <w:rsid w:val="0028224C"/>
    <w:rsid w:val="002A14D0"/>
    <w:rsid w:val="002C4A1A"/>
    <w:rsid w:val="002E0E6F"/>
    <w:rsid w:val="002F29D6"/>
    <w:rsid w:val="002F5EE2"/>
    <w:rsid w:val="00300EC5"/>
    <w:rsid w:val="00321C0A"/>
    <w:rsid w:val="00346A8D"/>
    <w:rsid w:val="003472CC"/>
    <w:rsid w:val="0035315C"/>
    <w:rsid w:val="00354AFD"/>
    <w:rsid w:val="003615CB"/>
    <w:rsid w:val="00361FAB"/>
    <w:rsid w:val="00362FC6"/>
    <w:rsid w:val="00366F3E"/>
    <w:rsid w:val="00383C32"/>
    <w:rsid w:val="00392980"/>
    <w:rsid w:val="00394CAE"/>
    <w:rsid w:val="003B4BF2"/>
    <w:rsid w:val="003C1A20"/>
    <w:rsid w:val="004078C3"/>
    <w:rsid w:val="004300D7"/>
    <w:rsid w:val="00430BBA"/>
    <w:rsid w:val="00450B7D"/>
    <w:rsid w:val="00464B02"/>
    <w:rsid w:val="00497B84"/>
    <w:rsid w:val="004C197D"/>
    <w:rsid w:val="00505E73"/>
    <w:rsid w:val="00532F66"/>
    <w:rsid w:val="00557770"/>
    <w:rsid w:val="00563D86"/>
    <w:rsid w:val="00570101"/>
    <w:rsid w:val="005726CE"/>
    <w:rsid w:val="005A113F"/>
    <w:rsid w:val="005A3981"/>
    <w:rsid w:val="005F1B49"/>
    <w:rsid w:val="005F4DBC"/>
    <w:rsid w:val="006145DF"/>
    <w:rsid w:val="00633720"/>
    <w:rsid w:val="0064073D"/>
    <w:rsid w:val="00652CC7"/>
    <w:rsid w:val="00674DD9"/>
    <w:rsid w:val="00684F78"/>
    <w:rsid w:val="006A57DB"/>
    <w:rsid w:val="006B696C"/>
    <w:rsid w:val="006D4BF9"/>
    <w:rsid w:val="006D579C"/>
    <w:rsid w:val="006D60F5"/>
    <w:rsid w:val="006E4C31"/>
    <w:rsid w:val="006F2CAE"/>
    <w:rsid w:val="006F3369"/>
    <w:rsid w:val="006F3ACE"/>
    <w:rsid w:val="00701EC9"/>
    <w:rsid w:val="00721A7D"/>
    <w:rsid w:val="0072310A"/>
    <w:rsid w:val="007272C8"/>
    <w:rsid w:val="0073321C"/>
    <w:rsid w:val="0073491D"/>
    <w:rsid w:val="00735D45"/>
    <w:rsid w:val="00764FE7"/>
    <w:rsid w:val="00787A63"/>
    <w:rsid w:val="00792699"/>
    <w:rsid w:val="007C1C8A"/>
    <w:rsid w:val="007C3114"/>
    <w:rsid w:val="007E144C"/>
    <w:rsid w:val="007F661F"/>
    <w:rsid w:val="007F69BD"/>
    <w:rsid w:val="00804AFF"/>
    <w:rsid w:val="008107F4"/>
    <w:rsid w:val="00820269"/>
    <w:rsid w:val="008248E9"/>
    <w:rsid w:val="00842E95"/>
    <w:rsid w:val="00842FA5"/>
    <w:rsid w:val="00851932"/>
    <w:rsid w:val="00873405"/>
    <w:rsid w:val="008B7DA8"/>
    <w:rsid w:val="008C27DB"/>
    <w:rsid w:val="008D1C7A"/>
    <w:rsid w:val="008D1F1A"/>
    <w:rsid w:val="008E3B57"/>
    <w:rsid w:val="008E47AB"/>
    <w:rsid w:val="00906D10"/>
    <w:rsid w:val="00961E5C"/>
    <w:rsid w:val="00964E33"/>
    <w:rsid w:val="009840CB"/>
    <w:rsid w:val="00994ACA"/>
    <w:rsid w:val="009978D6"/>
    <w:rsid w:val="009A12E5"/>
    <w:rsid w:val="009B4B43"/>
    <w:rsid w:val="009B5450"/>
    <w:rsid w:val="009D017E"/>
    <w:rsid w:val="009E02C7"/>
    <w:rsid w:val="009F6D58"/>
    <w:rsid w:val="00A02989"/>
    <w:rsid w:val="00A04F52"/>
    <w:rsid w:val="00A36FAA"/>
    <w:rsid w:val="00A448E2"/>
    <w:rsid w:val="00A56C01"/>
    <w:rsid w:val="00A64790"/>
    <w:rsid w:val="00A7637F"/>
    <w:rsid w:val="00AB743D"/>
    <w:rsid w:val="00AC1BE6"/>
    <w:rsid w:val="00AC697A"/>
    <w:rsid w:val="00AD7C06"/>
    <w:rsid w:val="00AF3F62"/>
    <w:rsid w:val="00B06431"/>
    <w:rsid w:val="00B10DA9"/>
    <w:rsid w:val="00B17DC7"/>
    <w:rsid w:val="00B44598"/>
    <w:rsid w:val="00B5177B"/>
    <w:rsid w:val="00B5789D"/>
    <w:rsid w:val="00B62B83"/>
    <w:rsid w:val="00B84E6C"/>
    <w:rsid w:val="00B958DE"/>
    <w:rsid w:val="00BA5336"/>
    <w:rsid w:val="00BA5AF1"/>
    <w:rsid w:val="00BA6E0B"/>
    <w:rsid w:val="00BC1F08"/>
    <w:rsid w:val="00BC720A"/>
    <w:rsid w:val="00BD02B9"/>
    <w:rsid w:val="00BD13D2"/>
    <w:rsid w:val="00BE3783"/>
    <w:rsid w:val="00BE443C"/>
    <w:rsid w:val="00C02325"/>
    <w:rsid w:val="00C043D0"/>
    <w:rsid w:val="00C13387"/>
    <w:rsid w:val="00C1679C"/>
    <w:rsid w:val="00C27F5C"/>
    <w:rsid w:val="00C47804"/>
    <w:rsid w:val="00C658BB"/>
    <w:rsid w:val="00C71D63"/>
    <w:rsid w:val="00C765F5"/>
    <w:rsid w:val="00C85759"/>
    <w:rsid w:val="00CA7245"/>
    <w:rsid w:val="00CB458B"/>
    <w:rsid w:val="00CE75B5"/>
    <w:rsid w:val="00D10D71"/>
    <w:rsid w:val="00D21C83"/>
    <w:rsid w:val="00D309A0"/>
    <w:rsid w:val="00D4475F"/>
    <w:rsid w:val="00D471DF"/>
    <w:rsid w:val="00D5063B"/>
    <w:rsid w:val="00D5118B"/>
    <w:rsid w:val="00D93806"/>
    <w:rsid w:val="00DA4D0D"/>
    <w:rsid w:val="00DB0353"/>
    <w:rsid w:val="00DB5B99"/>
    <w:rsid w:val="00E01FF4"/>
    <w:rsid w:val="00E04E82"/>
    <w:rsid w:val="00E06CF8"/>
    <w:rsid w:val="00E07541"/>
    <w:rsid w:val="00E13644"/>
    <w:rsid w:val="00E276C8"/>
    <w:rsid w:val="00E34B15"/>
    <w:rsid w:val="00E6482A"/>
    <w:rsid w:val="00E74DA4"/>
    <w:rsid w:val="00E75DF3"/>
    <w:rsid w:val="00E902AD"/>
    <w:rsid w:val="00E92E68"/>
    <w:rsid w:val="00E940B4"/>
    <w:rsid w:val="00EA4B12"/>
    <w:rsid w:val="00EA7E73"/>
    <w:rsid w:val="00ED1654"/>
    <w:rsid w:val="00EE25C8"/>
    <w:rsid w:val="00F05C90"/>
    <w:rsid w:val="00F16A7B"/>
    <w:rsid w:val="00F204A2"/>
    <w:rsid w:val="00F307B0"/>
    <w:rsid w:val="00F33546"/>
    <w:rsid w:val="00F40390"/>
    <w:rsid w:val="00F468F7"/>
    <w:rsid w:val="00F6487C"/>
    <w:rsid w:val="00F81A59"/>
    <w:rsid w:val="00FC08CA"/>
    <w:rsid w:val="00FE4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B27E76D-9E22-4FED-A900-F54ABDB1F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7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5B5"/>
  </w:style>
  <w:style w:type="paragraph" w:styleId="Footer">
    <w:name w:val="footer"/>
    <w:basedOn w:val="Normal"/>
    <w:link w:val="FooterChar"/>
    <w:uiPriority w:val="99"/>
    <w:unhideWhenUsed/>
    <w:rsid w:val="00CE7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5B5"/>
  </w:style>
  <w:style w:type="paragraph" w:styleId="FootnoteText">
    <w:name w:val="footnote text"/>
    <w:basedOn w:val="Normal"/>
    <w:link w:val="FootnoteTextChar"/>
    <w:uiPriority w:val="99"/>
    <w:semiHidden/>
    <w:unhideWhenUsed/>
    <w:rsid w:val="001376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76F9"/>
    <w:rPr>
      <w:sz w:val="20"/>
      <w:szCs w:val="20"/>
    </w:rPr>
  </w:style>
  <w:style w:type="character" w:styleId="FootnoteReference">
    <w:name w:val="footnote reference"/>
    <w:basedOn w:val="DefaultParagraphFont"/>
    <w:uiPriority w:val="99"/>
    <w:semiHidden/>
    <w:unhideWhenUsed/>
    <w:rsid w:val="001376F9"/>
    <w:rPr>
      <w:vertAlign w:val="superscript"/>
    </w:rPr>
  </w:style>
  <w:style w:type="paragraph" w:styleId="NoSpacing">
    <w:name w:val="No Spacing"/>
    <w:uiPriority w:val="1"/>
    <w:qFormat/>
    <w:rsid w:val="00A763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E6896-F657-4A6E-9503-2FF028BD0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2622</Words>
  <Characters>14951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6</cp:revision>
  <dcterms:created xsi:type="dcterms:W3CDTF">2017-11-17T13:07:00Z</dcterms:created>
  <dcterms:modified xsi:type="dcterms:W3CDTF">2017-11-17T13:15:00Z</dcterms:modified>
</cp:coreProperties>
</file>