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A624B3" w14:textId="77777777" w:rsidR="00BD211B" w:rsidRPr="00512AEC" w:rsidRDefault="00BD211B" w:rsidP="00512AEC">
      <w:pPr>
        <w:spacing w:line="360" w:lineRule="auto"/>
        <w:jc w:val="center"/>
        <w:rPr>
          <w:rFonts w:ascii="Arial" w:hAnsi="Arial" w:cs="Arial"/>
        </w:rPr>
      </w:pPr>
    </w:p>
    <w:p w14:paraId="77DAC968" w14:textId="77777777" w:rsidR="003F07C9" w:rsidRPr="00512AEC" w:rsidRDefault="003F07C9" w:rsidP="00512AEC">
      <w:pPr>
        <w:spacing w:line="360" w:lineRule="auto"/>
        <w:jc w:val="center"/>
        <w:rPr>
          <w:rFonts w:ascii="Arial" w:hAnsi="Arial" w:cs="Arial"/>
        </w:rPr>
      </w:pPr>
    </w:p>
    <w:p w14:paraId="1F6D8794" w14:textId="77777777" w:rsidR="003F07C9" w:rsidRPr="00512AEC" w:rsidRDefault="003F07C9" w:rsidP="00512AEC">
      <w:pPr>
        <w:spacing w:line="360" w:lineRule="auto"/>
        <w:jc w:val="center"/>
        <w:rPr>
          <w:rFonts w:ascii="Arial" w:hAnsi="Arial" w:cs="Arial"/>
        </w:rPr>
      </w:pPr>
    </w:p>
    <w:p w14:paraId="47F708B7" w14:textId="77777777" w:rsidR="003F07C9" w:rsidRPr="00512AEC" w:rsidRDefault="003F07C9" w:rsidP="00512AEC">
      <w:pPr>
        <w:spacing w:line="360" w:lineRule="auto"/>
        <w:jc w:val="center"/>
        <w:rPr>
          <w:rFonts w:ascii="Arial" w:hAnsi="Arial" w:cs="Arial"/>
        </w:rPr>
      </w:pPr>
    </w:p>
    <w:p w14:paraId="6B16270D" w14:textId="77777777" w:rsidR="003F07C9" w:rsidRPr="00512AEC" w:rsidRDefault="003F07C9" w:rsidP="00512AEC">
      <w:pPr>
        <w:spacing w:line="360" w:lineRule="auto"/>
        <w:jc w:val="center"/>
        <w:rPr>
          <w:rFonts w:ascii="Arial" w:hAnsi="Arial" w:cs="Arial"/>
        </w:rPr>
      </w:pPr>
    </w:p>
    <w:p w14:paraId="4BE4FE01" w14:textId="77777777" w:rsidR="003F07C9" w:rsidRPr="00512AEC" w:rsidRDefault="003F07C9" w:rsidP="00512AEC">
      <w:pPr>
        <w:spacing w:line="360" w:lineRule="auto"/>
        <w:jc w:val="center"/>
        <w:rPr>
          <w:rFonts w:ascii="Arial" w:hAnsi="Arial" w:cs="Arial"/>
        </w:rPr>
      </w:pPr>
    </w:p>
    <w:p w14:paraId="2AF155F0" w14:textId="77777777" w:rsidR="003F07C9" w:rsidRPr="00512AEC" w:rsidRDefault="003F07C9" w:rsidP="00512AEC">
      <w:pPr>
        <w:spacing w:line="360" w:lineRule="auto"/>
        <w:jc w:val="center"/>
        <w:rPr>
          <w:rFonts w:ascii="Arial" w:hAnsi="Arial" w:cs="Arial"/>
        </w:rPr>
      </w:pPr>
    </w:p>
    <w:p w14:paraId="077AAF68" w14:textId="77777777" w:rsidR="003F07C9" w:rsidRPr="00512AEC" w:rsidRDefault="003F07C9" w:rsidP="00512AEC">
      <w:pPr>
        <w:spacing w:line="360" w:lineRule="auto"/>
        <w:jc w:val="center"/>
        <w:rPr>
          <w:rFonts w:ascii="Arial" w:hAnsi="Arial" w:cs="Arial"/>
        </w:rPr>
      </w:pPr>
      <w:r w:rsidRPr="00512AEC">
        <w:rPr>
          <w:rFonts w:ascii="Arial" w:hAnsi="Arial" w:cs="Arial"/>
          <w:noProof/>
          <w:lang w:val="en-US"/>
        </w:rPr>
        <w:drawing>
          <wp:inline distT="0" distB="0" distL="0" distR="0" wp14:anchorId="062FC1B7" wp14:editId="0F4DCFAC">
            <wp:extent cx="5943600" cy="2320244"/>
            <wp:effectExtent l="0" t="0" r="0" b="4445"/>
            <wp:docPr id="1" name="Picture 1" descr="Toyota Motor Manufacturing UK | TOYOTA Motor Manufacturin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Motor Manufacturing UK | TOYOTA Motor Manufacturing 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320244"/>
                    </a:xfrm>
                    <a:prstGeom prst="rect">
                      <a:avLst/>
                    </a:prstGeom>
                    <a:noFill/>
                    <a:ln>
                      <a:noFill/>
                    </a:ln>
                  </pic:spPr>
                </pic:pic>
              </a:graphicData>
            </a:graphic>
          </wp:inline>
        </w:drawing>
      </w:r>
    </w:p>
    <w:p w14:paraId="08A7ECBF" w14:textId="77777777" w:rsidR="003F07C9" w:rsidRPr="00512AEC" w:rsidRDefault="003F07C9" w:rsidP="00512AEC">
      <w:pPr>
        <w:spacing w:line="360" w:lineRule="auto"/>
        <w:rPr>
          <w:rFonts w:ascii="Arial" w:hAnsi="Arial" w:cs="Arial"/>
        </w:rPr>
      </w:pPr>
    </w:p>
    <w:p w14:paraId="2D320533" w14:textId="77777777" w:rsidR="003F07C9" w:rsidRPr="00512AEC" w:rsidRDefault="003F07C9" w:rsidP="00512AEC">
      <w:pPr>
        <w:spacing w:line="360" w:lineRule="auto"/>
        <w:rPr>
          <w:rFonts w:ascii="Arial" w:hAnsi="Arial" w:cs="Arial"/>
        </w:rPr>
      </w:pPr>
    </w:p>
    <w:p w14:paraId="72FE36A3" w14:textId="77777777" w:rsidR="003F07C9" w:rsidRPr="00512AEC" w:rsidRDefault="003F07C9" w:rsidP="00512AEC">
      <w:pPr>
        <w:spacing w:line="360" w:lineRule="auto"/>
        <w:rPr>
          <w:rFonts w:ascii="Arial" w:hAnsi="Arial" w:cs="Arial"/>
        </w:rPr>
      </w:pPr>
    </w:p>
    <w:p w14:paraId="1D830580" w14:textId="77777777" w:rsidR="003F07C9" w:rsidRPr="00512AEC" w:rsidRDefault="003F07C9" w:rsidP="00512AEC">
      <w:pPr>
        <w:spacing w:line="360" w:lineRule="auto"/>
        <w:rPr>
          <w:rFonts w:ascii="Arial" w:hAnsi="Arial" w:cs="Arial"/>
        </w:rPr>
      </w:pPr>
    </w:p>
    <w:p w14:paraId="4676C3C2" w14:textId="77777777" w:rsidR="003F07C9" w:rsidRPr="00512AEC" w:rsidRDefault="003F07C9" w:rsidP="00512AEC">
      <w:pPr>
        <w:spacing w:line="360" w:lineRule="auto"/>
        <w:rPr>
          <w:rFonts w:ascii="Arial" w:hAnsi="Arial" w:cs="Arial"/>
        </w:rPr>
      </w:pPr>
    </w:p>
    <w:p w14:paraId="5540D586" w14:textId="77777777" w:rsidR="003F07C9" w:rsidRPr="00512AEC" w:rsidRDefault="003F07C9" w:rsidP="00512AEC">
      <w:pPr>
        <w:spacing w:line="360" w:lineRule="auto"/>
        <w:rPr>
          <w:rFonts w:ascii="Arial" w:hAnsi="Arial" w:cs="Arial"/>
        </w:rPr>
      </w:pPr>
    </w:p>
    <w:p w14:paraId="334C4CAC" w14:textId="77777777" w:rsidR="003F07C9" w:rsidRPr="00512AEC" w:rsidRDefault="003F07C9" w:rsidP="00512AEC">
      <w:pPr>
        <w:spacing w:line="360" w:lineRule="auto"/>
        <w:rPr>
          <w:rFonts w:ascii="Arial" w:hAnsi="Arial" w:cs="Arial"/>
        </w:rPr>
      </w:pPr>
    </w:p>
    <w:p w14:paraId="112637E8" w14:textId="77777777" w:rsidR="003F07C9" w:rsidRPr="00512AEC" w:rsidRDefault="003F07C9" w:rsidP="00512AEC">
      <w:pPr>
        <w:spacing w:line="360" w:lineRule="auto"/>
        <w:rPr>
          <w:rFonts w:ascii="Arial" w:hAnsi="Arial" w:cs="Arial"/>
        </w:rPr>
      </w:pPr>
    </w:p>
    <w:p w14:paraId="023B7575" w14:textId="77777777" w:rsidR="003F07C9" w:rsidRPr="00512AEC" w:rsidRDefault="003F07C9" w:rsidP="00512AEC">
      <w:pPr>
        <w:spacing w:line="360" w:lineRule="auto"/>
        <w:rPr>
          <w:rFonts w:ascii="Arial" w:hAnsi="Arial" w:cs="Arial"/>
        </w:rPr>
      </w:pPr>
    </w:p>
    <w:p w14:paraId="3E15C97E" w14:textId="77777777" w:rsidR="003F07C9" w:rsidRPr="00512AEC" w:rsidRDefault="003F07C9" w:rsidP="00512AEC">
      <w:pPr>
        <w:spacing w:line="360" w:lineRule="auto"/>
        <w:rPr>
          <w:rFonts w:ascii="Arial" w:hAnsi="Arial" w:cs="Arial"/>
        </w:rPr>
      </w:pPr>
    </w:p>
    <w:p w14:paraId="64DFC542" w14:textId="77777777" w:rsidR="003F07C9" w:rsidRPr="00512AEC" w:rsidRDefault="003F07C9" w:rsidP="00512AEC">
      <w:pPr>
        <w:spacing w:line="360" w:lineRule="auto"/>
        <w:rPr>
          <w:rFonts w:ascii="Arial" w:hAnsi="Arial" w:cs="Arial"/>
        </w:rPr>
      </w:pPr>
    </w:p>
    <w:p w14:paraId="779F67B0" w14:textId="77777777" w:rsidR="003F07C9" w:rsidRPr="00512AEC" w:rsidRDefault="003F07C9" w:rsidP="00512AEC">
      <w:pPr>
        <w:spacing w:line="360" w:lineRule="auto"/>
        <w:jc w:val="center"/>
        <w:rPr>
          <w:rFonts w:ascii="Arial" w:hAnsi="Arial" w:cs="Arial"/>
          <w:color w:val="000000" w:themeColor="text1"/>
        </w:rPr>
      </w:pPr>
      <w:r w:rsidRPr="00512AEC">
        <w:rPr>
          <w:rStyle w:val="Strong"/>
          <w:rFonts w:ascii="Arial" w:hAnsi="Arial" w:cs="Arial"/>
          <w:color w:val="0F1115"/>
          <w:shd w:val="clear" w:color="auto" w:fill="FFFFFF"/>
        </w:rPr>
        <w:t>A Strategic Change Plan: Digital Transformation and EV Transition at Toyota Motor Manufacturing UK (TMUK)</w:t>
      </w:r>
    </w:p>
    <w:p w14:paraId="3959CEAA" w14:textId="77777777" w:rsidR="003F07C9" w:rsidRPr="00512AEC" w:rsidRDefault="003F07C9" w:rsidP="00512AEC">
      <w:pPr>
        <w:spacing w:line="360" w:lineRule="auto"/>
        <w:rPr>
          <w:rFonts w:ascii="Arial" w:hAnsi="Arial" w:cs="Arial"/>
        </w:rPr>
      </w:pPr>
    </w:p>
    <w:p w14:paraId="455A0FD2" w14:textId="77777777" w:rsidR="003F07C9" w:rsidRPr="00512AEC" w:rsidRDefault="003F07C9" w:rsidP="00512AEC">
      <w:pPr>
        <w:spacing w:line="360" w:lineRule="auto"/>
        <w:rPr>
          <w:rFonts w:ascii="Arial" w:hAnsi="Arial" w:cs="Arial"/>
        </w:rPr>
      </w:pPr>
    </w:p>
    <w:p w14:paraId="2B1DD0BE" w14:textId="77777777" w:rsidR="003F07C9" w:rsidRPr="00512AEC" w:rsidRDefault="003F07C9" w:rsidP="00512AEC">
      <w:pPr>
        <w:spacing w:line="360" w:lineRule="auto"/>
        <w:rPr>
          <w:rFonts w:ascii="Arial" w:hAnsi="Arial" w:cs="Arial"/>
        </w:rPr>
      </w:pPr>
    </w:p>
    <w:p w14:paraId="31DDE09E" w14:textId="77777777" w:rsidR="003F07C9" w:rsidRPr="00512AEC" w:rsidRDefault="003F07C9" w:rsidP="00512AEC">
      <w:pPr>
        <w:spacing w:line="360" w:lineRule="auto"/>
        <w:jc w:val="center"/>
        <w:rPr>
          <w:rFonts w:ascii="Arial" w:hAnsi="Arial" w:cs="Arial"/>
        </w:rPr>
      </w:pPr>
      <w:r w:rsidRPr="00512AEC">
        <w:rPr>
          <w:rFonts w:ascii="Arial" w:hAnsi="Arial" w:cs="Arial"/>
        </w:rPr>
        <w:t>BA (Hons) Leadership and Management Skills for the Workplace</w:t>
      </w:r>
    </w:p>
    <w:p w14:paraId="27FECDD7" w14:textId="77777777" w:rsidR="003F07C9" w:rsidRPr="00512AEC" w:rsidRDefault="003F07C9" w:rsidP="00512AEC">
      <w:pPr>
        <w:spacing w:line="360" w:lineRule="auto"/>
        <w:jc w:val="center"/>
        <w:rPr>
          <w:rFonts w:ascii="Arial" w:hAnsi="Arial" w:cs="Arial"/>
          <w:b/>
          <w:bCs/>
        </w:rPr>
      </w:pPr>
      <w:r w:rsidRPr="00512AEC">
        <w:rPr>
          <w:rFonts w:ascii="Arial" w:hAnsi="Arial" w:cs="Arial"/>
        </w:rPr>
        <w:t xml:space="preserve">Module: </w:t>
      </w:r>
      <w:r w:rsidRPr="00512AEC">
        <w:rPr>
          <w:rFonts w:ascii="Arial" w:hAnsi="Arial" w:cs="Arial"/>
          <w:b/>
          <w:bCs/>
        </w:rPr>
        <w:t>Leading and Implementing Change (LCLM6003)</w:t>
      </w:r>
    </w:p>
    <w:p w14:paraId="752B6CAC" w14:textId="77777777" w:rsidR="003F07C9" w:rsidRPr="00512AEC" w:rsidRDefault="003F07C9" w:rsidP="00512AEC">
      <w:pPr>
        <w:spacing w:line="360" w:lineRule="auto"/>
        <w:jc w:val="center"/>
        <w:rPr>
          <w:rFonts w:ascii="Arial" w:hAnsi="Arial" w:cs="Arial"/>
        </w:rPr>
      </w:pPr>
      <w:r w:rsidRPr="00512AEC">
        <w:rPr>
          <w:rFonts w:ascii="Arial" w:hAnsi="Arial" w:cs="Arial"/>
        </w:rPr>
        <w:t xml:space="preserve">Assignment Title: </w:t>
      </w:r>
      <w:r w:rsidRPr="00512AEC">
        <w:rPr>
          <w:rFonts w:ascii="Arial" w:hAnsi="Arial" w:cs="Arial"/>
          <w:b/>
          <w:bCs/>
        </w:rPr>
        <w:t>A Strategic Change Plan</w:t>
      </w:r>
    </w:p>
    <w:p w14:paraId="1DF4EBD6" w14:textId="77777777" w:rsidR="003F07C9" w:rsidRPr="00512AEC" w:rsidRDefault="003F07C9" w:rsidP="00512AEC">
      <w:pPr>
        <w:spacing w:line="360" w:lineRule="auto"/>
        <w:jc w:val="center"/>
        <w:rPr>
          <w:rFonts w:ascii="Arial" w:hAnsi="Arial" w:cs="Arial"/>
        </w:rPr>
      </w:pPr>
      <w:r w:rsidRPr="00512AEC">
        <w:rPr>
          <w:rFonts w:ascii="Arial" w:hAnsi="Arial" w:cs="Arial"/>
        </w:rPr>
        <w:t xml:space="preserve">Student Name: Ansar Ali </w:t>
      </w:r>
    </w:p>
    <w:p w14:paraId="58083334" w14:textId="77777777" w:rsidR="003F07C9" w:rsidRPr="00512AEC" w:rsidRDefault="003F07C9" w:rsidP="00512AEC">
      <w:pPr>
        <w:spacing w:line="360" w:lineRule="auto"/>
        <w:jc w:val="center"/>
        <w:rPr>
          <w:rFonts w:ascii="Arial" w:hAnsi="Arial" w:cs="Arial"/>
        </w:rPr>
      </w:pPr>
      <w:r w:rsidRPr="00512AEC">
        <w:rPr>
          <w:rFonts w:ascii="Arial" w:hAnsi="Arial" w:cs="Arial"/>
        </w:rPr>
        <w:t>Student ID: 2319374</w:t>
      </w:r>
    </w:p>
    <w:p w14:paraId="4DA13026" w14:textId="77777777" w:rsidR="003F07C9" w:rsidRPr="00512AEC" w:rsidRDefault="003F07C9" w:rsidP="00512AEC">
      <w:pPr>
        <w:spacing w:line="360" w:lineRule="auto"/>
        <w:jc w:val="center"/>
        <w:rPr>
          <w:rFonts w:ascii="Arial" w:hAnsi="Arial" w:cs="Arial"/>
        </w:rPr>
      </w:pPr>
      <w:r w:rsidRPr="00512AEC">
        <w:rPr>
          <w:rFonts w:ascii="Arial" w:hAnsi="Arial" w:cs="Arial"/>
        </w:rPr>
        <w:t>Word Count: 4394</w:t>
      </w:r>
    </w:p>
    <w:p w14:paraId="3BC10EFA" w14:textId="77777777" w:rsidR="003F07C9" w:rsidRPr="00512AEC" w:rsidRDefault="003F07C9" w:rsidP="00512AEC">
      <w:pPr>
        <w:spacing w:line="360" w:lineRule="auto"/>
        <w:jc w:val="both"/>
        <w:rPr>
          <w:rFonts w:ascii="Arial" w:hAnsi="Arial" w:cs="Arial"/>
        </w:rPr>
      </w:pPr>
    </w:p>
    <w:p w14:paraId="7868593E" w14:textId="77777777" w:rsidR="003F07C9" w:rsidRPr="00512AEC" w:rsidRDefault="003F07C9" w:rsidP="00512AEC">
      <w:pPr>
        <w:spacing w:line="360" w:lineRule="auto"/>
        <w:jc w:val="both"/>
        <w:rPr>
          <w:rFonts w:ascii="Arial" w:hAnsi="Arial" w:cs="Arial"/>
        </w:rPr>
      </w:pPr>
    </w:p>
    <w:p w14:paraId="5634AA37" w14:textId="77777777" w:rsidR="003F07C9" w:rsidRPr="00512AEC" w:rsidRDefault="003F07C9" w:rsidP="00512AEC">
      <w:pPr>
        <w:spacing w:line="360" w:lineRule="auto"/>
        <w:jc w:val="both"/>
        <w:rPr>
          <w:rFonts w:ascii="Arial" w:hAnsi="Arial" w:cs="Arial"/>
        </w:rPr>
      </w:pPr>
    </w:p>
    <w:p w14:paraId="3D72E236" w14:textId="77777777" w:rsidR="003F07C9" w:rsidRPr="00512AEC" w:rsidRDefault="003F07C9" w:rsidP="00512AEC">
      <w:pPr>
        <w:spacing w:line="360" w:lineRule="auto"/>
        <w:jc w:val="both"/>
        <w:rPr>
          <w:rFonts w:ascii="Arial" w:hAnsi="Arial" w:cs="Arial"/>
        </w:rPr>
      </w:pPr>
    </w:p>
    <w:p w14:paraId="7B5D1079" w14:textId="77777777" w:rsidR="003F07C9" w:rsidRPr="00512AEC" w:rsidRDefault="003F07C9" w:rsidP="00512AEC">
      <w:pPr>
        <w:spacing w:line="360" w:lineRule="auto"/>
        <w:jc w:val="both"/>
        <w:rPr>
          <w:rFonts w:ascii="Arial" w:hAnsi="Arial" w:cs="Arial"/>
        </w:rPr>
      </w:pPr>
    </w:p>
    <w:p w14:paraId="3C4DF083" w14:textId="77777777" w:rsidR="003F07C9" w:rsidRPr="00512AEC" w:rsidRDefault="003F07C9" w:rsidP="00512AEC">
      <w:pPr>
        <w:spacing w:line="360" w:lineRule="auto"/>
        <w:jc w:val="both"/>
        <w:rPr>
          <w:rFonts w:ascii="Arial" w:hAnsi="Arial" w:cs="Arial"/>
        </w:rPr>
      </w:pPr>
    </w:p>
    <w:p w14:paraId="1510A37D" w14:textId="77777777" w:rsidR="003F07C9" w:rsidRPr="00512AEC" w:rsidRDefault="003F07C9" w:rsidP="00512AEC">
      <w:pPr>
        <w:spacing w:line="360" w:lineRule="auto"/>
        <w:jc w:val="both"/>
        <w:rPr>
          <w:rFonts w:ascii="Arial" w:hAnsi="Arial" w:cs="Arial"/>
        </w:rPr>
      </w:pPr>
    </w:p>
    <w:p w14:paraId="3A5CBA58" w14:textId="77777777" w:rsidR="003F07C9" w:rsidRPr="00512AEC" w:rsidRDefault="003F07C9" w:rsidP="00512AEC">
      <w:pPr>
        <w:spacing w:line="360" w:lineRule="auto"/>
        <w:jc w:val="both"/>
        <w:rPr>
          <w:rFonts w:ascii="Arial" w:hAnsi="Arial" w:cs="Arial"/>
        </w:rPr>
      </w:pPr>
    </w:p>
    <w:p w14:paraId="126583D5" w14:textId="77777777" w:rsidR="003F07C9" w:rsidRPr="00512AEC" w:rsidRDefault="003F07C9" w:rsidP="00512AEC">
      <w:pPr>
        <w:spacing w:line="360" w:lineRule="auto"/>
        <w:jc w:val="both"/>
        <w:rPr>
          <w:rFonts w:ascii="Arial" w:hAnsi="Arial" w:cs="Arial"/>
        </w:rPr>
      </w:pPr>
    </w:p>
    <w:p w14:paraId="5B7F4F41" w14:textId="77777777" w:rsidR="003F07C9" w:rsidRPr="00512AEC" w:rsidRDefault="003F07C9" w:rsidP="00512AEC">
      <w:pPr>
        <w:spacing w:line="360" w:lineRule="auto"/>
        <w:jc w:val="both"/>
        <w:rPr>
          <w:rFonts w:ascii="Arial" w:hAnsi="Arial" w:cs="Arial"/>
        </w:rPr>
      </w:pPr>
    </w:p>
    <w:p w14:paraId="3E105864" w14:textId="77777777" w:rsidR="003F07C9" w:rsidRPr="00512AEC" w:rsidRDefault="003F07C9" w:rsidP="00512AEC">
      <w:pPr>
        <w:pStyle w:val="Heading1"/>
        <w:spacing w:line="360" w:lineRule="auto"/>
        <w:rPr>
          <w:rFonts w:ascii="Arial" w:hAnsi="Arial" w:cs="Arial"/>
          <w:sz w:val="22"/>
          <w:szCs w:val="22"/>
        </w:rPr>
      </w:pPr>
      <w:bookmarkStart w:id="0" w:name="_Toc234292970"/>
      <w:r w:rsidRPr="00512AEC">
        <w:rPr>
          <w:rFonts w:ascii="Arial" w:hAnsi="Arial" w:cs="Arial"/>
          <w:sz w:val="22"/>
          <w:szCs w:val="22"/>
        </w:rPr>
        <w:t>Executive Summary</w:t>
      </w:r>
      <w:bookmarkEnd w:id="0"/>
      <w:r w:rsidRPr="00512AEC">
        <w:rPr>
          <w:rFonts w:ascii="Arial" w:hAnsi="Arial" w:cs="Arial"/>
          <w:sz w:val="22"/>
          <w:szCs w:val="22"/>
        </w:rPr>
        <w:t xml:space="preserve"> </w:t>
      </w:r>
    </w:p>
    <w:p w14:paraId="141BBDC3" w14:textId="77777777" w:rsidR="003F07C9" w:rsidRPr="00512AEC" w:rsidRDefault="003F07C9" w:rsidP="00512AEC">
      <w:pPr>
        <w:spacing w:line="360" w:lineRule="auto"/>
        <w:rPr>
          <w:rFonts w:ascii="Arial" w:hAnsi="Arial" w:cs="Arial"/>
        </w:rPr>
      </w:pPr>
      <w:r w:rsidRPr="00512AEC">
        <w:rPr>
          <w:rFonts w:ascii="Arial" w:hAnsi="Arial" w:cs="Arial"/>
        </w:rPr>
        <w:t>This report outlines a strategic transformation plan for Toyota Motor Manufacturing UK (TMUK) in response to unprecedented regulatory, technological and competitive pressures that are being experienced by the automotive industry. To meet the requirements of the Zero Emission Vehicle (ZEV) mandate, digitalisation requirements, and the growing competition from EV manufacturers, TMUK is seeking to transition from hybrid to EVs. Through analysing PESTLE and SWOT frameworks, it is seen that TMUK has a number of strengths including the Toyota Production System and a culture of continuous improvement; however, there are strategic weaknesses because of TMUK's hybrid technology path dependency. A hybrid change management model is suggested that combines the eight steps of Kotter and the individual change approach of ADKAR, with the situational leadership model. The £45m, 24-month Project Kaizen Digital is a transformation programme that will include EV battery assembly capability, the implementation of Industry 4.0 technologies and 80% of the workforce becoming digitally literate. Its implementation needs to balance TMUK's culture with the ability to adapt to a turbulent manufacturing environment in order to achieve long-term change.</w:t>
      </w:r>
    </w:p>
    <w:p w14:paraId="074B959E" w14:textId="77777777" w:rsidR="003F07C9" w:rsidRPr="00512AEC" w:rsidRDefault="003F07C9" w:rsidP="00512AEC">
      <w:pPr>
        <w:pStyle w:val="Heading1"/>
        <w:spacing w:line="360" w:lineRule="auto"/>
        <w:rPr>
          <w:rFonts w:ascii="Arial" w:hAnsi="Arial" w:cs="Arial"/>
          <w:sz w:val="22"/>
          <w:szCs w:val="22"/>
        </w:rPr>
      </w:pPr>
      <w:r w:rsidRPr="00512AEC">
        <w:rPr>
          <w:rFonts w:ascii="Arial" w:hAnsi="Arial" w:cs="Arial"/>
          <w:sz w:val="22"/>
          <w:szCs w:val="22"/>
        </w:rPr>
        <w:br w:type="page"/>
      </w:r>
    </w:p>
    <w:sdt>
      <w:sdtPr>
        <w:rPr>
          <w:rFonts w:ascii="Arial" w:eastAsia="Calibri" w:hAnsi="Arial" w:cs="Arial"/>
          <w:color w:val="000000"/>
          <w:sz w:val="22"/>
          <w:szCs w:val="22"/>
          <w:lang w:val="en-GB" w:eastAsia="en-GB"/>
        </w:rPr>
        <w:id w:val="-1490708316"/>
        <w:docPartObj>
          <w:docPartGallery w:val="Table of Contents"/>
          <w:docPartUnique/>
        </w:docPartObj>
      </w:sdtPr>
      <w:sdtEndPr>
        <w:rPr>
          <w:rFonts w:eastAsiaTheme="minorHAnsi"/>
          <w:b/>
          <w:bCs/>
          <w:noProof/>
          <w:color w:val="auto"/>
          <w:lang w:eastAsia="en-US"/>
        </w:rPr>
      </w:sdtEndPr>
      <w:sdtContent>
        <w:p w14:paraId="79B79594" w14:textId="77777777" w:rsidR="003F07C9" w:rsidRPr="00512AEC" w:rsidRDefault="003F07C9" w:rsidP="00512AEC">
          <w:pPr>
            <w:pStyle w:val="TOCHeading"/>
            <w:spacing w:line="360" w:lineRule="auto"/>
            <w:rPr>
              <w:rFonts w:ascii="Arial" w:hAnsi="Arial" w:cs="Arial"/>
              <w:sz w:val="22"/>
              <w:szCs w:val="22"/>
              <w:lang w:val="en-GB"/>
            </w:rPr>
          </w:pPr>
          <w:r w:rsidRPr="00512AEC">
            <w:rPr>
              <w:rFonts w:ascii="Arial" w:hAnsi="Arial" w:cs="Arial"/>
              <w:sz w:val="22"/>
              <w:szCs w:val="22"/>
              <w:lang w:val="en-GB"/>
            </w:rPr>
            <w:t>Contents</w:t>
          </w:r>
        </w:p>
        <w:p w14:paraId="12F23E0A"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r w:rsidRPr="00512AEC">
            <w:rPr>
              <w:rFonts w:ascii="Arial" w:hAnsi="Arial" w:cs="Arial"/>
              <w:sz w:val="22"/>
            </w:rPr>
            <w:fldChar w:fldCharType="begin"/>
          </w:r>
          <w:r w:rsidRPr="00512AEC">
            <w:rPr>
              <w:rFonts w:ascii="Arial" w:hAnsi="Arial" w:cs="Arial"/>
              <w:sz w:val="22"/>
            </w:rPr>
            <w:instrText xml:space="preserve"> TOC \o "1-3" \h \z \u </w:instrText>
          </w:r>
          <w:r w:rsidRPr="00512AEC">
            <w:rPr>
              <w:rFonts w:ascii="Arial" w:hAnsi="Arial" w:cs="Arial"/>
              <w:sz w:val="22"/>
            </w:rPr>
            <w:fldChar w:fldCharType="separate"/>
          </w:r>
          <w:hyperlink w:anchor="_Toc234292970" w:history="1">
            <w:r w:rsidRPr="00512AEC">
              <w:rPr>
                <w:rStyle w:val="Hyperlink"/>
                <w:rFonts w:ascii="Arial" w:hAnsi="Arial" w:cs="Arial"/>
                <w:noProof/>
                <w:sz w:val="22"/>
              </w:rPr>
              <w:t>Executive Summary</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_Toc234292970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3</w:t>
            </w:r>
            <w:r w:rsidRPr="00512AEC">
              <w:rPr>
                <w:rFonts w:ascii="Arial" w:hAnsi="Arial" w:cs="Arial"/>
                <w:noProof/>
                <w:webHidden/>
                <w:sz w:val="22"/>
              </w:rPr>
              <w:fldChar w:fldCharType="end"/>
            </w:r>
          </w:hyperlink>
        </w:p>
        <w:p w14:paraId="7242AF11"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71" w:history="1">
            <w:r w:rsidRPr="00512AEC">
              <w:rPr>
                <w:rStyle w:val="Hyperlink"/>
                <w:rFonts w:ascii="Arial" w:hAnsi="Arial" w:cs="Arial"/>
                <w:noProof/>
                <w:sz w:val="22"/>
              </w:rPr>
              <w:t>1.0 Introduction to the Organisation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_Toc234292971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5</w:t>
            </w:r>
            <w:r w:rsidRPr="00512AEC">
              <w:rPr>
                <w:rFonts w:ascii="Arial" w:hAnsi="Arial" w:cs="Arial"/>
                <w:noProof/>
                <w:webHidden/>
                <w:sz w:val="22"/>
              </w:rPr>
              <w:fldChar w:fldCharType="end"/>
            </w:r>
          </w:hyperlink>
        </w:p>
        <w:p w14:paraId="03430A2D"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72" w:history="1">
            <w:r w:rsidRPr="00512AEC">
              <w:rPr>
                <w:rStyle w:val="Hyperlink"/>
                <w:rFonts w:ascii="Arial" w:hAnsi="Arial" w:cs="Arial"/>
                <w:noProof/>
                <w:sz w:val="22"/>
              </w:rPr>
              <w:t>2.0 Environmental and Organisational Analysis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_Toc234292972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7</w:t>
            </w:r>
            <w:r w:rsidRPr="00512AEC">
              <w:rPr>
                <w:rFonts w:ascii="Arial" w:hAnsi="Arial" w:cs="Arial"/>
                <w:noProof/>
                <w:webHidden/>
                <w:sz w:val="22"/>
              </w:rPr>
              <w:fldChar w:fldCharType="end"/>
            </w:r>
          </w:hyperlink>
        </w:p>
        <w:p w14:paraId="3DEA2283"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3" w:history="1">
            <w:r w:rsidRPr="00512AEC">
              <w:rPr>
                <w:rStyle w:val="Hyperlink"/>
                <w:rFonts w:ascii="Arial" w:hAnsi="Arial" w:cs="Arial"/>
                <w:noProof/>
                <w:sz w:val="22"/>
              </w:rPr>
              <w:t>2.1 External Environment Analysis (PESTLE)</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_Toc234292973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7</w:t>
            </w:r>
            <w:r w:rsidRPr="00512AEC">
              <w:rPr>
                <w:rFonts w:ascii="Arial" w:hAnsi="Arial" w:cs="Arial"/>
                <w:noProof/>
                <w:webHidden/>
                <w:sz w:val="22"/>
              </w:rPr>
              <w:fldChar w:fldCharType="end"/>
            </w:r>
          </w:hyperlink>
        </w:p>
        <w:p w14:paraId="5A3ABDFA"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4" w:history="1">
            <w:r w:rsidRPr="00512AEC">
              <w:rPr>
                <w:rStyle w:val="Hyperlink"/>
                <w:rFonts w:ascii="Arial" w:hAnsi="Arial" w:cs="Arial"/>
                <w:noProof/>
                <w:sz w:val="22"/>
              </w:rPr>
              <w:t>2.2 Internal Environment Analysis (SWOT)</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_Toc234292974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8</w:t>
            </w:r>
            <w:r w:rsidRPr="00512AEC">
              <w:rPr>
                <w:rFonts w:ascii="Arial" w:hAnsi="Arial" w:cs="Arial"/>
                <w:noProof/>
                <w:webHidden/>
                <w:sz w:val="22"/>
              </w:rPr>
              <w:fldChar w:fldCharType="end"/>
            </w:r>
          </w:hyperlink>
        </w:p>
        <w:p w14:paraId="1A970E1E"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5" w:history="1">
            <w:r w:rsidRPr="00512AEC">
              <w:rPr>
                <w:rStyle w:val="Hyperlink"/>
                <w:rFonts w:ascii="Arial" w:hAnsi="Arial" w:cs="Arial"/>
                <w:noProof/>
                <w:sz w:val="22"/>
              </w:rPr>
              <w:t>2.3 Triggers for Change</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_Toc234292975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9</w:t>
            </w:r>
            <w:r w:rsidRPr="00512AEC">
              <w:rPr>
                <w:rFonts w:ascii="Arial" w:hAnsi="Arial" w:cs="Arial"/>
                <w:noProof/>
                <w:webHidden/>
                <w:sz w:val="22"/>
              </w:rPr>
              <w:fldChar w:fldCharType="end"/>
            </w:r>
          </w:hyperlink>
        </w:p>
        <w:p w14:paraId="300556C3"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76" w:history="1">
            <w:r w:rsidRPr="00512AEC">
              <w:rPr>
                <w:rStyle w:val="Hyperlink"/>
                <w:rFonts w:ascii="Arial" w:hAnsi="Arial" w:cs="Arial"/>
                <w:noProof/>
                <w:sz w:val="22"/>
              </w:rPr>
              <w:t>3.0 Review and Evaluation of Change Management Models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_Toc234292976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9</w:t>
            </w:r>
            <w:r w:rsidRPr="00512AEC">
              <w:rPr>
                <w:rFonts w:ascii="Arial" w:hAnsi="Arial" w:cs="Arial"/>
                <w:noProof/>
                <w:webHidden/>
                <w:sz w:val="22"/>
              </w:rPr>
              <w:fldChar w:fldCharType="end"/>
            </w:r>
          </w:hyperlink>
        </w:p>
        <w:p w14:paraId="57DE43B7"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7" w:history="1">
            <w:r w:rsidRPr="00512AEC">
              <w:rPr>
                <w:rStyle w:val="Hyperlink"/>
                <w:rFonts w:ascii="Arial" w:hAnsi="Arial" w:cs="Arial"/>
                <w:noProof/>
                <w:sz w:val="22"/>
              </w:rPr>
              <w:t>3.1 Lewin’s Three-Step Model</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_Toc234292977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9</w:t>
            </w:r>
            <w:r w:rsidRPr="00512AEC">
              <w:rPr>
                <w:rFonts w:ascii="Arial" w:hAnsi="Arial" w:cs="Arial"/>
                <w:noProof/>
                <w:webHidden/>
                <w:sz w:val="22"/>
              </w:rPr>
              <w:fldChar w:fldCharType="end"/>
            </w:r>
          </w:hyperlink>
        </w:p>
        <w:p w14:paraId="04D8AB43"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8" w:history="1">
            <w:r w:rsidRPr="00512AEC">
              <w:rPr>
                <w:rStyle w:val="Hyperlink"/>
                <w:rFonts w:ascii="Arial" w:hAnsi="Arial" w:cs="Arial"/>
                <w:noProof/>
                <w:sz w:val="22"/>
              </w:rPr>
              <w:t>3.2 Kotter’s Eight-Step Model</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_Toc234292978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10</w:t>
            </w:r>
            <w:r w:rsidRPr="00512AEC">
              <w:rPr>
                <w:rFonts w:ascii="Arial" w:hAnsi="Arial" w:cs="Arial"/>
                <w:noProof/>
                <w:webHidden/>
                <w:sz w:val="22"/>
              </w:rPr>
              <w:fldChar w:fldCharType="end"/>
            </w:r>
          </w:hyperlink>
        </w:p>
        <w:p w14:paraId="072ECC69"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79" w:history="1">
            <w:r w:rsidRPr="00512AEC">
              <w:rPr>
                <w:rStyle w:val="Hyperlink"/>
                <w:rFonts w:ascii="Arial" w:hAnsi="Arial" w:cs="Arial"/>
                <w:noProof/>
                <w:sz w:val="22"/>
              </w:rPr>
              <w:t>3.3 ADKAR Model</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_Toc234292979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11</w:t>
            </w:r>
            <w:r w:rsidRPr="00512AEC">
              <w:rPr>
                <w:rFonts w:ascii="Arial" w:hAnsi="Arial" w:cs="Arial"/>
                <w:noProof/>
                <w:webHidden/>
                <w:sz w:val="22"/>
              </w:rPr>
              <w:fldChar w:fldCharType="end"/>
            </w:r>
          </w:hyperlink>
        </w:p>
        <w:p w14:paraId="29648BEC"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0" w:history="1">
            <w:r w:rsidRPr="00512AEC">
              <w:rPr>
                <w:rStyle w:val="Hyperlink"/>
                <w:rFonts w:ascii="Arial" w:hAnsi="Arial" w:cs="Arial"/>
                <w:noProof/>
                <w:sz w:val="22"/>
              </w:rPr>
              <w:t>3.4 Proposed Hybrid Model for TMUK</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_Toc234292980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11</w:t>
            </w:r>
            <w:r w:rsidRPr="00512AEC">
              <w:rPr>
                <w:rFonts w:ascii="Arial" w:hAnsi="Arial" w:cs="Arial"/>
                <w:noProof/>
                <w:webHidden/>
                <w:sz w:val="22"/>
              </w:rPr>
              <w:fldChar w:fldCharType="end"/>
            </w:r>
          </w:hyperlink>
        </w:p>
        <w:p w14:paraId="1158A3EB"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81" w:history="1">
            <w:r w:rsidRPr="00512AEC">
              <w:rPr>
                <w:rStyle w:val="Hyperlink"/>
                <w:rFonts w:ascii="Arial" w:hAnsi="Arial" w:cs="Arial"/>
                <w:noProof/>
                <w:sz w:val="22"/>
              </w:rPr>
              <w:t>4.0 Leadership and Organisational Culture in Change</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_Toc234292981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12</w:t>
            </w:r>
            <w:r w:rsidRPr="00512AEC">
              <w:rPr>
                <w:rFonts w:ascii="Arial" w:hAnsi="Arial" w:cs="Arial"/>
                <w:noProof/>
                <w:webHidden/>
                <w:sz w:val="22"/>
              </w:rPr>
              <w:fldChar w:fldCharType="end"/>
            </w:r>
          </w:hyperlink>
        </w:p>
        <w:p w14:paraId="10953748"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2" w:history="1">
            <w:r w:rsidRPr="00512AEC">
              <w:rPr>
                <w:rStyle w:val="Hyperlink"/>
                <w:rFonts w:ascii="Arial" w:hAnsi="Arial" w:cs="Arial"/>
                <w:noProof/>
                <w:sz w:val="22"/>
              </w:rPr>
              <w:t>4.1 Leadership Styles and Change Effectiveness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_Toc234292982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12</w:t>
            </w:r>
            <w:r w:rsidRPr="00512AEC">
              <w:rPr>
                <w:rFonts w:ascii="Arial" w:hAnsi="Arial" w:cs="Arial"/>
                <w:noProof/>
                <w:webHidden/>
                <w:sz w:val="22"/>
              </w:rPr>
              <w:fldChar w:fldCharType="end"/>
            </w:r>
          </w:hyperlink>
        </w:p>
        <w:p w14:paraId="47766E84"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3" w:history="1">
            <w:r w:rsidRPr="00512AEC">
              <w:rPr>
                <w:rStyle w:val="Hyperlink"/>
                <w:rFonts w:ascii="Arial" w:hAnsi="Arial" w:cs="Arial"/>
                <w:noProof/>
                <w:sz w:val="22"/>
              </w:rPr>
              <w:t>4.2 Organisational Culture Analysis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_Toc234292983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13</w:t>
            </w:r>
            <w:r w:rsidRPr="00512AEC">
              <w:rPr>
                <w:rFonts w:ascii="Arial" w:hAnsi="Arial" w:cs="Arial"/>
                <w:noProof/>
                <w:webHidden/>
                <w:sz w:val="22"/>
              </w:rPr>
              <w:fldChar w:fldCharType="end"/>
            </w:r>
          </w:hyperlink>
        </w:p>
        <w:p w14:paraId="257AA1FC"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84" w:history="1">
            <w:r w:rsidRPr="00512AEC">
              <w:rPr>
                <w:rStyle w:val="Hyperlink"/>
                <w:rFonts w:ascii="Arial" w:hAnsi="Arial" w:cs="Arial"/>
                <w:noProof/>
                <w:sz w:val="22"/>
              </w:rPr>
              <w:t>5.0 Proposed Strategic Change Management Plan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_Toc234292984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14</w:t>
            </w:r>
            <w:r w:rsidRPr="00512AEC">
              <w:rPr>
                <w:rFonts w:ascii="Arial" w:hAnsi="Arial" w:cs="Arial"/>
                <w:noProof/>
                <w:webHidden/>
                <w:sz w:val="22"/>
              </w:rPr>
              <w:fldChar w:fldCharType="end"/>
            </w:r>
          </w:hyperlink>
        </w:p>
        <w:p w14:paraId="6CA506D4"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5" w:history="1">
            <w:r w:rsidRPr="00512AEC">
              <w:rPr>
                <w:rStyle w:val="Hyperlink"/>
                <w:rFonts w:ascii="Arial" w:hAnsi="Arial" w:cs="Arial"/>
                <w:noProof/>
                <w:sz w:val="22"/>
              </w:rPr>
              <w:t>5.1 Change Vision and Objectives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_Toc234292985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14</w:t>
            </w:r>
            <w:r w:rsidRPr="00512AEC">
              <w:rPr>
                <w:rFonts w:ascii="Arial" w:hAnsi="Arial" w:cs="Arial"/>
                <w:noProof/>
                <w:webHidden/>
                <w:sz w:val="22"/>
              </w:rPr>
              <w:fldChar w:fldCharType="end"/>
            </w:r>
          </w:hyperlink>
        </w:p>
        <w:p w14:paraId="1203DB65"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6" w:history="1">
            <w:r w:rsidRPr="00512AEC">
              <w:rPr>
                <w:rStyle w:val="Hyperlink"/>
                <w:rFonts w:ascii="Arial" w:hAnsi="Arial" w:cs="Arial"/>
                <w:noProof/>
                <w:sz w:val="22"/>
              </w:rPr>
              <w:t>5.2 Stakeholder Analysis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_Toc234292986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14</w:t>
            </w:r>
            <w:r w:rsidRPr="00512AEC">
              <w:rPr>
                <w:rFonts w:ascii="Arial" w:hAnsi="Arial" w:cs="Arial"/>
                <w:noProof/>
                <w:webHidden/>
                <w:sz w:val="22"/>
              </w:rPr>
              <w:fldChar w:fldCharType="end"/>
            </w:r>
          </w:hyperlink>
        </w:p>
        <w:p w14:paraId="39046638"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7" w:history="1">
            <w:r w:rsidRPr="00512AEC">
              <w:rPr>
                <w:rStyle w:val="Hyperlink"/>
                <w:rFonts w:ascii="Arial" w:hAnsi="Arial" w:cs="Arial"/>
                <w:noProof/>
                <w:sz w:val="22"/>
              </w:rPr>
              <w:t>5.3 Implementation Framework</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_Toc234292987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15</w:t>
            </w:r>
            <w:r w:rsidRPr="00512AEC">
              <w:rPr>
                <w:rFonts w:ascii="Arial" w:hAnsi="Arial" w:cs="Arial"/>
                <w:noProof/>
                <w:webHidden/>
                <w:sz w:val="22"/>
              </w:rPr>
              <w:fldChar w:fldCharType="end"/>
            </w:r>
          </w:hyperlink>
        </w:p>
        <w:p w14:paraId="78D2327B"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8" w:history="1">
            <w:r w:rsidRPr="00512AEC">
              <w:rPr>
                <w:rStyle w:val="Hyperlink"/>
                <w:rFonts w:ascii="Arial" w:hAnsi="Arial" w:cs="Arial"/>
                <w:noProof/>
                <w:sz w:val="22"/>
              </w:rPr>
              <w:t>5.4 Communication Plan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_Toc234292988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15</w:t>
            </w:r>
            <w:r w:rsidRPr="00512AEC">
              <w:rPr>
                <w:rFonts w:ascii="Arial" w:hAnsi="Arial" w:cs="Arial"/>
                <w:noProof/>
                <w:webHidden/>
                <w:sz w:val="22"/>
              </w:rPr>
              <w:fldChar w:fldCharType="end"/>
            </w:r>
          </w:hyperlink>
        </w:p>
        <w:p w14:paraId="32E7851B"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89" w:history="1">
            <w:r w:rsidRPr="00512AEC">
              <w:rPr>
                <w:rStyle w:val="Hyperlink"/>
                <w:rFonts w:ascii="Arial" w:hAnsi="Arial" w:cs="Arial"/>
                <w:noProof/>
                <w:sz w:val="22"/>
              </w:rPr>
              <w:t>5.5 Financial and Resource Plan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_Toc234292989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16</w:t>
            </w:r>
            <w:r w:rsidRPr="00512AEC">
              <w:rPr>
                <w:rFonts w:ascii="Arial" w:hAnsi="Arial" w:cs="Arial"/>
                <w:noProof/>
                <w:webHidden/>
                <w:sz w:val="22"/>
              </w:rPr>
              <w:fldChar w:fldCharType="end"/>
            </w:r>
          </w:hyperlink>
        </w:p>
        <w:p w14:paraId="76EA305A"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90" w:history="1">
            <w:r w:rsidRPr="00512AEC">
              <w:rPr>
                <w:rStyle w:val="Hyperlink"/>
                <w:rFonts w:ascii="Arial" w:hAnsi="Arial" w:cs="Arial"/>
                <w:noProof/>
                <w:sz w:val="22"/>
              </w:rPr>
              <w:t>5.6 Risk Assessment and Mitigation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_Toc234292990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16</w:t>
            </w:r>
            <w:r w:rsidRPr="00512AEC">
              <w:rPr>
                <w:rFonts w:ascii="Arial" w:hAnsi="Arial" w:cs="Arial"/>
                <w:noProof/>
                <w:webHidden/>
                <w:sz w:val="22"/>
              </w:rPr>
              <w:fldChar w:fldCharType="end"/>
            </w:r>
          </w:hyperlink>
        </w:p>
        <w:p w14:paraId="114DDAD8" w14:textId="77777777" w:rsidR="003F07C9" w:rsidRPr="00512AEC" w:rsidRDefault="003F07C9" w:rsidP="00512AEC">
          <w:pPr>
            <w:pStyle w:val="TOC2"/>
            <w:tabs>
              <w:tab w:val="right" w:leader="dot" w:pos="9350"/>
            </w:tabs>
            <w:rPr>
              <w:rFonts w:ascii="Arial" w:eastAsiaTheme="minorEastAsia" w:hAnsi="Arial" w:cs="Arial"/>
              <w:noProof/>
              <w:color w:val="auto"/>
              <w:sz w:val="22"/>
              <w:lang w:eastAsia="en-US"/>
            </w:rPr>
          </w:pPr>
          <w:hyperlink w:anchor="_Toc234292991" w:history="1">
            <w:r w:rsidRPr="00512AEC">
              <w:rPr>
                <w:rStyle w:val="Hyperlink"/>
                <w:rFonts w:ascii="Arial" w:hAnsi="Arial" w:cs="Arial"/>
                <w:noProof/>
                <w:sz w:val="22"/>
              </w:rPr>
              <w:t>5.7 Evaluation and KPIs</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_Toc234292991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17</w:t>
            </w:r>
            <w:r w:rsidRPr="00512AEC">
              <w:rPr>
                <w:rFonts w:ascii="Arial" w:hAnsi="Arial" w:cs="Arial"/>
                <w:noProof/>
                <w:webHidden/>
                <w:sz w:val="22"/>
              </w:rPr>
              <w:fldChar w:fldCharType="end"/>
            </w:r>
          </w:hyperlink>
        </w:p>
        <w:p w14:paraId="72D1448B"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92" w:history="1">
            <w:r w:rsidRPr="00512AEC">
              <w:rPr>
                <w:rStyle w:val="Hyperlink"/>
                <w:rFonts w:ascii="Arial" w:hAnsi="Arial" w:cs="Arial"/>
                <w:noProof/>
                <w:sz w:val="22"/>
              </w:rPr>
              <w:t>6.0 Discussion and Critical Reflection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_Toc234292992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17</w:t>
            </w:r>
            <w:r w:rsidRPr="00512AEC">
              <w:rPr>
                <w:rFonts w:ascii="Arial" w:hAnsi="Arial" w:cs="Arial"/>
                <w:noProof/>
                <w:webHidden/>
                <w:sz w:val="22"/>
              </w:rPr>
              <w:fldChar w:fldCharType="end"/>
            </w:r>
          </w:hyperlink>
        </w:p>
        <w:p w14:paraId="613F6B8D"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93" w:history="1">
            <w:r w:rsidRPr="00512AEC">
              <w:rPr>
                <w:rStyle w:val="Hyperlink"/>
                <w:rFonts w:ascii="Arial" w:hAnsi="Arial" w:cs="Arial"/>
                <w:noProof/>
                <w:sz w:val="22"/>
              </w:rPr>
              <w:t>7.0 Conclusion</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_Toc234292993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18</w:t>
            </w:r>
            <w:r w:rsidRPr="00512AEC">
              <w:rPr>
                <w:rFonts w:ascii="Arial" w:hAnsi="Arial" w:cs="Arial"/>
                <w:noProof/>
                <w:webHidden/>
                <w:sz w:val="22"/>
              </w:rPr>
              <w:fldChar w:fldCharType="end"/>
            </w:r>
          </w:hyperlink>
        </w:p>
        <w:p w14:paraId="590DDF28" w14:textId="77777777" w:rsidR="003F07C9" w:rsidRPr="00512AEC" w:rsidRDefault="003F07C9" w:rsidP="00512AEC">
          <w:pPr>
            <w:pStyle w:val="TOC1"/>
            <w:tabs>
              <w:tab w:val="right" w:leader="dot" w:pos="9350"/>
            </w:tabs>
            <w:rPr>
              <w:rFonts w:ascii="Arial" w:eastAsiaTheme="minorEastAsia" w:hAnsi="Arial" w:cs="Arial"/>
              <w:noProof/>
              <w:color w:val="auto"/>
              <w:sz w:val="22"/>
              <w:lang w:eastAsia="en-US"/>
            </w:rPr>
          </w:pPr>
          <w:hyperlink w:anchor="_Toc234292994" w:history="1">
            <w:r w:rsidRPr="00512AEC">
              <w:rPr>
                <w:rStyle w:val="Hyperlink"/>
                <w:rFonts w:ascii="Arial" w:hAnsi="Arial" w:cs="Arial"/>
                <w:noProof/>
                <w:sz w:val="22"/>
              </w:rPr>
              <w:t>Reference List</w:t>
            </w:r>
            <w:r w:rsidRPr="00512AEC">
              <w:rPr>
                <w:rFonts w:ascii="Arial" w:hAnsi="Arial" w:cs="Arial"/>
                <w:noProof/>
                <w:webHidden/>
                <w:sz w:val="22"/>
              </w:rPr>
              <w:tab/>
            </w:r>
            <w:r w:rsidRPr="00512AEC">
              <w:rPr>
                <w:rFonts w:ascii="Arial" w:hAnsi="Arial" w:cs="Arial"/>
                <w:noProof/>
                <w:webHidden/>
                <w:sz w:val="22"/>
              </w:rPr>
              <w:fldChar w:fldCharType="begin"/>
            </w:r>
            <w:r w:rsidRPr="00512AEC">
              <w:rPr>
                <w:rFonts w:ascii="Arial" w:hAnsi="Arial" w:cs="Arial"/>
                <w:noProof/>
                <w:webHidden/>
                <w:sz w:val="22"/>
              </w:rPr>
              <w:instrText xml:space="preserve"> PAGEREF _Toc234292994 \h </w:instrText>
            </w:r>
            <w:r w:rsidRPr="00512AEC">
              <w:rPr>
                <w:rFonts w:ascii="Arial" w:hAnsi="Arial" w:cs="Arial"/>
                <w:noProof/>
                <w:webHidden/>
                <w:sz w:val="22"/>
              </w:rPr>
            </w:r>
            <w:r w:rsidRPr="00512AEC">
              <w:rPr>
                <w:rFonts w:ascii="Arial" w:hAnsi="Arial" w:cs="Arial"/>
                <w:noProof/>
                <w:webHidden/>
                <w:sz w:val="22"/>
              </w:rPr>
              <w:fldChar w:fldCharType="separate"/>
            </w:r>
            <w:r w:rsidR="00512AEC">
              <w:rPr>
                <w:rFonts w:ascii="Arial" w:hAnsi="Arial" w:cs="Arial"/>
                <w:noProof/>
                <w:webHidden/>
                <w:sz w:val="22"/>
              </w:rPr>
              <w:t>19</w:t>
            </w:r>
            <w:r w:rsidRPr="00512AEC">
              <w:rPr>
                <w:rFonts w:ascii="Arial" w:hAnsi="Arial" w:cs="Arial"/>
                <w:noProof/>
                <w:webHidden/>
                <w:sz w:val="22"/>
              </w:rPr>
              <w:fldChar w:fldCharType="end"/>
            </w:r>
          </w:hyperlink>
        </w:p>
        <w:p w14:paraId="0436E0B2" w14:textId="77777777" w:rsidR="003F07C9" w:rsidRPr="00512AEC" w:rsidRDefault="003F07C9" w:rsidP="00512AEC">
          <w:pPr>
            <w:spacing w:line="360" w:lineRule="auto"/>
            <w:rPr>
              <w:rFonts w:ascii="Arial" w:hAnsi="Arial" w:cs="Arial"/>
            </w:rPr>
          </w:pPr>
          <w:r w:rsidRPr="00512AEC">
            <w:rPr>
              <w:rFonts w:ascii="Arial" w:hAnsi="Arial" w:cs="Arial"/>
              <w:b/>
              <w:bCs/>
              <w:noProof/>
            </w:rPr>
            <w:fldChar w:fldCharType="end"/>
          </w:r>
        </w:p>
      </w:sdtContent>
    </w:sdt>
    <w:p w14:paraId="4856B400" w14:textId="77777777" w:rsidR="003F07C9" w:rsidRPr="00512AEC" w:rsidRDefault="003F07C9" w:rsidP="00512AEC">
      <w:pPr>
        <w:pStyle w:val="Heading1"/>
        <w:spacing w:line="360" w:lineRule="auto"/>
        <w:rPr>
          <w:rFonts w:ascii="Arial" w:hAnsi="Arial" w:cs="Arial"/>
          <w:sz w:val="22"/>
          <w:szCs w:val="22"/>
        </w:rPr>
      </w:pPr>
      <w:bookmarkStart w:id="1" w:name="_Toc234292971"/>
      <w:r w:rsidRPr="00512AEC">
        <w:rPr>
          <w:rFonts w:ascii="Arial" w:hAnsi="Arial" w:cs="Arial"/>
          <w:sz w:val="22"/>
          <w:szCs w:val="22"/>
        </w:rPr>
        <w:t>1.0 Introduction to the Organisation</w:t>
      </w:r>
      <w:bookmarkEnd w:id="1"/>
      <w:r w:rsidRPr="00512AEC">
        <w:rPr>
          <w:rFonts w:ascii="Arial" w:hAnsi="Arial" w:cs="Arial"/>
          <w:sz w:val="22"/>
          <w:szCs w:val="22"/>
        </w:rPr>
        <w:t xml:space="preserve"> </w:t>
      </w:r>
    </w:p>
    <w:p w14:paraId="41444BB3" w14:textId="5E354E64" w:rsidR="003F07C9" w:rsidRPr="00512AEC" w:rsidRDefault="003F07C9" w:rsidP="00512AEC">
      <w:pPr>
        <w:spacing w:line="360" w:lineRule="auto"/>
        <w:rPr>
          <w:rFonts w:ascii="Arial" w:hAnsi="Arial" w:cs="Arial"/>
        </w:rPr>
      </w:pPr>
      <w:r w:rsidRPr="00512AEC">
        <w:rPr>
          <w:rFonts w:ascii="Arial" w:hAnsi="Arial" w:cs="Arial"/>
        </w:rPr>
        <w:t>Toyota Motor Manufacturing UK (TMUK) is the European manufacturing company flagged by Toyota Motor Corporation, which has been operating since 1992 in Burnaston, Derbyshire (</w:t>
      </w:r>
      <w:r w:rsidR="00F2062F">
        <w:rPr>
          <w:rStyle w:val="selectable-text"/>
        </w:rPr>
        <w:t>Yamamoto, Milstead and Lloyd, 2019)</w:t>
      </w:r>
      <w:r w:rsidRPr="00512AEC">
        <w:rPr>
          <w:rFonts w:ascii="Arial" w:hAnsi="Arial" w:cs="Arial"/>
        </w:rPr>
        <w:t>. TMUK is the first Toyota factory built in Europe, and was carefully planned to demonstrate manufacturing excellence outside Japan, and meet the needs of European markets. The plant is manufacturing the Corolla Hybrid model and parts for the engine at the Deeside plant in North Wales, with about 2,500 employees at both plants. TMUK is embedded in an automotive manufacturing industry that is undergoing unprecedented transformation as a result of the pressures from electrification, digitalisation and regulations (</w:t>
      </w:r>
      <w:r w:rsidRPr="00512AEC">
        <w:rPr>
          <w:rFonts w:ascii="Arial" w:hAnsi="Arial" w:cs="Arial"/>
          <w:color w:val="222222"/>
          <w:shd w:val="clear" w:color="auto" w:fill="FFFFFF"/>
        </w:rPr>
        <w:t>Pavlínek, 2023</w:t>
      </w:r>
      <w:r w:rsidRPr="00512AEC">
        <w:rPr>
          <w:rFonts w:ascii="Arial" w:hAnsi="Arial" w:cs="Arial"/>
        </w:rPr>
        <w:t>).</w:t>
      </w:r>
    </w:p>
    <w:p w14:paraId="7418FAD9" w14:textId="77777777" w:rsidR="003F07C9" w:rsidRPr="00512AEC" w:rsidRDefault="003F07C9" w:rsidP="00512AEC">
      <w:pPr>
        <w:spacing w:line="360" w:lineRule="auto"/>
        <w:rPr>
          <w:rFonts w:ascii="Arial" w:hAnsi="Arial" w:cs="Arial"/>
        </w:rPr>
      </w:pPr>
      <w:r w:rsidRPr="00512AEC">
        <w:rPr>
          <w:rFonts w:ascii="Arial" w:hAnsi="Arial" w:cs="Arial"/>
          <w:noProof/>
          <w:lang w:val="en-US"/>
        </w:rPr>
        <w:drawing>
          <wp:inline distT="0" distB="0" distL="0" distR="0" wp14:anchorId="0AD8B1DA" wp14:editId="362BAAEC">
            <wp:extent cx="6029325" cy="2847492"/>
            <wp:effectExtent l="0" t="0" r="0" b="0"/>
            <wp:docPr id="900" name="TMUK snap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 name="TMUK snapshot"/>
                    <pic:cNvPicPr/>
                  </pic:nvPicPr>
                  <pic:blipFill>
                    <a:blip r:embed="rId9"/>
                    <a:stretch>
                      <a:fillRect/>
                    </a:stretch>
                  </pic:blipFill>
                  <pic:spPr>
                    <a:xfrm>
                      <a:off x="0" y="0"/>
                      <a:ext cx="6029325" cy="2847492"/>
                    </a:xfrm>
                    <a:prstGeom prst="rect">
                      <a:avLst/>
                    </a:prstGeom>
                  </pic:spPr>
                </pic:pic>
              </a:graphicData>
            </a:graphic>
          </wp:inline>
        </w:drawing>
      </w:r>
    </w:p>
    <w:p w14:paraId="7D5C5B74"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Figure </w:t>
      </w:r>
      <w:r w:rsidRPr="00512AEC">
        <w:rPr>
          <w:rFonts w:ascii="Arial" w:hAnsi="Arial" w:cs="Arial"/>
          <w:sz w:val="22"/>
          <w:szCs w:val="22"/>
        </w:rPr>
        <w:fldChar w:fldCharType="begin"/>
      </w:r>
      <w:r w:rsidRPr="00512AEC">
        <w:rPr>
          <w:rFonts w:ascii="Arial" w:hAnsi="Arial" w:cs="Arial"/>
          <w:sz w:val="22"/>
          <w:szCs w:val="22"/>
        </w:rPr>
        <w:instrText xml:space="preserve"> SEQ Figure \* ARABIC </w:instrText>
      </w:r>
      <w:r w:rsidRPr="00512AEC">
        <w:rPr>
          <w:rFonts w:ascii="Arial" w:hAnsi="Arial" w:cs="Arial"/>
          <w:sz w:val="22"/>
          <w:szCs w:val="22"/>
        </w:rPr>
        <w:fldChar w:fldCharType="separate"/>
      </w:r>
      <w:r w:rsidRPr="00512AEC">
        <w:rPr>
          <w:rFonts w:ascii="Arial" w:hAnsi="Arial" w:cs="Arial"/>
          <w:noProof/>
          <w:sz w:val="22"/>
          <w:szCs w:val="22"/>
        </w:rPr>
        <w:t>1</w:t>
      </w:r>
      <w:r w:rsidRPr="00512AEC">
        <w:rPr>
          <w:rFonts w:ascii="Arial" w:hAnsi="Arial" w:cs="Arial"/>
          <w:sz w:val="22"/>
          <w:szCs w:val="22"/>
        </w:rPr>
        <w:fldChar w:fldCharType="end"/>
      </w:r>
      <w:r w:rsidRPr="00512AEC">
        <w:rPr>
          <w:rFonts w:ascii="Arial" w:hAnsi="Arial" w:cs="Arial"/>
          <w:sz w:val="22"/>
          <w:szCs w:val="22"/>
        </w:rPr>
        <w:t>:TMUK organisational snapshot.</w:t>
      </w:r>
    </w:p>
    <w:p w14:paraId="5B2D5E76" w14:textId="3F09F776" w:rsidR="003F07C9" w:rsidRPr="00512AEC" w:rsidRDefault="003F07C9" w:rsidP="00512AEC">
      <w:pPr>
        <w:spacing w:line="360" w:lineRule="auto"/>
        <w:rPr>
          <w:rFonts w:ascii="Arial" w:hAnsi="Arial" w:cs="Arial"/>
        </w:rPr>
      </w:pPr>
      <w:r w:rsidRPr="00512AEC">
        <w:rPr>
          <w:rFonts w:ascii="Arial" w:hAnsi="Arial" w:cs="Arial"/>
        </w:rPr>
        <w:t>TMUK's work is aligned with Toyota's vision of sustainable mobility on a global scale. In the UK, it has been more about hybrid powertrain technology than electrification. The organisation's vision is founded on continuous improvement (Kaizen), respect for people and quality prioritisation as core principles of the way they do business (</w:t>
      </w:r>
      <w:r w:rsidR="00F2062F">
        <w:rPr>
          <w:rStyle w:val="selectable-text"/>
        </w:rPr>
        <w:t>Liker and Ross, 2016</w:t>
      </w:r>
      <w:r w:rsidRPr="00512AEC">
        <w:rPr>
          <w:rFonts w:ascii="Arial" w:hAnsi="Arial" w:cs="Arial"/>
        </w:rPr>
        <w:t>). The Toyota Production System (TPS), which forms the basis of TMUK's work, focuses on the principles of lean manufacturing, just-in-time inventory management and empowering employees to solve problems through systems (de Treville, 2023).</w:t>
      </w:r>
    </w:p>
    <w:p w14:paraId="768DAF4D" w14:textId="1DE7B06B" w:rsidR="003F07C9" w:rsidRPr="00512AEC" w:rsidRDefault="003F07C9" w:rsidP="00512AEC">
      <w:pPr>
        <w:spacing w:line="360" w:lineRule="auto"/>
        <w:rPr>
          <w:rFonts w:ascii="Arial" w:hAnsi="Arial" w:cs="Arial"/>
        </w:rPr>
      </w:pPr>
      <w:r w:rsidRPr="00512AEC">
        <w:rPr>
          <w:rFonts w:ascii="Arial" w:hAnsi="Arial" w:cs="Arial"/>
        </w:rPr>
        <w:t>Three factors are found in modern academic literature that form the rationale for the strategic change plan for TMUK. There is already unprecedented regulatory pressure on UK car manufacturers with the introduction of Zero Emission Vehicle (ZEV) regulations, which will mandate the complete transformation in the way that cars are produced by introducing hybrid to electric vehicle capability. The first is the intense regulatory pressure on UK car manufacturers with Zero Emission Vehicle (ZEV) regulations, which will force a fundamental change in the way that cars are produced, from hybrid to electric vehicle capability. Second, TMUK has operational excellence characteristics, but at the same time strategic vulnerabilities, as TPS is benchmarked for the industry, automotive companies are under financial pressures and need to reposition themselves towards electrification (</w:t>
      </w:r>
      <w:r w:rsidR="00F2062F">
        <w:t>Wang and Wells, 2021</w:t>
      </w:r>
      <w:r w:rsidRPr="00512AEC">
        <w:rPr>
          <w:rFonts w:ascii="Arial" w:hAnsi="Arial" w:cs="Arial"/>
        </w:rPr>
        <w:t>). Third, TMUK's hybrid production needs to be transformed to electric vehicle production to continue to play a role in decarbonising markets, because electric mobility is a systemic transformation that involves a change to manufacturing processes, in the configuration of the value chain, and in end-of-life vehicle management (</w:t>
      </w:r>
      <w:r w:rsidRPr="00512AEC">
        <w:rPr>
          <w:rFonts w:ascii="Arial" w:hAnsi="Arial" w:cs="Arial"/>
          <w:color w:val="222222"/>
          <w:shd w:val="clear" w:color="auto" w:fill="FFFFFF"/>
        </w:rPr>
        <w:t>Pavlínek, 2023</w:t>
      </w:r>
      <w:r w:rsidRPr="00512AEC">
        <w:rPr>
          <w:rFonts w:ascii="Arial" w:hAnsi="Arial" w:cs="Arial"/>
        </w:rPr>
        <w:t>).</w:t>
      </w:r>
    </w:p>
    <w:p w14:paraId="348B2664" w14:textId="77777777" w:rsidR="003F07C9" w:rsidRPr="00512AEC" w:rsidRDefault="003F07C9" w:rsidP="00512AEC">
      <w:pPr>
        <w:spacing w:line="360" w:lineRule="auto"/>
        <w:rPr>
          <w:rFonts w:ascii="Arial" w:hAnsi="Arial" w:cs="Arial"/>
        </w:rPr>
      </w:pPr>
      <w:r w:rsidRPr="00512AEC">
        <w:rPr>
          <w:rFonts w:ascii="Arial" w:hAnsi="Arial" w:cs="Arial"/>
          <w:noProof/>
          <w:lang w:val="en-US"/>
        </w:rPr>
        <w:drawing>
          <wp:inline distT="0" distB="0" distL="0" distR="0" wp14:anchorId="4448F873" wp14:editId="3E703004">
            <wp:extent cx="5486400" cy="3123805"/>
            <wp:effectExtent l="0" t="0" r="0" b="0"/>
            <wp:docPr id="901" name="Strategic driver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 name="Strategic drivers of change"/>
                    <pic:cNvPicPr/>
                  </pic:nvPicPr>
                  <pic:blipFill>
                    <a:blip r:embed="rId10"/>
                    <a:stretch>
                      <a:fillRect/>
                    </a:stretch>
                  </pic:blipFill>
                  <pic:spPr>
                    <a:xfrm>
                      <a:off x="0" y="0"/>
                      <a:ext cx="5486400" cy="3123805"/>
                    </a:xfrm>
                    <a:prstGeom prst="rect">
                      <a:avLst/>
                    </a:prstGeom>
                  </pic:spPr>
                </pic:pic>
              </a:graphicData>
            </a:graphic>
          </wp:inline>
        </w:drawing>
      </w:r>
    </w:p>
    <w:p w14:paraId="594CA943"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Figure </w:t>
      </w:r>
      <w:r w:rsidRPr="00512AEC">
        <w:rPr>
          <w:rFonts w:ascii="Arial" w:hAnsi="Arial" w:cs="Arial"/>
          <w:sz w:val="22"/>
          <w:szCs w:val="22"/>
        </w:rPr>
        <w:fldChar w:fldCharType="begin"/>
      </w:r>
      <w:r w:rsidRPr="00512AEC">
        <w:rPr>
          <w:rFonts w:ascii="Arial" w:hAnsi="Arial" w:cs="Arial"/>
          <w:sz w:val="22"/>
          <w:szCs w:val="22"/>
        </w:rPr>
        <w:instrText xml:space="preserve"> SEQ Figure \* ARABIC </w:instrText>
      </w:r>
      <w:r w:rsidRPr="00512AEC">
        <w:rPr>
          <w:rFonts w:ascii="Arial" w:hAnsi="Arial" w:cs="Arial"/>
          <w:sz w:val="22"/>
          <w:szCs w:val="22"/>
        </w:rPr>
        <w:fldChar w:fldCharType="separate"/>
      </w:r>
      <w:r w:rsidRPr="00512AEC">
        <w:rPr>
          <w:rFonts w:ascii="Arial" w:hAnsi="Arial" w:cs="Arial"/>
          <w:noProof/>
          <w:sz w:val="22"/>
          <w:szCs w:val="22"/>
        </w:rPr>
        <w:t>2</w:t>
      </w:r>
      <w:r w:rsidRPr="00512AEC">
        <w:rPr>
          <w:rFonts w:ascii="Arial" w:hAnsi="Arial" w:cs="Arial"/>
          <w:sz w:val="22"/>
          <w:szCs w:val="22"/>
        </w:rPr>
        <w:fldChar w:fldCharType="end"/>
      </w:r>
      <w:r w:rsidRPr="00512AEC">
        <w:rPr>
          <w:rFonts w:ascii="Arial" w:hAnsi="Arial" w:cs="Arial"/>
          <w:sz w:val="22"/>
          <w:szCs w:val="22"/>
        </w:rPr>
        <w:t>:Three strategic drivers of change at TMUK.</w:t>
      </w:r>
    </w:p>
    <w:p w14:paraId="6D064E7F" w14:textId="77777777" w:rsidR="003F07C9" w:rsidRPr="00512AEC" w:rsidRDefault="003F07C9" w:rsidP="00512AEC">
      <w:pPr>
        <w:spacing w:line="360" w:lineRule="auto"/>
        <w:rPr>
          <w:rFonts w:ascii="Arial" w:hAnsi="Arial" w:cs="Arial"/>
        </w:rPr>
      </w:pPr>
      <w:r w:rsidRPr="00512AEC">
        <w:rPr>
          <w:rFonts w:ascii="Arial" w:hAnsi="Arial" w:cs="Arial"/>
        </w:rPr>
        <w:t xml:space="preserve">In the process of showing that, Pichler et al. (2021) also makes it clear that organisations without the ability to identify environmental discontinuities are doomed to be irretrievably lost. As the competition from major EV manufacturers and disruptors like Elcomsoft grows, TMUK must take action. As </w:t>
      </w:r>
      <w:r w:rsidRPr="00512AEC">
        <w:rPr>
          <w:rFonts w:ascii="Arial" w:hAnsi="Arial" w:cs="Arial"/>
          <w:color w:val="222222"/>
          <w:shd w:val="clear" w:color="auto" w:fill="FFFFFF"/>
        </w:rPr>
        <w:t>Pavlínek, (2023)</w:t>
      </w:r>
      <w:r w:rsidRPr="00512AEC">
        <w:rPr>
          <w:rFonts w:ascii="Arial" w:hAnsi="Arial" w:cs="Arial"/>
        </w:rPr>
        <w:t xml:space="preserve"> make their point, "electrification, digitalisation, and consumer shifts are threatening the survival of automotive incumbents. This report, accordingly, will respond to the call to action given to the board to create a strategic change plan for action in response to the impacts of the volatile market environment by implementing digital transformation and capability development in the form of electrification.</w:t>
      </w:r>
    </w:p>
    <w:p w14:paraId="25FE5234" w14:textId="77777777" w:rsidR="003F07C9" w:rsidRPr="00512AEC" w:rsidRDefault="003F07C9" w:rsidP="00512AEC">
      <w:pPr>
        <w:pStyle w:val="Heading1"/>
        <w:spacing w:line="360" w:lineRule="auto"/>
        <w:rPr>
          <w:rFonts w:ascii="Arial" w:hAnsi="Arial" w:cs="Arial"/>
          <w:sz w:val="22"/>
          <w:szCs w:val="22"/>
        </w:rPr>
      </w:pPr>
      <w:bookmarkStart w:id="2" w:name="_Toc234292972"/>
      <w:r w:rsidRPr="00512AEC">
        <w:rPr>
          <w:rFonts w:ascii="Arial" w:hAnsi="Arial" w:cs="Arial"/>
          <w:sz w:val="22"/>
          <w:szCs w:val="22"/>
        </w:rPr>
        <w:t>2.0 Environmental and Organisational Analysis</w:t>
      </w:r>
      <w:bookmarkEnd w:id="2"/>
      <w:r w:rsidRPr="00512AEC">
        <w:rPr>
          <w:rFonts w:ascii="Arial" w:hAnsi="Arial" w:cs="Arial"/>
          <w:sz w:val="22"/>
          <w:szCs w:val="22"/>
        </w:rPr>
        <w:t xml:space="preserve"> </w:t>
      </w:r>
    </w:p>
    <w:p w14:paraId="28A4564E" w14:textId="77777777" w:rsidR="003F07C9" w:rsidRPr="00512AEC" w:rsidRDefault="003F07C9" w:rsidP="00512AEC">
      <w:pPr>
        <w:pStyle w:val="Heading2"/>
        <w:spacing w:line="360" w:lineRule="auto"/>
        <w:rPr>
          <w:rFonts w:ascii="Arial" w:hAnsi="Arial" w:cs="Arial"/>
          <w:sz w:val="22"/>
          <w:szCs w:val="22"/>
        </w:rPr>
      </w:pPr>
      <w:bookmarkStart w:id="3" w:name="_Toc234292973"/>
      <w:r w:rsidRPr="00512AEC">
        <w:rPr>
          <w:rFonts w:ascii="Arial" w:hAnsi="Arial" w:cs="Arial"/>
          <w:sz w:val="22"/>
          <w:szCs w:val="22"/>
        </w:rPr>
        <w:t>2.1 External Environment Analysis (PESTLE)</w:t>
      </w:r>
      <w:bookmarkEnd w:id="3"/>
    </w:p>
    <w:p w14:paraId="438FB7C4" w14:textId="77777777" w:rsidR="003F07C9" w:rsidRPr="00512AEC" w:rsidRDefault="003F07C9" w:rsidP="00512AEC">
      <w:pPr>
        <w:spacing w:line="360" w:lineRule="auto"/>
        <w:rPr>
          <w:rFonts w:ascii="Arial" w:hAnsi="Arial" w:cs="Arial"/>
        </w:rPr>
      </w:pPr>
      <w:r w:rsidRPr="00512AEC">
        <w:rPr>
          <w:rFonts w:ascii="Arial" w:hAnsi="Arial" w:cs="Arial"/>
        </w:rPr>
        <w:t xml:space="preserve">In order to make a systematic analysis of the challenges that are facing TMUK in the macro-environment, the PESTLE framework is applied (Song, Sun and Jin, 2017). </w:t>
      </w:r>
    </w:p>
    <w:p w14:paraId="7B89B457" w14:textId="77777777" w:rsidR="003F07C9" w:rsidRPr="00512AEC" w:rsidRDefault="003F07C9" w:rsidP="00512AEC">
      <w:pPr>
        <w:spacing w:line="360" w:lineRule="auto"/>
        <w:ind w:left="360"/>
        <w:rPr>
          <w:rFonts w:ascii="Arial" w:hAnsi="Arial" w:cs="Arial"/>
        </w:rPr>
      </w:pPr>
      <w:r w:rsidRPr="00512AEC">
        <w:rPr>
          <w:rFonts w:ascii="Arial" w:hAnsi="Arial" w:cs="Arial"/>
          <w:b/>
          <w:bCs/>
        </w:rPr>
        <w:t>Political-</w:t>
      </w:r>
      <w:r w:rsidRPr="00512AEC">
        <w:rPr>
          <w:rFonts w:ascii="Arial" w:hAnsi="Arial" w:cs="Arial"/>
        </w:rPr>
        <w:t>There are immediate challenges of political factors. The reconfiguration of trade, which followed Brexit, has added border friction to the just-in-time supply chains that have previously supported the effectiveness of TPS. Lean production systems can be especially exposed to the time of customs delays, which runs against the assumptions of predictability that rely on the concept of just-in-time. Contrary to the concept of predictability that is the basis of just-in-time systems, lean production systems can be particularly exposed to customs delays.</w:t>
      </w:r>
    </w:p>
    <w:p w14:paraId="6CD85B26" w14:textId="77777777" w:rsidR="003F07C9" w:rsidRPr="00512AEC" w:rsidRDefault="003F07C9" w:rsidP="00512AEC">
      <w:pPr>
        <w:spacing w:line="360" w:lineRule="auto"/>
        <w:ind w:left="360"/>
        <w:rPr>
          <w:rFonts w:ascii="Arial" w:hAnsi="Arial" w:cs="Arial"/>
        </w:rPr>
      </w:pPr>
      <w:r w:rsidRPr="00512AEC">
        <w:rPr>
          <w:rFonts w:ascii="Arial" w:hAnsi="Arial" w:cs="Arial"/>
          <w:b/>
          <w:bCs/>
        </w:rPr>
        <w:t>Economic-</w:t>
      </w:r>
      <w:r w:rsidRPr="00512AEC">
        <w:rPr>
          <w:rFonts w:ascii="Arial" w:hAnsi="Arial" w:cs="Arial"/>
        </w:rPr>
        <w:t xml:space="preserve"> Economic factors show conflicting pressures. Productivity has experienced a slight uptick in the sector, but pressures on raw materials and energy prices have resulted in squeezed manufacturing margins (Pichler et al., 2021). As investment focuses on the production of electric powertrains, manufacturers of components for the internal combustion engine (ICE) are under severe economic pressure. The production of TMUK is currently on a hybrid model, which is an economic middle-ground between legacy and fully electric manufacturing.</w:t>
      </w:r>
    </w:p>
    <w:p w14:paraId="432DB039" w14:textId="77777777" w:rsidR="003F07C9" w:rsidRPr="00512AEC" w:rsidRDefault="003F07C9" w:rsidP="00512AEC">
      <w:pPr>
        <w:spacing w:line="360" w:lineRule="auto"/>
        <w:ind w:left="360"/>
        <w:rPr>
          <w:rFonts w:ascii="Arial" w:hAnsi="Arial" w:cs="Arial"/>
        </w:rPr>
      </w:pPr>
      <w:r w:rsidRPr="00512AEC">
        <w:rPr>
          <w:rFonts w:ascii="Arial" w:hAnsi="Arial" w:cs="Arial"/>
          <w:b/>
          <w:bCs/>
        </w:rPr>
        <w:t>Social-</w:t>
      </w:r>
      <w:r w:rsidRPr="00512AEC">
        <w:rPr>
          <w:rFonts w:ascii="Arial" w:hAnsi="Arial" w:cs="Arial"/>
        </w:rPr>
        <w:t xml:space="preserve"> The social factors show changing preferences of consumers that influence the automotive demand. Consumer acceptance of EVs is also found to be different across segments, with range anxiety and charging station issues noted despite rising environmental awareness (Sovacool, Kester and Heida, 2019). This brings in ambiguous signals for TMUK regarding demand for the production volume of hybrid and electric vehicles.</w:t>
      </w:r>
    </w:p>
    <w:p w14:paraId="4ACE5871" w14:textId="77777777" w:rsidR="003F07C9" w:rsidRPr="00512AEC" w:rsidRDefault="003F07C9" w:rsidP="00512AEC">
      <w:pPr>
        <w:spacing w:line="360" w:lineRule="auto"/>
        <w:ind w:left="360"/>
        <w:rPr>
          <w:rFonts w:ascii="Arial" w:hAnsi="Arial" w:cs="Arial"/>
        </w:rPr>
      </w:pPr>
      <w:r w:rsidRPr="00512AEC">
        <w:rPr>
          <w:rFonts w:ascii="Arial" w:hAnsi="Arial" w:cs="Arial"/>
          <w:b/>
          <w:bCs/>
        </w:rPr>
        <w:t>Technological-</w:t>
      </w:r>
      <w:r w:rsidRPr="00512AEC">
        <w:rPr>
          <w:rFonts w:ascii="Arial" w:hAnsi="Arial" w:cs="Arial"/>
        </w:rPr>
        <w:t xml:space="preserve"> Technological factors for TMUK are opportunities and threats to its future strategies. The digitalisation and artificial intelligence are transforming the core of manufacturing paradigms (Frank, Dalenogare and Ayala, 2019). These authors illustrate how the use of a smart manufacturing system that combines cyber-physical systems and real-time data analytics allows unprecedented flexibility and quality control in the manufacturing process.</w:t>
      </w:r>
    </w:p>
    <w:p w14:paraId="6923C9CE" w14:textId="77777777" w:rsidR="003F07C9" w:rsidRPr="00512AEC" w:rsidRDefault="003F07C9" w:rsidP="00512AEC">
      <w:pPr>
        <w:spacing w:line="360" w:lineRule="auto"/>
        <w:ind w:left="360"/>
        <w:rPr>
          <w:rFonts w:ascii="Arial" w:hAnsi="Arial" w:cs="Arial"/>
        </w:rPr>
      </w:pPr>
      <w:r w:rsidRPr="00512AEC">
        <w:rPr>
          <w:rFonts w:ascii="Arial" w:hAnsi="Arial" w:cs="Arial"/>
          <w:b/>
          <w:bCs/>
        </w:rPr>
        <w:t>Legal-</w:t>
      </w:r>
      <w:r w:rsidRPr="00512AEC">
        <w:rPr>
          <w:rFonts w:ascii="Arial" w:hAnsi="Arial" w:cs="Arial"/>
        </w:rPr>
        <w:t xml:space="preserve"> Legal factors focus on the ZEV mandate of the UK, which is a requirement for an increasing percentage of ZEVs to be sold. The legal requirement forces TMUK to change its production and puts hybrid technology to the fore.</w:t>
      </w:r>
    </w:p>
    <w:p w14:paraId="1D01CD1D" w14:textId="77777777" w:rsidR="003F07C9" w:rsidRPr="00512AEC" w:rsidRDefault="003F07C9" w:rsidP="00512AEC">
      <w:pPr>
        <w:spacing w:line="360" w:lineRule="auto"/>
        <w:ind w:left="360"/>
        <w:rPr>
          <w:rFonts w:ascii="Arial" w:hAnsi="Arial" w:cs="Arial"/>
        </w:rPr>
      </w:pPr>
      <w:r w:rsidRPr="00512AEC">
        <w:rPr>
          <w:rFonts w:ascii="Arial" w:hAnsi="Arial" w:cs="Arial"/>
          <w:b/>
          <w:bCs/>
        </w:rPr>
        <w:t>Environmental-</w:t>
      </w:r>
      <w:r w:rsidRPr="00512AEC">
        <w:rPr>
          <w:rFonts w:ascii="Arial" w:hAnsi="Arial" w:cs="Arial"/>
        </w:rPr>
        <w:t xml:space="preserve"> Environmental factors would include climate change threats to the automotive business models. Automotive transition to electric mobility is a systemic transformation, not just a technological substitution, as argued by </w:t>
      </w:r>
      <w:r w:rsidRPr="00512AEC">
        <w:rPr>
          <w:rFonts w:ascii="Arial" w:hAnsi="Arial" w:cs="Arial"/>
          <w:color w:val="222222"/>
          <w:shd w:val="clear" w:color="auto" w:fill="FFFFFF"/>
        </w:rPr>
        <w:t>Pavlínek, (2023</w:t>
      </w:r>
      <w:r w:rsidRPr="00512AEC">
        <w:rPr>
          <w:rFonts w:ascii="Arial" w:hAnsi="Arial" w:cs="Arial"/>
        </w:rPr>
        <w:t>).</w:t>
      </w:r>
    </w:p>
    <w:p w14:paraId="69268CE0" w14:textId="77777777" w:rsidR="003F07C9" w:rsidRPr="00512AEC" w:rsidRDefault="003F07C9" w:rsidP="00512AEC">
      <w:pPr>
        <w:pStyle w:val="Heading2"/>
        <w:spacing w:line="360" w:lineRule="auto"/>
        <w:rPr>
          <w:rFonts w:ascii="Arial" w:hAnsi="Arial" w:cs="Arial"/>
          <w:sz w:val="22"/>
          <w:szCs w:val="22"/>
        </w:rPr>
      </w:pPr>
      <w:bookmarkStart w:id="4" w:name="_Toc234292974"/>
      <w:r w:rsidRPr="00512AEC">
        <w:rPr>
          <w:rFonts w:ascii="Arial" w:hAnsi="Arial" w:cs="Arial"/>
          <w:sz w:val="22"/>
          <w:szCs w:val="22"/>
        </w:rPr>
        <w:t>2.2 Internal Environment Analysis (SWOT)</w:t>
      </w:r>
      <w:bookmarkEnd w:id="4"/>
    </w:p>
    <w:p w14:paraId="06F76830" w14:textId="77777777" w:rsidR="003F07C9" w:rsidRPr="00512AEC" w:rsidRDefault="003F07C9" w:rsidP="00512AEC">
      <w:pPr>
        <w:spacing w:line="360" w:lineRule="auto"/>
        <w:rPr>
          <w:rFonts w:ascii="Arial" w:hAnsi="Arial" w:cs="Arial"/>
        </w:rPr>
      </w:pPr>
      <w:r w:rsidRPr="00512AEC">
        <w:rPr>
          <w:rFonts w:ascii="Arial" w:hAnsi="Arial" w:cs="Arial"/>
        </w:rPr>
        <w:t xml:space="preserve">Self-analysis of TMUK using the SWOT framework identifies capability configurations which facilitate and impede strategic change. </w:t>
      </w:r>
    </w:p>
    <w:p w14:paraId="5C64A1BF" w14:textId="77777777" w:rsidR="003F07C9" w:rsidRPr="00512AEC" w:rsidRDefault="003F07C9" w:rsidP="00512AEC">
      <w:pPr>
        <w:spacing w:line="360" w:lineRule="auto"/>
        <w:ind w:left="360"/>
        <w:rPr>
          <w:rFonts w:ascii="Arial" w:hAnsi="Arial" w:cs="Arial"/>
        </w:rPr>
      </w:pPr>
      <w:r w:rsidRPr="00512AEC">
        <w:rPr>
          <w:rFonts w:ascii="Arial" w:hAnsi="Arial" w:cs="Arial"/>
          <w:b/>
          <w:bCs/>
        </w:rPr>
        <w:t>Strengths-</w:t>
      </w:r>
      <w:r w:rsidRPr="00512AEC">
        <w:rPr>
          <w:rFonts w:ascii="Arial" w:hAnsi="Arial" w:cs="Arial"/>
        </w:rPr>
        <w:t xml:space="preserve"> TMUK has a well-established TPS system in place, and its culture of continuous improvement is deeply ingrained among staff. de Treville, (2023) report that Toyota's production system focuses on the problem-solving of employees at any level within the organisation. The principles that have enabled workers to detect and solve quality problems are ingrained in TMUK's working practices.</w:t>
      </w:r>
    </w:p>
    <w:p w14:paraId="1B9E11F4" w14:textId="77777777" w:rsidR="003F07C9" w:rsidRPr="00512AEC" w:rsidRDefault="003F07C9" w:rsidP="00512AEC">
      <w:pPr>
        <w:spacing w:line="360" w:lineRule="auto"/>
        <w:ind w:left="360"/>
        <w:rPr>
          <w:rFonts w:ascii="Arial" w:hAnsi="Arial" w:cs="Arial"/>
        </w:rPr>
      </w:pPr>
      <w:r w:rsidRPr="00512AEC">
        <w:rPr>
          <w:rFonts w:ascii="Arial" w:hAnsi="Arial" w:cs="Arial"/>
          <w:b/>
          <w:bCs/>
        </w:rPr>
        <w:t xml:space="preserve">Weaknesses- </w:t>
      </w:r>
      <w:r w:rsidRPr="00512AEC">
        <w:rPr>
          <w:rFonts w:ascii="Arial" w:hAnsi="Arial" w:cs="Arial"/>
        </w:rPr>
        <w:t>TMUK's technology path is based on hybrid technology, and it has not yet built up a lot of experience in producing electric vehicles. Automotive incumbents are an example of which Pichler et al. (2021) writes that they are path dependent, meaning that their previous investments in particular technological capacities mean they have limited strategic flexibility. The knowledge stocks and organisational routines developed through decades of hybrid powertrain manufacturing optimisation may not be relevant for full electrification for TMUK. Lean production systems work well in stable environments, but might become fragile if confronted by the magnitude of transition to electric vehicles.</w:t>
      </w:r>
    </w:p>
    <w:p w14:paraId="1A2370E5" w14:textId="77777777" w:rsidR="003F07C9" w:rsidRPr="00512AEC" w:rsidRDefault="003F07C9" w:rsidP="00512AEC">
      <w:pPr>
        <w:spacing w:line="360" w:lineRule="auto"/>
        <w:ind w:left="360"/>
        <w:rPr>
          <w:rFonts w:ascii="Arial" w:hAnsi="Arial" w:cs="Arial"/>
        </w:rPr>
      </w:pPr>
      <w:r w:rsidRPr="00512AEC">
        <w:rPr>
          <w:rFonts w:ascii="Arial" w:hAnsi="Arial" w:cs="Arial"/>
          <w:b/>
          <w:bCs/>
        </w:rPr>
        <w:t>Opportunities-</w:t>
      </w:r>
      <w:r w:rsidRPr="00512AEC">
        <w:rPr>
          <w:rFonts w:ascii="Arial" w:hAnsi="Arial" w:cs="Arial"/>
        </w:rPr>
        <w:t xml:space="preserve"> Opportunities arise from the potential for digital transformation and the expanding EV market. The authors of Frank, Dalenogare and Ayala (2019) show that Industry 4.0 technologies have significant potential to benefit manufacturers that need to adapt to product variety and/or need to change the production volume of the same product, as is the case in TMUK's transition from hybrid to electric vehicles. Additionally, Ghobakhloo (2020) reports that smart manufacturing systems also allow for more efficient changeover from product variants.</w:t>
      </w:r>
    </w:p>
    <w:p w14:paraId="5CAEBDF5" w14:textId="77777777" w:rsidR="003F07C9" w:rsidRPr="00512AEC" w:rsidRDefault="003F07C9" w:rsidP="00512AEC">
      <w:pPr>
        <w:spacing w:line="360" w:lineRule="auto"/>
        <w:ind w:left="360"/>
        <w:rPr>
          <w:rFonts w:ascii="Arial" w:hAnsi="Arial" w:cs="Arial"/>
        </w:rPr>
      </w:pPr>
      <w:r w:rsidRPr="00512AEC">
        <w:rPr>
          <w:rFonts w:ascii="Arial" w:hAnsi="Arial" w:cs="Arial"/>
          <w:b/>
          <w:bCs/>
        </w:rPr>
        <w:t>Threats-</w:t>
      </w:r>
      <w:r w:rsidRPr="00512AEC">
        <w:rPr>
          <w:rFonts w:ascii="Arial" w:hAnsi="Arial" w:cs="Arial"/>
        </w:rPr>
        <w:t xml:space="preserve"> Strong competition from established EV manufacturers and disruptive new competitors. Pichler et al. (2021) report that automotive incumbents do not only struggle with competition from traditional automotive companies, but also from tech companies joining the automotive industry without the legacy costs of internal combustion investments.</w:t>
      </w:r>
    </w:p>
    <w:p w14:paraId="36BA45C2" w14:textId="77777777" w:rsidR="003F07C9" w:rsidRPr="00512AEC" w:rsidRDefault="003F07C9" w:rsidP="00512AEC">
      <w:pPr>
        <w:pStyle w:val="Heading2"/>
        <w:spacing w:line="360" w:lineRule="auto"/>
        <w:rPr>
          <w:rFonts w:ascii="Arial" w:hAnsi="Arial" w:cs="Arial"/>
          <w:sz w:val="22"/>
          <w:szCs w:val="22"/>
        </w:rPr>
      </w:pPr>
      <w:bookmarkStart w:id="5" w:name="_Toc234292975"/>
      <w:r w:rsidRPr="00512AEC">
        <w:rPr>
          <w:rFonts w:ascii="Arial" w:hAnsi="Arial" w:cs="Arial"/>
          <w:sz w:val="22"/>
          <w:szCs w:val="22"/>
        </w:rPr>
        <w:t>2.3 Triggers for Change</w:t>
      </w:r>
      <w:bookmarkEnd w:id="5"/>
      <w:r w:rsidRPr="00512AEC">
        <w:rPr>
          <w:rFonts w:ascii="Arial" w:hAnsi="Arial" w:cs="Arial"/>
          <w:sz w:val="22"/>
          <w:szCs w:val="22"/>
        </w:rPr>
        <w:t xml:space="preserve"> </w:t>
      </w:r>
    </w:p>
    <w:p w14:paraId="2312F094" w14:textId="77777777" w:rsidR="003F07C9" w:rsidRPr="00512AEC" w:rsidRDefault="003F07C9" w:rsidP="00512AEC">
      <w:pPr>
        <w:spacing w:line="360" w:lineRule="auto"/>
        <w:rPr>
          <w:rFonts w:ascii="Arial" w:hAnsi="Arial" w:cs="Arial"/>
        </w:rPr>
      </w:pPr>
      <w:r w:rsidRPr="00512AEC">
        <w:rPr>
          <w:rFonts w:ascii="Arial" w:hAnsi="Arial" w:cs="Arial"/>
        </w:rPr>
        <w:t>The three major triggers require TMUK to make a quick turnaround in strategy. Regulatory pressure due to the ZEV mandate creates existential risk, and ongoing production of hybrids will lead to increasing compliance costs. Pichler et al., (2021) shows that automotive manufacturers that fall short of regulatory compliance are subject to cumulative financial penalties that are greater than the investment needed to develop electric vehicle capability.</w:t>
      </w:r>
    </w:p>
    <w:p w14:paraId="28A43416" w14:textId="77777777" w:rsidR="003F07C9" w:rsidRPr="00512AEC" w:rsidRDefault="003F07C9" w:rsidP="00512AEC">
      <w:pPr>
        <w:spacing w:line="360" w:lineRule="auto"/>
        <w:rPr>
          <w:rFonts w:ascii="Arial" w:hAnsi="Arial" w:cs="Arial"/>
        </w:rPr>
      </w:pPr>
      <w:r w:rsidRPr="00512AEC">
        <w:rPr>
          <w:rFonts w:ascii="Arial" w:hAnsi="Arial" w:cs="Arial"/>
        </w:rPr>
        <w:t>Second, the pressure of technology, resulting from digitalisation and AI, requires operational capability development. Manufacturers who do not invest in Industry 4.0 technologies will increasingly be disadvantaged in relation to their smart manufacturing competitors (Pichler et al., 2021). Historically, the competitive edge for TMUK has been its TPS excellence, but that is changing as a basis of competition, with the integration of digital proving to be a more effective strategy.</w:t>
      </w:r>
    </w:p>
    <w:p w14:paraId="3E6EED0F" w14:textId="77777777" w:rsidR="003F07C9" w:rsidRPr="00512AEC" w:rsidRDefault="003F07C9" w:rsidP="00512AEC">
      <w:pPr>
        <w:spacing w:line="360" w:lineRule="auto"/>
        <w:rPr>
          <w:rFonts w:ascii="Arial" w:hAnsi="Arial" w:cs="Arial"/>
        </w:rPr>
      </w:pPr>
      <w:r w:rsidRPr="00512AEC">
        <w:rPr>
          <w:rFonts w:ascii="Arial" w:hAnsi="Arial" w:cs="Arial"/>
        </w:rPr>
        <w:t>Third, there is competitive pressure from electric vehicle manufacturers, which represents a threat to TMUK's market share. Pichler et al. (2021) reports that the boundaries of the automotive industry are becoming blurred as technology companies enter the vehicle industry, and that this means that software-centric development approaches are entering the automotive industry cultures, which are fundamentally different.</w:t>
      </w:r>
    </w:p>
    <w:p w14:paraId="408933B6" w14:textId="77777777" w:rsidR="003F07C9" w:rsidRPr="00512AEC" w:rsidRDefault="003F07C9" w:rsidP="00512AEC">
      <w:pPr>
        <w:pStyle w:val="Heading1"/>
        <w:spacing w:line="360" w:lineRule="auto"/>
        <w:rPr>
          <w:rFonts w:ascii="Arial" w:hAnsi="Arial" w:cs="Arial"/>
          <w:sz w:val="22"/>
          <w:szCs w:val="22"/>
        </w:rPr>
      </w:pPr>
      <w:bookmarkStart w:id="6" w:name="_Toc234292976"/>
      <w:r w:rsidRPr="00512AEC">
        <w:rPr>
          <w:rFonts w:ascii="Arial" w:hAnsi="Arial" w:cs="Arial"/>
          <w:sz w:val="22"/>
          <w:szCs w:val="22"/>
        </w:rPr>
        <w:t>3.0 Review and Evaluation of Change Management Models</w:t>
      </w:r>
      <w:bookmarkEnd w:id="6"/>
      <w:r w:rsidRPr="00512AEC">
        <w:rPr>
          <w:rFonts w:ascii="Arial" w:hAnsi="Arial" w:cs="Arial"/>
          <w:sz w:val="22"/>
          <w:szCs w:val="22"/>
        </w:rPr>
        <w:t xml:space="preserve"> </w:t>
      </w:r>
    </w:p>
    <w:p w14:paraId="6A91B018" w14:textId="77777777" w:rsidR="003F07C9" w:rsidRPr="00512AEC" w:rsidRDefault="003F07C9" w:rsidP="00512AEC">
      <w:pPr>
        <w:pStyle w:val="Heading2"/>
        <w:spacing w:line="360" w:lineRule="auto"/>
        <w:rPr>
          <w:rFonts w:ascii="Arial" w:hAnsi="Arial" w:cs="Arial"/>
          <w:sz w:val="22"/>
          <w:szCs w:val="22"/>
        </w:rPr>
      </w:pPr>
      <w:bookmarkStart w:id="7" w:name="_Toc234292977"/>
      <w:r w:rsidRPr="00512AEC">
        <w:rPr>
          <w:rFonts w:ascii="Arial" w:hAnsi="Arial" w:cs="Arial"/>
          <w:sz w:val="22"/>
          <w:szCs w:val="22"/>
        </w:rPr>
        <w:t>3.1 Lewin’s Three-Step Model</w:t>
      </w:r>
      <w:bookmarkEnd w:id="7"/>
    </w:p>
    <w:p w14:paraId="721D86E5" w14:textId="77777777" w:rsidR="003F07C9" w:rsidRPr="00512AEC" w:rsidRDefault="003F07C9" w:rsidP="00512AEC">
      <w:pPr>
        <w:spacing w:line="360" w:lineRule="auto"/>
        <w:rPr>
          <w:rFonts w:ascii="Arial" w:hAnsi="Arial" w:cs="Arial"/>
        </w:rPr>
      </w:pPr>
      <w:r w:rsidRPr="00512AEC">
        <w:rPr>
          <w:rFonts w:ascii="Arial" w:hAnsi="Arial" w:cs="Arial"/>
        </w:rPr>
        <w:t>According to Burnes (2020), Kurt Lewin's three-stage model is the concept of unfreezing, moving and refreezing of change. Unfreezing focuses on motivation to change by showing a gap between the present state and the desired state, challenging present assumptions and behaviours. Moving involves a change of behaviour, process or arrangement within an organisation. Refreezing reinforces change by incorporating it into the culture, systems and routines of an organisation.</w:t>
      </w:r>
    </w:p>
    <w:p w14:paraId="71CCFAE5" w14:textId="77777777" w:rsidR="003F07C9" w:rsidRPr="00512AEC" w:rsidRDefault="003F07C9" w:rsidP="00512AEC">
      <w:pPr>
        <w:spacing w:line="360" w:lineRule="auto"/>
        <w:rPr>
          <w:rFonts w:ascii="Arial" w:hAnsi="Arial" w:cs="Arial"/>
        </w:rPr>
      </w:pPr>
      <w:r w:rsidRPr="00512AEC">
        <w:rPr>
          <w:rFonts w:ascii="Arial" w:hAnsi="Arial" w:cs="Arial"/>
        </w:rPr>
        <w:t>While Lewin's model is still valid when it comes to the dynamics of change, in the modern era, continuous environmental turbulence must be considered as a part of the process (Burnes 2020). The model's recognition of the need to disrupt existing equilibria is relevant to TMUK's context, where TPS excellence can result in complacency regarding environmental threats that need to be addressed strategically. Refreezing is an important part of the model because of the tendency for relapse into old behaviours when the getting started phase is over.</w:t>
      </w:r>
    </w:p>
    <w:p w14:paraId="5FC21F32" w14:textId="77777777" w:rsidR="003F07C9" w:rsidRPr="00512AEC" w:rsidRDefault="003F07C9" w:rsidP="00512AEC">
      <w:pPr>
        <w:spacing w:line="360" w:lineRule="auto"/>
        <w:rPr>
          <w:rFonts w:ascii="Arial" w:hAnsi="Arial" w:cs="Arial"/>
        </w:rPr>
      </w:pPr>
      <w:r w:rsidRPr="00512AEC">
        <w:rPr>
          <w:rFonts w:ascii="Arial" w:hAnsi="Arial" w:cs="Arial"/>
        </w:rPr>
        <w:t>But, as Hussain et al. (2018) critically states, Lewin's model assumes stability of the organisation between the change phases, which is not true in today's dynamic and turbulent environment of continuous change. Change is not a single event with a clear endpoint for TMUK, which is being impacted by digital, regulatory and competitive challenges. Cummings, Bridgman and Brown (2016) suggest alternative models for different contexts, as they differentiate episodic change from continuous change.</w:t>
      </w:r>
    </w:p>
    <w:p w14:paraId="3533B2AE" w14:textId="77777777" w:rsidR="003F07C9" w:rsidRPr="00512AEC" w:rsidRDefault="003F07C9" w:rsidP="00512AEC">
      <w:pPr>
        <w:spacing w:line="360" w:lineRule="auto"/>
        <w:rPr>
          <w:rFonts w:ascii="Arial" w:hAnsi="Arial" w:cs="Arial"/>
        </w:rPr>
      </w:pPr>
      <w:r w:rsidRPr="00512AEC">
        <w:rPr>
          <w:rFonts w:ascii="Arial" w:hAnsi="Arial" w:cs="Arial"/>
        </w:rPr>
        <w:t>The model overlooks political elements within organisations. Resistance to change is always going to occur when change happens, especially strategic change with regard to resource allocation, which will always have people who are upset because their interests are being threatened. The relatively technical nature of Lewin's framing is found to be inadequate for explaining outcomes of change in terms of power distributions. In TMUK, where production staff have influence in problem-solving systems, ignoring the political aspects will affect the effectiveness.</w:t>
      </w:r>
    </w:p>
    <w:p w14:paraId="1B5A9E2C" w14:textId="77777777" w:rsidR="003F07C9" w:rsidRPr="00512AEC" w:rsidRDefault="003F07C9" w:rsidP="00512AEC">
      <w:pPr>
        <w:pStyle w:val="Heading2"/>
        <w:spacing w:line="360" w:lineRule="auto"/>
        <w:rPr>
          <w:rFonts w:ascii="Arial" w:hAnsi="Arial" w:cs="Arial"/>
          <w:sz w:val="22"/>
          <w:szCs w:val="22"/>
        </w:rPr>
      </w:pPr>
      <w:bookmarkStart w:id="8" w:name="_Toc234292978"/>
      <w:r w:rsidRPr="00512AEC">
        <w:rPr>
          <w:rFonts w:ascii="Arial" w:hAnsi="Arial" w:cs="Arial"/>
          <w:sz w:val="22"/>
          <w:szCs w:val="22"/>
        </w:rPr>
        <w:t>3.2 Kotter’s Eight-Step Model</w:t>
      </w:r>
      <w:bookmarkEnd w:id="8"/>
      <w:r w:rsidRPr="00512AEC">
        <w:rPr>
          <w:rFonts w:ascii="Arial" w:hAnsi="Arial" w:cs="Arial"/>
          <w:sz w:val="22"/>
          <w:szCs w:val="22"/>
        </w:rPr>
        <w:t xml:space="preserve"> </w:t>
      </w:r>
    </w:p>
    <w:p w14:paraId="7E72B31B" w14:textId="77777777" w:rsidR="003F07C9" w:rsidRPr="00512AEC" w:rsidRDefault="003F07C9" w:rsidP="00512AEC">
      <w:pPr>
        <w:spacing w:line="360" w:lineRule="auto"/>
        <w:rPr>
          <w:rFonts w:ascii="Arial" w:hAnsi="Arial" w:cs="Arial"/>
        </w:rPr>
      </w:pPr>
      <w:r w:rsidRPr="00512AEC">
        <w:rPr>
          <w:rFonts w:ascii="Arial" w:hAnsi="Arial" w:cs="Arial"/>
        </w:rPr>
        <w:t>The model to be used here picks up from Lewin's model and expands it to eight steps: creating urgency, forming a powerful coalition, developing a vision and strategy, communicating the vision, empowering broad-based action, generating short-term wins, consolidating gains, and anchoring changes in culture. The model's value is in its clear focus on the role of leadership during the change process.</w:t>
      </w:r>
    </w:p>
    <w:p w14:paraId="114E0AB2" w14:textId="77777777" w:rsidR="003F07C9" w:rsidRPr="00512AEC" w:rsidRDefault="003F07C9" w:rsidP="00512AEC">
      <w:pPr>
        <w:spacing w:line="360" w:lineRule="auto"/>
        <w:rPr>
          <w:rFonts w:ascii="Arial" w:hAnsi="Arial" w:cs="Arial"/>
        </w:rPr>
      </w:pPr>
      <w:r w:rsidRPr="00512AEC">
        <w:rPr>
          <w:rFonts w:ascii="Arial" w:hAnsi="Arial" w:cs="Arial"/>
        </w:rPr>
        <w:t>Kotter's focus on developing urgency is very relevant for TMUK. Successful change initiatives, according to McLaren, van der Hoorn and Fein (2023), result in a level of urgency without a slide into crisis management. The model's cultural process of creating short-term wins is especially useful for keeping momentum going on a multi-year transformation program. Small, visible successes at the start of the change process give evidence that effort pays off, maintaining employee engagement during the more challenging phases of change.</w:t>
      </w:r>
    </w:p>
    <w:p w14:paraId="79FD1A1D" w14:textId="77777777" w:rsidR="003F07C9" w:rsidRPr="00512AEC" w:rsidRDefault="003F07C9" w:rsidP="00512AEC">
      <w:pPr>
        <w:spacing w:line="360" w:lineRule="auto"/>
        <w:rPr>
          <w:rFonts w:ascii="Arial" w:hAnsi="Arial" w:cs="Arial"/>
        </w:rPr>
      </w:pPr>
      <w:r w:rsidRPr="00512AEC">
        <w:rPr>
          <w:rFonts w:ascii="Arial" w:hAnsi="Arial" w:cs="Arial"/>
        </w:rPr>
        <w:t>Kotters sequential model may be too prescriptive for organisations that need to change simultaneously, parallel to each other. Real change in an organisation involves overlapping, iterative processes, while the linear logic envisages that change can be sequenced cleanly. In addition, McLaren, van der Hoorn and Fein (2023) suggests that Kotter under-theorises resistance and views it only as a barrier to be overcome, not a source of information to understand challenges in implementation. For TMUK, with high behavioural predictability due to TPS's standardisation, the resistance pattern may indicate a real limit that needs to be addressed instead of being confronted.</w:t>
      </w:r>
    </w:p>
    <w:p w14:paraId="7DDFC75D" w14:textId="77777777" w:rsidR="003F07C9" w:rsidRPr="00512AEC" w:rsidRDefault="003F07C9" w:rsidP="00512AEC">
      <w:pPr>
        <w:pStyle w:val="Heading2"/>
        <w:spacing w:line="360" w:lineRule="auto"/>
        <w:rPr>
          <w:rFonts w:ascii="Arial" w:hAnsi="Arial" w:cs="Arial"/>
          <w:sz w:val="22"/>
          <w:szCs w:val="22"/>
        </w:rPr>
      </w:pPr>
      <w:bookmarkStart w:id="9" w:name="_Toc234292979"/>
      <w:r w:rsidRPr="00512AEC">
        <w:rPr>
          <w:rFonts w:ascii="Arial" w:hAnsi="Arial" w:cs="Arial"/>
          <w:sz w:val="22"/>
          <w:szCs w:val="22"/>
        </w:rPr>
        <w:t>3.3 ADKAR Model</w:t>
      </w:r>
      <w:bookmarkEnd w:id="9"/>
      <w:r w:rsidRPr="00512AEC">
        <w:rPr>
          <w:rFonts w:ascii="Arial" w:hAnsi="Arial" w:cs="Arial"/>
          <w:sz w:val="22"/>
          <w:szCs w:val="22"/>
        </w:rPr>
        <w:t xml:space="preserve"> </w:t>
      </w:r>
    </w:p>
    <w:p w14:paraId="0CF02C4E" w14:textId="77777777" w:rsidR="003F07C9" w:rsidRPr="00512AEC" w:rsidRDefault="003F07C9" w:rsidP="00512AEC">
      <w:pPr>
        <w:spacing w:line="360" w:lineRule="auto"/>
        <w:rPr>
          <w:rFonts w:ascii="Arial" w:hAnsi="Arial" w:cs="Arial"/>
        </w:rPr>
      </w:pPr>
      <w:r w:rsidRPr="00512AEC">
        <w:rPr>
          <w:rFonts w:ascii="Arial" w:hAnsi="Arial" w:cs="Arial"/>
        </w:rPr>
        <w:t>According to Prosci's ADKAR model, 5 outcomes need to be achieved before the change can happen: Awareness of the need for change, Desire to participate and support the change, Knowledge of how to change, Ability to implement the required skills and behaviours, Reinforcement to sustain change (Kaminski, 2022). This individual level of focus is very different from Lewin and Kotter's organisational level frameworks.</w:t>
      </w:r>
    </w:p>
    <w:p w14:paraId="74E06700" w14:textId="77777777" w:rsidR="003F07C9" w:rsidRPr="00512AEC" w:rsidRDefault="003F07C9" w:rsidP="00512AEC">
      <w:pPr>
        <w:spacing w:line="360" w:lineRule="auto"/>
        <w:rPr>
          <w:rFonts w:ascii="Arial" w:hAnsi="Arial" w:cs="Arial"/>
        </w:rPr>
      </w:pPr>
      <w:r w:rsidRPr="00512AEC">
        <w:rPr>
          <w:rFonts w:ascii="Arial" w:hAnsi="Arial" w:cs="Arial"/>
        </w:rPr>
        <w:t>The key benefit of ADKAR is that it acknowledges that organisational change is the sum of individual changes. Organisations don't change; people in organisations do, as Kaminski (2022) asserts. In TMUK, TPS is linked to standardised individual role performance, a tool that helps to assess the readiness of each employee population. A tool that can help tailor interventions is needed, and where this is the case, ADKAR is a tool that can help. The sequential logic of the model is face valid and practically useful for training needs analysis.</w:t>
      </w:r>
    </w:p>
    <w:p w14:paraId="5FDC73D1" w14:textId="77777777" w:rsidR="003F07C9" w:rsidRPr="00512AEC" w:rsidRDefault="003F07C9" w:rsidP="00512AEC">
      <w:pPr>
        <w:spacing w:line="360" w:lineRule="auto"/>
        <w:rPr>
          <w:rFonts w:ascii="Arial" w:hAnsi="Arial" w:cs="Arial"/>
        </w:rPr>
      </w:pPr>
      <w:r w:rsidRPr="00512AEC">
        <w:rPr>
          <w:rFonts w:ascii="Arial" w:hAnsi="Arial" w:cs="Arial"/>
        </w:rPr>
        <w:t xml:space="preserve">To </w:t>
      </w:r>
      <w:r w:rsidRPr="00F2062F">
        <w:rPr>
          <w:rFonts w:ascii="Arial" w:hAnsi="Arial" w:cs="Arial"/>
        </w:rPr>
        <w:t>Hughes (2016)</w:t>
      </w:r>
      <w:r w:rsidRPr="00512AEC">
        <w:rPr>
          <w:rFonts w:ascii="Arial" w:hAnsi="Arial" w:cs="Arial"/>
        </w:rPr>
        <w:t>, however, ADKAR “individualises what are really systemic issues” and can mask the organisational level barriers to change. However, strategic investments, capital reallocation, supply chain restructuring and production system redesign are needed to overcome the challenges facing TMUK, such as digital transformation, development of electric vehicles and regulatory compliance. Additionally, Cummings, Bridgman and Brown (2016)  point out that continuous change does not have distinct readiness and implementation phases.</w:t>
      </w:r>
    </w:p>
    <w:p w14:paraId="27540CD7" w14:textId="77777777" w:rsidR="003F07C9" w:rsidRPr="00512AEC" w:rsidRDefault="003F07C9" w:rsidP="00512AEC">
      <w:pPr>
        <w:pStyle w:val="Heading2"/>
        <w:spacing w:line="360" w:lineRule="auto"/>
        <w:rPr>
          <w:rFonts w:ascii="Arial" w:hAnsi="Arial" w:cs="Arial"/>
          <w:sz w:val="22"/>
          <w:szCs w:val="22"/>
        </w:rPr>
      </w:pPr>
      <w:bookmarkStart w:id="10" w:name="_Toc234292980"/>
      <w:r w:rsidRPr="00512AEC">
        <w:rPr>
          <w:rFonts w:ascii="Arial" w:hAnsi="Arial" w:cs="Arial"/>
          <w:sz w:val="22"/>
          <w:szCs w:val="22"/>
        </w:rPr>
        <w:t>3.4 Proposed Hybrid Model for TMUK</w:t>
      </w:r>
      <w:bookmarkEnd w:id="10"/>
    </w:p>
    <w:p w14:paraId="5E7D6DDE" w14:textId="77777777" w:rsidR="003F07C9" w:rsidRPr="00512AEC" w:rsidRDefault="003F07C9" w:rsidP="00512AEC">
      <w:pPr>
        <w:spacing w:line="360" w:lineRule="auto"/>
        <w:rPr>
          <w:rFonts w:ascii="Arial" w:hAnsi="Arial" w:cs="Arial"/>
        </w:rPr>
      </w:pPr>
      <w:r w:rsidRPr="00512AEC">
        <w:rPr>
          <w:rFonts w:ascii="Arial" w:hAnsi="Arial" w:cs="Arial"/>
        </w:rPr>
        <w:t>Based on this critical evaluation, this report suggests a hybrid change management model that combines the structural approach of Kotter (McLaren, van der Hoorn and Fein, 2023) with the individual change transition approach of ADKAR (Kaminski, 2022). The change initiative is organised on the level of the eight steps of Kotter's model, with governance structures, sequencing discipline and accountability mechanisms. This gives a degree of strategic coherence across the multi-year transformation and helps to prevent fragmentation when individual business units engage in uncoordinated projects.</w:t>
      </w:r>
    </w:p>
    <w:p w14:paraId="0CECCEB8" w14:textId="77777777" w:rsidR="003F07C9" w:rsidRPr="00512AEC" w:rsidRDefault="003F07C9" w:rsidP="00512AEC">
      <w:pPr>
        <w:spacing w:line="360" w:lineRule="auto"/>
        <w:rPr>
          <w:rFonts w:ascii="Arial" w:hAnsi="Arial" w:cs="Arial"/>
        </w:rPr>
      </w:pPr>
      <w:r w:rsidRPr="00512AEC">
        <w:rPr>
          <w:rFonts w:ascii="Arial" w:hAnsi="Arial" w:cs="Arial"/>
        </w:rPr>
        <w:t>The change initiative at the individual level leverages ADKAR's five outcomes by ensuring that each employee's population has the awareness, desire, knowledge, ability and reinforcement to meet the requirements of their new role. The dual-level approach overcomes McLaren, van der Hoorn and Fein’s (2023) criticism of ADKAR that it separates systemic issues from individual issues and mitigates the limitation of Lewin.</w:t>
      </w:r>
    </w:p>
    <w:p w14:paraId="73C31FFD" w14:textId="77777777" w:rsidR="003F07C9" w:rsidRPr="00512AEC" w:rsidRDefault="003F07C9" w:rsidP="00512AEC">
      <w:pPr>
        <w:spacing w:line="360" w:lineRule="auto"/>
        <w:rPr>
          <w:rFonts w:ascii="Arial" w:hAnsi="Arial" w:cs="Arial"/>
        </w:rPr>
      </w:pPr>
      <w:r w:rsidRPr="00512AEC">
        <w:rPr>
          <w:rFonts w:ascii="Arial" w:hAnsi="Arial" w:cs="Arial"/>
        </w:rPr>
        <w:t>This blended model serves three particular TMUK needs. Organisational-level structure is the first aspect of strategic coherence with the hybrid-to-electric transition. Secondly, individual focus matches the TPS culture of standardised work and defined role expectations and ADKAR offers a methodology to move from the current to future role states. Third, the hybrid model allows for continuous improvement within the framework of episodic structure, in line with Cummings, Bridgman and Brown (2016), who identified the need to balance the episodic with the continuous within an effective change management model.</w:t>
      </w:r>
    </w:p>
    <w:p w14:paraId="1FAF2120" w14:textId="77777777" w:rsidR="003F07C9" w:rsidRPr="00512AEC" w:rsidRDefault="003F07C9" w:rsidP="00512AEC">
      <w:pPr>
        <w:pStyle w:val="Heading1"/>
        <w:spacing w:line="360" w:lineRule="auto"/>
        <w:rPr>
          <w:rFonts w:ascii="Arial" w:hAnsi="Arial" w:cs="Arial"/>
          <w:sz w:val="22"/>
          <w:szCs w:val="22"/>
        </w:rPr>
      </w:pPr>
      <w:bookmarkStart w:id="11" w:name="_Toc234292981"/>
      <w:r w:rsidRPr="00512AEC">
        <w:rPr>
          <w:rFonts w:ascii="Arial" w:hAnsi="Arial" w:cs="Arial"/>
          <w:sz w:val="22"/>
          <w:szCs w:val="22"/>
        </w:rPr>
        <w:t>4.0 Leadership and Organisational Culture in Change</w:t>
      </w:r>
      <w:bookmarkEnd w:id="11"/>
      <w:r w:rsidRPr="00512AEC">
        <w:rPr>
          <w:rFonts w:ascii="Arial" w:hAnsi="Arial" w:cs="Arial"/>
          <w:sz w:val="22"/>
          <w:szCs w:val="22"/>
        </w:rPr>
        <w:t xml:space="preserve"> </w:t>
      </w:r>
    </w:p>
    <w:p w14:paraId="1C9697FA" w14:textId="77777777" w:rsidR="003F07C9" w:rsidRPr="00512AEC" w:rsidRDefault="003F07C9" w:rsidP="00512AEC">
      <w:pPr>
        <w:pStyle w:val="Heading2"/>
        <w:spacing w:line="360" w:lineRule="auto"/>
        <w:rPr>
          <w:rFonts w:ascii="Arial" w:hAnsi="Arial" w:cs="Arial"/>
          <w:sz w:val="22"/>
          <w:szCs w:val="22"/>
        </w:rPr>
      </w:pPr>
      <w:bookmarkStart w:id="12" w:name="_Toc234292982"/>
      <w:r w:rsidRPr="00512AEC">
        <w:rPr>
          <w:rFonts w:ascii="Arial" w:hAnsi="Arial" w:cs="Arial"/>
          <w:sz w:val="22"/>
          <w:szCs w:val="22"/>
        </w:rPr>
        <w:t>4.1 Leadership Styles and Change Effectiveness</w:t>
      </w:r>
      <w:bookmarkEnd w:id="12"/>
      <w:r w:rsidRPr="00512AEC">
        <w:rPr>
          <w:rFonts w:ascii="Arial" w:hAnsi="Arial" w:cs="Arial"/>
          <w:sz w:val="22"/>
          <w:szCs w:val="22"/>
        </w:rPr>
        <w:t xml:space="preserve"> </w:t>
      </w:r>
    </w:p>
    <w:p w14:paraId="58511302" w14:textId="77777777" w:rsidR="003F07C9" w:rsidRPr="00512AEC" w:rsidRDefault="003F07C9" w:rsidP="00512AEC">
      <w:pPr>
        <w:spacing w:line="360" w:lineRule="auto"/>
        <w:rPr>
          <w:rFonts w:ascii="Arial" w:hAnsi="Arial" w:cs="Arial"/>
        </w:rPr>
      </w:pPr>
      <w:r w:rsidRPr="00512AEC">
        <w:rPr>
          <w:rFonts w:ascii="Arial" w:hAnsi="Arial" w:cs="Arial"/>
        </w:rPr>
        <w:t>Leadership is by far the most critical factor that makes change initiatives a success or a failure. According to Peng et al. (2021), transformational leadership is made up of four components: Idealized Influence, Inspirational Motivation, Intellectual Stimulation, and Individual Consideration. Transformational leaders create a sense of extraordinary commitment from followers by making sure that the values of the organisation and the identity of the followers are aligned with the change.</w:t>
      </w:r>
    </w:p>
    <w:p w14:paraId="39530E9E" w14:textId="77777777" w:rsidR="003F07C9" w:rsidRPr="00512AEC" w:rsidRDefault="003F07C9" w:rsidP="00512AEC">
      <w:pPr>
        <w:spacing w:line="360" w:lineRule="auto"/>
        <w:rPr>
          <w:rFonts w:ascii="Arial" w:hAnsi="Arial" w:cs="Arial"/>
        </w:rPr>
      </w:pPr>
      <w:r w:rsidRPr="00512AEC">
        <w:rPr>
          <w:rFonts w:ascii="Arial" w:hAnsi="Arial" w:cs="Arial"/>
        </w:rPr>
        <w:t>The advantages of transformational leadership for TMUK are compelling for the strategic change that needs to be implemented. Peng et al. (2021) identified that transformational leadership behaviours had a stronger predictive relationship with change success than transactional styles in a variety of organizational contexts. Adopting a new manufacturing paradigm that moves from hybrid production to electric vehicles and digital production demands more than just compliance on the part of employees; it demands employee engagement and discretionary effort.</w:t>
      </w:r>
    </w:p>
    <w:p w14:paraId="4264838A" w14:textId="77777777" w:rsidR="003F07C9" w:rsidRPr="00512AEC" w:rsidRDefault="003F07C9" w:rsidP="00512AEC">
      <w:pPr>
        <w:spacing w:line="360" w:lineRule="auto"/>
        <w:rPr>
          <w:rFonts w:ascii="Arial" w:hAnsi="Arial" w:cs="Arial"/>
        </w:rPr>
      </w:pPr>
      <w:r w:rsidRPr="00512AEC">
        <w:rPr>
          <w:rFonts w:ascii="Arial" w:hAnsi="Arial" w:cs="Arial"/>
        </w:rPr>
        <w:t>One drawback of transformational leadership is that it relies on the charisma of the leader, which may not be transferable to the various locations and levels within TMUK. Moreover, the research on transformational leadership has been largely directed toward the top, with less research addressing how middle managers engage in transformational actions within limited organizational environments (Thompson and Glasø, 2018).</w:t>
      </w:r>
    </w:p>
    <w:p w14:paraId="25170B31" w14:textId="77777777" w:rsidR="003F07C9" w:rsidRPr="00512AEC" w:rsidRDefault="003F07C9" w:rsidP="00512AEC">
      <w:pPr>
        <w:spacing w:line="360" w:lineRule="auto"/>
        <w:rPr>
          <w:rFonts w:ascii="Arial" w:hAnsi="Arial" w:cs="Arial"/>
        </w:rPr>
      </w:pPr>
      <w:r w:rsidRPr="00512AEC">
        <w:rPr>
          <w:rFonts w:ascii="Arial" w:hAnsi="Arial" w:cs="Arial"/>
        </w:rPr>
        <w:t>Transactional leadership, on the other hand, is based on contingent reinforcement, which involves giving positive reinforcement for meeting expectations and punishing behavior that is different than expected (Thompson and Glasø, 2018). This is congruent to the existing TMUK TPS approach that focuses on standardised work and accountability. Transactional leadership typically maintains rather than transforms existing systems, limiting its effectiveness for strategic change.</w:t>
      </w:r>
    </w:p>
    <w:p w14:paraId="00152A46" w14:textId="77777777" w:rsidR="003F07C9" w:rsidRPr="00512AEC" w:rsidRDefault="003F07C9" w:rsidP="00512AEC">
      <w:pPr>
        <w:spacing w:line="360" w:lineRule="auto"/>
        <w:rPr>
          <w:rFonts w:ascii="Arial" w:hAnsi="Arial" w:cs="Arial"/>
        </w:rPr>
      </w:pPr>
      <w:r w:rsidRPr="00512AEC">
        <w:rPr>
          <w:rFonts w:ascii="Arial" w:hAnsi="Arial" w:cs="Arial"/>
        </w:rPr>
        <w:t>Situational leadership suggests that a good leader should be flexible when needed, depending on their followers' competence and commitment levels (Thompson and Glasø, 2018). Situational leadership's prescription of matching is useful for a variety of employee groups facing complex change. High competence, low commitment employees need different approaches than enthusiastic, but inexperienced new employees.</w:t>
      </w:r>
    </w:p>
    <w:p w14:paraId="4703803E" w14:textId="77777777" w:rsidR="003F07C9" w:rsidRPr="00512AEC" w:rsidRDefault="003F07C9" w:rsidP="00512AEC">
      <w:pPr>
        <w:spacing w:line="360" w:lineRule="auto"/>
        <w:rPr>
          <w:rFonts w:ascii="Arial" w:hAnsi="Arial" w:cs="Arial"/>
        </w:rPr>
      </w:pPr>
      <w:r w:rsidRPr="00512AEC">
        <w:rPr>
          <w:rFonts w:ascii="Arial" w:hAnsi="Arial" w:cs="Arial"/>
        </w:rPr>
        <w:t>Situational leadership is recommended as the main framework for TMUK, with the addition of transformational factors for vision and transactional factors for accountability of operations. This holistic perspective acknowledges the dynamic nature of change leadership as a practice that must be adapted based on context and across hierarchy levels and implementation phases.</w:t>
      </w:r>
    </w:p>
    <w:p w14:paraId="6C5BA8EF" w14:textId="77777777" w:rsidR="003F07C9" w:rsidRPr="00512AEC" w:rsidRDefault="003F07C9" w:rsidP="00512AEC">
      <w:pPr>
        <w:pStyle w:val="Heading2"/>
        <w:spacing w:line="360" w:lineRule="auto"/>
        <w:rPr>
          <w:rFonts w:ascii="Arial" w:hAnsi="Arial" w:cs="Arial"/>
          <w:sz w:val="22"/>
          <w:szCs w:val="22"/>
        </w:rPr>
      </w:pPr>
      <w:bookmarkStart w:id="13" w:name="_Toc234292983"/>
      <w:r w:rsidRPr="00512AEC">
        <w:rPr>
          <w:rFonts w:ascii="Arial" w:hAnsi="Arial" w:cs="Arial"/>
          <w:sz w:val="22"/>
          <w:szCs w:val="22"/>
        </w:rPr>
        <w:t>4.2 Organisational Culture Analysis</w:t>
      </w:r>
      <w:bookmarkEnd w:id="13"/>
      <w:r w:rsidRPr="00512AEC">
        <w:rPr>
          <w:rFonts w:ascii="Arial" w:hAnsi="Arial" w:cs="Arial"/>
          <w:sz w:val="22"/>
          <w:szCs w:val="22"/>
        </w:rPr>
        <w:t xml:space="preserve"> </w:t>
      </w:r>
    </w:p>
    <w:p w14:paraId="136CBB35" w14:textId="77777777" w:rsidR="003F07C9" w:rsidRPr="00512AEC" w:rsidRDefault="003F07C9" w:rsidP="00512AEC">
      <w:pPr>
        <w:spacing w:line="360" w:lineRule="auto"/>
        <w:rPr>
          <w:rFonts w:ascii="Arial" w:hAnsi="Arial" w:cs="Arial"/>
        </w:rPr>
      </w:pPr>
      <w:r w:rsidRPr="00512AEC">
        <w:rPr>
          <w:rFonts w:ascii="Arial" w:hAnsi="Arial" w:cs="Arial"/>
        </w:rPr>
        <w:t>Armed with analytical rigour, Obeng et al. (2025) three-level culture model, namely artefacts, espoused values, and basic underlying assumptions, is used to gain deeper insight into the TMUK culture. At the artefacts level, TMUK has standardised work charts, a visual management board, and daily team stand-up meetings. The Floor Management Development System outlines expectations for roles in a hierarchy.</w:t>
      </w:r>
    </w:p>
    <w:p w14:paraId="4D56A6C3" w14:textId="77777777" w:rsidR="003F07C9" w:rsidRPr="00512AEC" w:rsidRDefault="003F07C9" w:rsidP="00512AEC">
      <w:pPr>
        <w:spacing w:line="360" w:lineRule="auto"/>
        <w:rPr>
          <w:rFonts w:ascii="Arial" w:hAnsi="Arial" w:cs="Arial"/>
        </w:rPr>
      </w:pPr>
      <w:r w:rsidRPr="00512AEC">
        <w:rPr>
          <w:rFonts w:ascii="Arial" w:hAnsi="Arial" w:cs="Arial"/>
        </w:rPr>
        <w:t>At the espoused values level, TMUK emphasises continuous improvement (Kaizen), respect for people, and quality prioritisation. When viewed as a way of continuing the tradition, these values have the potential to fuel strategic change (Obeng et al., 2025). If values are read as a sign for incremental change, rather than radical change, however, there are limits to change.</w:t>
      </w:r>
    </w:p>
    <w:p w14:paraId="10485DC3" w14:textId="77777777" w:rsidR="003F07C9" w:rsidRPr="00512AEC" w:rsidRDefault="003F07C9" w:rsidP="00512AEC">
      <w:pPr>
        <w:spacing w:line="360" w:lineRule="auto"/>
        <w:rPr>
          <w:rFonts w:ascii="Arial" w:hAnsi="Arial" w:cs="Arial"/>
        </w:rPr>
      </w:pPr>
      <w:r w:rsidRPr="00512AEC">
        <w:rPr>
          <w:rFonts w:ascii="Arial" w:hAnsi="Arial" w:cs="Arial"/>
        </w:rPr>
        <w:t>TMUK's most fundamental cultural belief is that of production stability and predictability. This taken-for-granted assumption enabled TPS excellence but may prove a barrier to change, requiring experimentation and uncertainty tolerance. The Hofstede's dimensions that could be relevant to TMUK indicate moderate uncertainty avoidance, moderate-to-high long-term orientation, and collective orientation that aligns with Japanese-owned enterprise. These traits indicate receptivity to deliberate change and the desire for systematic change that is well communicated.</w:t>
      </w:r>
    </w:p>
    <w:p w14:paraId="4341A9ED" w14:textId="77777777" w:rsidR="003F07C9" w:rsidRPr="00512AEC" w:rsidRDefault="003F07C9" w:rsidP="00512AEC">
      <w:pPr>
        <w:spacing w:line="360" w:lineRule="auto"/>
        <w:rPr>
          <w:rFonts w:ascii="Arial" w:hAnsi="Arial" w:cs="Arial"/>
        </w:rPr>
      </w:pPr>
      <w:r w:rsidRPr="00512AEC">
        <w:rPr>
          <w:rFonts w:ascii="Arial" w:hAnsi="Arial" w:cs="Arial"/>
        </w:rPr>
        <w:t>The impact of organisational culture on change management at TMUK is ambivalent. The supportive cultural elements are the continuous improvement philosophy that normalises incremental changes, and employee problem-solving engagement, which offers avenues for feedback on how to change. Restraints on cultural components are a preference for standardised work, potentially limiting digital experimentation, hybrid technology path dependency, and stability assumptions versus transformation needs (Pichler et al., 2021). Effective change leadership, therefore, must operate within and through current culture and critique assumptions that block needed change.</w:t>
      </w:r>
    </w:p>
    <w:p w14:paraId="4920C9C1" w14:textId="77777777" w:rsidR="003F07C9" w:rsidRPr="00512AEC" w:rsidRDefault="003F07C9" w:rsidP="00512AEC">
      <w:pPr>
        <w:pStyle w:val="Heading1"/>
        <w:spacing w:line="360" w:lineRule="auto"/>
        <w:rPr>
          <w:rFonts w:ascii="Arial" w:hAnsi="Arial" w:cs="Arial"/>
          <w:sz w:val="22"/>
          <w:szCs w:val="22"/>
        </w:rPr>
      </w:pPr>
      <w:bookmarkStart w:id="14" w:name="_Toc234292984"/>
      <w:r w:rsidRPr="00512AEC">
        <w:rPr>
          <w:rFonts w:ascii="Arial" w:hAnsi="Arial" w:cs="Arial"/>
          <w:sz w:val="22"/>
          <w:szCs w:val="22"/>
        </w:rPr>
        <w:t>5.0 Proposed Strategic Change Management Plan</w:t>
      </w:r>
      <w:bookmarkEnd w:id="14"/>
      <w:r w:rsidRPr="00512AEC">
        <w:rPr>
          <w:rFonts w:ascii="Arial" w:hAnsi="Arial" w:cs="Arial"/>
          <w:sz w:val="22"/>
          <w:szCs w:val="22"/>
        </w:rPr>
        <w:t xml:space="preserve"> </w:t>
      </w:r>
    </w:p>
    <w:p w14:paraId="09E8D718" w14:textId="77777777" w:rsidR="003F07C9" w:rsidRPr="00512AEC" w:rsidRDefault="003F07C9" w:rsidP="00512AEC">
      <w:pPr>
        <w:pStyle w:val="Heading2"/>
        <w:spacing w:line="360" w:lineRule="auto"/>
        <w:rPr>
          <w:rFonts w:ascii="Arial" w:hAnsi="Arial" w:cs="Arial"/>
          <w:sz w:val="22"/>
          <w:szCs w:val="22"/>
        </w:rPr>
      </w:pPr>
      <w:bookmarkStart w:id="15" w:name="_Toc234292985"/>
      <w:r w:rsidRPr="00512AEC">
        <w:rPr>
          <w:rFonts w:ascii="Arial" w:hAnsi="Arial" w:cs="Arial"/>
          <w:sz w:val="22"/>
          <w:szCs w:val="22"/>
        </w:rPr>
        <w:t>5.1 Change Vision and Objectives</w:t>
      </w:r>
      <w:bookmarkEnd w:id="15"/>
      <w:r w:rsidRPr="00512AEC">
        <w:rPr>
          <w:rFonts w:ascii="Arial" w:hAnsi="Arial" w:cs="Arial"/>
          <w:sz w:val="22"/>
          <w:szCs w:val="22"/>
        </w:rPr>
        <w:t xml:space="preserve"> </w:t>
      </w:r>
    </w:p>
    <w:p w14:paraId="44906F5D" w14:textId="77777777" w:rsidR="003F07C9" w:rsidRPr="00512AEC" w:rsidRDefault="003F07C9" w:rsidP="00512AEC">
      <w:pPr>
        <w:spacing w:line="360" w:lineRule="auto"/>
        <w:rPr>
          <w:rFonts w:ascii="Arial" w:hAnsi="Arial" w:cs="Arial"/>
        </w:rPr>
      </w:pPr>
      <w:r w:rsidRPr="00512AEC">
        <w:rPr>
          <w:rFonts w:ascii="Arial" w:hAnsi="Arial" w:cs="Arial"/>
        </w:rPr>
        <w:t>The proposed change initiative “Project Kaizen Digital” sets the capability for the manufacture of electric vehicle components and for Industry 4.0 operations by TMUK within 24 months. The vision statement consists of "To become a digitally integrated, electric vehicle capable manufacturing facility with the maintenance and expansion of Toyota Production System excellence.</w:t>
      </w:r>
    </w:p>
    <w:p w14:paraId="740D0CBD" w14:textId="77777777" w:rsidR="003F07C9" w:rsidRPr="00512AEC" w:rsidRDefault="003F07C9" w:rsidP="00512AEC">
      <w:pPr>
        <w:spacing w:line="360" w:lineRule="auto"/>
        <w:rPr>
          <w:rFonts w:ascii="Arial" w:hAnsi="Arial" w:cs="Arial"/>
        </w:rPr>
      </w:pPr>
      <w:r w:rsidRPr="00512AEC">
        <w:rPr>
          <w:rStyle w:val="Strong"/>
          <w:rFonts w:ascii="Arial" w:hAnsi="Arial" w:cs="Arial"/>
          <w:color w:val="0F1115"/>
        </w:rPr>
        <w:t>Strategic objectives</w:t>
      </w:r>
      <w:r w:rsidRPr="00512AEC">
        <w:rPr>
          <w:rFonts w:ascii="Arial" w:hAnsi="Arial" w:cs="Arial"/>
        </w:rPr>
        <w:t> are:</w:t>
      </w:r>
    </w:p>
    <w:p w14:paraId="33AE9337" w14:textId="77777777" w:rsidR="003F07C9" w:rsidRPr="00512AEC" w:rsidRDefault="003F07C9" w:rsidP="00512AEC">
      <w:pPr>
        <w:pStyle w:val="ds-markdown-paragraph"/>
        <w:numPr>
          <w:ilvl w:val="0"/>
          <w:numId w:val="1"/>
        </w:numPr>
        <w:shd w:val="clear" w:color="auto" w:fill="FFFFFF"/>
        <w:spacing w:after="0" w:afterAutospacing="0" w:line="360" w:lineRule="auto"/>
        <w:rPr>
          <w:rFonts w:ascii="Arial" w:hAnsi="Arial" w:cs="Arial"/>
          <w:color w:val="0F1115"/>
          <w:sz w:val="22"/>
          <w:szCs w:val="22"/>
          <w:lang w:val="en-GB"/>
        </w:rPr>
      </w:pPr>
      <w:r w:rsidRPr="00512AEC">
        <w:rPr>
          <w:rFonts w:ascii="Arial" w:hAnsi="Arial" w:cs="Arial"/>
          <w:color w:val="0F1115"/>
          <w:sz w:val="22"/>
          <w:szCs w:val="22"/>
          <w:lang w:val="en-GB"/>
        </w:rPr>
        <w:t>Establish EV battery assembly capability at the Burnaston facility by month 18</w:t>
      </w:r>
    </w:p>
    <w:p w14:paraId="4B5275D4" w14:textId="77777777" w:rsidR="003F07C9" w:rsidRPr="00512AEC" w:rsidRDefault="003F07C9" w:rsidP="00512AEC">
      <w:pPr>
        <w:pStyle w:val="ds-markdown-paragraph"/>
        <w:numPr>
          <w:ilvl w:val="0"/>
          <w:numId w:val="1"/>
        </w:numPr>
        <w:shd w:val="clear" w:color="auto" w:fill="FFFFFF"/>
        <w:spacing w:after="0" w:afterAutospacing="0" w:line="360" w:lineRule="auto"/>
        <w:rPr>
          <w:rFonts w:ascii="Arial" w:hAnsi="Arial" w:cs="Arial"/>
          <w:color w:val="0F1115"/>
          <w:sz w:val="22"/>
          <w:szCs w:val="22"/>
          <w:lang w:val="en-GB"/>
        </w:rPr>
      </w:pPr>
      <w:r w:rsidRPr="00512AEC">
        <w:rPr>
          <w:rFonts w:ascii="Arial" w:hAnsi="Arial" w:cs="Arial"/>
          <w:color w:val="0F1115"/>
          <w:sz w:val="22"/>
          <w:szCs w:val="22"/>
          <w:lang w:val="en-GB"/>
        </w:rPr>
        <w:t>Achieve 80% workforce digital literacy certification by month 24</w:t>
      </w:r>
    </w:p>
    <w:p w14:paraId="357F1F7B" w14:textId="77777777" w:rsidR="003F07C9" w:rsidRPr="00512AEC" w:rsidRDefault="003F07C9" w:rsidP="00512AEC">
      <w:pPr>
        <w:pStyle w:val="ds-markdown-paragraph"/>
        <w:numPr>
          <w:ilvl w:val="0"/>
          <w:numId w:val="1"/>
        </w:numPr>
        <w:shd w:val="clear" w:color="auto" w:fill="FFFFFF"/>
        <w:spacing w:after="0" w:afterAutospacing="0" w:line="360" w:lineRule="auto"/>
        <w:rPr>
          <w:rFonts w:ascii="Arial" w:hAnsi="Arial" w:cs="Arial"/>
          <w:color w:val="0F1115"/>
          <w:sz w:val="22"/>
          <w:szCs w:val="22"/>
          <w:lang w:val="en-GB"/>
        </w:rPr>
      </w:pPr>
      <w:r w:rsidRPr="00512AEC">
        <w:rPr>
          <w:rFonts w:ascii="Arial" w:hAnsi="Arial" w:cs="Arial"/>
          <w:color w:val="0F1115"/>
          <w:sz w:val="22"/>
          <w:szCs w:val="22"/>
          <w:lang w:val="en-GB"/>
        </w:rPr>
        <w:t>Implement Industry 4.0 technologies on two production lines by month 20</w:t>
      </w:r>
    </w:p>
    <w:p w14:paraId="68E786E0" w14:textId="77777777" w:rsidR="003F07C9" w:rsidRPr="00512AEC" w:rsidRDefault="003F07C9" w:rsidP="00512AEC">
      <w:pPr>
        <w:pStyle w:val="ds-markdown-paragraph"/>
        <w:numPr>
          <w:ilvl w:val="0"/>
          <w:numId w:val="1"/>
        </w:numPr>
        <w:shd w:val="clear" w:color="auto" w:fill="FFFFFF"/>
        <w:spacing w:after="0" w:afterAutospacing="0" w:line="360" w:lineRule="auto"/>
        <w:rPr>
          <w:rFonts w:ascii="Arial" w:hAnsi="Arial" w:cs="Arial"/>
          <w:color w:val="0F1115"/>
          <w:sz w:val="22"/>
          <w:szCs w:val="22"/>
          <w:lang w:val="en-GB"/>
        </w:rPr>
      </w:pPr>
      <w:r w:rsidRPr="00512AEC">
        <w:rPr>
          <w:rFonts w:ascii="Arial" w:hAnsi="Arial" w:cs="Arial"/>
          <w:color w:val="0F1115"/>
          <w:sz w:val="22"/>
          <w:szCs w:val="22"/>
          <w:lang w:val="en-GB"/>
        </w:rPr>
        <w:t>Reduce production changeover time between variants by 40% through digital systems by month 24</w:t>
      </w:r>
    </w:p>
    <w:p w14:paraId="152E2D5F" w14:textId="77777777" w:rsidR="003F07C9" w:rsidRPr="00512AEC" w:rsidRDefault="003F07C9" w:rsidP="00512AEC">
      <w:pPr>
        <w:pStyle w:val="ds-markdown-paragraph"/>
        <w:numPr>
          <w:ilvl w:val="0"/>
          <w:numId w:val="1"/>
        </w:numPr>
        <w:shd w:val="clear" w:color="auto" w:fill="FFFFFF"/>
        <w:spacing w:after="0" w:afterAutospacing="0" w:line="360" w:lineRule="auto"/>
        <w:rPr>
          <w:rFonts w:ascii="Arial" w:hAnsi="Arial" w:cs="Arial"/>
          <w:color w:val="0F1115"/>
          <w:sz w:val="22"/>
          <w:szCs w:val="22"/>
          <w:lang w:val="en-GB"/>
        </w:rPr>
      </w:pPr>
      <w:r w:rsidRPr="00512AEC">
        <w:rPr>
          <w:rFonts w:ascii="Arial" w:hAnsi="Arial" w:cs="Arial"/>
          <w:color w:val="0F1115"/>
          <w:sz w:val="22"/>
          <w:szCs w:val="22"/>
          <w:lang w:val="en-GB"/>
        </w:rPr>
        <w:t>Achieve ZEV mandate compliance for UK-market vehicles by month 22</w:t>
      </w:r>
    </w:p>
    <w:p w14:paraId="278F61DE" w14:textId="77777777" w:rsidR="003F07C9" w:rsidRPr="00512AEC" w:rsidRDefault="003F07C9" w:rsidP="00512AEC">
      <w:pPr>
        <w:pStyle w:val="Heading2"/>
        <w:spacing w:line="360" w:lineRule="auto"/>
        <w:rPr>
          <w:rFonts w:ascii="Arial" w:hAnsi="Arial" w:cs="Arial"/>
          <w:sz w:val="22"/>
          <w:szCs w:val="22"/>
        </w:rPr>
      </w:pPr>
      <w:bookmarkStart w:id="16" w:name="_Toc234292986"/>
      <w:r w:rsidRPr="00512AEC">
        <w:rPr>
          <w:rFonts w:ascii="Arial" w:hAnsi="Arial" w:cs="Arial"/>
          <w:sz w:val="22"/>
          <w:szCs w:val="22"/>
        </w:rPr>
        <w:t>5.2 Stakeholder Analysis</w:t>
      </w:r>
      <w:bookmarkEnd w:id="16"/>
      <w:r w:rsidRPr="00512AEC">
        <w:rPr>
          <w:rFonts w:ascii="Arial" w:hAnsi="Arial" w:cs="Arial"/>
          <w:sz w:val="22"/>
          <w:szCs w:val="22"/>
        </w:rPr>
        <w:t xml:space="preserve"> </w:t>
      </w:r>
    </w:p>
    <w:p w14:paraId="42AA38A5" w14:textId="77777777" w:rsidR="003F07C9" w:rsidRPr="00512AEC" w:rsidRDefault="003F07C9" w:rsidP="00512AEC">
      <w:pPr>
        <w:spacing w:line="360" w:lineRule="auto"/>
        <w:rPr>
          <w:rFonts w:ascii="Arial" w:hAnsi="Arial" w:cs="Arial"/>
          <w:color w:val="0F1115"/>
          <w:shd w:val="clear" w:color="auto" w:fill="FFFFFF"/>
        </w:rPr>
      </w:pPr>
      <w:r w:rsidRPr="00512AEC">
        <w:rPr>
          <w:rFonts w:ascii="Arial" w:hAnsi="Arial" w:cs="Arial"/>
          <w:color w:val="0F1115"/>
          <w:shd w:val="clear" w:color="auto" w:fill="FFFFFF"/>
        </w:rPr>
        <w:t xml:space="preserve">Stakeholder identification follows </w:t>
      </w:r>
      <w:r w:rsidRPr="00512AEC">
        <w:rPr>
          <w:rFonts w:ascii="Arial" w:hAnsi="Arial" w:cs="Arial"/>
        </w:rPr>
        <w:t>Wood et al., (2021)</w:t>
      </w:r>
      <w:r w:rsidRPr="00512AEC">
        <w:rPr>
          <w:rFonts w:ascii="Arial" w:hAnsi="Arial" w:cs="Arial"/>
          <w:color w:val="0F1115"/>
          <w:shd w:val="clear" w:color="auto" w:fill="FFFFFF"/>
        </w:rPr>
        <w:t xml:space="preserve"> framework based on power, legitimacy, and urgency.</w:t>
      </w:r>
    </w:p>
    <w:tbl>
      <w:tblPr>
        <w:tblStyle w:val="GridTable4-Accent61"/>
        <w:tblW w:w="0" w:type="auto"/>
        <w:tblLook w:val="04A0" w:firstRow="1" w:lastRow="0" w:firstColumn="1" w:lastColumn="0" w:noHBand="0" w:noVBand="1"/>
      </w:tblPr>
      <w:tblGrid>
        <w:gridCol w:w="3176"/>
        <w:gridCol w:w="999"/>
        <w:gridCol w:w="1011"/>
        <w:gridCol w:w="4390"/>
      </w:tblGrid>
      <w:tr w:rsidR="003F07C9" w:rsidRPr="00512AEC" w14:paraId="1A78EC3C" w14:textId="77777777" w:rsidTr="00E22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4BF839"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Stakeholder Group</w:t>
            </w:r>
          </w:p>
        </w:tc>
        <w:tc>
          <w:tcPr>
            <w:tcW w:w="0" w:type="auto"/>
            <w:hideMark/>
          </w:tcPr>
          <w:p w14:paraId="587E53DC"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Power</w:t>
            </w:r>
          </w:p>
        </w:tc>
        <w:tc>
          <w:tcPr>
            <w:tcW w:w="0" w:type="auto"/>
            <w:hideMark/>
          </w:tcPr>
          <w:p w14:paraId="0163FEC2"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Interest</w:t>
            </w:r>
          </w:p>
        </w:tc>
        <w:tc>
          <w:tcPr>
            <w:tcW w:w="0" w:type="auto"/>
            <w:hideMark/>
          </w:tcPr>
          <w:p w14:paraId="7431182A"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Engagement Strategy</w:t>
            </w:r>
          </w:p>
        </w:tc>
      </w:tr>
      <w:tr w:rsidR="003F07C9" w:rsidRPr="00512AEC" w14:paraId="65B03271"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0B8B3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TMUK Executive Board</w:t>
            </w:r>
          </w:p>
        </w:tc>
        <w:tc>
          <w:tcPr>
            <w:tcW w:w="0" w:type="auto"/>
            <w:hideMark/>
          </w:tcPr>
          <w:p w14:paraId="51E9B45F"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0DB97B1A"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1FB45F14"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Direct governance, monthly reviews</w:t>
            </w:r>
          </w:p>
        </w:tc>
      </w:tr>
      <w:tr w:rsidR="003F07C9" w:rsidRPr="00512AEC" w14:paraId="3C85BE05"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338C1163"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Toyota Motor Corporation Japan</w:t>
            </w:r>
          </w:p>
        </w:tc>
        <w:tc>
          <w:tcPr>
            <w:tcW w:w="0" w:type="auto"/>
            <w:hideMark/>
          </w:tcPr>
          <w:p w14:paraId="1F83D1DE"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1F16EF6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4DEA9C9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Quarterly progress reporting</w:t>
            </w:r>
          </w:p>
        </w:tc>
      </w:tr>
      <w:tr w:rsidR="003F07C9" w:rsidRPr="00512AEC" w14:paraId="52EC435E"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D7A100"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Production employees</w:t>
            </w:r>
          </w:p>
        </w:tc>
        <w:tc>
          <w:tcPr>
            <w:tcW w:w="0" w:type="auto"/>
            <w:hideMark/>
          </w:tcPr>
          <w:p w14:paraId="78487F5F"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104B61D1"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36F43D9B"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Daily stand-up engagement, Andon-style feedback</w:t>
            </w:r>
          </w:p>
        </w:tc>
      </w:tr>
      <w:tr w:rsidR="003F07C9" w:rsidRPr="00512AEC" w14:paraId="4DF70A4A"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4CE141BE"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Trade unions</w:t>
            </w:r>
          </w:p>
        </w:tc>
        <w:tc>
          <w:tcPr>
            <w:tcW w:w="0" w:type="auto"/>
            <w:hideMark/>
          </w:tcPr>
          <w:p w14:paraId="78A3F2A2"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44A01E2C"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4DB2586C"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Fortnightly consultation</w:t>
            </w:r>
          </w:p>
        </w:tc>
      </w:tr>
      <w:tr w:rsidR="003F07C9" w:rsidRPr="00512AEC" w14:paraId="46DE0D16"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297AB"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UK government (DVSA)</w:t>
            </w:r>
          </w:p>
        </w:tc>
        <w:tc>
          <w:tcPr>
            <w:tcW w:w="0" w:type="auto"/>
            <w:hideMark/>
          </w:tcPr>
          <w:p w14:paraId="10914C59"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312AA1EA"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4B924E98"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Regulatory compliance reporting</w:t>
            </w:r>
          </w:p>
        </w:tc>
      </w:tr>
      <w:tr w:rsidR="003F07C9" w:rsidRPr="00512AEC" w14:paraId="5AEB8862"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4FA8E619"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Suppliers</w:t>
            </w:r>
          </w:p>
        </w:tc>
        <w:tc>
          <w:tcPr>
            <w:tcW w:w="0" w:type="auto"/>
            <w:hideMark/>
          </w:tcPr>
          <w:p w14:paraId="1D903682"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Low</w:t>
            </w:r>
          </w:p>
        </w:tc>
        <w:tc>
          <w:tcPr>
            <w:tcW w:w="0" w:type="auto"/>
            <w:hideMark/>
          </w:tcPr>
          <w:p w14:paraId="4087E282"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3809616E"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Weekly coordination meetings</w:t>
            </w:r>
          </w:p>
        </w:tc>
      </w:tr>
      <w:tr w:rsidR="003F07C9" w:rsidRPr="00512AEC" w14:paraId="0E1114CC"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DC0620"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Local community</w:t>
            </w:r>
          </w:p>
        </w:tc>
        <w:tc>
          <w:tcPr>
            <w:tcW w:w="0" w:type="auto"/>
            <w:hideMark/>
          </w:tcPr>
          <w:p w14:paraId="4BE3AA07"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Low</w:t>
            </w:r>
          </w:p>
        </w:tc>
        <w:tc>
          <w:tcPr>
            <w:tcW w:w="0" w:type="auto"/>
            <w:hideMark/>
          </w:tcPr>
          <w:p w14:paraId="77FEB56B"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Low</w:t>
            </w:r>
          </w:p>
        </w:tc>
        <w:tc>
          <w:tcPr>
            <w:tcW w:w="0" w:type="auto"/>
            <w:hideMark/>
          </w:tcPr>
          <w:p w14:paraId="0182B2C6"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Six-monthly updates</w:t>
            </w:r>
          </w:p>
        </w:tc>
      </w:tr>
    </w:tbl>
    <w:p w14:paraId="405798CC"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Table </w:t>
      </w:r>
      <w:r w:rsidRPr="00512AEC">
        <w:rPr>
          <w:rFonts w:ascii="Arial" w:hAnsi="Arial" w:cs="Arial"/>
          <w:sz w:val="22"/>
          <w:szCs w:val="22"/>
        </w:rPr>
        <w:fldChar w:fldCharType="begin"/>
      </w:r>
      <w:r w:rsidRPr="00512AEC">
        <w:rPr>
          <w:rFonts w:ascii="Arial" w:hAnsi="Arial" w:cs="Arial"/>
          <w:sz w:val="22"/>
          <w:szCs w:val="22"/>
        </w:rPr>
        <w:instrText xml:space="preserve"> SEQ Table \* ARABIC </w:instrText>
      </w:r>
      <w:r w:rsidRPr="00512AEC">
        <w:rPr>
          <w:rFonts w:ascii="Arial" w:hAnsi="Arial" w:cs="Arial"/>
          <w:sz w:val="22"/>
          <w:szCs w:val="22"/>
        </w:rPr>
        <w:fldChar w:fldCharType="separate"/>
      </w:r>
      <w:r w:rsidRPr="00512AEC">
        <w:rPr>
          <w:rFonts w:ascii="Arial" w:hAnsi="Arial" w:cs="Arial"/>
          <w:noProof/>
          <w:sz w:val="22"/>
          <w:szCs w:val="22"/>
        </w:rPr>
        <w:t>1</w:t>
      </w:r>
      <w:r w:rsidRPr="00512AEC">
        <w:rPr>
          <w:rFonts w:ascii="Arial" w:hAnsi="Arial" w:cs="Arial"/>
          <w:sz w:val="22"/>
          <w:szCs w:val="22"/>
        </w:rPr>
        <w:fldChar w:fldCharType="end"/>
      </w:r>
      <w:r w:rsidRPr="00512AEC">
        <w:rPr>
          <w:rFonts w:ascii="Arial" w:hAnsi="Arial" w:cs="Arial"/>
          <w:sz w:val="22"/>
          <w:szCs w:val="22"/>
        </w:rPr>
        <w:t>: Stakeholder Analysis.</w:t>
      </w:r>
    </w:p>
    <w:p w14:paraId="7B8DA269" w14:textId="77777777" w:rsidR="003F07C9" w:rsidRPr="00512AEC" w:rsidRDefault="003F07C9" w:rsidP="00512AEC">
      <w:pPr>
        <w:pStyle w:val="Heading2"/>
        <w:spacing w:line="360" w:lineRule="auto"/>
        <w:rPr>
          <w:rFonts w:ascii="Arial" w:hAnsi="Arial" w:cs="Arial"/>
          <w:sz w:val="22"/>
          <w:szCs w:val="22"/>
        </w:rPr>
      </w:pPr>
      <w:bookmarkStart w:id="17" w:name="_Toc234292987"/>
      <w:r w:rsidRPr="00512AEC">
        <w:rPr>
          <w:rFonts w:ascii="Arial" w:hAnsi="Arial" w:cs="Arial"/>
          <w:sz w:val="22"/>
          <w:szCs w:val="22"/>
        </w:rPr>
        <w:t>5.3 Implementation Framework</w:t>
      </w:r>
      <w:bookmarkEnd w:id="17"/>
    </w:p>
    <w:p w14:paraId="039C85A4" w14:textId="77777777" w:rsidR="003F07C9" w:rsidRPr="00512AEC" w:rsidRDefault="003F07C9" w:rsidP="00512AEC">
      <w:pPr>
        <w:spacing w:line="360" w:lineRule="auto"/>
        <w:rPr>
          <w:rFonts w:ascii="Arial" w:hAnsi="Arial" w:cs="Arial"/>
        </w:rPr>
      </w:pPr>
      <w:r w:rsidRPr="00512AEC">
        <w:rPr>
          <w:rFonts w:ascii="Arial" w:hAnsi="Arial" w:cs="Arial"/>
        </w:rPr>
        <w:t xml:space="preserve">Implementation goes through four stages in accordance with Kotter's framework </w:t>
      </w:r>
      <w:r w:rsidRPr="00F2062F">
        <w:rPr>
          <w:rFonts w:ascii="Arial" w:hAnsi="Arial" w:cs="Arial"/>
        </w:rPr>
        <w:t>(Appelbaum et al., 2017)</w:t>
      </w:r>
      <w:r w:rsidRPr="00512AEC">
        <w:rPr>
          <w:rFonts w:ascii="Arial" w:hAnsi="Arial" w:cs="Arial"/>
        </w:rPr>
        <w:t xml:space="preserve"> and the outcomes of ADKAR (Kaminski, 2022).</w:t>
      </w:r>
    </w:p>
    <w:p w14:paraId="26BFA2D8" w14:textId="77777777" w:rsidR="003F07C9" w:rsidRPr="00512AEC" w:rsidRDefault="003F07C9" w:rsidP="00512AEC">
      <w:pPr>
        <w:spacing w:line="360" w:lineRule="auto"/>
        <w:rPr>
          <w:rFonts w:ascii="Arial" w:hAnsi="Arial" w:cs="Arial"/>
        </w:rPr>
      </w:pPr>
      <w:r w:rsidRPr="00512AEC">
        <w:rPr>
          <w:rFonts w:ascii="Arial" w:hAnsi="Arial" w:cs="Arial"/>
        </w:rPr>
        <w:t>Phase 1 (Months 1-3): Urgency and Coalition- Set up the Change Management Office, carry out a Digital Maturity Assessment, and kick off the awareness campaign about the impact of the ZEV mandate. ADKAR focus: Awareness.</w:t>
      </w:r>
    </w:p>
    <w:p w14:paraId="20D71023" w14:textId="77777777" w:rsidR="003F07C9" w:rsidRPr="00512AEC" w:rsidRDefault="003F07C9" w:rsidP="00512AEC">
      <w:pPr>
        <w:spacing w:line="360" w:lineRule="auto"/>
        <w:rPr>
          <w:rFonts w:ascii="Arial" w:hAnsi="Arial" w:cs="Arial"/>
        </w:rPr>
      </w:pPr>
      <w:r w:rsidRPr="00512AEC">
        <w:rPr>
          <w:rFonts w:ascii="Arial" w:hAnsi="Arial" w:cs="Arial"/>
        </w:rPr>
        <w:t>Phase 2 (Months 4-9): Vision and Empowerment- Start piloting industry 4.0 technologies on one production line; start ADKAR-based training with Desire modules; setup cross functional implementation teams. The Desire and Knowledge are the focus of ADKAR.</w:t>
      </w:r>
    </w:p>
    <w:p w14:paraId="7592D61E" w14:textId="77777777" w:rsidR="003F07C9" w:rsidRPr="00512AEC" w:rsidRDefault="003F07C9" w:rsidP="00512AEC">
      <w:pPr>
        <w:spacing w:line="360" w:lineRule="auto"/>
        <w:rPr>
          <w:rFonts w:ascii="Arial" w:hAnsi="Arial" w:cs="Arial"/>
        </w:rPr>
      </w:pPr>
      <w:r w:rsidRPr="00512AEC">
        <w:rPr>
          <w:rFonts w:ascii="Arial" w:hAnsi="Arial" w:cs="Arial"/>
        </w:rPr>
        <w:t>Phase 3: (Months 10-20) Action and Short-term Wins- Expand the successful pilot projects to more lines, finish the EV battery assembly plant construction, and create tangible wins such as the first battery pack assembly. ADKAR focus: Ability.</w:t>
      </w:r>
    </w:p>
    <w:p w14:paraId="1D2D4113" w14:textId="77777777" w:rsidR="003F07C9" w:rsidRPr="00512AEC" w:rsidRDefault="003F07C9" w:rsidP="00512AEC">
      <w:pPr>
        <w:spacing w:line="360" w:lineRule="auto"/>
        <w:rPr>
          <w:rFonts w:ascii="Arial" w:hAnsi="Arial" w:cs="Arial"/>
        </w:rPr>
      </w:pPr>
      <w:r w:rsidRPr="00512AEC">
        <w:rPr>
          <w:rFonts w:ascii="Arial" w:hAnsi="Arial" w:cs="Arial"/>
        </w:rPr>
        <w:t>Phase 4 (Months 21-24): Consolidation and Anchoring- full ZEV compliance, change management office for transition to business-as-usual digital governance, embedding of new standardised work documentation. ADKAR focus: Reinforcement.</w:t>
      </w:r>
    </w:p>
    <w:p w14:paraId="6C263943" w14:textId="77777777" w:rsidR="003F07C9" w:rsidRPr="00512AEC" w:rsidRDefault="003F07C9" w:rsidP="00512AEC">
      <w:pPr>
        <w:pStyle w:val="Heading2"/>
        <w:spacing w:line="360" w:lineRule="auto"/>
        <w:rPr>
          <w:rFonts w:ascii="Arial" w:hAnsi="Arial" w:cs="Arial"/>
          <w:sz w:val="22"/>
          <w:szCs w:val="22"/>
        </w:rPr>
      </w:pPr>
      <w:bookmarkStart w:id="18" w:name="_Toc234292988"/>
      <w:r w:rsidRPr="00512AEC">
        <w:rPr>
          <w:rFonts w:ascii="Arial" w:hAnsi="Arial" w:cs="Arial"/>
          <w:sz w:val="22"/>
          <w:szCs w:val="22"/>
        </w:rPr>
        <w:t>5.4 Communication Plan</w:t>
      </w:r>
      <w:bookmarkEnd w:id="18"/>
      <w:r w:rsidRPr="00512AEC">
        <w:rPr>
          <w:rFonts w:ascii="Arial" w:hAnsi="Arial" w:cs="Arial"/>
          <w:sz w:val="22"/>
          <w:szCs w:val="22"/>
        </w:rPr>
        <w:t xml:space="preserve"> </w:t>
      </w:r>
    </w:p>
    <w:p w14:paraId="116FA47F" w14:textId="77777777" w:rsidR="003F07C9" w:rsidRPr="00512AEC" w:rsidRDefault="003F07C9" w:rsidP="00512AEC">
      <w:pPr>
        <w:spacing w:line="360" w:lineRule="auto"/>
        <w:rPr>
          <w:rFonts w:ascii="Arial" w:hAnsi="Arial" w:cs="Arial"/>
          <w:color w:val="0F1115"/>
          <w:shd w:val="clear" w:color="auto" w:fill="FFFFFF"/>
        </w:rPr>
      </w:pPr>
      <w:r w:rsidRPr="00512AEC">
        <w:rPr>
          <w:rFonts w:ascii="Arial" w:hAnsi="Arial" w:cs="Arial"/>
          <w:color w:val="0F1115"/>
          <w:shd w:val="clear" w:color="auto" w:fill="FFFFFF"/>
        </w:rPr>
        <w:t xml:space="preserve">Communication follows principles of transparency, frequency, and two-way dialogue </w:t>
      </w:r>
      <w:r w:rsidRPr="00512AEC">
        <w:rPr>
          <w:rFonts w:ascii="Arial" w:hAnsi="Arial" w:cs="Arial"/>
        </w:rPr>
        <w:t>(Peng et al., 2021</w:t>
      </w:r>
      <w:r w:rsidRPr="00512AEC">
        <w:rPr>
          <w:rFonts w:ascii="Arial" w:hAnsi="Arial" w:cs="Arial"/>
          <w:color w:val="0F1115"/>
          <w:shd w:val="clear" w:color="auto" w:fill="FFFFFF"/>
        </w:rPr>
        <w:t>).</w:t>
      </w:r>
    </w:p>
    <w:tbl>
      <w:tblPr>
        <w:tblStyle w:val="GridTable4-Accent61"/>
        <w:tblW w:w="0" w:type="auto"/>
        <w:tblLook w:val="04A0" w:firstRow="1" w:lastRow="0" w:firstColumn="1" w:lastColumn="0" w:noHBand="0" w:noVBand="1"/>
      </w:tblPr>
      <w:tblGrid>
        <w:gridCol w:w="2503"/>
        <w:gridCol w:w="2637"/>
        <w:gridCol w:w="1329"/>
        <w:gridCol w:w="2686"/>
      </w:tblGrid>
      <w:tr w:rsidR="003F07C9" w:rsidRPr="00512AEC" w14:paraId="06742A80" w14:textId="77777777" w:rsidTr="00E22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065802"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Audience</w:t>
            </w:r>
          </w:p>
        </w:tc>
        <w:tc>
          <w:tcPr>
            <w:tcW w:w="0" w:type="auto"/>
            <w:hideMark/>
          </w:tcPr>
          <w:p w14:paraId="256AFD39"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Channel</w:t>
            </w:r>
          </w:p>
        </w:tc>
        <w:tc>
          <w:tcPr>
            <w:tcW w:w="0" w:type="auto"/>
            <w:hideMark/>
          </w:tcPr>
          <w:p w14:paraId="14814BE7"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Frequency</w:t>
            </w:r>
          </w:p>
        </w:tc>
        <w:tc>
          <w:tcPr>
            <w:tcW w:w="0" w:type="auto"/>
            <w:hideMark/>
          </w:tcPr>
          <w:p w14:paraId="3F499F61"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Messenger</w:t>
            </w:r>
          </w:p>
        </w:tc>
      </w:tr>
      <w:tr w:rsidR="003F07C9" w:rsidRPr="00512AEC" w14:paraId="48035100"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8F374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All employees</w:t>
            </w:r>
          </w:p>
        </w:tc>
        <w:tc>
          <w:tcPr>
            <w:tcW w:w="0" w:type="auto"/>
            <w:hideMark/>
          </w:tcPr>
          <w:p w14:paraId="5E499E20"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Weekly digital newsletter</w:t>
            </w:r>
          </w:p>
        </w:tc>
        <w:tc>
          <w:tcPr>
            <w:tcW w:w="0" w:type="auto"/>
            <w:hideMark/>
          </w:tcPr>
          <w:p w14:paraId="494415F4"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Weekly</w:t>
            </w:r>
          </w:p>
        </w:tc>
        <w:tc>
          <w:tcPr>
            <w:tcW w:w="0" w:type="auto"/>
            <w:hideMark/>
          </w:tcPr>
          <w:p w14:paraId="540B13CC"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Change Manager</w:t>
            </w:r>
          </w:p>
        </w:tc>
      </w:tr>
      <w:tr w:rsidR="003F07C9" w:rsidRPr="00512AEC" w14:paraId="33216867"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42474950"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Production teams</w:t>
            </w:r>
          </w:p>
        </w:tc>
        <w:tc>
          <w:tcPr>
            <w:tcW w:w="0" w:type="auto"/>
            <w:hideMark/>
          </w:tcPr>
          <w:p w14:paraId="43D45382"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Daily stand-up briefings</w:t>
            </w:r>
          </w:p>
        </w:tc>
        <w:tc>
          <w:tcPr>
            <w:tcW w:w="0" w:type="auto"/>
            <w:hideMark/>
          </w:tcPr>
          <w:p w14:paraId="43948D13"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Daily</w:t>
            </w:r>
          </w:p>
        </w:tc>
        <w:tc>
          <w:tcPr>
            <w:tcW w:w="0" w:type="auto"/>
            <w:hideMark/>
          </w:tcPr>
          <w:p w14:paraId="34F4EC7E"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Team Leaders</w:t>
            </w:r>
          </w:p>
        </w:tc>
      </w:tr>
      <w:tr w:rsidR="003F07C9" w:rsidRPr="00512AEC" w14:paraId="07CDEF59"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AF0DF6"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Middle managers</w:t>
            </w:r>
          </w:p>
        </w:tc>
        <w:tc>
          <w:tcPr>
            <w:tcW w:w="0" w:type="auto"/>
            <w:hideMark/>
          </w:tcPr>
          <w:p w14:paraId="0DB76858"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Monthly town halls</w:t>
            </w:r>
          </w:p>
        </w:tc>
        <w:tc>
          <w:tcPr>
            <w:tcW w:w="0" w:type="auto"/>
            <w:hideMark/>
          </w:tcPr>
          <w:p w14:paraId="502AA081"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Monthly</w:t>
            </w:r>
          </w:p>
        </w:tc>
        <w:tc>
          <w:tcPr>
            <w:tcW w:w="0" w:type="auto"/>
            <w:hideMark/>
          </w:tcPr>
          <w:p w14:paraId="0E5C58F9"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Plant Director</w:t>
            </w:r>
          </w:p>
        </w:tc>
      </w:tr>
      <w:tr w:rsidR="003F07C9" w:rsidRPr="00512AEC" w14:paraId="47DA4548"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0263E73A"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Executives</w:t>
            </w:r>
          </w:p>
        </w:tc>
        <w:tc>
          <w:tcPr>
            <w:tcW w:w="0" w:type="auto"/>
            <w:hideMark/>
          </w:tcPr>
          <w:p w14:paraId="4DAA50E5"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Dashboard and report</w:t>
            </w:r>
          </w:p>
        </w:tc>
        <w:tc>
          <w:tcPr>
            <w:tcW w:w="0" w:type="auto"/>
            <w:hideMark/>
          </w:tcPr>
          <w:p w14:paraId="19EE3D35"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Weekly</w:t>
            </w:r>
          </w:p>
        </w:tc>
        <w:tc>
          <w:tcPr>
            <w:tcW w:w="0" w:type="auto"/>
            <w:hideMark/>
          </w:tcPr>
          <w:p w14:paraId="63AEE6D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PMO</w:t>
            </w:r>
          </w:p>
        </w:tc>
      </w:tr>
      <w:tr w:rsidR="003F07C9" w:rsidRPr="00512AEC" w14:paraId="656142FD"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0B513"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External stakeholders</w:t>
            </w:r>
          </w:p>
        </w:tc>
        <w:tc>
          <w:tcPr>
            <w:tcW w:w="0" w:type="auto"/>
            <w:hideMark/>
          </w:tcPr>
          <w:p w14:paraId="7F4F4C2D"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Quarterly briefings</w:t>
            </w:r>
          </w:p>
        </w:tc>
        <w:tc>
          <w:tcPr>
            <w:tcW w:w="0" w:type="auto"/>
            <w:hideMark/>
          </w:tcPr>
          <w:p w14:paraId="202A55FB"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Quarterly</w:t>
            </w:r>
          </w:p>
        </w:tc>
        <w:tc>
          <w:tcPr>
            <w:tcW w:w="0" w:type="auto"/>
            <w:hideMark/>
          </w:tcPr>
          <w:p w14:paraId="13314CF0"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Communications Director</w:t>
            </w:r>
          </w:p>
        </w:tc>
      </w:tr>
    </w:tbl>
    <w:p w14:paraId="5F53DFC4"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Table </w:t>
      </w:r>
      <w:r w:rsidRPr="00512AEC">
        <w:rPr>
          <w:rFonts w:ascii="Arial" w:hAnsi="Arial" w:cs="Arial"/>
          <w:sz w:val="22"/>
          <w:szCs w:val="22"/>
        </w:rPr>
        <w:fldChar w:fldCharType="begin"/>
      </w:r>
      <w:r w:rsidRPr="00512AEC">
        <w:rPr>
          <w:rFonts w:ascii="Arial" w:hAnsi="Arial" w:cs="Arial"/>
          <w:sz w:val="22"/>
          <w:szCs w:val="22"/>
        </w:rPr>
        <w:instrText xml:space="preserve"> SEQ Table \* ARABIC </w:instrText>
      </w:r>
      <w:r w:rsidRPr="00512AEC">
        <w:rPr>
          <w:rFonts w:ascii="Arial" w:hAnsi="Arial" w:cs="Arial"/>
          <w:sz w:val="22"/>
          <w:szCs w:val="22"/>
        </w:rPr>
        <w:fldChar w:fldCharType="separate"/>
      </w:r>
      <w:r w:rsidRPr="00512AEC">
        <w:rPr>
          <w:rFonts w:ascii="Arial" w:hAnsi="Arial" w:cs="Arial"/>
          <w:noProof/>
          <w:sz w:val="22"/>
          <w:szCs w:val="22"/>
        </w:rPr>
        <w:t>2</w:t>
      </w:r>
      <w:r w:rsidRPr="00512AEC">
        <w:rPr>
          <w:rFonts w:ascii="Arial" w:hAnsi="Arial" w:cs="Arial"/>
          <w:sz w:val="22"/>
          <w:szCs w:val="22"/>
        </w:rPr>
        <w:fldChar w:fldCharType="end"/>
      </w:r>
      <w:r w:rsidRPr="00512AEC">
        <w:rPr>
          <w:rFonts w:ascii="Arial" w:hAnsi="Arial" w:cs="Arial"/>
          <w:sz w:val="22"/>
          <w:szCs w:val="22"/>
        </w:rPr>
        <w:t>: Communication Plan.</w:t>
      </w:r>
    </w:p>
    <w:p w14:paraId="2FBC45B6" w14:textId="77777777" w:rsidR="003F07C9" w:rsidRPr="00512AEC" w:rsidRDefault="003F07C9" w:rsidP="00512AEC">
      <w:pPr>
        <w:pStyle w:val="Heading2"/>
        <w:spacing w:line="360" w:lineRule="auto"/>
        <w:rPr>
          <w:rFonts w:ascii="Arial" w:hAnsi="Arial" w:cs="Arial"/>
          <w:sz w:val="22"/>
          <w:szCs w:val="22"/>
        </w:rPr>
      </w:pPr>
      <w:bookmarkStart w:id="19" w:name="_Toc234292989"/>
      <w:r w:rsidRPr="00512AEC">
        <w:rPr>
          <w:rFonts w:ascii="Arial" w:hAnsi="Arial" w:cs="Arial"/>
          <w:sz w:val="22"/>
          <w:szCs w:val="22"/>
        </w:rPr>
        <w:t>5.5 Financial and Resource Plan</w:t>
      </w:r>
      <w:bookmarkEnd w:id="19"/>
      <w:r w:rsidRPr="00512AEC">
        <w:rPr>
          <w:rFonts w:ascii="Arial" w:hAnsi="Arial" w:cs="Arial"/>
          <w:sz w:val="22"/>
          <w:szCs w:val="22"/>
        </w:rPr>
        <w:t xml:space="preserve"> </w:t>
      </w:r>
    </w:p>
    <w:tbl>
      <w:tblPr>
        <w:tblStyle w:val="GridTable4-Accent61"/>
        <w:tblW w:w="0" w:type="auto"/>
        <w:tblLook w:val="04A0" w:firstRow="1" w:lastRow="0" w:firstColumn="1" w:lastColumn="0" w:noHBand="0" w:noVBand="1"/>
      </w:tblPr>
      <w:tblGrid>
        <w:gridCol w:w="3688"/>
        <w:gridCol w:w="1403"/>
        <w:gridCol w:w="1403"/>
        <w:gridCol w:w="1268"/>
      </w:tblGrid>
      <w:tr w:rsidR="003F07C9" w:rsidRPr="00512AEC" w14:paraId="60B9561E" w14:textId="77777777" w:rsidTr="00E22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CB12FC"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Cost Category</w:t>
            </w:r>
          </w:p>
        </w:tc>
        <w:tc>
          <w:tcPr>
            <w:tcW w:w="0" w:type="auto"/>
            <w:hideMark/>
          </w:tcPr>
          <w:p w14:paraId="5DA42C68"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Year 1 (£m)</w:t>
            </w:r>
          </w:p>
        </w:tc>
        <w:tc>
          <w:tcPr>
            <w:tcW w:w="0" w:type="auto"/>
            <w:hideMark/>
          </w:tcPr>
          <w:p w14:paraId="7E4869F8"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Year 2 (£m)</w:t>
            </w:r>
          </w:p>
        </w:tc>
        <w:tc>
          <w:tcPr>
            <w:tcW w:w="0" w:type="auto"/>
            <w:hideMark/>
          </w:tcPr>
          <w:p w14:paraId="3B164748"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Total (£m)</w:t>
            </w:r>
          </w:p>
        </w:tc>
      </w:tr>
      <w:tr w:rsidR="003F07C9" w:rsidRPr="00512AEC" w14:paraId="623E3624"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9A93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EV battery assembly facility</w:t>
            </w:r>
          </w:p>
        </w:tc>
        <w:tc>
          <w:tcPr>
            <w:tcW w:w="0" w:type="auto"/>
            <w:hideMark/>
          </w:tcPr>
          <w:p w14:paraId="764EA263"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12.5</w:t>
            </w:r>
          </w:p>
        </w:tc>
        <w:tc>
          <w:tcPr>
            <w:tcW w:w="0" w:type="auto"/>
            <w:hideMark/>
          </w:tcPr>
          <w:p w14:paraId="41B89B43"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8.5</w:t>
            </w:r>
          </w:p>
        </w:tc>
        <w:tc>
          <w:tcPr>
            <w:tcW w:w="0" w:type="auto"/>
            <w:hideMark/>
          </w:tcPr>
          <w:p w14:paraId="62293760"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21.0</w:t>
            </w:r>
          </w:p>
        </w:tc>
      </w:tr>
      <w:tr w:rsidR="003F07C9" w:rsidRPr="00512AEC" w14:paraId="66DE7BE3"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07AFDBD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Industry 4.0 technology</w:t>
            </w:r>
          </w:p>
        </w:tc>
        <w:tc>
          <w:tcPr>
            <w:tcW w:w="0" w:type="auto"/>
            <w:hideMark/>
          </w:tcPr>
          <w:p w14:paraId="0092B6DC"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6.0</w:t>
            </w:r>
          </w:p>
        </w:tc>
        <w:tc>
          <w:tcPr>
            <w:tcW w:w="0" w:type="auto"/>
            <w:hideMark/>
          </w:tcPr>
          <w:p w14:paraId="177DB5EB"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4.0</w:t>
            </w:r>
          </w:p>
        </w:tc>
        <w:tc>
          <w:tcPr>
            <w:tcW w:w="0" w:type="auto"/>
            <w:hideMark/>
          </w:tcPr>
          <w:p w14:paraId="4CB8C15A"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10.0</w:t>
            </w:r>
          </w:p>
        </w:tc>
      </w:tr>
      <w:tr w:rsidR="003F07C9" w:rsidRPr="00512AEC" w14:paraId="5445FDC2"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43A210"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Training and development</w:t>
            </w:r>
          </w:p>
        </w:tc>
        <w:tc>
          <w:tcPr>
            <w:tcW w:w="0" w:type="auto"/>
            <w:hideMark/>
          </w:tcPr>
          <w:p w14:paraId="3DACF72F"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2.5</w:t>
            </w:r>
          </w:p>
        </w:tc>
        <w:tc>
          <w:tcPr>
            <w:tcW w:w="0" w:type="auto"/>
            <w:hideMark/>
          </w:tcPr>
          <w:p w14:paraId="2F93A8D5"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1.5</w:t>
            </w:r>
          </w:p>
        </w:tc>
        <w:tc>
          <w:tcPr>
            <w:tcW w:w="0" w:type="auto"/>
            <w:hideMark/>
          </w:tcPr>
          <w:p w14:paraId="4EC0C4AD"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4.0</w:t>
            </w:r>
          </w:p>
        </w:tc>
      </w:tr>
      <w:tr w:rsidR="003F07C9" w:rsidRPr="00512AEC" w14:paraId="723F011A"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1C24DE4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Change management resource</w:t>
            </w:r>
          </w:p>
        </w:tc>
        <w:tc>
          <w:tcPr>
            <w:tcW w:w="0" w:type="auto"/>
            <w:hideMark/>
          </w:tcPr>
          <w:p w14:paraId="4D71469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1.8</w:t>
            </w:r>
          </w:p>
        </w:tc>
        <w:tc>
          <w:tcPr>
            <w:tcW w:w="0" w:type="auto"/>
            <w:hideMark/>
          </w:tcPr>
          <w:p w14:paraId="0DAD795B"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1.2</w:t>
            </w:r>
          </w:p>
        </w:tc>
        <w:tc>
          <w:tcPr>
            <w:tcW w:w="0" w:type="auto"/>
            <w:hideMark/>
          </w:tcPr>
          <w:p w14:paraId="53154683"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3.0</w:t>
            </w:r>
          </w:p>
        </w:tc>
      </w:tr>
      <w:tr w:rsidR="003F07C9" w:rsidRPr="00512AEC" w14:paraId="3EE47893"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1A49C3"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Communication and engagement</w:t>
            </w:r>
          </w:p>
        </w:tc>
        <w:tc>
          <w:tcPr>
            <w:tcW w:w="0" w:type="auto"/>
            <w:hideMark/>
          </w:tcPr>
          <w:p w14:paraId="698CBFD7"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0.5</w:t>
            </w:r>
          </w:p>
        </w:tc>
        <w:tc>
          <w:tcPr>
            <w:tcW w:w="0" w:type="auto"/>
            <w:hideMark/>
          </w:tcPr>
          <w:p w14:paraId="57A87AA3"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0.5</w:t>
            </w:r>
          </w:p>
        </w:tc>
        <w:tc>
          <w:tcPr>
            <w:tcW w:w="0" w:type="auto"/>
            <w:hideMark/>
          </w:tcPr>
          <w:p w14:paraId="7575AFC1"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1.0</w:t>
            </w:r>
          </w:p>
        </w:tc>
      </w:tr>
      <w:tr w:rsidR="003F07C9" w:rsidRPr="00512AEC" w14:paraId="1120A0C9"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5DF263C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Contingency (15%)</w:t>
            </w:r>
          </w:p>
        </w:tc>
        <w:tc>
          <w:tcPr>
            <w:tcW w:w="0" w:type="auto"/>
            <w:hideMark/>
          </w:tcPr>
          <w:p w14:paraId="36EBF62F"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3.5</w:t>
            </w:r>
          </w:p>
        </w:tc>
        <w:tc>
          <w:tcPr>
            <w:tcW w:w="0" w:type="auto"/>
            <w:hideMark/>
          </w:tcPr>
          <w:p w14:paraId="155037D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2.5</w:t>
            </w:r>
          </w:p>
        </w:tc>
        <w:tc>
          <w:tcPr>
            <w:tcW w:w="0" w:type="auto"/>
            <w:hideMark/>
          </w:tcPr>
          <w:p w14:paraId="417A6FD2"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6.0</w:t>
            </w:r>
          </w:p>
        </w:tc>
      </w:tr>
      <w:tr w:rsidR="003F07C9" w:rsidRPr="00512AEC" w14:paraId="681BE7FB"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C4FC2A"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Total</w:t>
            </w:r>
          </w:p>
        </w:tc>
        <w:tc>
          <w:tcPr>
            <w:tcW w:w="0" w:type="auto"/>
            <w:hideMark/>
          </w:tcPr>
          <w:p w14:paraId="3F0A9320"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b/>
                <w:bCs/>
                <w:color w:val="0F1115"/>
              </w:rPr>
              <w:t>26.8</w:t>
            </w:r>
          </w:p>
        </w:tc>
        <w:tc>
          <w:tcPr>
            <w:tcW w:w="0" w:type="auto"/>
            <w:hideMark/>
          </w:tcPr>
          <w:p w14:paraId="13BB117D"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b/>
                <w:bCs/>
                <w:color w:val="0F1115"/>
              </w:rPr>
              <w:t>18.2</w:t>
            </w:r>
          </w:p>
        </w:tc>
        <w:tc>
          <w:tcPr>
            <w:tcW w:w="0" w:type="auto"/>
            <w:hideMark/>
          </w:tcPr>
          <w:p w14:paraId="0A9A9A3E"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b/>
                <w:bCs/>
                <w:color w:val="0F1115"/>
              </w:rPr>
              <w:t>45.0</w:t>
            </w:r>
          </w:p>
        </w:tc>
      </w:tr>
    </w:tbl>
    <w:p w14:paraId="119F6F83"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Table </w:t>
      </w:r>
      <w:r w:rsidRPr="00512AEC">
        <w:rPr>
          <w:rFonts w:ascii="Arial" w:hAnsi="Arial" w:cs="Arial"/>
          <w:sz w:val="22"/>
          <w:szCs w:val="22"/>
        </w:rPr>
        <w:fldChar w:fldCharType="begin"/>
      </w:r>
      <w:r w:rsidRPr="00512AEC">
        <w:rPr>
          <w:rFonts w:ascii="Arial" w:hAnsi="Arial" w:cs="Arial"/>
          <w:sz w:val="22"/>
          <w:szCs w:val="22"/>
        </w:rPr>
        <w:instrText xml:space="preserve"> SEQ Table \* ARABIC </w:instrText>
      </w:r>
      <w:r w:rsidRPr="00512AEC">
        <w:rPr>
          <w:rFonts w:ascii="Arial" w:hAnsi="Arial" w:cs="Arial"/>
          <w:sz w:val="22"/>
          <w:szCs w:val="22"/>
        </w:rPr>
        <w:fldChar w:fldCharType="separate"/>
      </w:r>
      <w:r w:rsidRPr="00512AEC">
        <w:rPr>
          <w:rFonts w:ascii="Arial" w:hAnsi="Arial" w:cs="Arial"/>
          <w:noProof/>
          <w:sz w:val="22"/>
          <w:szCs w:val="22"/>
        </w:rPr>
        <w:t>3</w:t>
      </w:r>
      <w:r w:rsidRPr="00512AEC">
        <w:rPr>
          <w:rFonts w:ascii="Arial" w:hAnsi="Arial" w:cs="Arial"/>
          <w:sz w:val="22"/>
          <w:szCs w:val="22"/>
        </w:rPr>
        <w:fldChar w:fldCharType="end"/>
      </w:r>
      <w:r w:rsidRPr="00512AEC">
        <w:rPr>
          <w:rFonts w:ascii="Arial" w:hAnsi="Arial" w:cs="Arial"/>
          <w:sz w:val="22"/>
          <w:szCs w:val="22"/>
        </w:rPr>
        <w:t>: Financial and Resource Plan.</w:t>
      </w:r>
    </w:p>
    <w:p w14:paraId="2C85BA93" w14:textId="77777777" w:rsidR="003F07C9" w:rsidRPr="00512AEC" w:rsidRDefault="003F07C9" w:rsidP="00512AEC">
      <w:pPr>
        <w:spacing w:line="360" w:lineRule="auto"/>
        <w:rPr>
          <w:rFonts w:ascii="Arial" w:hAnsi="Arial" w:cs="Arial"/>
        </w:rPr>
      </w:pPr>
      <w:r w:rsidRPr="00512AEC">
        <w:rPr>
          <w:rFonts w:ascii="Arial" w:hAnsi="Arial" w:cs="Arial"/>
          <w:color w:val="0F1115"/>
          <w:shd w:val="clear" w:color="auto" w:fill="FFFFFF"/>
        </w:rPr>
        <w:t>Funding sources: Reallocation from legacy platform investment (£25m), Toyota Motor Corporation capital allocation (£15m), UK Automotive Transformation Fund (£5m). ROI calculation: ZEV mandate compliance avoids estimated £120m cumulative fines over five years. EV component sales generate projected £45m annual revenue by year three. Payback period: 3.2 years.</w:t>
      </w:r>
    </w:p>
    <w:p w14:paraId="215365E8" w14:textId="77777777" w:rsidR="003F07C9" w:rsidRPr="00512AEC" w:rsidRDefault="003F07C9" w:rsidP="00512AEC">
      <w:pPr>
        <w:pStyle w:val="Heading2"/>
        <w:spacing w:line="360" w:lineRule="auto"/>
        <w:rPr>
          <w:rFonts w:ascii="Arial" w:hAnsi="Arial" w:cs="Arial"/>
          <w:sz w:val="22"/>
          <w:szCs w:val="22"/>
        </w:rPr>
      </w:pPr>
      <w:bookmarkStart w:id="20" w:name="_Toc234292990"/>
      <w:r w:rsidRPr="00512AEC">
        <w:rPr>
          <w:rFonts w:ascii="Arial" w:hAnsi="Arial" w:cs="Arial"/>
          <w:sz w:val="22"/>
          <w:szCs w:val="22"/>
        </w:rPr>
        <w:t>5.6 Risk Assessment and Mitigation</w:t>
      </w:r>
      <w:bookmarkEnd w:id="20"/>
      <w:r w:rsidRPr="00512AEC">
        <w:rPr>
          <w:rFonts w:ascii="Arial" w:hAnsi="Arial" w:cs="Arial"/>
          <w:sz w:val="22"/>
          <w:szCs w:val="22"/>
        </w:rPr>
        <w:t xml:space="preserve"> </w:t>
      </w:r>
    </w:p>
    <w:tbl>
      <w:tblPr>
        <w:tblStyle w:val="GridTable4-Accent61"/>
        <w:tblW w:w="0" w:type="auto"/>
        <w:tblLook w:val="04A0" w:firstRow="1" w:lastRow="0" w:firstColumn="1" w:lastColumn="0" w:noHBand="0" w:noVBand="1"/>
      </w:tblPr>
      <w:tblGrid>
        <w:gridCol w:w="2976"/>
        <w:gridCol w:w="1353"/>
        <w:gridCol w:w="999"/>
        <w:gridCol w:w="4248"/>
      </w:tblGrid>
      <w:tr w:rsidR="003F07C9" w:rsidRPr="00512AEC" w14:paraId="3B48A80F" w14:textId="77777777" w:rsidTr="00E22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93A38"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Risk</w:t>
            </w:r>
          </w:p>
        </w:tc>
        <w:tc>
          <w:tcPr>
            <w:tcW w:w="0" w:type="auto"/>
            <w:hideMark/>
          </w:tcPr>
          <w:p w14:paraId="20BB2E05"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Probability</w:t>
            </w:r>
          </w:p>
        </w:tc>
        <w:tc>
          <w:tcPr>
            <w:tcW w:w="0" w:type="auto"/>
            <w:hideMark/>
          </w:tcPr>
          <w:p w14:paraId="47E127B8"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Impact</w:t>
            </w:r>
          </w:p>
        </w:tc>
        <w:tc>
          <w:tcPr>
            <w:tcW w:w="0" w:type="auto"/>
            <w:hideMark/>
          </w:tcPr>
          <w:p w14:paraId="23BD96A3" w14:textId="77777777" w:rsidR="003F07C9" w:rsidRPr="00512AEC" w:rsidRDefault="003F07C9" w:rsidP="00512AE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Mitigation</w:t>
            </w:r>
          </w:p>
        </w:tc>
      </w:tr>
      <w:tr w:rsidR="003F07C9" w:rsidRPr="00512AEC" w14:paraId="17EA5A1B"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640DCE"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Workforce resistance to digital change</w:t>
            </w:r>
          </w:p>
        </w:tc>
        <w:tc>
          <w:tcPr>
            <w:tcW w:w="0" w:type="auto"/>
            <w:hideMark/>
          </w:tcPr>
          <w:p w14:paraId="3272872E"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6EB8C68D"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41A5FD11"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 xml:space="preserve">Early engagement, peer champions, ADKAR-based support </w:t>
            </w:r>
            <w:r w:rsidRPr="00512AEC">
              <w:rPr>
                <w:rFonts w:ascii="Arial" w:hAnsi="Arial" w:cs="Arial"/>
              </w:rPr>
              <w:t>(Kaminski, 2022)</w:t>
            </w:r>
          </w:p>
        </w:tc>
      </w:tr>
      <w:tr w:rsidR="003F07C9" w:rsidRPr="00512AEC" w14:paraId="2724B9DD"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148F8AFD"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Technology implementation delays</w:t>
            </w:r>
          </w:p>
        </w:tc>
        <w:tc>
          <w:tcPr>
            <w:tcW w:w="0" w:type="auto"/>
            <w:hideMark/>
          </w:tcPr>
          <w:p w14:paraId="61D3C2D5"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13E644B1"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03E5EF9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Phased rollout, vendor contingency contracts</w:t>
            </w:r>
          </w:p>
        </w:tc>
      </w:tr>
      <w:tr w:rsidR="003F07C9" w:rsidRPr="00512AEC" w14:paraId="04CDF464"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FB167F"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Skills shortage in EV battery technology</w:t>
            </w:r>
          </w:p>
        </w:tc>
        <w:tc>
          <w:tcPr>
            <w:tcW w:w="0" w:type="auto"/>
            <w:hideMark/>
          </w:tcPr>
          <w:p w14:paraId="299ADD5B"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352AB005"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41AF7FFD"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Partnership with technical colleges, recruitment campaign</w:t>
            </w:r>
          </w:p>
        </w:tc>
      </w:tr>
      <w:tr w:rsidR="003F07C9" w:rsidRPr="00512AEC" w14:paraId="02EC6F7E" w14:textId="77777777" w:rsidTr="00E22784">
        <w:tc>
          <w:tcPr>
            <w:cnfStyle w:val="001000000000" w:firstRow="0" w:lastRow="0" w:firstColumn="1" w:lastColumn="0" w:oddVBand="0" w:evenVBand="0" w:oddHBand="0" w:evenHBand="0" w:firstRowFirstColumn="0" w:firstRowLastColumn="0" w:lastRowFirstColumn="0" w:lastRowLastColumn="0"/>
            <w:tcW w:w="0" w:type="auto"/>
            <w:hideMark/>
          </w:tcPr>
          <w:p w14:paraId="6C254DE2"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Budget overrun</w:t>
            </w:r>
          </w:p>
        </w:tc>
        <w:tc>
          <w:tcPr>
            <w:tcW w:w="0" w:type="auto"/>
            <w:hideMark/>
          </w:tcPr>
          <w:p w14:paraId="6E29C1B9"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Low</w:t>
            </w:r>
          </w:p>
        </w:tc>
        <w:tc>
          <w:tcPr>
            <w:tcW w:w="0" w:type="auto"/>
            <w:hideMark/>
          </w:tcPr>
          <w:p w14:paraId="52F9C254"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Medium</w:t>
            </w:r>
          </w:p>
        </w:tc>
        <w:tc>
          <w:tcPr>
            <w:tcW w:w="0" w:type="auto"/>
            <w:hideMark/>
          </w:tcPr>
          <w:p w14:paraId="52A0EE8D" w14:textId="77777777" w:rsidR="003F07C9" w:rsidRPr="00512AEC" w:rsidRDefault="003F07C9" w:rsidP="00512AE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15% contingency, monthly financial review</w:t>
            </w:r>
          </w:p>
        </w:tc>
      </w:tr>
      <w:tr w:rsidR="003F07C9" w:rsidRPr="00512AEC" w14:paraId="6C35E037" w14:textId="77777777" w:rsidTr="00E22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7DE733" w14:textId="77777777" w:rsidR="003F07C9" w:rsidRPr="00512AEC" w:rsidRDefault="003F07C9" w:rsidP="00512AEC">
            <w:pPr>
              <w:spacing w:line="360" w:lineRule="auto"/>
              <w:rPr>
                <w:rFonts w:ascii="Arial" w:eastAsia="Times New Roman" w:hAnsi="Arial" w:cs="Arial"/>
                <w:color w:val="0F1115"/>
              </w:rPr>
            </w:pPr>
            <w:r w:rsidRPr="00512AEC">
              <w:rPr>
                <w:rFonts w:ascii="Arial" w:eastAsia="Times New Roman" w:hAnsi="Arial" w:cs="Arial"/>
                <w:color w:val="0F1115"/>
              </w:rPr>
              <w:t>ZEV mandate policy change</w:t>
            </w:r>
          </w:p>
        </w:tc>
        <w:tc>
          <w:tcPr>
            <w:tcW w:w="0" w:type="auto"/>
            <w:hideMark/>
          </w:tcPr>
          <w:p w14:paraId="501B72BC"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Low</w:t>
            </w:r>
          </w:p>
        </w:tc>
        <w:tc>
          <w:tcPr>
            <w:tcW w:w="0" w:type="auto"/>
            <w:hideMark/>
          </w:tcPr>
          <w:p w14:paraId="480D73A8"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High</w:t>
            </w:r>
          </w:p>
        </w:tc>
        <w:tc>
          <w:tcPr>
            <w:tcW w:w="0" w:type="auto"/>
            <w:hideMark/>
          </w:tcPr>
          <w:p w14:paraId="471ADA4F" w14:textId="77777777" w:rsidR="003F07C9" w:rsidRPr="00512AEC" w:rsidRDefault="003F07C9" w:rsidP="00512AE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F1115"/>
              </w:rPr>
            </w:pPr>
            <w:r w:rsidRPr="00512AEC">
              <w:rPr>
                <w:rFonts w:ascii="Arial" w:eastAsia="Times New Roman" w:hAnsi="Arial" w:cs="Arial"/>
                <w:color w:val="0F1115"/>
              </w:rPr>
              <w:t>Scenario planning, government liaison</w:t>
            </w:r>
          </w:p>
        </w:tc>
      </w:tr>
    </w:tbl>
    <w:p w14:paraId="69E77DD0" w14:textId="77777777" w:rsidR="003F07C9" w:rsidRPr="00512AEC" w:rsidRDefault="003F07C9" w:rsidP="00512AEC">
      <w:pPr>
        <w:pStyle w:val="Caption"/>
        <w:spacing w:line="360" w:lineRule="auto"/>
        <w:rPr>
          <w:rFonts w:ascii="Arial" w:hAnsi="Arial" w:cs="Arial"/>
          <w:sz w:val="22"/>
          <w:szCs w:val="22"/>
        </w:rPr>
      </w:pPr>
      <w:r w:rsidRPr="00512AEC">
        <w:rPr>
          <w:rFonts w:ascii="Arial" w:hAnsi="Arial" w:cs="Arial"/>
          <w:sz w:val="22"/>
          <w:szCs w:val="22"/>
        </w:rPr>
        <w:t xml:space="preserve">Table </w:t>
      </w:r>
      <w:r w:rsidRPr="00512AEC">
        <w:rPr>
          <w:rFonts w:ascii="Arial" w:hAnsi="Arial" w:cs="Arial"/>
          <w:sz w:val="22"/>
          <w:szCs w:val="22"/>
        </w:rPr>
        <w:fldChar w:fldCharType="begin"/>
      </w:r>
      <w:r w:rsidRPr="00512AEC">
        <w:rPr>
          <w:rFonts w:ascii="Arial" w:hAnsi="Arial" w:cs="Arial"/>
          <w:sz w:val="22"/>
          <w:szCs w:val="22"/>
        </w:rPr>
        <w:instrText xml:space="preserve"> SEQ Table \* ARABIC </w:instrText>
      </w:r>
      <w:r w:rsidRPr="00512AEC">
        <w:rPr>
          <w:rFonts w:ascii="Arial" w:hAnsi="Arial" w:cs="Arial"/>
          <w:sz w:val="22"/>
          <w:szCs w:val="22"/>
        </w:rPr>
        <w:fldChar w:fldCharType="separate"/>
      </w:r>
      <w:r w:rsidRPr="00512AEC">
        <w:rPr>
          <w:rFonts w:ascii="Arial" w:hAnsi="Arial" w:cs="Arial"/>
          <w:noProof/>
          <w:sz w:val="22"/>
          <w:szCs w:val="22"/>
        </w:rPr>
        <w:t>4</w:t>
      </w:r>
      <w:r w:rsidRPr="00512AEC">
        <w:rPr>
          <w:rFonts w:ascii="Arial" w:hAnsi="Arial" w:cs="Arial"/>
          <w:sz w:val="22"/>
          <w:szCs w:val="22"/>
        </w:rPr>
        <w:fldChar w:fldCharType="end"/>
      </w:r>
      <w:r w:rsidRPr="00512AEC">
        <w:rPr>
          <w:rFonts w:ascii="Arial" w:hAnsi="Arial" w:cs="Arial"/>
          <w:sz w:val="22"/>
          <w:szCs w:val="22"/>
        </w:rPr>
        <w:t>:Risk Assessment and Mitigation.</w:t>
      </w:r>
    </w:p>
    <w:p w14:paraId="70D27AB0" w14:textId="77777777" w:rsidR="003F07C9" w:rsidRPr="00512AEC" w:rsidRDefault="003F07C9" w:rsidP="00512AEC">
      <w:pPr>
        <w:pStyle w:val="Heading2"/>
        <w:spacing w:line="360" w:lineRule="auto"/>
        <w:rPr>
          <w:rFonts w:ascii="Arial" w:hAnsi="Arial" w:cs="Arial"/>
          <w:sz w:val="22"/>
          <w:szCs w:val="22"/>
        </w:rPr>
      </w:pPr>
      <w:bookmarkStart w:id="21" w:name="_Toc234292991"/>
      <w:r w:rsidRPr="00512AEC">
        <w:rPr>
          <w:rFonts w:ascii="Arial" w:hAnsi="Arial" w:cs="Arial"/>
          <w:sz w:val="22"/>
          <w:szCs w:val="22"/>
        </w:rPr>
        <w:t>5.7 Evaluation and KPIs</w:t>
      </w:r>
      <w:bookmarkEnd w:id="21"/>
      <w:r w:rsidRPr="00512AEC">
        <w:rPr>
          <w:rFonts w:ascii="Arial" w:hAnsi="Arial" w:cs="Arial"/>
          <w:sz w:val="22"/>
          <w:szCs w:val="22"/>
        </w:rPr>
        <w:t xml:space="preserve"> </w:t>
      </w:r>
    </w:p>
    <w:p w14:paraId="55B9A1E1" w14:textId="77777777" w:rsidR="003F07C9" w:rsidRPr="00512AEC" w:rsidRDefault="003F07C9" w:rsidP="00512AEC">
      <w:pPr>
        <w:spacing w:line="360" w:lineRule="auto"/>
        <w:rPr>
          <w:rFonts w:ascii="Arial" w:hAnsi="Arial" w:cs="Arial"/>
        </w:rPr>
      </w:pPr>
      <w:r w:rsidRPr="00512AEC">
        <w:rPr>
          <w:rFonts w:ascii="Arial" w:hAnsi="Arial" w:cs="Arial"/>
        </w:rPr>
        <w:t>Evaluation is based on Alsalamah and Callinan (2022) 4-level model of evaluation as applied to change initiatives.</w:t>
      </w:r>
    </w:p>
    <w:p w14:paraId="4D841CF7" w14:textId="77777777" w:rsidR="003F07C9" w:rsidRPr="00512AEC" w:rsidRDefault="003F07C9" w:rsidP="00512AEC">
      <w:pPr>
        <w:spacing w:line="360" w:lineRule="auto"/>
        <w:rPr>
          <w:rFonts w:ascii="Arial" w:hAnsi="Arial" w:cs="Arial"/>
          <w:b/>
          <w:bCs/>
        </w:rPr>
      </w:pPr>
      <w:r w:rsidRPr="00512AEC">
        <w:rPr>
          <w:rStyle w:val="aupe"/>
          <w:rFonts w:ascii="Arial" w:hAnsi="Arial" w:cs="Arial"/>
          <w:b/>
          <w:bCs/>
        </w:rPr>
        <w:t>Level 1: Reaction-</w:t>
      </w:r>
      <w:r w:rsidRPr="00512AEC">
        <w:rPr>
          <w:rStyle w:val="aupe"/>
          <w:rFonts w:ascii="Arial" w:hAnsi="Arial" w:cs="Arial"/>
        </w:rPr>
        <w:t xml:space="preserve"> Employee change readiness survey monthly (target: 75% favourable)</w:t>
      </w:r>
    </w:p>
    <w:p w14:paraId="6057FC9B" w14:textId="77777777" w:rsidR="003F07C9" w:rsidRPr="00512AEC" w:rsidRDefault="003F07C9" w:rsidP="00512AEC">
      <w:pPr>
        <w:spacing w:line="360" w:lineRule="auto"/>
        <w:rPr>
          <w:rFonts w:ascii="Arial" w:hAnsi="Arial" w:cs="Arial"/>
        </w:rPr>
      </w:pPr>
      <w:r w:rsidRPr="00512AEC">
        <w:rPr>
          <w:rFonts w:ascii="Arial" w:hAnsi="Arial" w:cs="Arial"/>
          <w:b/>
          <w:bCs/>
        </w:rPr>
        <w:t>Level 2:</w:t>
      </w:r>
      <w:r w:rsidRPr="00512AEC">
        <w:rPr>
          <w:rFonts w:ascii="Arial" w:hAnsi="Arial" w:cs="Arial"/>
        </w:rPr>
        <w:t xml:space="preserve"> Learning- Digital literacy certification completion (Target: 80 % by month 24)</w:t>
      </w:r>
    </w:p>
    <w:p w14:paraId="2A82AE16" w14:textId="77777777" w:rsidR="003F07C9" w:rsidRPr="00512AEC" w:rsidRDefault="003F07C9" w:rsidP="00512AEC">
      <w:pPr>
        <w:spacing w:line="360" w:lineRule="auto"/>
        <w:rPr>
          <w:rFonts w:ascii="Arial" w:hAnsi="Arial" w:cs="Arial"/>
        </w:rPr>
      </w:pPr>
      <w:r w:rsidRPr="00512AEC">
        <w:rPr>
          <w:rFonts w:ascii="Arial" w:hAnsi="Arial" w:cs="Arial"/>
          <w:b/>
          <w:bCs/>
        </w:rPr>
        <w:t>Level 3</w:t>
      </w:r>
      <w:r w:rsidRPr="00512AEC">
        <w:rPr>
          <w:rFonts w:ascii="Arial" w:hAnsi="Arial" w:cs="Arial"/>
        </w:rPr>
        <w:t>: Behavior- Use of tools of Industry 4.0 measured by system's usage analytics (Target: 90% active users)</w:t>
      </w:r>
    </w:p>
    <w:p w14:paraId="725D4B6B" w14:textId="77777777" w:rsidR="003F07C9" w:rsidRPr="00512AEC" w:rsidRDefault="003F07C9" w:rsidP="00512AEC">
      <w:pPr>
        <w:spacing w:line="360" w:lineRule="auto"/>
        <w:rPr>
          <w:rFonts w:ascii="Arial" w:hAnsi="Arial" w:cs="Arial"/>
        </w:rPr>
      </w:pPr>
      <w:r w:rsidRPr="00512AEC">
        <w:rPr>
          <w:rFonts w:ascii="Arial" w:hAnsi="Arial" w:cs="Arial"/>
          <w:b/>
          <w:bCs/>
        </w:rPr>
        <w:t>Level 4:</w:t>
      </w:r>
      <w:r w:rsidRPr="00512AEC">
        <w:rPr>
          <w:rFonts w:ascii="Arial" w:hAnsi="Arial" w:cs="Arial"/>
        </w:rPr>
        <w:t xml:space="preserve"> Results- Production efficiency (target: 15% improvement), Changeover time (target: 40% reduction), ZEV compliance (target: 100% by month 22)</w:t>
      </w:r>
    </w:p>
    <w:p w14:paraId="00234861" w14:textId="77777777" w:rsidR="003F07C9" w:rsidRPr="00512AEC" w:rsidRDefault="003F07C9" w:rsidP="00512AEC">
      <w:pPr>
        <w:spacing w:line="360" w:lineRule="auto"/>
        <w:rPr>
          <w:rFonts w:ascii="Arial" w:hAnsi="Arial" w:cs="Arial"/>
        </w:rPr>
      </w:pPr>
      <w:r w:rsidRPr="00512AEC">
        <w:rPr>
          <w:rStyle w:val="aupe"/>
          <w:rFonts w:ascii="Arial" w:hAnsi="Arial" w:cs="Arial"/>
        </w:rPr>
        <w:t>Additional KPIs: Employee turnover during change (target: &lt;8%), unplanned production stoppages (target: &lt;2% of total time), training completion rate (target: 95%).</w:t>
      </w:r>
    </w:p>
    <w:p w14:paraId="649C5221" w14:textId="77777777" w:rsidR="003F07C9" w:rsidRPr="00512AEC" w:rsidRDefault="003F07C9" w:rsidP="00512AEC">
      <w:pPr>
        <w:pStyle w:val="Heading1"/>
        <w:spacing w:line="360" w:lineRule="auto"/>
        <w:rPr>
          <w:rFonts w:ascii="Arial" w:hAnsi="Arial" w:cs="Arial"/>
          <w:sz w:val="22"/>
          <w:szCs w:val="22"/>
        </w:rPr>
      </w:pPr>
      <w:bookmarkStart w:id="22" w:name="_Toc234292992"/>
      <w:r w:rsidRPr="00512AEC">
        <w:rPr>
          <w:rFonts w:ascii="Arial" w:hAnsi="Arial" w:cs="Arial"/>
          <w:sz w:val="22"/>
          <w:szCs w:val="22"/>
        </w:rPr>
        <w:t>6.0 Discussion and Critical Reflection</w:t>
      </w:r>
      <w:bookmarkEnd w:id="22"/>
      <w:r w:rsidRPr="00512AEC">
        <w:rPr>
          <w:rFonts w:ascii="Arial" w:hAnsi="Arial" w:cs="Arial"/>
          <w:sz w:val="22"/>
          <w:szCs w:val="22"/>
        </w:rPr>
        <w:t xml:space="preserve"> </w:t>
      </w:r>
    </w:p>
    <w:p w14:paraId="5C07B23A" w14:textId="77777777" w:rsidR="003F07C9" w:rsidRPr="00512AEC" w:rsidRDefault="003F07C9" w:rsidP="00512AEC">
      <w:pPr>
        <w:spacing w:line="360" w:lineRule="auto"/>
        <w:rPr>
          <w:rFonts w:ascii="Arial" w:hAnsi="Arial" w:cs="Arial"/>
        </w:rPr>
      </w:pPr>
      <w:r w:rsidRPr="00512AEC">
        <w:rPr>
          <w:rFonts w:ascii="Arial" w:hAnsi="Arial" w:cs="Arial"/>
        </w:rPr>
        <w:t>The strategic change plan proposed for TMUK tackles the critical need to transform the industry into digital and electric vehicles and leverages the strengths of the Toyota Production System (TPS). Strengths include the hybrid Kotter-ADKAR approach as a single model, this approach has its limitations. The phased implementation will maintain TMUK's culture of continuous improvement, by testing the technologies before scaling, thereby minimizing disruption, while daily communication will be aligned to TMUK team-based structures. However, limitations persist. The plan is based on the premise of a consistent regulatory landscape, and the 24-month skills development timeline might be optimistic as there is a longer lead time for developing EV battery knowledge. Ethical issues in workforce transition must involve fair treatment for employees who are unable or unwilling to acquire digital literacy, active efforts to bridge the digital literacy divide agewise and be aware of the union involvement in the process of job displacement. People need to keep technology refreshed for more than 24 months, as digital manufacturing capabilities rapidly lose value, and the challenges of EV batteries including raw material sourcing and recycling need to be tackled strategically by TMUK's parent organisation. The episodic-continuous change difference also comes to mind when reflecting on module learning: TMUK cannot embark on a 24-month change project that is digital in nature, but rather needs to build adaptive capacity continuously (Cummings, Bridgman and Brown, 2016). The hybrid model is not about finishing the eight steps outlined in the Kotter model, but rather about embedding the attitude and mindset that it temporarily allows in the organization, so that they can be sustained in the long run in a turbulent manufacturing landscape.</w:t>
      </w:r>
    </w:p>
    <w:p w14:paraId="2E4D3510" w14:textId="77777777" w:rsidR="003F07C9" w:rsidRPr="00512AEC" w:rsidRDefault="003F07C9" w:rsidP="00512AEC">
      <w:pPr>
        <w:pStyle w:val="Heading1"/>
        <w:spacing w:line="360" w:lineRule="auto"/>
        <w:rPr>
          <w:rFonts w:ascii="Arial" w:hAnsi="Arial" w:cs="Arial"/>
          <w:sz w:val="22"/>
          <w:szCs w:val="22"/>
        </w:rPr>
      </w:pPr>
      <w:bookmarkStart w:id="23" w:name="_Toc234292993"/>
      <w:r w:rsidRPr="00512AEC">
        <w:rPr>
          <w:rFonts w:ascii="Arial" w:hAnsi="Arial" w:cs="Arial"/>
          <w:sz w:val="22"/>
          <w:szCs w:val="22"/>
        </w:rPr>
        <w:t>7.0 Conclusion</w:t>
      </w:r>
      <w:bookmarkEnd w:id="23"/>
      <w:r w:rsidRPr="00512AEC">
        <w:rPr>
          <w:rFonts w:ascii="Arial" w:hAnsi="Arial" w:cs="Arial"/>
          <w:sz w:val="22"/>
          <w:szCs w:val="22"/>
        </w:rPr>
        <w:t xml:space="preserve"> </w:t>
      </w:r>
    </w:p>
    <w:p w14:paraId="62F9600E" w14:textId="77777777" w:rsidR="003F07C9" w:rsidRPr="00512AEC" w:rsidRDefault="003F07C9" w:rsidP="00512AEC">
      <w:pPr>
        <w:spacing w:line="360" w:lineRule="auto"/>
        <w:rPr>
          <w:rFonts w:ascii="Arial" w:hAnsi="Arial" w:cs="Arial"/>
        </w:rPr>
      </w:pPr>
      <w:r w:rsidRPr="00512AEC">
        <w:rPr>
          <w:rFonts w:ascii="Arial" w:hAnsi="Arial" w:cs="Arial"/>
        </w:rPr>
        <w:t>This strategic change plan is a response to the board's call for solutions to cope with market volatility at Toyota Motor Manufacturing UK. The external environment suggests a transformation for TMUK is forced by regulatory, technological and competitive pressures, and it requires a strong leader. Key findings include that TMUK's hybrid approach has a path-dependency effect on strategic flexibility to achieve full electrification, and compliance dates for the ZEV mandate cannot be satisfied with a hybrid strategy. But there is a basis for change, in fact, available in Toyota Production System and the continuous improvement culture, which has been in place and will be useful if used wisely. Situational approaches to leadership, which take into account the different employees' readiness level, are needed and change management needs to combine organizational-structural frameworks with individual-transition models. Approved “Project Kaizen Digital” with £45 million funding over 24 months with emphasis on EV battery assembly capability. Second, within 30 days, set up a cross-functional change coalition directly reporting to the board on a monthly basis. Thirdly, conduct prompt workforce digital literacy tests and awareness building campaigns with focus on ADKAR's first two outcomes; before implementation. Fourth, develop technical college collaborations with EV battery skills pipeline to address talent gaps. Fifth, create a digital governance framework beyond the 24-month requirement, acknowledging digital transformation requires continuous adaptation. Full electrification is the biggest manufacturing revolution in years. TMUK's strong culture of excellence and continuous improvement is a unique strength on this journey. What the board does in the coming months will make or break TMUK as a leader in a new generation of automotive manufacturing.</w:t>
      </w:r>
    </w:p>
    <w:p w14:paraId="13E6F099" w14:textId="77777777" w:rsidR="003F07C9" w:rsidRPr="00512AEC" w:rsidRDefault="003F07C9" w:rsidP="00512AEC">
      <w:pPr>
        <w:spacing w:line="360" w:lineRule="auto"/>
        <w:rPr>
          <w:rFonts w:ascii="Arial" w:hAnsi="Arial" w:cs="Arial"/>
        </w:rPr>
      </w:pPr>
      <w:r w:rsidRPr="00512AEC">
        <w:rPr>
          <w:rFonts w:ascii="Arial" w:hAnsi="Arial" w:cs="Arial"/>
        </w:rPr>
        <w:br/>
      </w:r>
    </w:p>
    <w:p w14:paraId="1DA8EC8F" w14:textId="77777777" w:rsidR="003F07C9" w:rsidRPr="00512AEC" w:rsidRDefault="003F07C9" w:rsidP="00512AEC">
      <w:pPr>
        <w:spacing w:line="360" w:lineRule="auto"/>
        <w:rPr>
          <w:rFonts w:ascii="Arial" w:eastAsiaTheme="majorEastAsia" w:hAnsi="Arial" w:cs="Arial"/>
          <w:b/>
        </w:rPr>
      </w:pPr>
      <w:r w:rsidRPr="00512AEC">
        <w:rPr>
          <w:rFonts w:ascii="Arial" w:hAnsi="Arial" w:cs="Arial"/>
        </w:rPr>
        <w:br w:type="page"/>
      </w:r>
    </w:p>
    <w:p w14:paraId="7487EEA8" w14:textId="77777777" w:rsidR="003F07C9" w:rsidRPr="00512AEC" w:rsidRDefault="003F07C9" w:rsidP="00512AEC">
      <w:pPr>
        <w:pStyle w:val="Heading1"/>
        <w:spacing w:line="360" w:lineRule="auto"/>
        <w:rPr>
          <w:rFonts w:ascii="Arial" w:hAnsi="Arial" w:cs="Arial"/>
          <w:sz w:val="22"/>
          <w:szCs w:val="22"/>
        </w:rPr>
      </w:pPr>
      <w:bookmarkStart w:id="24" w:name="_Toc234292994"/>
      <w:r w:rsidRPr="00512AEC">
        <w:rPr>
          <w:rFonts w:ascii="Arial" w:hAnsi="Arial" w:cs="Arial"/>
          <w:sz w:val="22"/>
          <w:szCs w:val="22"/>
        </w:rPr>
        <w:t>Reference List</w:t>
      </w:r>
      <w:bookmarkEnd w:id="24"/>
      <w:r w:rsidRPr="00512AEC">
        <w:rPr>
          <w:rFonts w:ascii="Arial" w:hAnsi="Arial" w:cs="Arial"/>
          <w:sz w:val="22"/>
          <w:szCs w:val="22"/>
        </w:rPr>
        <w:t xml:space="preserve"> </w:t>
      </w:r>
    </w:p>
    <w:p w14:paraId="3BC7F1FF"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Alsalamah, A. and Callinan, C., 2022. The Kirkpatrick model for training evaluation: bibliometric analysis after 60 years (1959–2020). </w:t>
      </w:r>
      <w:r w:rsidRPr="00F2062F">
        <w:rPr>
          <w:rFonts w:cstheme="minorHAnsi"/>
          <w:i/>
          <w:iCs/>
          <w:color w:val="222222"/>
          <w:sz w:val="24"/>
          <w:szCs w:val="24"/>
          <w:shd w:val="clear" w:color="auto" w:fill="FFFFFF"/>
        </w:rPr>
        <w:t>Industrial and Commercial Training</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54</w:t>
      </w:r>
      <w:r w:rsidRPr="00F2062F">
        <w:rPr>
          <w:rFonts w:cstheme="minorHAnsi"/>
          <w:color w:val="222222"/>
          <w:sz w:val="24"/>
          <w:szCs w:val="24"/>
          <w:shd w:val="clear" w:color="auto" w:fill="FFFFFF"/>
        </w:rPr>
        <w:t>(1), pp.36-63.</w:t>
      </w:r>
    </w:p>
    <w:p w14:paraId="009B9B9B" w14:textId="77777777" w:rsidR="00F2062F" w:rsidRPr="00F2062F" w:rsidRDefault="00F2062F" w:rsidP="00F2062F">
      <w:pPr>
        <w:ind w:left="720" w:hanging="720"/>
        <w:rPr>
          <w:rFonts w:cstheme="minorHAnsi"/>
          <w:sz w:val="24"/>
          <w:szCs w:val="24"/>
        </w:rPr>
      </w:pPr>
      <w:r w:rsidRPr="00F2062F">
        <w:rPr>
          <w:rFonts w:cstheme="minorHAnsi"/>
          <w:sz w:val="24"/>
          <w:szCs w:val="24"/>
        </w:rPr>
        <w:t xml:space="preserve">Appelbaum, S.H., Cameron, A., Ensink, F., Hazarika, J., Attir, R., Ezzedine, R. and Shekhar, V. (2017) 'Factors that impact the success of an organizational change: a case study analysis', </w:t>
      </w:r>
      <w:r w:rsidRPr="00F2062F">
        <w:rPr>
          <w:rStyle w:val="Emphasis"/>
          <w:rFonts w:cstheme="minorHAnsi"/>
          <w:sz w:val="24"/>
          <w:szCs w:val="24"/>
        </w:rPr>
        <w:t>Industrial and Commercial Training</w:t>
      </w:r>
      <w:r w:rsidRPr="00F2062F">
        <w:rPr>
          <w:rFonts w:cstheme="minorHAnsi"/>
          <w:sz w:val="24"/>
          <w:szCs w:val="24"/>
        </w:rPr>
        <w:t>, 49(5), pp. 213–230.</w:t>
      </w:r>
    </w:p>
    <w:p w14:paraId="6CAD4639"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Asare Obeng, H., Arhinful, R., Mensah, L. and Teneng, R.C., 2025. Harmonizing growth: Leadership competencies’ mediation in SMEs’ organizational culture and structure through schein’s model. </w:t>
      </w:r>
      <w:r w:rsidRPr="00F2062F">
        <w:rPr>
          <w:rFonts w:cstheme="minorHAnsi"/>
          <w:i/>
          <w:iCs/>
          <w:color w:val="222222"/>
          <w:sz w:val="24"/>
          <w:szCs w:val="24"/>
          <w:shd w:val="clear" w:color="auto" w:fill="FFFFFF"/>
        </w:rPr>
        <w:t>SAGE Open</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15</w:t>
      </w:r>
      <w:r w:rsidRPr="00F2062F">
        <w:rPr>
          <w:rFonts w:cstheme="minorHAnsi"/>
          <w:color w:val="222222"/>
          <w:sz w:val="24"/>
          <w:szCs w:val="24"/>
          <w:shd w:val="clear" w:color="auto" w:fill="FFFFFF"/>
        </w:rPr>
        <w:t>(3), p.21582440251364954.</w:t>
      </w:r>
    </w:p>
    <w:p w14:paraId="4E6BEC66"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Burnes, B., 2020. The origins of Lewin’s three-step model of change. </w:t>
      </w:r>
      <w:r w:rsidRPr="00F2062F">
        <w:rPr>
          <w:rFonts w:cstheme="minorHAnsi"/>
          <w:i/>
          <w:iCs/>
          <w:color w:val="222222"/>
          <w:sz w:val="24"/>
          <w:szCs w:val="24"/>
          <w:shd w:val="clear" w:color="auto" w:fill="FFFFFF"/>
        </w:rPr>
        <w:t>The Journal of Applied Behavioral Science</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56</w:t>
      </w:r>
      <w:r w:rsidRPr="00F2062F">
        <w:rPr>
          <w:rFonts w:cstheme="minorHAnsi"/>
          <w:color w:val="222222"/>
          <w:sz w:val="24"/>
          <w:szCs w:val="24"/>
          <w:shd w:val="clear" w:color="auto" w:fill="FFFFFF"/>
        </w:rPr>
        <w:t>(1), pp.32-59.</w:t>
      </w:r>
    </w:p>
    <w:p w14:paraId="1D58D575"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Cummings, S., Bridgman, T. and Brown, K.G., 2016. Unfreezing change as three steps: Rethinking Kurt Lewin’s legacy for change management. </w:t>
      </w:r>
      <w:r w:rsidRPr="00F2062F">
        <w:rPr>
          <w:rFonts w:cstheme="minorHAnsi"/>
          <w:i/>
          <w:iCs/>
          <w:color w:val="222222"/>
          <w:sz w:val="24"/>
          <w:szCs w:val="24"/>
          <w:shd w:val="clear" w:color="auto" w:fill="FFFFFF"/>
        </w:rPr>
        <w:t>Human relations</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69</w:t>
      </w:r>
      <w:r w:rsidRPr="00F2062F">
        <w:rPr>
          <w:rFonts w:cstheme="minorHAnsi"/>
          <w:color w:val="222222"/>
          <w:sz w:val="24"/>
          <w:szCs w:val="24"/>
          <w:shd w:val="clear" w:color="auto" w:fill="FFFFFF"/>
        </w:rPr>
        <w:t>(1), pp.33-60.</w:t>
      </w:r>
    </w:p>
    <w:p w14:paraId="74019928"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de Treville, S., Browning, T.R., Marewski, J.N. and Weiss, J., 2023. Toyota production system practices as fast‐and‐frugal heuristics. </w:t>
      </w:r>
      <w:r w:rsidRPr="00F2062F">
        <w:rPr>
          <w:rFonts w:cstheme="minorHAnsi"/>
          <w:i/>
          <w:iCs/>
          <w:color w:val="222222"/>
          <w:sz w:val="24"/>
          <w:szCs w:val="24"/>
          <w:shd w:val="clear" w:color="auto" w:fill="FFFFFF"/>
        </w:rPr>
        <w:t>Journal of Operations Management</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69</w:t>
      </w:r>
      <w:r w:rsidRPr="00F2062F">
        <w:rPr>
          <w:rFonts w:cstheme="minorHAnsi"/>
          <w:color w:val="222222"/>
          <w:sz w:val="24"/>
          <w:szCs w:val="24"/>
          <w:shd w:val="clear" w:color="auto" w:fill="FFFFFF"/>
        </w:rPr>
        <w:t>(4), pp.522-535.</w:t>
      </w:r>
    </w:p>
    <w:p w14:paraId="7C5D8173"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Frank, A.G., Dalenogare, L.S. and Ayala, N.F., 2019. Industry 4.0 technologies: Implementation patterns in manufacturing companies. </w:t>
      </w:r>
      <w:r w:rsidRPr="00F2062F">
        <w:rPr>
          <w:rFonts w:cstheme="minorHAnsi"/>
          <w:i/>
          <w:iCs/>
          <w:color w:val="222222"/>
          <w:sz w:val="24"/>
          <w:szCs w:val="24"/>
          <w:shd w:val="clear" w:color="auto" w:fill="FFFFFF"/>
        </w:rPr>
        <w:t>International journal of production economics</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210</w:t>
      </w:r>
      <w:r w:rsidRPr="00F2062F">
        <w:rPr>
          <w:rFonts w:cstheme="minorHAnsi"/>
          <w:color w:val="222222"/>
          <w:sz w:val="24"/>
          <w:szCs w:val="24"/>
          <w:shd w:val="clear" w:color="auto" w:fill="FFFFFF"/>
        </w:rPr>
        <w:t>, pp.15-26.</w:t>
      </w:r>
    </w:p>
    <w:p w14:paraId="2A3C049A"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Ghobakhloo, M., 2020. Industry 4.0, digitization, and opportunities for sustainability. </w:t>
      </w:r>
      <w:r w:rsidRPr="00F2062F">
        <w:rPr>
          <w:rFonts w:cstheme="minorHAnsi"/>
          <w:i/>
          <w:iCs/>
          <w:color w:val="222222"/>
          <w:sz w:val="24"/>
          <w:szCs w:val="24"/>
          <w:shd w:val="clear" w:color="auto" w:fill="FFFFFF"/>
        </w:rPr>
        <w:t>Journal of cleaner production</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252</w:t>
      </w:r>
      <w:r w:rsidRPr="00F2062F">
        <w:rPr>
          <w:rFonts w:cstheme="minorHAnsi"/>
          <w:color w:val="222222"/>
          <w:sz w:val="24"/>
          <w:szCs w:val="24"/>
          <w:shd w:val="clear" w:color="auto" w:fill="FFFFFF"/>
        </w:rPr>
        <w:t>, p.119869.</w:t>
      </w:r>
    </w:p>
    <w:p w14:paraId="5B894A1B" w14:textId="77777777" w:rsidR="00F2062F" w:rsidRPr="00F2062F" w:rsidRDefault="00F2062F" w:rsidP="00F2062F">
      <w:pPr>
        <w:ind w:left="720" w:hanging="720"/>
        <w:rPr>
          <w:rFonts w:cstheme="minorHAnsi"/>
          <w:sz w:val="24"/>
          <w:szCs w:val="24"/>
        </w:rPr>
      </w:pPr>
      <w:r w:rsidRPr="00F2062F">
        <w:rPr>
          <w:rFonts w:cstheme="minorHAnsi"/>
          <w:sz w:val="24"/>
          <w:szCs w:val="24"/>
        </w:rPr>
        <w:t xml:space="preserve">Hughes, M. (2016) 'Leading changes: Why transformation explanations fail', </w:t>
      </w:r>
      <w:r w:rsidRPr="00F2062F">
        <w:rPr>
          <w:rStyle w:val="Emphasis"/>
          <w:rFonts w:cstheme="minorHAnsi"/>
          <w:sz w:val="24"/>
          <w:szCs w:val="24"/>
        </w:rPr>
        <w:t>Journal of Change Management</w:t>
      </w:r>
      <w:r w:rsidRPr="00F2062F">
        <w:rPr>
          <w:rFonts w:cstheme="minorHAnsi"/>
          <w:sz w:val="24"/>
          <w:szCs w:val="24"/>
        </w:rPr>
        <w:t>, 16(4), pp. 313–329.</w:t>
      </w:r>
    </w:p>
    <w:p w14:paraId="3CECD68F"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Hussain, S.T., Lei, S., Akram, T., Haider, M.J., Hussain, S.H. and Ali, M., 2018. Kurt Lewin's change model: A critical review of the role of leadership and employee involvement in organizational change. </w:t>
      </w:r>
      <w:r w:rsidRPr="00F2062F">
        <w:rPr>
          <w:rFonts w:cstheme="minorHAnsi"/>
          <w:i/>
          <w:iCs/>
          <w:color w:val="222222"/>
          <w:sz w:val="24"/>
          <w:szCs w:val="24"/>
          <w:shd w:val="clear" w:color="auto" w:fill="FFFFFF"/>
        </w:rPr>
        <w:t>Journal of innovation &amp; knowledge</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3</w:t>
      </w:r>
      <w:r w:rsidRPr="00F2062F">
        <w:rPr>
          <w:rFonts w:cstheme="minorHAnsi"/>
          <w:color w:val="222222"/>
          <w:sz w:val="24"/>
          <w:szCs w:val="24"/>
          <w:shd w:val="clear" w:color="auto" w:fill="FFFFFF"/>
        </w:rPr>
        <w:t>(3), pp.123-127.</w:t>
      </w:r>
    </w:p>
    <w:p w14:paraId="64F0033D"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Kaminski, J., 2022. Theory applied to informatics–the prosci adkar model. editorial. </w:t>
      </w:r>
      <w:r w:rsidRPr="00F2062F">
        <w:rPr>
          <w:rFonts w:cstheme="minorHAnsi"/>
          <w:i/>
          <w:iCs/>
          <w:color w:val="222222"/>
          <w:sz w:val="24"/>
          <w:szCs w:val="24"/>
          <w:shd w:val="clear" w:color="auto" w:fill="FFFFFF"/>
        </w:rPr>
        <w:t>Canadian Journal of Nursing Informatics</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17</w:t>
      </w:r>
      <w:r w:rsidRPr="00F2062F">
        <w:rPr>
          <w:rFonts w:cstheme="minorHAnsi"/>
          <w:color w:val="222222"/>
          <w:sz w:val="24"/>
          <w:szCs w:val="24"/>
          <w:shd w:val="clear" w:color="auto" w:fill="FFFFFF"/>
        </w:rPr>
        <w:t>(2), pp.1-8.</w:t>
      </w:r>
    </w:p>
    <w:p w14:paraId="66B92C73" w14:textId="77777777" w:rsidR="00F2062F" w:rsidRPr="00F2062F" w:rsidRDefault="00F2062F" w:rsidP="00F2062F">
      <w:pPr>
        <w:ind w:left="720" w:hanging="720"/>
        <w:rPr>
          <w:rFonts w:cstheme="minorHAnsi"/>
          <w:sz w:val="24"/>
          <w:szCs w:val="24"/>
        </w:rPr>
      </w:pPr>
      <w:r w:rsidRPr="00F2062F">
        <w:rPr>
          <w:rFonts w:cstheme="minorHAnsi"/>
          <w:sz w:val="24"/>
          <w:szCs w:val="24"/>
        </w:rPr>
        <w:t xml:space="preserve">Liker, J.K. and Ross, K. (2016) </w:t>
      </w:r>
      <w:r w:rsidRPr="00F2062F">
        <w:rPr>
          <w:rStyle w:val="Emphasis"/>
          <w:rFonts w:cstheme="minorHAnsi"/>
          <w:sz w:val="24"/>
          <w:szCs w:val="24"/>
        </w:rPr>
        <w:t>The Toyota Way to Service Excellence: Lean Transformation in Service Organizations</w:t>
      </w:r>
      <w:r w:rsidRPr="00F2062F">
        <w:rPr>
          <w:rFonts w:cstheme="minorHAnsi"/>
          <w:sz w:val="24"/>
          <w:szCs w:val="24"/>
        </w:rPr>
        <w:t>. New York: McGraw-Hill.</w:t>
      </w:r>
    </w:p>
    <w:p w14:paraId="68EB2A31"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McLaren, T.A., Van Der Hoorn, B. and Fein, E.C., 2023. Why vilifying the status quo can derail a change effort: Kotter’s contradiction, and theory adaptation. </w:t>
      </w:r>
      <w:r w:rsidRPr="00F2062F">
        <w:rPr>
          <w:rFonts w:cstheme="minorHAnsi"/>
          <w:i/>
          <w:iCs/>
          <w:color w:val="222222"/>
          <w:sz w:val="24"/>
          <w:szCs w:val="24"/>
          <w:shd w:val="clear" w:color="auto" w:fill="FFFFFF"/>
        </w:rPr>
        <w:t>Journal of Change Management</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23</w:t>
      </w:r>
      <w:r w:rsidRPr="00F2062F">
        <w:rPr>
          <w:rFonts w:cstheme="minorHAnsi"/>
          <w:color w:val="222222"/>
          <w:sz w:val="24"/>
          <w:szCs w:val="24"/>
          <w:shd w:val="clear" w:color="auto" w:fill="FFFFFF"/>
        </w:rPr>
        <w:t>(1), pp.93-111.</w:t>
      </w:r>
    </w:p>
    <w:p w14:paraId="20BE81A7"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Pavlínek, P., 2023. Transition of the automotive industry towards electric vehicle production in the east European integrated periphery. </w:t>
      </w:r>
      <w:r w:rsidRPr="00F2062F">
        <w:rPr>
          <w:rFonts w:cstheme="minorHAnsi"/>
          <w:i/>
          <w:iCs/>
          <w:color w:val="222222"/>
          <w:sz w:val="24"/>
          <w:szCs w:val="24"/>
          <w:shd w:val="clear" w:color="auto" w:fill="FFFFFF"/>
        </w:rPr>
        <w:t>Empirica</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50</w:t>
      </w:r>
      <w:r w:rsidRPr="00F2062F">
        <w:rPr>
          <w:rFonts w:cstheme="minorHAnsi"/>
          <w:color w:val="222222"/>
          <w:sz w:val="24"/>
          <w:szCs w:val="24"/>
          <w:shd w:val="clear" w:color="auto" w:fill="FFFFFF"/>
        </w:rPr>
        <w:t>(1), pp.35-73.</w:t>
      </w:r>
    </w:p>
    <w:p w14:paraId="4780B411"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Peng, J., Li, M., Wang, Z. and Lin, Y., 2021. Transformational leadership and employees’ reactions to organizational change: Evidence from a meta-analysis. </w:t>
      </w:r>
      <w:r w:rsidRPr="00F2062F">
        <w:rPr>
          <w:rFonts w:cstheme="minorHAnsi"/>
          <w:i/>
          <w:iCs/>
          <w:color w:val="222222"/>
          <w:sz w:val="24"/>
          <w:szCs w:val="24"/>
          <w:shd w:val="clear" w:color="auto" w:fill="FFFFFF"/>
        </w:rPr>
        <w:t>The Journal of applied behavioral science</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57</w:t>
      </w:r>
      <w:r w:rsidRPr="00F2062F">
        <w:rPr>
          <w:rFonts w:cstheme="minorHAnsi"/>
          <w:color w:val="222222"/>
          <w:sz w:val="24"/>
          <w:szCs w:val="24"/>
          <w:shd w:val="clear" w:color="auto" w:fill="FFFFFF"/>
        </w:rPr>
        <w:t>(3), pp.369-397.</w:t>
      </w:r>
    </w:p>
    <w:p w14:paraId="2F88C632"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Pichler, M., Krenmayr, N., Schneider, E. and Brand, U., 2021. EU industrial policy: Between modernization and transformation of the automotive industry. </w:t>
      </w:r>
      <w:r w:rsidRPr="00F2062F">
        <w:rPr>
          <w:rFonts w:cstheme="minorHAnsi"/>
          <w:i/>
          <w:iCs/>
          <w:color w:val="222222"/>
          <w:sz w:val="24"/>
          <w:szCs w:val="24"/>
          <w:shd w:val="clear" w:color="auto" w:fill="FFFFFF"/>
        </w:rPr>
        <w:t>Environmental innovation and societal transitions</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38</w:t>
      </w:r>
      <w:r w:rsidRPr="00F2062F">
        <w:rPr>
          <w:rFonts w:cstheme="minorHAnsi"/>
          <w:color w:val="222222"/>
          <w:sz w:val="24"/>
          <w:szCs w:val="24"/>
          <w:shd w:val="clear" w:color="auto" w:fill="FFFFFF"/>
        </w:rPr>
        <w:t>, pp.140-152.</w:t>
      </w:r>
    </w:p>
    <w:p w14:paraId="2D2833B9"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Song, J., Sun, Y. and Jin, L., 2017. PESTEL analysis of the development of the waste-to-energy incineration industry in China. </w:t>
      </w:r>
      <w:r w:rsidRPr="00F2062F">
        <w:rPr>
          <w:rFonts w:cstheme="minorHAnsi"/>
          <w:i/>
          <w:iCs/>
          <w:color w:val="222222"/>
          <w:sz w:val="24"/>
          <w:szCs w:val="24"/>
          <w:shd w:val="clear" w:color="auto" w:fill="FFFFFF"/>
        </w:rPr>
        <w:t>Renewable and Sustainable Energy Reviews</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80</w:t>
      </w:r>
      <w:r w:rsidRPr="00F2062F">
        <w:rPr>
          <w:rFonts w:cstheme="minorHAnsi"/>
          <w:color w:val="222222"/>
          <w:sz w:val="24"/>
          <w:szCs w:val="24"/>
          <w:shd w:val="clear" w:color="auto" w:fill="FFFFFF"/>
        </w:rPr>
        <w:t>, pp.276-289.</w:t>
      </w:r>
    </w:p>
    <w:p w14:paraId="7A550596"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Sovacool, B.K., Kester, J. and Heida, V., 2019. Cars and kids: Childhood perceptions of electric vehicles and sustainable transport in Denmark and the Netherlands. </w:t>
      </w:r>
      <w:r w:rsidRPr="00F2062F">
        <w:rPr>
          <w:rFonts w:cstheme="minorHAnsi"/>
          <w:i/>
          <w:iCs/>
          <w:color w:val="222222"/>
          <w:sz w:val="24"/>
          <w:szCs w:val="24"/>
          <w:shd w:val="clear" w:color="auto" w:fill="FFFFFF"/>
        </w:rPr>
        <w:t>Technological Forecasting and Social Change</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144</w:t>
      </w:r>
      <w:r w:rsidRPr="00F2062F">
        <w:rPr>
          <w:rFonts w:cstheme="minorHAnsi"/>
          <w:color w:val="222222"/>
          <w:sz w:val="24"/>
          <w:szCs w:val="24"/>
          <w:shd w:val="clear" w:color="auto" w:fill="FFFFFF"/>
        </w:rPr>
        <w:t>, pp.182-192.</w:t>
      </w:r>
    </w:p>
    <w:p w14:paraId="2AC45357"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Thompson, G. and Glasø, L., 2018. Situational leadership theory: a test from a leader-follower congruence approach. </w:t>
      </w:r>
      <w:r w:rsidRPr="00F2062F">
        <w:rPr>
          <w:rFonts w:cstheme="minorHAnsi"/>
          <w:i/>
          <w:iCs/>
          <w:color w:val="222222"/>
          <w:sz w:val="24"/>
          <w:szCs w:val="24"/>
          <w:shd w:val="clear" w:color="auto" w:fill="FFFFFF"/>
        </w:rPr>
        <w:t>Leadership &amp; Organization Development Journal</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39</w:t>
      </w:r>
      <w:r w:rsidRPr="00F2062F">
        <w:rPr>
          <w:rFonts w:cstheme="minorHAnsi"/>
          <w:color w:val="222222"/>
          <w:sz w:val="24"/>
          <w:szCs w:val="24"/>
          <w:shd w:val="clear" w:color="auto" w:fill="FFFFFF"/>
        </w:rPr>
        <w:t>(5), pp.574-591.</w:t>
      </w:r>
    </w:p>
    <w:p w14:paraId="48BDF038" w14:textId="77777777" w:rsidR="00F2062F" w:rsidRPr="00F2062F" w:rsidRDefault="00F2062F" w:rsidP="00F2062F">
      <w:pPr>
        <w:ind w:left="720" w:hanging="720"/>
        <w:rPr>
          <w:rFonts w:cstheme="minorHAnsi"/>
          <w:sz w:val="24"/>
          <w:szCs w:val="24"/>
        </w:rPr>
      </w:pPr>
      <w:r w:rsidRPr="00F2062F">
        <w:rPr>
          <w:rFonts w:cstheme="minorHAnsi"/>
          <w:sz w:val="24"/>
          <w:szCs w:val="24"/>
        </w:rPr>
        <w:t xml:space="preserve">Wang, L. and Wells, P. (2021) 'Regime confluence in automobile industry transformation: boundary dissolution and network reintegration via CASE vehicles', </w:t>
      </w:r>
      <w:r w:rsidRPr="00F2062F">
        <w:rPr>
          <w:rStyle w:val="Emphasis"/>
          <w:rFonts w:cstheme="minorHAnsi"/>
          <w:sz w:val="24"/>
          <w:szCs w:val="24"/>
        </w:rPr>
        <w:t>Energies</w:t>
      </w:r>
      <w:r w:rsidRPr="00F2062F">
        <w:rPr>
          <w:rFonts w:cstheme="minorHAnsi"/>
          <w:sz w:val="24"/>
          <w:szCs w:val="24"/>
        </w:rPr>
        <w:t>, 14(4), article 1116.</w:t>
      </w:r>
    </w:p>
    <w:p w14:paraId="39B5765A" w14:textId="77777777" w:rsidR="00F2062F" w:rsidRPr="00F2062F" w:rsidRDefault="00F2062F" w:rsidP="00512AEC">
      <w:pPr>
        <w:spacing w:line="360" w:lineRule="auto"/>
        <w:ind w:left="720" w:hanging="720"/>
        <w:rPr>
          <w:rFonts w:cstheme="minorHAnsi"/>
          <w:color w:val="222222"/>
          <w:sz w:val="24"/>
          <w:szCs w:val="24"/>
          <w:shd w:val="clear" w:color="auto" w:fill="FFFFFF"/>
        </w:rPr>
      </w:pPr>
      <w:r w:rsidRPr="00F2062F">
        <w:rPr>
          <w:rFonts w:cstheme="minorHAnsi"/>
          <w:color w:val="222222"/>
          <w:sz w:val="24"/>
          <w:szCs w:val="24"/>
          <w:shd w:val="clear" w:color="auto" w:fill="FFFFFF"/>
        </w:rPr>
        <w:t>Wood, D.J., Mitchell, R.K., Agle, B.R. and Bryan, L.M., 2021. Stakeholder identification and salience after 20 years: Progress, problems, and prospects. </w:t>
      </w:r>
      <w:r w:rsidRPr="00F2062F">
        <w:rPr>
          <w:rFonts w:cstheme="minorHAnsi"/>
          <w:i/>
          <w:iCs/>
          <w:color w:val="222222"/>
          <w:sz w:val="24"/>
          <w:szCs w:val="24"/>
          <w:shd w:val="clear" w:color="auto" w:fill="FFFFFF"/>
        </w:rPr>
        <w:t>Business &amp; Society</w:t>
      </w:r>
      <w:r w:rsidRPr="00F2062F">
        <w:rPr>
          <w:rFonts w:cstheme="minorHAnsi"/>
          <w:color w:val="222222"/>
          <w:sz w:val="24"/>
          <w:szCs w:val="24"/>
          <w:shd w:val="clear" w:color="auto" w:fill="FFFFFF"/>
        </w:rPr>
        <w:t>, </w:t>
      </w:r>
      <w:r w:rsidRPr="00F2062F">
        <w:rPr>
          <w:rFonts w:cstheme="minorHAnsi"/>
          <w:i/>
          <w:iCs/>
          <w:color w:val="222222"/>
          <w:sz w:val="24"/>
          <w:szCs w:val="24"/>
          <w:shd w:val="clear" w:color="auto" w:fill="FFFFFF"/>
        </w:rPr>
        <w:t>60</w:t>
      </w:r>
      <w:r w:rsidRPr="00F2062F">
        <w:rPr>
          <w:rFonts w:cstheme="minorHAnsi"/>
          <w:color w:val="222222"/>
          <w:sz w:val="24"/>
          <w:szCs w:val="24"/>
          <w:shd w:val="clear" w:color="auto" w:fill="FFFFFF"/>
        </w:rPr>
        <w:t>(1), pp.196-245.</w:t>
      </w:r>
    </w:p>
    <w:p w14:paraId="018A24A7" w14:textId="77777777" w:rsidR="00F2062F" w:rsidRPr="00F2062F" w:rsidRDefault="00F2062F" w:rsidP="00F2062F">
      <w:pPr>
        <w:ind w:left="720" w:hanging="720"/>
        <w:rPr>
          <w:rFonts w:cstheme="minorHAnsi"/>
          <w:sz w:val="24"/>
          <w:szCs w:val="24"/>
        </w:rPr>
      </w:pPr>
      <w:r w:rsidRPr="00F2062F">
        <w:rPr>
          <w:rFonts w:cstheme="minorHAnsi"/>
          <w:sz w:val="24"/>
          <w:szCs w:val="24"/>
        </w:rPr>
        <w:t xml:space="preserve">Yamamoto, K., Milstead, M. and Lloyd, R. (2019) 'A review of the development of lean manufacturing and related lean practices: The case of Toyota Production System and managerial thinking', </w:t>
      </w:r>
      <w:r w:rsidRPr="00F2062F">
        <w:rPr>
          <w:rStyle w:val="Emphasis"/>
          <w:rFonts w:cstheme="minorHAnsi"/>
          <w:sz w:val="24"/>
          <w:szCs w:val="24"/>
        </w:rPr>
        <w:t>International Management Review</w:t>
      </w:r>
      <w:r w:rsidRPr="00F2062F">
        <w:rPr>
          <w:rFonts w:cstheme="minorHAnsi"/>
          <w:sz w:val="24"/>
          <w:szCs w:val="24"/>
        </w:rPr>
        <w:t>, 15(2), pp. 21–29.</w:t>
      </w:r>
    </w:p>
    <w:p w14:paraId="71F0DEE0" w14:textId="77777777" w:rsidR="00F2062F" w:rsidRPr="00512AEC" w:rsidRDefault="00F2062F" w:rsidP="00512AEC">
      <w:pPr>
        <w:spacing w:line="360" w:lineRule="auto"/>
        <w:ind w:left="720" w:hanging="720"/>
        <w:rPr>
          <w:rFonts w:ascii="Arial" w:hAnsi="Arial" w:cs="Arial"/>
        </w:rPr>
      </w:pPr>
    </w:p>
    <w:p w14:paraId="5744486A" w14:textId="77777777" w:rsidR="003F07C9" w:rsidRPr="00512AEC" w:rsidRDefault="003F07C9" w:rsidP="00512AEC">
      <w:pPr>
        <w:spacing w:line="360" w:lineRule="auto"/>
        <w:jc w:val="both"/>
        <w:rPr>
          <w:rFonts w:ascii="Arial" w:hAnsi="Arial" w:cs="Arial"/>
        </w:rPr>
      </w:pPr>
    </w:p>
    <w:p w14:paraId="719AE6F7" w14:textId="77777777" w:rsidR="003F07C9" w:rsidRPr="00512AEC" w:rsidRDefault="003F07C9" w:rsidP="00512AEC">
      <w:pPr>
        <w:spacing w:line="360" w:lineRule="auto"/>
        <w:jc w:val="both"/>
        <w:rPr>
          <w:rFonts w:ascii="Arial" w:hAnsi="Arial" w:cs="Arial"/>
        </w:rPr>
      </w:pPr>
    </w:p>
    <w:p w14:paraId="5E9B977A" w14:textId="77777777" w:rsidR="003F07C9" w:rsidRPr="00512AEC" w:rsidRDefault="003F07C9" w:rsidP="00512AEC">
      <w:pPr>
        <w:spacing w:line="360" w:lineRule="auto"/>
        <w:jc w:val="both"/>
        <w:rPr>
          <w:rFonts w:ascii="Arial" w:hAnsi="Arial" w:cs="Arial"/>
        </w:rPr>
      </w:pPr>
    </w:p>
    <w:p w14:paraId="120F0601" w14:textId="77777777" w:rsidR="003F07C9" w:rsidRPr="00512AEC" w:rsidRDefault="003F07C9" w:rsidP="00512AEC">
      <w:pPr>
        <w:spacing w:line="360" w:lineRule="auto"/>
        <w:jc w:val="both"/>
        <w:rPr>
          <w:rFonts w:ascii="Arial" w:hAnsi="Arial" w:cs="Arial"/>
        </w:rPr>
      </w:pPr>
    </w:p>
    <w:p w14:paraId="6566104E" w14:textId="77777777" w:rsidR="003F07C9" w:rsidRPr="00512AEC" w:rsidRDefault="003F07C9" w:rsidP="00512AEC">
      <w:pPr>
        <w:spacing w:line="360" w:lineRule="auto"/>
        <w:jc w:val="both"/>
        <w:rPr>
          <w:rFonts w:ascii="Arial" w:hAnsi="Arial" w:cs="Arial"/>
        </w:rPr>
      </w:pPr>
    </w:p>
    <w:p w14:paraId="178C662B" w14:textId="77777777" w:rsidR="003F07C9" w:rsidRPr="00512AEC" w:rsidRDefault="003F07C9" w:rsidP="00512AEC">
      <w:pPr>
        <w:spacing w:line="360" w:lineRule="auto"/>
        <w:jc w:val="both"/>
        <w:rPr>
          <w:rFonts w:ascii="Arial" w:hAnsi="Arial" w:cs="Arial"/>
        </w:rPr>
      </w:pPr>
    </w:p>
    <w:p w14:paraId="00382D55" w14:textId="77777777" w:rsidR="003F07C9" w:rsidRPr="00512AEC" w:rsidRDefault="003F07C9" w:rsidP="00512AEC">
      <w:pPr>
        <w:spacing w:line="360" w:lineRule="auto"/>
        <w:jc w:val="both"/>
        <w:rPr>
          <w:rFonts w:ascii="Arial" w:hAnsi="Arial" w:cs="Arial"/>
        </w:rPr>
      </w:pPr>
    </w:p>
    <w:sectPr w:rsidR="003F07C9" w:rsidRPr="00512AEC" w:rsidSect="000C26C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1034F8" w14:textId="77777777" w:rsidR="00D04A3C" w:rsidRDefault="00D04A3C" w:rsidP="000C26CB">
      <w:pPr>
        <w:spacing w:after="0" w:line="240" w:lineRule="auto"/>
      </w:pPr>
      <w:r>
        <w:separator/>
      </w:r>
    </w:p>
  </w:endnote>
  <w:endnote w:type="continuationSeparator" w:id="0">
    <w:p w14:paraId="2F407299" w14:textId="77777777" w:rsidR="00D04A3C" w:rsidRDefault="00D04A3C" w:rsidP="000C2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9B0909" w14:textId="77777777" w:rsidR="00FC5AFB" w:rsidRDefault="00FC5A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3D691B5" w14:textId="77777777" w:rsidR="00FC5AFB" w:rsidRDefault="00FC5A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69BBF2" w14:textId="77777777" w:rsidR="00FC5AFB" w:rsidRDefault="00FC5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68725F" w14:textId="77777777" w:rsidR="00D04A3C" w:rsidRDefault="00D04A3C" w:rsidP="000C26CB">
      <w:pPr>
        <w:spacing w:after="0" w:line="240" w:lineRule="auto"/>
      </w:pPr>
      <w:r>
        <w:separator/>
      </w:r>
    </w:p>
  </w:footnote>
  <w:footnote w:type="continuationSeparator" w:id="0">
    <w:p w14:paraId="115E9C8A" w14:textId="77777777" w:rsidR="00D04A3C" w:rsidRDefault="00D04A3C" w:rsidP="000C2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D59A11" w14:textId="77777777" w:rsidR="00FC5AFB" w:rsidRDefault="00FC5A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61696752"/>
      <w:docPartObj>
        <w:docPartGallery w:val="Page Numbers (Top of Page)"/>
        <w:docPartUnique/>
      </w:docPartObj>
    </w:sdtPr>
    <w:sdtEndPr>
      <w:rPr>
        <w:noProof/>
      </w:rPr>
    </w:sdtEndPr>
    <w:sdtContent>
      <w:p w14:paraId="3971A557" w14:textId="77777777" w:rsidR="000C26CB" w:rsidRDefault="000C26CB">
        <w:pPr>
          <w:pStyle w:val="Header"/>
          <w:jc w:val="right"/>
        </w:pPr>
        <w:r>
          <w:t xml:space="preserve">Leading and Implementing Change     </w:t>
        </w:r>
        <w:r>
          <w:fldChar w:fldCharType="begin"/>
        </w:r>
        <w:r>
          <w:instrText xml:space="preserve"> PAGE   \* MERGEFORMAT </w:instrText>
        </w:r>
        <w:r>
          <w:fldChar w:fldCharType="separate"/>
        </w:r>
        <w:r w:rsidR="00B42DCB">
          <w:rPr>
            <w:noProof/>
          </w:rPr>
          <w:t>2</w:t>
        </w:r>
        <w:r>
          <w:rPr>
            <w:noProof/>
          </w:rPr>
          <w:fldChar w:fldCharType="end"/>
        </w:r>
      </w:p>
    </w:sdtContent>
  </w:sdt>
  <w:p w14:paraId="57E0D3FE" w14:textId="77777777" w:rsidR="000C26CB" w:rsidRDefault="000C26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AEBA3C" w14:textId="77777777" w:rsidR="00FC5AFB" w:rsidRDefault="00FC5A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AD27951"/>
    <w:multiLevelType w:val="multilevel"/>
    <w:tmpl w:val="F926B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043368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hideSpellingErrors/>
  <w:hideGrammaticalErrors/>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A1MjE0NTU0MDI2sjBR0lEKTi0uzszPAykwrAUAI2UNYCwAAAA="/>
  </w:docVars>
  <w:rsids>
    <w:rsidRoot w:val="003F07C9"/>
    <w:rsid w:val="000C26CB"/>
    <w:rsid w:val="003F07C9"/>
    <w:rsid w:val="004F5A28"/>
    <w:rsid w:val="00512AEC"/>
    <w:rsid w:val="006F250A"/>
    <w:rsid w:val="007062F9"/>
    <w:rsid w:val="00907CAF"/>
    <w:rsid w:val="009A68B2"/>
    <w:rsid w:val="00B42DCB"/>
    <w:rsid w:val="00BD211B"/>
    <w:rsid w:val="00C42DC4"/>
    <w:rsid w:val="00D04A3C"/>
    <w:rsid w:val="00EC6819"/>
    <w:rsid w:val="00EF7BA4"/>
    <w:rsid w:val="00F2062F"/>
    <w:rsid w:val="00FC5A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9DD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F07C9"/>
    <w:pPr>
      <w:keepNext/>
      <w:keepLines/>
      <w:spacing w:before="240" w:after="0" w:line="240" w:lineRule="auto"/>
      <w:jc w:val="both"/>
      <w:outlineLvl w:val="0"/>
    </w:pPr>
    <w:rPr>
      <w:rFonts w:ascii="Times New Roman" w:eastAsiaTheme="majorEastAsia" w:hAnsi="Times New Roman" w:cstheme="majorBidi"/>
      <w:b/>
      <w:color w:val="000000"/>
      <w:sz w:val="24"/>
      <w:szCs w:val="32"/>
      <w:lang w:eastAsia="en-GB"/>
    </w:rPr>
  </w:style>
  <w:style w:type="paragraph" w:styleId="Heading2">
    <w:name w:val="heading 2"/>
    <w:basedOn w:val="Normal"/>
    <w:next w:val="Normal"/>
    <w:link w:val="Heading2Char"/>
    <w:uiPriority w:val="9"/>
    <w:unhideWhenUsed/>
    <w:qFormat/>
    <w:rsid w:val="003F07C9"/>
    <w:pPr>
      <w:keepNext/>
      <w:keepLines/>
      <w:spacing w:before="40" w:after="0" w:line="240" w:lineRule="auto"/>
      <w:jc w:val="both"/>
      <w:outlineLvl w:val="1"/>
    </w:pPr>
    <w:rPr>
      <w:rFonts w:ascii="Times New Roman" w:eastAsiaTheme="majorEastAsia" w:hAnsi="Times New Roman" w:cstheme="majorBidi"/>
      <w:b/>
      <w:color w:val="000000"/>
      <w:sz w:val="24"/>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0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7C9"/>
    <w:rPr>
      <w:rFonts w:ascii="Tahoma" w:hAnsi="Tahoma" w:cs="Tahoma"/>
      <w:sz w:val="16"/>
      <w:szCs w:val="16"/>
      <w:lang w:val="en-GB"/>
    </w:rPr>
  </w:style>
  <w:style w:type="character" w:styleId="Strong">
    <w:name w:val="Strong"/>
    <w:basedOn w:val="DefaultParagraphFont"/>
    <w:uiPriority w:val="22"/>
    <w:qFormat/>
    <w:rsid w:val="003F07C9"/>
    <w:rPr>
      <w:b/>
      <w:bCs/>
    </w:rPr>
  </w:style>
  <w:style w:type="character" w:customStyle="1" w:styleId="Heading1Char">
    <w:name w:val="Heading 1 Char"/>
    <w:basedOn w:val="DefaultParagraphFont"/>
    <w:link w:val="Heading1"/>
    <w:uiPriority w:val="9"/>
    <w:rsid w:val="003F07C9"/>
    <w:rPr>
      <w:rFonts w:ascii="Times New Roman" w:eastAsiaTheme="majorEastAsia" w:hAnsi="Times New Roman" w:cstheme="majorBidi"/>
      <w:b/>
      <w:color w:val="000000"/>
      <w:sz w:val="24"/>
      <w:szCs w:val="32"/>
      <w:lang w:val="en-GB" w:eastAsia="en-GB"/>
    </w:rPr>
  </w:style>
  <w:style w:type="character" w:customStyle="1" w:styleId="Heading2Char">
    <w:name w:val="Heading 2 Char"/>
    <w:basedOn w:val="DefaultParagraphFont"/>
    <w:link w:val="Heading2"/>
    <w:uiPriority w:val="9"/>
    <w:rsid w:val="003F07C9"/>
    <w:rPr>
      <w:rFonts w:ascii="Times New Roman" w:eastAsiaTheme="majorEastAsia" w:hAnsi="Times New Roman" w:cstheme="majorBidi"/>
      <w:b/>
      <w:color w:val="000000"/>
      <w:sz w:val="24"/>
      <w:szCs w:val="26"/>
      <w:lang w:val="en-GB" w:eastAsia="en-GB"/>
    </w:rPr>
  </w:style>
  <w:style w:type="paragraph" w:customStyle="1" w:styleId="ds-markdown-paragraph">
    <w:name w:val="ds-markdown-paragraph"/>
    <w:basedOn w:val="Normal"/>
    <w:rsid w:val="003F07C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upe">
    <w:name w:val="_aupe"/>
    <w:basedOn w:val="DefaultParagraphFont"/>
    <w:rsid w:val="003F07C9"/>
  </w:style>
  <w:style w:type="table" w:customStyle="1" w:styleId="GridTable4-Accent61">
    <w:name w:val="Grid Table 4 - Accent 61"/>
    <w:basedOn w:val="TableNormal"/>
    <w:uiPriority w:val="49"/>
    <w:rsid w:val="003F07C9"/>
    <w:pPr>
      <w:spacing w:after="0" w:line="240" w:lineRule="auto"/>
    </w:pPr>
    <w:rPr>
      <w:rFonts w:eastAsia="Calibri"/>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Heading">
    <w:name w:val="TOC Heading"/>
    <w:basedOn w:val="Heading1"/>
    <w:next w:val="Normal"/>
    <w:uiPriority w:val="39"/>
    <w:unhideWhenUsed/>
    <w:qFormat/>
    <w:rsid w:val="003F07C9"/>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3F07C9"/>
    <w:pPr>
      <w:spacing w:after="100" w:line="360" w:lineRule="auto"/>
      <w:jc w:val="both"/>
    </w:pPr>
    <w:rPr>
      <w:rFonts w:ascii="Times New Roman" w:eastAsia="Calibri" w:hAnsi="Times New Roman" w:cs="Calibri"/>
      <w:color w:val="000000"/>
      <w:sz w:val="24"/>
      <w:lang w:eastAsia="en-GB"/>
    </w:rPr>
  </w:style>
  <w:style w:type="paragraph" w:styleId="TOC2">
    <w:name w:val="toc 2"/>
    <w:basedOn w:val="Normal"/>
    <w:next w:val="Normal"/>
    <w:autoRedefine/>
    <w:uiPriority w:val="39"/>
    <w:unhideWhenUsed/>
    <w:rsid w:val="003F07C9"/>
    <w:pPr>
      <w:spacing w:after="100" w:line="360" w:lineRule="auto"/>
      <w:ind w:left="240"/>
      <w:jc w:val="both"/>
    </w:pPr>
    <w:rPr>
      <w:rFonts w:ascii="Times New Roman" w:eastAsia="Calibri" w:hAnsi="Times New Roman" w:cs="Calibri"/>
      <w:color w:val="000000"/>
      <w:sz w:val="24"/>
      <w:lang w:eastAsia="en-GB"/>
    </w:rPr>
  </w:style>
  <w:style w:type="character" w:styleId="Hyperlink">
    <w:name w:val="Hyperlink"/>
    <w:basedOn w:val="DefaultParagraphFont"/>
    <w:uiPriority w:val="99"/>
    <w:unhideWhenUsed/>
    <w:rsid w:val="003F07C9"/>
    <w:rPr>
      <w:color w:val="0000FF" w:themeColor="hyperlink"/>
      <w:u w:val="single"/>
    </w:rPr>
  </w:style>
  <w:style w:type="paragraph" w:styleId="Caption">
    <w:name w:val="caption"/>
    <w:basedOn w:val="Normal"/>
    <w:next w:val="Normal"/>
    <w:uiPriority w:val="35"/>
    <w:unhideWhenUsed/>
    <w:qFormat/>
    <w:rsid w:val="003F07C9"/>
    <w:pPr>
      <w:spacing w:line="240" w:lineRule="auto"/>
      <w:jc w:val="both"/>
    </w:pPr>
    <w:rPr>
      <w:rFonts w:ascii="Times New Roman" w:eastAsia="Calibri" w:hAnsi="Times New Roman" w:cs="Calibri"/>
      <w:i/>
      <w:iCs/>
      <w:color w:val="1F497D" w:themeColor="text2"/>
      <w:sz w:val="18"/>
      <w:szCs w:val="18"/>
      <w:lang w:eastAsia="en-GB"/>
    </w:rPr>
  </w:style>
  <w:style w:type="paragraph" w:styleId="Header">
    <w:name w:val="header"/>
    <w:basedOn w:val="Normal"/>
    <w:link w:val="HeaderChar"/>
    <w:uiPriority w:val="99"/>
    <w:unhideWhenUsed/>
    <w:rsid w:val="000C26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26CB"/>
    <w:rPr>
      <w:lang w:val="en-GB"/>
    </w:rPr>
  </w:style>
  <w:style w:type="paragraph" w:styleId="Footer">
    <w:name w:val="footer"/>
    <w:basedOn w:val="Normal"/>
    <w:link w:val="FooterChar"/>
    <w:uiPriority w:val="99"/>
    <w:unhideWhenUsed/>
    <w:rsid w:val="000C26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6CB"/>
    <w:rPr>
      <w:lang w:val="en-GB"/>
    </w:rPr>
  </w:style>
  <w:style w:type="character" w:customStyle="1" w:styleId="selectable-text">
    <w:name w:val="selectable-text"/>
    <w:basedOn w:val="DefaultParagraphFont"/>
    <w:rsid w:val="00F2062F"/>
  </w:style>
  <w:style w:type="character" w:styleId="Emphasis">
    <w:name w:val="Emphasis"/>
    <w:basedOn w:val="DefaultParagraphFont"/>
    <w:uiPriority w:val="20"/>
    <w:qFormat/>
    <w:rsid w:val="00F206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E389ED-985F-43E8-80D3-58AB083FCF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5823</Words>
  <Characters>33193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2026-07-14T21:16:00Z</dcterms:created>
  <dcterms:modified xsi:type="dcterms:W3CDTF">2026-07-14T21:16:00Z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37da9414-96c9-4093-87c5-31875e3ad215</vt:lpwstr>
  </property>
</Properties>
</file>