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D7170" w14:textId="7C580709" w:rsidR="00BB5A5F" w:rsidRPr="00BB5A5F" w:rsidRDefault="00BB5A5F" w:rsidP="00BB5A5F">
      <w:pPr>
        <w:pStyle w:val="Normlnweb"/>
        <w:jc w:val="center"/>
        <w:rPr>
          <w:rFonts w:ascii="Arial" w:hAnsi="Arial" w:cs="Arial"/>
          <w:sz w:val="40"/>
          <w:szCs w:val="40"/>
        </w:rPr>
      </w:pPr>
      <w:r w:rsidRPr="00BB5A5F">
        <w:rPr>
          <w:rFonts w:ascii="Arial" w:hAnsi="Arial" w:cs="Arial"/>
          <w:sz w:val="40"/>
          <w:szCs w:val="40"/>
        </w:rPr>
        <w:t xml:space="preserve">Pavlina Balozova </w:t>
      </w:r>
    </w:p>
    <w:p w14:paraId="64EE2911" w14:textId="6DE9507A" w:rsidR="00BB5A5F" w:rsidRPr="00BB5A5F" w:rsidRDefault="00BB5A5F" w:rsidP="00BB5A5F">
      <w:pPr>
        <w:pStyle w:val="Normlnweb"/>
        <w:jc w:val="center"/>
        <w:rPr>
          <w:rFonts w:ascii="Arial" w:hAnsi="Arial" w:cs="Arial"/>
          <w:sz w:val="40"/>
          <w:szCs w:val="40"/>
        </w:rPr>
      </w:pPr>
      <w:r w:rsidRPr="00BB5A5F">
        <w:rPr>
          <w:rFonts w:ascii="Arial" w:hAnsi="Arial" w:cs="Arial"/>
          <w:sz w:val="40"/>
          <w:szCs w:val="40"/>
        </w:rPr>
        <w:t xml:space="preserve">Assignment 2- Essay </w:t>
      </w:r>
    </w:p>
    <w:p w14:paraId="567F1DA6" w14:textId="0878D4E0" w:rsidR="00BB5A5F" w:rsidRPr="00BB5A5F" w:rsidRDefault="00BB5A5F" w:rsidP="00BB5A5F">
      <w:pPr>
        <w:pStyle w:val="Normlnweb"/>
        <w:jc w:val="center"/>
        <w:rPr>
          <w:rFonts w:ascii="Arial" w:hAnsi="Arial" w:cs="Arial"/>
          <w:sz w:val="40"/>
          <w:szCs w:val="40"/>
        </w:rPr>
      </w:pPr>
      <w:r w:rsidRPr="00BB5A5F">
        <w:rPr>
          <w:rFonts w:ascii="Arial" w:hAnsi="Arial" w:cs="Arial"/>
          <w:sz w:val="40"/>
          <w:szCs w:val="40"/>
        </w:rPr>
        <w:t xml:space="preserve">Introduction to Hebrew Bible Module </w:t>
      </w:r>
    </w:p>
    <w:p w14:paraId="6FBFFADF" w14:textId="77777777" w:rsidR="00BB5A5F" w:rsidRDefault="00BB5A5F" w:rsidP="00BB5A5F">
      <w:pPr>
        <w:pStyle w:val="Normlnweb"/>
      </w:pPr>
    </w:p>
    <w:p w14:paraId="5B8656BB" w14:textId="77777777" w:rsidR="00BB5A5F" w:rsidRDefault="00BB5A5F" w:rsidP="00BB5A5F">
      <w:pPr>
        <w:pStyle w:val="Normlnweb"/>
      </w:pPr>
    </w:p>
    <w:p w14:paraId="3E9C2086" w14:textId="77777777" w:rsidR="00BB5A5F" w:rsidRDefault="00BB5A5F" w:rsidP="00BB5A5F">
      <w:pPr>
        <w:pStyle w:val="Normlnweb"/>
      </w:pPr>
    </w:p>
    <w:p w14:paraId="25473A00" w14:textId="77777777" w:rsidR="00BB5A5F" w:rsidRPr="00BB5A5F" w:rsidRDefault="00BB5A5F" w:rsidP="00BB5A5F">
      <w:pPr>
        <w:pStyle w:val="Normlnweb"/>
        <w:jc w:val="center"/>
        <w:rPr>
          <w:sz w:val="36"/>
          <w:szCs w:val="36"/>
        </w:rPr>
      </w:pPr>
    </w:p>
    <w:p w14:paraId="01764ACD" w14:textId="08A0FB21" w:rsidR="00BB5A5F" w:rsidRPr="00BB5A5F" w:rsidRDefault="00BB5A5F" w:rsidP="00BB5A5F">
      <w:pPr>
        <w:pStyle w:val="Normlnweb"/>
        <w:jc w:val="center"/>
        <w:rPr>
          <w:rFonts w:ascii="Arial" w:hAnsi="Arial" w:cs="Arial"/>
          <w:sz w:val="36"/>
          <w:szCs w:val="36"/>
        </w:rPr>
      </w:pPr>
      <w:r w:rsidRPr="00BB5A5F">
        <w:rPr>
          <w:rFonts w:ascii="Arial" w:hAnsi="Arial" w:cs="Arial"/>
          <w:sz w:val="36"/>
          <w:szCs w:val="36"/>
        </w:rPr>
        <w:t>The Book of Ruth: A Critical Analysis of Feminist Interpretations</w:t>
      </w:r>
    </w:p>
    <w:p w14:paraId="70ADD3DF" w14:textId="77777777" w:rsidR="00BB5A5F" w:rsidRDefault="00BB5A5F" w:rsidP="00BB5A5F">
      <w:pPr>
        <w:pStyle w:val="Normlnweb"/>
      </w:pPr>
    </w:p>
    <w:p w14:paraId="17FEC659" w14:textId="77777777" w:rsidR="00BB5A5F" w:rsidRDefault="00BB5A5F" w:rsidP="00BB5A5F">
      <w:pPr>
        <w:pStyle w:val="Normlnweb"/>
      </w:pPr>
    </w:p>
    <w:p w14:paraId="7E9DFEC9" w14:textId="77777777" w:rsidR="00BB5A5F" w:rsidRDefault="00BB5A5F" w:rsidP="00BB5A5F">
      <w:pPr>
        <w:pStyle w:val="Normlnweb"/>
      </w:pPr>
    </w:p>
    <w:p w14:paraId="32203E97" w14:textId="240C1568" w:rsidR="00BB5A5F" w:rsidRPr="00BB5A5F" w:rsidRDefault="00BB5A5F" w:rsidP="00BB5A5F">
      <w:pPr>
        <w:pStyle w:val="Normlnweb"/>
        <w:rPr>
          <w:rFonts w:ascii="Arial" w:hAnsi="Arial" w:cs="Arial"/>
          <w:b/>
          <w:bCs/>
        </w:rPr>
      </w:pPr>
      <w:r w:rsidRPr="00BB5A5F">
        <w:rPr>
          <w:rFonts w:ascii="Arial" w:hAnsi="Arial" w:cs="Arial"/>
          <w:b/>
          <w:bCs/>
        </w:rPr>
        <w:t>Introduction</w:t>
      </w:r>
    </w:p>
    <w:p w14:paraId="1A0DEF77" w14:textId="77777777" w:rsidR="00BB5A5F" w:rsidRPr="00BB5A5F" w:rsidRDefault="00BB5A5F" w:rsidP="00BB5A5F">
      <w:pPr>
        <w:pStyle w:val="Normlnweb"/>
        <w:rPr>
          <w:rFonts w:ascii="Arial" w:hAnsi="Arial" w:cs="Arial"/>
        </w:rPr>
      </w:pPr>
      <w:r w:rsidRPr="00BB5A5F">
        <w:rPr>
          <w:rFonts w:ascii="Arial" w:hAnsi="Arial" w:cs="Arial"/>
        </w:rPr>
        <w:t>Although The Book of Ruth is one of the shortest books in the Hebrew Bible, it has received considerable scholarly interest because of its engagement with female agency and association. The claim that Ruth "can be called a modern-day feminist narrative" provides a curious interpretive frame through which to analyse this ancient narrative. However, this claim needs to be challenged, as it risks imposing contemporary ideological worlds onto an ancient Near Eastern text that was produced within strikingly different cultural, social, and theological worlds. Furthermore, while there are certainly instances of female agency and solidarity in the book, it potentially reduces the depth and complexity of Ruth’s theological and cultural roles within the ancient Israeli world by calling it feminist in the modern sense.</w:t>
      </w:r>
    </w:p>
    <w:p w14:paraId="23A86796" w14:textId="77777777" w:rsidR="00BB5A5F" w:rsidRPr="00BB5A5F" w:rsidRDefault="00BB5A5F" w:rsidP="00BB5A5F">
      <w:pPr>
        <w:pStyle w:val="Normlnweb"/>
        <w:rPr>
          <w:rFonts w:ascii="Arial" w:hAnsi="Arial" w:cs="Arial"/>
          <w:b/>
          <w:bCs/>
        </w:rPr>
      </w:pPr>
      <w:r w:rsidRPr="00BB5A5F">
        <w:rPr>
          <w:rFonts w:ascii="Arial" w:hAnsi="Arial" w:cs="Arial"/>
          <w:b/>
          <w:bCs/>
        </w:rPr>
        <w:t>Female Agency and Initiative</w:t>
      </w:r>
    </w:p>
    <w:p w14:paraId="0E9A9BEE" w14:textId="77777777" w:rsidR="00BB5A5F" w:rsidRPr="00BB5A5F" w:rsidRDefault="00BB5A5F" w:rsidP="00BB5A5F">
      <w:pPr>
        <w:pStyle w:val="Normlnweb"/>
        <w:rPr>
          <w:rFonts w:ascii="Arial" w:hAnsi="Arial" w:cs="Arial"/>
        </w:rPr>
      </w:pPr>
      <w:r w:rsidRPr="00BB5A5F">
        <w:rPr>
          <w:rFonts w:ascii="Arial" w:hAnsi="Arial" w:cs="Arial"/>
        </w:rPr>
        <w:t>Supporters of Ruth’s feminist reading often cite examples of agency that both Ruth and Naomi dispense with. "Where you go, I will go, and where you lodge, I will lodge, your people shall be my people and your God my God" demonstrates a woman who has chosen in a manner different from what she is expected to do.¹ By choosing to abandon her heritage as a Moabite and to follow Naomi to what would be an unknown future in Bethlehem is a degree of self-determination that contrasts with what could be expected as an ancient Near Eastern woman.</w:t>
      </w:r>
    </w:p>
    <w:p w14:paraId="5C5CBEA8" w14:textId="6E5F8ABC" w:rsidR="00BB5A5F" w:rsidRPr="00BB5A5F" w:rsidRDefault="00BB5A5F" w:rsidP="00BB5A5F">
      <w:pPr>
        <w:pStyle w:val="Normlnweb"/>
        <w:rPr>
          <w:rFonts w:ascii="Arial" w:hAnsi="Arial" w:cs="Arial"/>
        </w:rPr>
      </w:pPr>
      <w:r w:rsidRPr="00BB5A5F">
        <w:rPr>
          <w:rFonts w:ascii="Arial" w:hAnsi="Arial" w:cs="Arial"/>
        </w:rPr>
        <w:lastRenderedPageBreak/>
        <w:t>While Ruth’s pledge to Naomi demonstrates her agency, the implications of her choice become more pronounced when she considers Orpah’s choice to return to her mother’s house in Moab. The narrative places both women in the same scenario, but Ruth’s decision to stay with Naomi is an individual decision, not a social obligation. This commitment transcends ethnicity, religion, or family ties, suggesting an individual autonomy that feminist scholars find appealing. Ruth’s agency encompasses theological and relational aspects that challenge ancient marriage practices’ normative practices. This idea is further emphasised by Ruth acting on her own, and approaching Boaz as the meeting at the threshing floor ultimately depicts careful thought and strong action. Ruth does not wait for a man (or men) to arrange her future: Ruth and Naomi take steps to solidify their economic futures. Which action best exemplifies feminist reading? Feminist scholars, such as Phyllis Trible, have suggested that the scene not only demonstrates Ruth’s sexual agency but also her ability to navigate patriarchal systems to obtain what she wants. The nighttime activity of the threshing floor, with its sexual implications, and Ruth’s direct proposal to Boaz suggest that Ruth is no longer a passive recipient of male desire; she is now an active agent in the relationship. The fact that either of the Hebrew texts leaves ambiguity as to exactly what occurred between Ruth and Boaz provides ample opportunity for academic debate. Some interpreters stated that Ruth uncovered Boaz’s feet, laid down next to him, and crossed the line to make a bold sexual advance. Others stated that it was purely a plan. The text depicts Ruth as the active agent that creates the possibility of marriage, regardless of her physical acts. Not only does this shift the normative courtship process of men pursuing women but it also provides some evidentiary basis for those who read Ruth as challenging gender norms. Naomi stands out as another character who demonstrates significant agency across the narrative. Naomi’s practical advice to Ruth about approaching Boaz demonstrates sophisticated knowledge of legal and social conventions. Naomi sets up an encounter with Ruth, which leads her to marriage and the restoration of her family line. Naomi’s portrayal as an older woman who gives wise counsel and serves as a strategist challenges the stereotypical portrayals of women in ancient literature. Naomi’s transformation from a bitter widow to a strategic matriarch is yet another example of female agency in this narrative. Naomi’s initial grief and renaming herself “Mara” (bitter) are surpassed by plotting to ensure both women’s safety. Naomi’s understanding of the kinship laws, harvest behaviours, and male mentality in terms of how to successfully manage social mediation that would lead Ruth to safety, a thriving existence, and ultimately a heightened position in the future is remarkable. Naomi’s shift from victim to agent is some of the exposition we see in this narrative on female resilience and agency.</w:t>
      </w:r>
    </w:p>
    <w:p w14:paraId="6D0B1645" w14:textId="77777777" w:rsidR="00BB5A5F" w:rsidRPr="00BB5A5F" w:rsidRDefault="00BB5A5F" w:rsidP="00BB5A5F">
      <w:pPr>
        <w:pStyle w:val="Normlnweb"/>
        <w:rPr>
          <w:rFonts w:ascii="Arial" w:hAnsi="Arial" w:cs="Arial"/>
          <w:b/>
          <w:bCs/>
        </w:rPr>
      </w:pPr>
      <w:r w:rsidRPr="00BB5A5F">
        <w:rPr>
          <w:rFonts w:ascii="Arial" w:hAnsi="Arial" w:cs="Arial"/>
          <w:b/>
          <w:bCs/>
        </w:rPr>
        <w:t>Patriarchy and its Limitations</w:t>
      </w:r>
    </w:p>
    <w:p w14:paraId="5D62587D" w14:textId="77777777" w:rsidR="00BB5A5F" w:rsidRPr="00BB5A5F" w:rsidRDefault="00BB5A5F" w:rsidP="00BB5A5F">
      <w:pPr>
        <w:pStyle w:val="Normlnweb"/>
        <w:rPr>
          <w:rFonts w:ascii="Arial" w:hAnsi="Arial" w:cs="Arial"/>
        </w:rPr>
      </w:pPr>
      <w:r w:rsidRPr="00BB5A5F">
        <w:rPr>
          <w:rFonts w:ascii="Arial" w:hAnsi="Arial" w:cs="Arial"/>
        </w:rPr>
        <w:t xml:space="preserve">However, a more critical glance at the Book of Ruth suggests that it works within a patriarchal context rather than directly examining malignancy. The entire structural narrative assumes levirate marriage and male kin obligation, a structural patriarchal system meant to fortify men’s lineage and property rights. Ruth’s agency, as great as it is, is still relative to and not a complete antithesis of the patriarchal relations that are ever present in that context. Furthermore, levirate marriage provides patriarchal control over women’s reproductive capacity as the legal vehicle of this narrative. This arrangement required the brother or nearest kin of a deceased man to marry the deceased man’s widow and bear children, who would inherit the deceased’s property </w:t>
      </w:r>
      <w:r w:rsidRPr="00BB5A5F">
        <w:rPr>
          <w:rFonts w:ascii="Arial" w:hAnsi="Arial" w:cs="Arial"/>
        </w:rPr>
        <w:lastRenderedPageBreak/>
        <w:t>and carry on the deceased man’s name. In this instance, women were primarily seen as vessels for passing on male lines and not as autonomous individuals with inheritance rights. Ruth’s entire legal standing is reliant on her connections to dead men: her husband, Mahlon, and the possibility of Boaz marrying her as a kinsman-redeemer.</w:t>
      </w:r>
    </w:p>
    <w:p w14:paraId="20E9A454" w14:textId="77777777" w:rsidR="00BB5A5F" w:rsidRPr="00BB5A5F" w:rsidRDefault="00BB5A5F" w:rsidP="00BB5A5F">
      <w:pPr>
        <w:pStyle w:val="Normlnweb"/>
        <w:rPr>
          <w:rFonts w:ascii="Arial" w:hAnsi="Arial" w:cs="Arial"/>
        </w:rPr>
      </w:pPr>
      <w:r w:rsidRPr="00BB5A5F">
        <w:rPr>
          <w:rFonts w:ascii="Arial" w:hAnsi="Arial" w:cs="Arial"/>
        </w:rPr>
        <w:t>The story’s denouement reaffirms the gender roles established by Ruth marrying Boaz and then performing her maternal duties. The resolution of the story does celebrate Ruth, but primarily because she gave birth to a child who would carry on the male lineage and eventually lead to the legacy of King David. Let us not overlook the language of the women in Bethlehem: they proclaim that Ruth "is better than seven sons" to Naomi, but again, this praise casts Ruth’s worth in terms of her reproductive capacity and indicates her supporting role in the patriarchal family. Even this seeming elevation of Ruth above male children ultimately serves patriarchal interests by honouring her usefulness in restoring Naomi’s family.</w:t>
      </w:r>
    </w:p>
    <w:p w14:paraId="3E51FA17" w14:textId="77777777" w:rsidR="00BB5A5F" w:rsidRPr="00BB5A5F" w:rsidRDefault="00BB5A5F" w:rsidP="00BB5A5F">
      <w:pPr>
        <w:pStyle w:val="Normlnweb"/>
        <w:rPr>
          <w:rFonts w:ascii="Arial" w:hAnsi="Arial" w:cs="Arial"/>
        </w:rPr>
      </w:pPr>
      <w:r w:rsidRPr="00BB5A5F">
        <w:rPr>
          <w:rFonts w:ascii="Arial" w:hAnsi="Arial" w:cs="Arial"/>
        </w:rPr>
        <w:t>The genealogy that follows further cements patriarchal priorities, outlining a male line of descents from Perez to David, with Ruth demoted to the position of just the mother of Obed. Although Ruth may be at the centre of the narrative, the genealogical wrap-up reduces Ruth’s status in the male chain of descent, suggesting that the narrative was primarily concerned with legitimising David’s ancestral claim and not female empowerment.</w:t>
      </w:r>
    </w:p>
    <w:p w14:paraId="69F41A72" w14:textId="77777777" w:rsidR="00BB5A5F" w:rsidRPr="00BB5A5F" w:rsidRDefault="00BB5A5F" w:rsidP="00BB5A5F">
      <w:pPr>
        <w:pStyle w:val="Normlnweb"/>
        <w:rPr>
          <w:rFonts w:ascii="Arial" w:hAnsi="Arial" w:cs="Arial"/>
        </w:rPr>
      </w:pPr>
      <w:r w:rsidRPr="00BB5A5F">
        <w:rPr>
          <w:rFonts w:ascii="Arial" w:hAnsi="Arial" w:cs="Arial"/>
        </w:rPr>
        <w:t>Moreover, the legal proceedings at the city gate exclude Ruth and Naomi. The men are negotiating Ruth’s future, and Ruth is simply treated as property to transfer with the land that had formerly belonged to her deceased husband’s ownership. Although Boaz conducts himself honourably, and an admirable character, the system leaves Ruth with no standing except as an object of transaction and not as a legal entity. Boaz is not blind to Ruth’s status, and the unnamed kinsman has every intention of redeeming Naomi’s land but refuses to acquire Ruth. The economic calculation behind these arrangements is clear, if not only implicit, in their dialogues.</w:t>
      </w:r>
    </w:p>
    <w:p w14:paraId="54A77C4D" w14:textId="77777777" w:rsidR="00BB5A5F" w:rsidRPr="00BB5A5F" w:rsidRDefault="00BB5A5F" w:rsidP="00BB5A5F">
      <w:pPr>
        <w:pStyle w:val="Normlnweb"/>
        <w:rPr>
          <w:rFonts w:ascii="Arial" w:hAnsi="Arial" w:cs="Arial"/>
        </w:rPr>
      </w:pPr>
      <w:r w:rsidRPr="00BB5A5F">
        <w:rPr>
          <w:rFonts w:ascii="Arial" w:hAnsi="Arial" w:cs="Arial"/>
        </w:rPr>
        <w:t>The language used in the legal proceedings is also very telling. Boaz uses the word "acquire" when he mentions "acquiring" Ruth and the land to which they are laying claim, using terms commonly associated with land transactions. For example, the Hebrew verb tanah, "to buy" or "to acquire" appears in contexts surrounding land purchases and marriage arrangements. This linguistic evidence points to how easily the acquisition of property and a wife can become conflated in the minds of those within the patriarchal system. The narrative unfolds from inside the patriarchal positionalities of women.</w:t>
      </w:r>
    </w:p>
    <w:p w14:paraId="35D95862" w14:textId="77777777" w:rsidR="00BB5A5F" w:rsidRPr="00BB5A5F" w:rsidRDefault="00BB5A5F" w:rsidP="00BB5A5F">
      <w:pPr>
        <w:pStyle w:val="Normlnweb"/>
        <w:rPr>
          <w:rFonts w:ascii="Arial" w:hAnsi="Arial" w:cs="Arial"/>
          <w:b/>
          <w:bCs/>
        </w:rPr>
      </w:pPr>
      <w:r w:rsidRPr="00BB5A5F">
        <w:rPr>
          <w:rFonts w:ascii="Arial" w:hAnsi="Arial" w:cs="Arial"/>
          <w:b/>
          <w:bCs/>
        </w:rPr>
        <w:t>The Cultural and Historical Context</w:t>
      </w:r>
    </w:p>
    <w:p w14:paraId="6E20760D" w14:textId="77777777" w:rsidR="00BB5A5F" w:rsidRPr="00BB5A5F" w:rsidRDefault="00BB5A5F" w:rsidP="00BB5A5F">
      <w:pPr>
        <w:pStyle w:val="Normlnweb"/>
        <w:rPr>
          <w:rFonts w:ascii="Arial" w:hAnsi="Arial" w:cs="Arial"/>
        </w:rPr>
      </w:pPr>
      <w:r w:rsidRPr="00BB5A5F">
        <w:rPr>
          <w:rFonts w:ascii="Arial" w:hAnsi="Arial" w:cs="Arial"/>
        </w:rPr>
        <w:t xml:space="preserve">A deep understanding of the Book of Ruth requires us to recognise that it is a relative historical text, which comes to us from an ancient Near Eastern context prior to what could be called the Industrial Evolution, and a context in which women and children had limited economic power were extreme. The average life span of males was in the mid to upper thirties, whereas that of females was significantly shorter (by centuries). Again, judging Ruth and Naomi in relation to these alternatives within those limits rather than through any lens of modern feminist empowerment is </w:t>
      </w:r>
      <w:r w:rsidRPr="00BB5A5F">
        <w:rPr>
          <w:rFonts w:ascii="Arial" w:hAnsi="Arial" w:cs="Arial"/>
        </w:rPr>
        <w:lastRenderedPageBreak/>
        <w:t>important. Their reasoning and actions were not ideological interventions against patriarchal power but rather responses to the social vulnerability they were confronting.</w:t>
      </w:r>
    </w:p>
    <w:p w14:paraId="6E5DB161" w14:textId="77777777" w:rsidR="00BB5A5F" w:rsidRPr="00BB5A5F" w:rsidRDefault="00BB5A5F" w:rsidP="00BB5A5F">
      <w:pPr>
        <w:pStyle w:val="Normlnweb"/>
        <w:rPr>
          <w:rFonts w:ascii="Arial" w:hAnsi="Arial" w:cs="Arial"/>
        </w:rPr>
      </w:pPr>
      <w:r w:rsidRPr="00BB5A5F">
        <w:rPr>
          <w:rFonts w:ascii="Arial" w:hAnsi="Arial" w:cs="Arial"/>
        </w:rPr>
        <w:t>The nature of archaeology in ancient Israel demonstrates the harsh realities of life for widows during the Iron Age. In the social world of the Near East, women who could find no positive, protected, and economical alternative could face a life of absolute destitution, slavery, and forced prostitution. Biblical laws, including welfare legislation in Deuteronomy, not only inhibited opportunities for widows but also recognised their precarious status. In a patriarchal context, the vulnerability of Ruth and Naomi as two widows with no sons represents perhaps one of the most precarious social articulations in ancient Near Eastern culture.</w:t>
      </w:r>
    </w:p>
    <w:p w14:paraId="1B6ABC5E" w14:textId="77777777" w:rsidR="00BB5A5F" w:rsidRPr="00BB5A5F" w:rsidRDefault="00BB5A5F" w:rsidP="00BB5A5F">
      <w:pPr>
        <w:pStyle w:val="Normlnweb"/>
        <w:rPr>
          <w:rFonts w:ascii="Arial" w:hAnsi="Arial" w:cs="Arial"/>
        </w:rPr>
      </w:pPr>
      <w:r w:rsidRPr="00BB5A5F">
        <w:rPr>
          <w:rFonts w:ascii="Arial" w:hAnsi="Arial" w:cs="Arial"/>
        </w:rPr>
        <w:t>As a comparative modern literature that is termed as Near Eastern literature, it can provide a helpful apparatus to analyse Ruth’s actions. Legal texts from ancient Mesopotamia, including the Code of Hammurabi and the Middle Assyrian Laws, demonstrate both the general features of reliance upon kinship arrangements and the formal purposes to protect women’s reliance upon them, particularly in the area of economic security against others in society. Furthermore, marriage and adoption contracts illustrate that women’s rights (welfare) typically depended on their male relatives’ agreement to moral kinship obligations. Ruth’s actions with Boaz demonstrate the strategic navigation of normative social structures rather than a renegotiation of their content. Ruth is included in the Davidic line as a foreign woman, and this literature speaks of God’s grace and the inclusion of Gentiles in God’s purposes. These theological elements will take precedence over any proto-feminist agenda. The scripture ends up celebrating Ruth not as an empowered woman but rather as a tool of providential acts that demonstrates covenant loyalty across cultures. While her gender is consequential, it is still secondary to her role in God’s redemptive purposes.</w:t>
      </w:r>
    </w:p>
    <w:p w14:paraId="68C92BCD" w14:textId="77777777" w:rsidR="00BB5A5F" w:rsidRPr="00BB5A5F" w:rsidRDefault="00BB5A5F" w:rsidP="00BB5A5F">
      <w:pPr>
        <w:pStyle w:val="Normlnweb"/>
        <w:rPr>
          <w:rFonts w:ascii="Arial" w:hAnsi="Arial" w:cs="Arial"/>
        </w:rPr>
      </w:pPr>
      <w:r w:rsidRPr="00BB5A5F">
        <w:rPr>
          <w:rFonts w:ascii="Arial" w:hAnsi="Arial" w:cs="Arial"/>
        </w:rPr>
        <w:t>The narrative’s placement in the structure of the Hebrew Bible may also contribute to the text’s interpretation. Placed among the Ketuvim (Writings) and not the historical books, the Ruth story reads more as a piece of wisdom literature than a history book. The fact that the story of Ruth is found among the Writings suggests that the story’s main intent is to teach about divine providence, covenant faithfulness, and community responsibility, and not to promote social change.</w:t>
      </w:r>
    </w:p>
    <w:p w14:paraId="08A24685" w14:textId="77777777" w:rsidR="00BB5A5F" w:rsidRPr="00BB5A5F" w:rsidRDefault="00BB5A5F" w:rsidP="00BB5A5F">
      <w:pPr>
        <w:pStyle w:val="Normlnweb"/>
        <w:rPr>
          <w:rFonts w:ascii="Arial" w:hAnsi="Arial" w:cs="Arial"/>
        </w:rPr>
      </w:pPr>
      <w:r w:rsidRPr="00BB5A5F">
        <w:rPr>
          <w:rFonts w:ascii="Arial" w:hAnsi="Arial" w:cs="Arial"/>
        </w:rPr>
        <w:t>In the narrative, God’s activity happens through women and men’s ordinary choices, not through miraculous acts. God’s providence works through Ruth’s loyalty, Naomi’s wisdom, and Boaz’s generosity to provide for the vulnerable and preserve the family line. The theological emphasis on God’s sovereignty working through the agency of persons highlights traditional religious themes rather than social power structures.</w:t>
      </w:r>
    </w:p>
    <w:p w14:paraId="54781722" w14:textId="77777777" w:rsidR="00BB5A5F" w:rsidRPr="00BB5A5F" w:rsidRDefault="00BB5A5F" w:rsidP="00BB5A5F">
      <w:pPr>
        <w:pStyle w:val="Normlnweb"/>
        <w:rPr>
          <w:rFonts w:ascii="Arial" w:hAnsi="Arial" w:cs="Arial"/>
        </w:rPr>
      </w:pPr>
      <w:r w:rsidRPr="00BB5A5F">
        <w:rPr>
          <w:rFonts w:ascii="Arial" w:hAnsi="Arial" w:cs="Arial"/>
        </w:rPr>
        <w:t xml:space="preserve">The theme of fertility that highlights the narrative’s end has greater theological significance than its social value. Ruth’s pregnancy and her clear barrenness are reminiscent of other biblical matriarchs whose conception in the story of Israel signals divine activity. Through this connection pattern, Ruth finds herself in Sarah’s company, Rebekah, Rachel, and Hannah. These four matriarchs belong to the theological lineage of women through whom God is progressing the covenant </w:t>
      </w:r>
      <w:r w:rsidRPr="00BB5A5F">
        <w:rPr>
          <w:rFonts w:ascii="Arial" w:hAnsi="Arial" w:cs="Arial"/>
        </w:rPr>
        <w:lastRenderedPageBreak/>
        <w:t>promise. However, Ruth cannot be elevated in the theological hierarchy without simultaneously being affirmed for her value as the mother of male progeny.</w:t>
      </w:r>
    </w:p>
    <w:p w14:paraId="1E1C63BF" w14:textId="77777777" w:rsidR="00BB5A5F" w:rsidRPr="00BB5A5F" w:rsidRDefault="00BB5A5F" w:rsidP="00BB5A5F">
      <w:pPr>
        <w:pStyle w:val="Normlnweb"/>
        <w:rPr>
          <w:rFonts w:ascii="Arial" w:hAnsi="Arial" w:cs="Arial"/>
        </w:rPr>
      </w:pPr>
      <w:r w:rsidRPr="00BB5A5F">
        <w:rPr>
          <w:rFonts w:ascii="Arial" w:hAnsi="Arial" w:cs="Arial"/>
        </w:rPr>
        <w:t>Additionally, the limits of the Israelite text’s ethnic boundaries reveal elements of its theological priorities that create challenges for feminist readings. Ruth’s Moabite origins contradict the Deuteronomic prohibitions against the inclusion of the Moabite in the Israelite assembly. Ruth enters the Israelite community through marriage, as well as through her conversion to Ruth's persons expressed in God's grace. However, marrying the Israelite Ben Ali meant that she would need to completely assimilate to the patriarchal structures of Israelite males, implying that female outsiders were included in the population by complying with male authority while simultaneously procreating.</w:t>
      </w:r>
    </w:p>
    <w:p w14:paraId="422B5B8C" w14:textId="77777777" w:rsidR="00BB5A5F" w:rsidRPr="00BB5A5F" w:rsidRDefault="00BB5A5F" w:rsidP="00BB5A5F">
      <w:pPr>
        <w:pStyle w:val="Normlnweb"/>
        <w:rPr>
          <w:rFonts w:ascii="Arial" w:hAnsi="Arial" w:cs="Arial"/>
          <w:b/>
          <w:bCs/>
        </w:rPr>
      </w:pPr>
      <w:r w:rsidRPr="00BB5A5F">
        <w:rPr>
          <w:rFonts w:ascii="Arial" w:hAnsi="Arial" w:cs="Arial"/>
          <w:b/>
          <w:bCs/>
        </w:rPr>
        <w:t>Alternatives</w:t>
      </w:r>
    </w:p>
    <w:p w14:paraId="1463D670" w14:textId="05EBA837" w:rsidR="00BB5A5F" w:rsidRPr="00BB5A5F" w:rsidRDefault="00BB5A5F" w:rsidP="00BB5A5F">
      <w:pPr>
        <w:pStyle w:val="Normlnweb"/>
        <w:rPr>
          <w:rFonts w:ascii="Arial" w:hAnsi="Arial" w:cs="Arial"/>
        </w:rPr>
      </w:pPr>
      <w:r w:rsidRPr="00BB5A5F">
        <w:rPr>
          <w:rFonts w:ascii="Arial" w:hAnsi="Arial" w:cs="Arial"/>
        </w:rPr>
        <w:t>New scholarship will offer more complex readings that avoid anachronistic readings of the text through feminist lenses while recognising it for its sophisticated representation of women. Katheryn Pfisterer Darr studies Ruth and argues the text is demonstrating "women's wisdom" in responding to complicated society through the lens of society’s ancient patriarchal constraints. ⁷ This perspective views women as capable of exercising agency without forcing the text into modern ideological frameworks.</w:t>
      </w:r>
    </w:p>
    <w:p w14:paraId="55265297" w14:textId="77777777" w:rsidR="00BB5A5F" w:rsidRPr="00BB5A5F" w:rsidRDefault="00BB5A5F" w:rsidP="00BB5A5F">
      <w:pPr>
        <w:pStyle w:val="Normlnweb"/>
        <w:rPr>
          <w:rFonts w:ascii="Arial" w:hAnsi="Arial" w:cs="Arial"/>
        </w:rPr>
      </w:pPr>
      <w:r w:rsidRPr="00BB5A5F">
        <w:rPr>
          <w:rFonts w:ascii="Arial" w:hAnsi="Arial" w:cs="Arial"/>
        </w:rPr>
        <w:t>Others argue that the text ultimately focuses on family restoration towards community solidarity rather than individual empowerment. Ultimately, Ruth enters the narrative to represent something valuable, but her celebration entails the reward for the community, wherein the communal aspect of our reflections of humanity to social cohesion and fidelity in covenant, rather than liberation from gendered restrictions, is fundamentally important for the reading of narrative text.</w:t>
      </w:r>
    </w:p>
    <w:p w14:paraId="3A3B44C5" w14:textId="77777777" w:rsidR="00BB5A5F" w:rsidRPr="00BB5A5F" w:rsidRDefault="00BB5A5F" w:rsidP="00BB5A5F">
      <w:pPr>
        <w:pStyle w:val="Normlnweb"/>
        <w:rPr>
          <w:rFonts w:ascii="Arial" w:hAnsi="Arial" w:cs="Arial"/>
          <w:b/>
          <w:bCs/>
        </w:rPr>
      </w:pPr>
      <w:r w:rsidRPr="00BB5A5F">
        <w:rPr>
          <w:rFonts w:ascii="Arial" w:hAnsi="Arial" w:cs="Arial"/>
          <w:b/>
          <w:bCs/>
        </w:rPr>
        <w:t>Conclusion</w:t>
      </w:r>
    </w:p>
    <w:p w14:paraId="0ECA1236" w14:textId="77777777" w:rsidR="00BB5A5F" w:rsidRPr="00BB5A5F" w:rsidRDefault="00BB5A5F" w:rsidP="00BB5A5F">
      <w:pPr>
        <w:pStyle w:val="Normlnweb"/>
        <w:rPr>
          <w:rFonts w:ascii="Arial" w:hAnsi="Arial" w:cs="Arial"/>
        </w:rPr>
      </w:pPr>
      <w:r w:rsidRPr="00BB5A5F">
        <w:rPr>
          <w:rFonts w:ascii="Arial" w:hAnsi="Arial" w:cs="Arial"/>
        </w:rPr>
        <w:t>Although the Book of Ruth presents remarkable examples of female initiative, wisdom, and solidarity in characterising Ruth as a "modern day feminist narrative" is to illegitimately impose the limits of modern ideological categories onto the constraints of the ancient text. The narrative operates from patriarchal constraints, and the boundary of followership reinforced forms of patriarchal limits (even if privileging ancient women who demonstrate exceptional agency). Ruth and Naomi’s behaviours should be recognised as sensible solutions to society’s vulnerability, no less than a challenge to the patriarchal forms of authority.</w:t>
      </w:r>
    </w:p>
    <w:p w14:paraId="79295085" w14:textId="77777777" w:rsidR="00BB5A5F" w:rsidRPr="00BB5A5F" w:rsidRDefault="00BB5A5F" w:rsidP="00BB5A5F">
      <w:pPr>
        <w:pStyle w:val="Normlnweb"/>
        <w:rPr>
          <w:rFonts w:ascii="Arial" w:hAnsi="Arial" w:cs="Arial"/>
        </w:rPr>
      </w:pPr>
      <w:r w:rsidRPr="00BB5A5F">
        <w:rPr>
          <w:rFonts w:ascii="Arial" w:hAnsi="Arial" w:cs="Arial"/>
        </w:rPr>
        <w:t xml:space="preserve">The recognition that Ruth presents characters who embody complex females, embodying wisdom, loyalty, and strategic decisions limited to their cultural boundaries, is a far better evaluation. Ultimately, what is worth cherishing in the text is not whether it advances traditional, exclusionary, or liberation-form praise of feminism, but rather celebrates what it means to be human, while affirming our faithfulness in covenant, and the providence of God at work through ordinary humans faced with the extraordinary. Rather than "feminising" Ruth with a modern-day version of feminism, we celebrate Ruth as an ancient narrative in which the </w:t>
      </w:r>
      <w:r w:rsidRPr="00BB5A5F">
        <w:rPr>
          <w:rFonts w:ascii="Arial" w:hAnsi="Arial" w:cs="Arial"/>
        </w:rPr>
        <w:lastRenderedPageBreak/>
        <w:t>author respectfully portrays women who are considered vigorous, capable of wise agency, and implicated in God’s rescue plan.</w:t>
      </w:r>
    </w:p>
    <w:p w14:paraId="08EF2C27" w14:textId="77777777" w:rsidR="00BB5A5F" w:rsidRPr="00747EC2" w:rsidRDefault="00BB5A5F" w:rsidP="00BB5A5F">
      <w:pPr>
        <w:spacing w:before="100" w:beforeAutospacing="1" w:after="100" w:afterAutospacing="1" w:line="240" w:lineRule="auto"/>
        <w:outlineLvl w:val="1"/>
        <w:rPr>
          <w:rFonts w:ascii="Arial" w:eastAsia="Times New Roman" w:hAnsi="Arial" w:cs="Arial"/>
          <w:b/>
          <w:bCs/>
          <w:kern w:val="0"/>
          <w:lang w:eastAsia="en-GB"/>
          <w14:ligatures w14:val="none"/>
        </w:rPr>
      </w:pPr>
      <w:r w:rsidRPr="00747EC2">
        <w:rPr>
          <w:rFonts w:ascii="Arial" w:eastAsia="Times New Roman" w:hAnsi="Arial" w:cs="Arial"/>
          <w:b/>
          <w:bCs/>
          <w:kern w:val="0"/>
          <w:lang w:eastAsia="en-GB"/>
          <w14:ligatures w14:val="none"/>
        </w:rPr>
        <w:t>Bibliography</w:t>
      </w:r>
    </w:p>
    <w:p w14:paraId="5A7D7C7B" w14:textId="77777777" w:rsidR="00BB5A5F" w:rsidRPr="00747EC2" w:rsidRDefault="00BB5A5F" w:rsidP="00BB5A5F">
      <w:p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 xml:space="preserve">Darr, Katheryn Pfisterer. </w:t>
      </w:r>
      <w:r w:rsidRPr="00747EC2">
        <w:rPr>
          <w:rFonts w:ascii="Arial" w:eastAsia="Times New Roman" w:hAnsi="Arial" w:cs="Arial"/>
          <w:i/>
          <w:iCs/>
          <w:kern w:val="0"/>
          <w:lang w:eastAsia="en-GB"/>
          <w14:ligatures w14:val="none"/>
        </w:rPr>
        <w:t>Far More Precious than Jewels: Perspectives on Biblical Women</w:t>
      </w:r>
      <w:r w:rsidRPr="00747EC2">
        <w:rPr>
          <w:rFonts w:ascii="Arial" w:eastAsia="Times New Roman" w:hAnsi="Arial" w:cs="Arial"/>
          <w:kern w:val="0"/>
          <w:lang w:eastAsia="en-GB"/>
          <w14:ligatures w14:val="none"/>
        </w:rPr>
        <w:t>. Louisville: Westminster John Knox Press, 1991.</w:t>
      </w:r>
    </w:p>
    <w:p w14:paraId="1B1D5563" w14:textId="77777777" w:rsidR="00BB5A5F" w:rsidRPr="00747EC2" w:rsidRDefault="00BB5A5F" w:rsidP="00BB5A5F">
      <w:p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 xml:space="preserve">Fewell, Danna Nolan, and David M. Gunn. </w:t>
      </w:r>
      <w:r w:rsidRPr="00747EC2">
        <w:rPr>
          <w:rFonts w:ascii="Arial" w:eastAsia="Times New Roman" w:hAnsi="Arial" w:cs="Arial"/>
          <w:i/>
          <w:iCs/>
          <w:kern w:val="0"/>
          <w:lang w:eastAsia="en-GB"/>
          <w14:ligatures w14:val="none"/>
        </w:rPr>
        <w:t>Compromising Redemption: Relating Characters in the Book of Ruth</w:t>
      </w:r>
      <w:r w:rsidRPr="00747EC2">
        <w:rPr>
          <w:rFonts w:ascii="Arial" w:eastAsia="Times New Roman" w:hAnsi="Arial" w:cs="Arial"/>
          <w:kern w:val="0"/>
          <w:lang w:eastAsia="en-GB"/>
          <w14:ligatures w14:val="none"/>
        </w:rPr>
        <w:t>. Louisville: Westminster John Knox Press, 1990.</w:t>
      </w:r>
    </w:p>
    <w:p w14:paraId="4F6178E7" w14:textId="77777777" w:rsidR="00BB5A5F" w:rsidRPr="00747EC2" w:rsidRDefault="00BB5A5F" w:rsidP="00BB5A5F">
      <w:p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 xml:space="preserve">Hubbard, Robert L. </w:t>
      </w:r>
      <w:r w:rsidRPr="00747EC2">
        <w:rPr>
          <w:rFonts w:ascii="Arial" w:eastAsia="Times New Roman" w:hAnsi="Arial" w:cs="Arial"/>
          <w:i/>
          <w:iCs/>
          <w:kern w:val="0"/>
          <w:lang w:eastAsia="en-GB"/>
          <w14:ligatures w14:val="none"/>
        </w:rPr>
        <w:t>The Book of Ruth</w:t>
      </w:r>
      <w:r w:rsidRPr="00747EC2">
        <w:rPr>
          <w:rFonts w:ascii="Arial" w:eastAsia="Times New Roman" w:hAnsi="Arial" w:cs="Arial"/>
          <w:kern w:val="0"/>
          <w:lang w:eastAsia="en-GB"/>
          <w14:ligatures w14:val="none"/>
        </w:rPr>
        <w:t>. New International Commentary on the Old Testament. Grand Rapids: Eerdmans, 1988.</w:t>
      </w:r>
    </w:p>
    <w:p w14:paraId="696809C3" w14:textId="77777777" w:rsidR="00BB5A5F" w:rsidRPr="00747EC2" w:rsidRDefault="00BB5A5F" w:rsidP="00BB5A5F">
      <w:p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 xml:space="preserve">LaCocque, André. </w:t>
      </w:r>
      <w:r w:rsidRPr="00747EC2">
        <w:rPr>
          <w:rFonts w:ascii="Arial" w:eastAsia="Times New Roman" w:hAnsi="Arial" w:cs="Arial"/>
          <w:i/>
          <w:iCs/>
          <w:kern w:val="0"/>
          <w:lang w:eastAsia="en-GB"/>
          <w14:ligatures w14:val="none"/>
        </w:rPr>
        <w:t>Ruth: A Continental Commentary</w:t>
      </w:r>
      <w:r w:rsidRPr="00747EC2">
        <w:rPr>
          <w:rFonts w:ascii="Arial" w:eastAsia="Times New Roman" w:hAnsi="Arial" w:cs="Arial"/>
          <w:kern w:val="0"/>
          <w:lang w:eastAsia="en-GB"/>
          <w14:ligatures w14:val="none"/>
        </w:rPr>
        <w:t>. Minneapolis: Fortress Press, 2004.</w:t>
      </w:r>
    </w:p>
    <w:p w14:paraId="574B617E" w14:textId="77777777" w:rsidR="00BB5A5F" w:rsidRPr="00747EC2" w:rsidRDefault="00BB5A5F" w:rsidP="00BB5A5F">
      <w:p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 xml:space="preserve">Nielsen, Kirsten. </w:t>
      </w:r>
      <w:r w:rsidRPr="00747EC2">
        <w:rPr>
          <w:rFonts w:ascii="Arial" w:eastAsia="Times New Roman" w:hAnsi="Arial" w:cs="Arial"/>
          <w:i/>
          <w:iCs/>
          <w:kern w:val="0"/>
          <w:lang w:eastAsia="en-GB"/>
          <w14:ligatures w14:val="none"/>
        </w:rPr>
        <w:t>Ruth: A Commentary</w:t>
      </w:r>
      <w:r w:rsidRPr="00747EC2">
        <w:rPr>
          <w:rFonts w:ascii="Arial" w:eastAsia="Times New Roman" w:hAnsi="Arial" w:cs="Arial"/>
          <w:kern w:val="0"/>
          <w:lang w:eastAsia="en-GB"/>
          <w14:ligatures w14:val="none"/>
        </w:rPr>
        <w:t>. Old Testament Library. Louisville: Westminster John Knox Press, 1997.</w:t>
      </w:r>
    </w:p>
    <w:p w14:paraId="01E80EF2" w14:textId="77777777" w:rsidR="00BB5A5F" w:rsidRPr="00747EC2" w:rsidRDefault="00BB5A5F" w:rsidP="00BB5A5F">
      <w:p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 xml:space="preserve">Trible, Phyllis. </w:t>
      </w:r>
      <w:r w:rsidRPr="00747EC2">
        <w:rPr>
          <w:rFonts w:ascii="Arial" w:eastAsia="Times New Roman" w:hAnsi="Arial" w:cs="Arial"/>
          <w:i/>
          <w:iCs/>
          <w:kern w:val="0"/>
          <w:lang w:eastAsia="en-GB"/>
          <w14:ligatures w14:val="none"/>
        </w:rPr>
        <w:t>God and the Rhetoric of Sexuality</w:t>
      </w:r>
      <w:r w:rsidRPr="00747EC2">
        <w:rPr>
          <w:rFonts w:ascii="Arial" w:eastAsia="Times New Roman" w:hAnsi="Arial" w:cs="Arial"/>
          <w:kern w:val="0"/>
          <w:lang w:eastAsia="en-GB"/>
          <w14:ligatures w14:val="none"/>
        </w:rPr>
        <w:t>. Philadelphia: Fortress Press, 1978.</w:t>
      </w:r>
    </w:p>
    <w:p w14:paraId="3E920A2B" w14:textId="77777777" w:rsidR="00BB5A5F" w:rsidRPr="00747EC2" w:rsidRDefault="00CA7060" w:rsidP="00BB5A5F">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14:ligatures w14:val="none"/>
        </w:rPr>
      </w:r>
      <w:r w:rsidR="00CA7060">
        <w:rPr>
          <w:rFonts w:ascii="Arial" w:eastAsia="Times New Roman" w:hAnsi="Arial" w:cs="Arial"/>
          <w:noProof/>
          <w:kern w:val="0"/>
          <w:lang w:eastAsia="en-GB"/>
          <w14:ligatures w14:val="none"/>
        </w:rPr>
        <w:pict w14:anchorId="00885345">
          <v:rect id="_x0000_i1025" style="width:0;height:1.5pt" o:hralign="center" o:hrstd="t" o:hr="t" fillcolor="#a0a0a0" stroked="f"/>
        </w:pict>
      </w:r>
    </w:p>
    <w:p w14:paraId="039CEC91" w14:textId="77777777" w:rsidR="00BB5A5F" w:rsidRPr="00747EC2" w:rsidRDefault="00BB5A5F" w:rsidP="00BB5A5F">
      <w:pPr>
        <w:spacing w:before="100" w:beforeAutospacing="1" w:after="100" w:afterAutospacing="1" w:line="240" w:lineRule="auto"/>
        <w:outlineLvl w:val="2"/>
        <w:rPr>
          <w:rFonts w:ascii="Arial" w:eastAsia="Times New Roman" w:hAnsi="Arial" w:cs="Arial"/>
          <w:b/>
          <w:bCs/>
          <w:kern w:val="0"/>
          <w:lang w:eastAsia="en-GB"/>
          <w14:ligatures w14:val="none"/>
        </w:rPr>
      </w:pPr>
      <w:r w:rsidRPr="00747EC2">
        <w:rPr>
          <w:rFonts w:ascii="Arial" w:eastAsia="Times New Roman" w:hAnsi="Arial" w:cs="Arial"/>
          <w:b/>
          <w:bCs/>
          <w:kern w:val="0"/>
          <w:lang w:eastAsia="en-GB"/>
          <w14:ligatures w14:val="none"/>
        </w:rPr>
        <w:t>Footnotes</w:t>
      </w:r>
    </w:p>
    <w:p w14:paraId="362C3218" w14:textId="77777777" w:rsidR="00BB5A5F" w:rsidRPr="00747EC2" w:rsidRDefault="00BB5A5F" w:rsidP="00BB5A5F">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Ruth 1:16-17 (NRSV).</w:t>
      </w:r>
    </w:p>
    <w:p w14:paraId="588A9E21" w14:textId="77777777" w:rsidR="00BB5A5F" w:rsidRPr="00747EC2" w:rsidRDefault="00BB5A5F" w:rsidP="00BB5A5F">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 xml:space="preserve">Phyllis Trible, </w:t>
      </w:r>
      <w:r w:rsidRPr="00747EC2">
        <w:rPr>
          <w:rFonts w:ascii="Arial" w:eastAsia="Times New Roman" w:hAnsi="Arial" w:cs="Arial"/>
          <w:i/>
          <w:iCs/>
          <w:kern w:val="0"/>
          <w:lang w:eastAsia="en-GB"/>
          <w14:ligatures w14:val="none"/>
        </w:rPr>
        <w:t>God and the Rhetoric of Sexuality</w:t>
      </w:r>
      <w:r w:rsidRPr="00747EC2">
        <w:rPr>
          <w:rFonts w:ascii="Arial" w:eastAsia="Times New Roman" w:hAnsi="Arial" w:cs="Arial"/>
          <w:kern w:val="0"/>
          <w:lang w:eastAsia="en-GB"/>
          <w14:ligatures w14:val="none"/>
        </w:rPr>
        <w:t xml:space="preserve"> (Philadelphia: Fortress Press, 1978), pp. 166-199.</w:t>
      </w:r>
    </w:p>
    <w:p w14:paraId="58E148E7" w14:textId="77777777" w:rsidR="00BB5A5F" w:rsidRPr="00747EC2" w:rsidRDefault="00BB5A5F" w:rsidP="00BB5A5F">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 xml:space="preserve">Robert L. Hubbard, </w:t>
      </w:r>
      <w:r w:rsidRPr="00747EC2">
        <w:rPr>
          <w:rFonts w:ascii="Arial" w:eastAsia="Times New Roman" w:hAnsi="Arial" w:cs="Arial"/>
          <w:i/>
          <w:iCs/>
          <w:kern w:val="0"/>
          <w:lang w:eastAsia="en-GB"/>
          <w14:ligatures w14:val="none"/>
        </w:rPr>
        <w:t>The Book of Ruth</w:t>
      </w:r>
      <w:r w:rsidRPr="00747EC2">
        <w:rPr>
          <w:rFonts w:ascii="Arial" w:eastAsia="Times New Roman" w:hAnsi="Arial" w:cs="Arial"/>
          <w:kern w:val="0"/>
          <w:lang w:eastAsia="en-GB"/>
          <w14:ligatures w14:val="none"/>
        </w:rPr>
        <w:t>, New International Commentary on the Old Testament (Grand Rapids: Eerdmans, 1988), pp. 42-63.</w:t>
      </w:r>
    </w:p>
    <w:p w14:paraId="55B6BBDB" w14:textId="77777777" w:rsidR="00BB5A5F" w:rsidRPr="00747EC2" w:rsidRDefault="00BB5A5F" w:rsidP="00BB5A5F">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Ruth 4:15 (NRSV).</w:t>
      </w:r>
    </w:p>
    <w:p w14:paraId="5E5196A6" w14:textId="77777777" w:rsidR="00BB5A5F" w:rsidRPr="00747EC2" w:rsidRDefault="00BB5A5F" w:rsidP="00BB5A5F">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 xml:space="preserve">André LaCocque, </w:t>
      </w:r>
      <w:r w:rsidRPr="00747EC2">
        <w:rPr>
          <w:rFonts w:ascii="Arial" w:eastAsia="Times New Roman" w:hAnsi="Arial" w:cs="Arial"/>
          <w:i/>
          <w:iCs/>
          <w:kern w:val="0"/>
          <w:lang w:eastAsia="en-GB"/>
          <w14:ligatures w14:val="none"/>
        </w:rPr>
        <w:t>Ruth: A Continental Commentary</w:t>
      </w:r>
      <w:r w:rsidRPr="00747EC2">
        <w:rPr>
          <w:rFonts w:ascii="Arial" w:eastAsia="Times New Roman" w:hAnsi="Arial" w:cs="Arial"/>
          <w:kern w:val="0"/>
          <w:lang w:eastAsia="en-GB"/>
          <w14:ligatures w14:val="none"/>
        </w:rPr>
        <w:t xml:space="preserve"> (Minneapolis: Fortress Press, 2004), pp. 87-102.</w:t>
      </w:r>
    </w:p>
    <w:p w14:paraId="7B0D5331" w14:textId="77777777" w:rsidR="00BB5A5F" w:rsidRPr="00747EC2" w:rsidRDefault="00BB5A5F" w:rsidP="00BB5A5F">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 xml:space="preserve">Kirsten Nielsen, </w:t>
      </w:r>
      <w:r w:rsidRPr="00747EC2">
        <w:rPr>
          <w:rFonts w:ascii="Arial" w:eastAsia="Times New Roman" w:hAnsi="Arial" w:cs="Arial"/>
          <w:i/>
          <w:iCs/>
          <w:kern w:val="0"/>
          <w:lang w:eastAsia="en-GB"/>
          <w14:ligatures w14:val="none"/>
        </w:rPr>
        <w:t>Ruth: A Commentary</w:t>
      </w:r>
      <w:r w:rsidRPr="00747EC2">
        <w:rPr>
          <w:rFonts w:ascii="Arial" w:eastAsia="Times New Roman" w:hAnsi="Arial" w:cs="Arial"/>
          <w:kern w:val="0"/>
          <w:lang w:eastAsia="en-GB"/>
          <w14:ligatures w14:val="none"/>
        </w:rPr>
        <w:t>, Old Testament Library (Louisville: Westminster John Knox Press, 1997), pp. 45-67.</w:t>
      </w:r>
    </w:p>
    <w:p w14:paraId="493D666D" w14:textId="77777777" w:rsidR="00BB5A5F" w:rsidRPr="00747EC2" w:rsidRDefault="00BB5A5F" w:rsidP="00BB5A5F">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747EC2">
        <w:rPr>
          <w:rFonts w:ascii="Arial" w:eastAsia="Times New Roman" w:hAnsi="Arial" w:cs="Arial"/>
          <w:kern w:val="0"/>
          <w:lang w:eastAsia="en-GB"/>
          <w14:ligatures w14:val="none"/>
        </w:rPr>
        <w:t xml:space="preserve">Katheryn Pfisterer Darr, </w:t>
      </w:r>
      <w:r w:rsidRPr="00747EC2">
        <w:rPr>
          <w:rFonts w:ascii="Arial" w:eastAsia="Times New Roman" w:hAnsi="Arial" w:cs="Arial"/>
          <w:i/>
          <w:iCs/>
          <w:kern w:val="0"/>
          <w:lang w:eastAsia="en-GB"/>
          <w14:ligatures w14:val="none"/>
        </w:rPr>
        <w:t>Far More Precious than Jewels: Perspectives on Biblical Women</w:t>
      </w:r>
      <w:r w:rsidRPr="00747EC2">
        <w:rPr>
          <w:rFonts w:ascii="Arial" w:eastAsia="Times New Roman" w:hAnsi="Arial" w:cs="Arial"/>
          <w:kern w:val="0"/>
          <w:lang w:eastAsia="en-GB"/>
          <w14:ligatures w14:val="none"/>
        </w:rPr>
        <w:t xml:space="preserve"> (Louisville: Westminster John Knox Press, 1991), pp. 55-84.</w:t>
      </w:r>
    </w:p>
    <w:p w14:paraId="538F4587" w14:textId="77777777" w:rsidR="00BB5A5F" w:rsidRPr="00BB5A5F" w:rsidRDefault="00BB5A5F" w:rsidP="00BB5A5F">
      <w:pPr>
        <w:rPr>
          <w:rFonts w:ascii="Arial" w:hAnsi="Arial" w:cs="Arial"/>
        </w:rPr>
      </w:pPr>
    </w:p>
    <w:p w14:paraId="253DC2FC" w14:textId="77777777" w:rsidR="00CE664C" w:rsidRPr="00BB5A5F" w:rsidRDefault="00CE664C">
      <w:pPr>
        <w:rPr>
          <w:rFonts w:ascii="Arial" w:hAnsi="Arial" w:cs="Arial"/>
        </w:rPr>
      </w:pPr>
    </w:p>
    <w:sectPr w:rsidR="00CE664C" w:rsidRPr="00BB5A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DA0F14"/>
    <w:multiLevelType w:val="multilevel"/>
    <w:tmpl w:val="53904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1631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A5F"/>
    <w:rsid w:val="001540E5"/>
    <w:rsid w:val="00BB5A5F"/>
    <w:rsid w:val="00CA7060"/>
    <w:rsid w:val="00CE664C"/>
    <w:rsid w:val="00D17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99C86D7"/>
  <w15:chartTrackingRefBased/>
  <w15:docId w15:val="{9D10B8A7-5CA1-473E-A743-33F753CF9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style>
  <w:style w:type="paragraph" w:styleId="Nadpis1">
    <w:name w:val="heading 1"/>
    <w:basedOn w:val="Normln"/>
    <w:next w:val="Normln"/>
    <w:link w:val="Nadpis1Char"/>
    <w:uiPriority w:val="9"/>
    <w:qFormat/>
    <w:rsid w:val="00BB5A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dpis2">
    <w:name w:val="heading 2"/>
    <w:basedOn w:val="Normln"/>
    <w:next w:val="Normln"/>
    <w:link w:val="Nadpis2Char"/>
    <w:uiPriority w:val="9"/>
    <w:semiHidden/>
    <w:unhideWhenUsed/>
    <w:qFormat/>
    <w:rsid w:val="00BB5A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dpis3">
    <w:name w:val="heading 3"/>
    <w:basedOn w:val="Normln"/>
    <w:next w:val="Normln"/>
    <w:link w:val="Nadpis3Char"/>
    <w:uiPriority w:val="9"/>
    <w:semiHidden/>
    <w:unhideWhenUsed/>
    <w:qFormat/>
    <w:rsid w:val="00BB5A5F"/>
    <w:pPr>
      <w:keepNext/>
      <w:keepLines/>
      <w:spacing w:before="160" w:after="80"/>
      <w:outlineLvl w:val="2"/>
    </w:pPr>
    <w:rPr>
      <w:rFonts w:eastAsiaTheme="majorEastAsia" w:cstheme="majorBidi"/>
      <w:color w:val="0F4761" w:themeColor="accent1" w:themeShade="BF"/>
      <w:sz w:val="28"/>
      <w:szCs w:val="28"/>
    </w:rPr>
  </w:style>
  <w:style w:type="paragraph" w:styleId="Nadpis4">
    <w:name w:val="heading 4"/>
    <w:basedOn w:val="Normln"/>
    <w:next w:val="Normln"/>
    <w:link w:val="Nadpis4Char"/>
    <w:uiPriority w:val="9"/>
    <w:semiHidden/>
    <w:unhideWhenUsed/>
    <w:qFormat/>
    <w:rsid w:val="00BB5A5F"/>
    <w:pPr>
      <w:keepNext/>
      <w:keepLines/>
      <w:spacing w:before="80" w:after="40"/>
      <w:outlineLvl w:val="3"/>
    </w:pPr>
    <w:rPr>
      <w:rFonts w:eastAsiaTheme="majorEastAsia" w:cstheme="majorBidi"/>
      <w:i/>
      <w:iCs/>
      <w:color w:val="0F4761" w:themeColor="accent1" w:themeShade="BF"/>
    </w:rPr>
  </w:style>
  <w:style w:type="paragraph" w:styleId="Nadpis5">
    <w:name w:val="heading 5"/>
    <w:basedOn w:val="Normln"/>
    <w:next w:val="Normln"/>
    <w:link w:val="Nadpis5Char"/>
    <w:uiPriority w:val="9"/>
    <w:semiHidden/>
    <w:unhideWhenUsed/>
    <w:qFormat/>
    <w:rsid w:val="00BB5A5F"/>
    <w:pPr>
      <w:keepNext/>
      <w:keepLines/>
      <w:spacing w:before="80" w:after="40"/>
      <w:outlineLvl w:val="4"/>
    </w:pPr>
    <w:rPr>
      <w:rFonts w:eastAsiaTheme="majorEastAsia" w:cstheme="majorBidi"/>
      <w:color w:val="0F4761" w:themeColor="accent1" w:themeShade="BF"/>
    </w:rPr>
  </w:style>
  <w:style w:type="paragraph" w:styleId="Nadpis6">
    <w:name w:val="heading 6"/>
    <w:basedOn w:val="Normln"/>
    <w:next w:val="Normln"/>
    <w:link w:val="Nadpis6Char"/>
    <w:uiPriority w:val="9"/>
    <w:semiHidden/>
    <w:unhideWhenUsed/>
    <w:qFormat/>
    <w:rsid w:val="00BB5A5F"/>
    <w:pPr>
      <w:keepNext/>
      <w:keepLines/>
      <w:spacing w:before="40" w:after="0"/>
      <w:outlineLvl w:val="5"/>
    </w:pPr>
    <w:rPr>
      <w:rFonts w:eastAsiaTheme="majorEastAsia" w:cstheme="majorBidi"/>
      <w:i/>
      <w:iCs/>
      <w:color w:val="595959" w:themeColor="text1" w:themeTint="A6"/>
    </w:rPr>
  </w:style>
  <w:style w:type="paragraph" w:styleId="Nadpis7">
    <w:name w:val="heading 7"/>
    <w:basedOn w:val="Normln"/>
    <w:next w:val="Normln"/>
    <w:link w:val="Nadpis7Char"/>
    <w:uiPriority w:val="9"/>
    <w:semiHidden/>
    <w:unhideWhenUsed/>
    <w:qFormat/>
    <w:rsid w:val="00BB5A5F"/>
    <w:pPr>
      <w:keepNext/>
      <w:keepLines/>
      <w:spacing w:before="40" w:after="0"/>
      <w:outlineLvl w:val="6"/>
    </w:pPr>
    <w:rPr>
      <w:rFonts w:eastAsiaTheme="majorEastAsia" w:cstheme="majorBidi"/>
      <w:color w:val="595959" w:themeColor="text1" w:themeTint="A6"/>
    </w:rPr>
  </w:style>
  <w:style w:type="paragraph" w:styleId="Nadpis8">
    <w:name w:val="heading 8"/>
    <w:basedOn w:val="Normln"/>
    <w:next w:val="Normln"/>
    <w:link w:val="Nadpis8Char"/>
    <w:uiPriority w:val="9"/>
    <w:semiHidden/>
    <w:unhideWhenUsed/>
    <w:qFormat/>
    <w:rsid w:val="00BB5A5F"/>
    <w:pPr>
      <w:keepNext/>
      <w:keepLines/>
      <w:spacing w:after="0"/>
      <w:outlineLvl w:val="7"/>
    </w:pPr>
    <w:rPr>
      <w:rFonts w:eastAsiaTheme="majorEastAsia" w:cstheme="majorBidi"/>
      <w:i/>
      <w:iCs/>
      <w:color w:val="272727" w:themeColor="text1" w:themeTint="D8"/>
    </w:rPr>
  </w:style>
  <w:style w:type="paragraph" w:styleId="Nadpis9">
    <w:name w:val="heading 9"/>
    <w:basedOn w:val="Normln"/>
    <w:next w:val="Normln"/>
    <w:link w:val="Nadpis9Char"/>
    <w:uiPriority w:val="9"/>
    <w:semiHidden/>
    <w:unhideWhenUsed/>
    <w:qFormat/>
    <w:rsid w:val="00BB5A5F"/>
    <w:pPr>
      <w:keepNext/>
      <w:keepLines/>
      <w:spacing w:after="0"/>
      <w:outlineLvl w:val="8"/>
    </w:pPr>
    <w:rPr>
      <w:rFonts w:eastAsiaTheme="majorEastAsia" w:cstheme="majorBidi"/>
      <w:color w:val="272727" w:themeColor="text1" w:themeTint="D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BB5A5F"/>
    <w:rPr>
      <w:rFonts w:asciiTheme="majorHAnsi" w:eastAsiaTheme="majorEastAsia" w:hAnsiTheme="majorHAnsi" w:cstheme="majorBidi"/>
      <w:color w:val="0F4761" w:themeColor="accent1" w:themeShade="BF"/>
      <w:sz w:val="40"/>
      <w:szCs w:val="40"/>
    </w:rPr>
  </w:style>
  <w:style w:type="character" w:customStyle="1" w:styleId="Nadpis2Char">
    <w:name w:val="Nadpis 2 Char"/>
    <w:basedOn w:val="Standardnpsmoodstavce"/>
    <w:link w:val="Nadpis2"/>
    <w:uiPriority w:val="9"/>
    <w:semiHidden/>
    <w:rsid w:val="00BB5A5F"/>
    <w:rPr>
      <w:rFonts w:asciiTheme="majorHAnsi" w:eastAsiaTheme="majorEastAsia" w:hAnsiTheme="majorHAnsi" w:cstheme="majorBidi"/>
      <w:color w:val="0F4761" w:themeColor="accent1" w:themeShade="BF"/>
      <w:sz w:val="32"/>
      <w:szCs w:val="32"/>
    </w:rPr>
  </w:style>
  <w:style w:type="character" w:customStyle="1" w:styleId="Nadpis3Char">
    <w:name w:val="Nadpis 3 Char"/>
    <w:basedOn w:val="Standardnpsmoodstavce"/>
    <w:link w:val="Nadpis3"/>
    <w:uiPriority w:val="9"/>
    <w:semiHidden/>
    <w:rsid w:val="00BB5A5F"/>
    <w:rPr>
      <w:rFonts w:eastAsiaTheme="majorEastAsia" w:cstheme="majorBidi"/>
      <w:color w:val="0F4761" w:themeColor="accent1" w:themeShade="BF"/>
      <w:sz w:val="28"/>
      <w:szCs w:val="28"/>
    </w:rPr>
  </w:style>
  <w:style w:type="character" w:customStyle="1" w:styleId="Nadpis4Char">
    <w:name w:val="Nadpis 4 Char"/>
    <w:basedOn w:val="Standardnpsmoodstavce"/>
    <w:link w:val="Nadpis4"/>
    <w:uiPriority w:val="9"/>
    <w:semiHidden/>
    <w:rsid w:val="00BB5A5F"/>
    <w:rPr>
      <w:rFonts w:eastAsiaTheme="majorEastAsia" w:cstheme="majorBidi"/>
      <w:i/>
      <w:iCs/>
      <w:color w:val="0F4761" w:themeColor="accent1" w:themeShade="BF"/>
    </w:rPr>
  </w:style>
  <w:style w:type="character" w:customStyle="1" w:styleId="Nadpis5Char">
    <w:name w:val="Nadpis 5 Char"/>
    <w:basedOn w:val="Standardnpsmoodstavce"/>
    <w:link w:val="Nadpis5"/>
    <w:uiPriority w:val="9"/>
    <w:semiHidden/>
    <w:rsid w:val="00BB5A5F"/>
    <w:rPr>
      <w:rFonts w:eastAsiaTheme="majorEastAsia" w:cstheme="majorBidi"/>
      <w:color w:val="0F4761" w:themeColor="accent1" w:themeShade="BF"/>
    </w:rPr>
  </w:style>
  <w:style w:type="character" w:customStyle="1" w:styleId="Nadpis6Char">
    <w:name w:val="Nadpis 6 Char"/>
    <w:basedOn w:val="Standardnpsmoodstavce"/>
    <w:link w:val="Nadpis6"/>
    <w:uiPriority w:val="9"/>
    <w:semiHidden/>
    <w:rsid w:val="00BB5A5F"/>
    <w:rPr>
      <w:rFonts w:eastAsiaTheme="majorEastAsia" w:cstheme="majorBidi"/>
      <w:i/>
      <w:iCs/>
      <w:color w:val="595959" w:themeColor="text1" w:themeTint="A6"/>
    </w:rPr>
  </w:style>
  <w:style w:type="character" w:customStyle="1" w:styleId="Nadpis7Char">
    <w:name w:val="Nadpis 7 Char"/>
    <w:basedOn w:val="Standardnpsmoodstavce"/>
    <w:link w:val="Nadpis7"/>
    <w:uiPriority w:val="9"/>
    <w:semiHidden/>
    <w:rsid w:val="00BB5A5F"/>
    <w:rPr>
      <w:rFonts w:eastAsiaTheme="majorEastAsia" w:cstheme="majorBidi"/>
      <w:color w:val="595959" w:themeColor="text1" w:themeTint="A6"/>
    </w:rPr>
  </w:style>
  <w:style w:type="character" w:customStyle="1" w:styleId="Nadpis8Char">
    <w:name w:val="Nadpis 8 Char"/>
    <w:basedOn w:val="Standardnpsmoodstavce"/>
    <w:link w:val="Nadpis8"/>
    <w:uiPriority w:val="9"/>
    <w:semiHidden/>
    <w:rsid w:val="00BB5A5F"/>
    <w:rPr>
      <w:rFonts w:eastAsiaTheme="majorEastAsia" w:cstheme="majorBidi"/>
      <w:i/>
      <w:iCs/>
      <w:color w:val="272727" w:themeColor="text1" w:themeTint="D8"/>
    </w:rPr>
  </w:style>
  <w:style w:type="character" w:customStyle="1" w:styleId="Nadpis9Char">
    <w:name w:val="Nadpis 9 Char"/>
    <w:basedOn w:val="Standardnpsmoodstavce"/>
    <w:link w:val="Nadpis9"/>
    <w:uiPriority w:val="9"/>
    <w:semiHidden/>
    <w:rsid w:val="00BB5A5F"/>
    <w:rPr>
      <w:rFonts w:eastAsiaTheme="majorEastAsia" w:cstheme="majorBidi"/>
      <w:color w:val="272727" w:themeColor="text1" w:themeTint="D8"/>
    </w:rPr>
  </w:style>
  <w:style w:type="paragraph" w:styleId="Nzev">
    <w:name w:val="Title"/>
    <w:basedOn w:val="Normln"/>
    <w:next w:val="Normln"/>
    <w:link w:val="NzevChar"/>
    <w:uiPriority w:val="10"/>
    <w:qFormat/>
    <w:rsid w:val="00BB5A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NzevChar">
    <w:name w:val="Název Char"/>
    <w:basedOn w:val="Standardnpsmoodstavce"/>
    <w:link w:val="Nzev"/>
    <w:uiPriority w:val="10"/>
    <w:rsid w:val="00BB5A5F"/>
    <w:rPr>
      <w:rFonts w:asciiTheme="majorHAnsi" w:eastAsiaTheme="majorEastAsia" w:hAnsiTheme="majorHAnsi" w:cstheme="majorBidi"/>
      <w:spacing w:val="-10"/>
      <w:kern w:val="28"/>
      <w:sz w:val="56"/>
      <w:szCs w:val="56"/>
    </w:rPr>
  </w:style>
  <w:style w:type="paragraph" w:styleId="Podnadpis">
    <w:name w:val="Subtitle"/>
    <w:basedOn w:val="Normln"/>
    <w:next w:val="Normln"/>
    <w:link w:val="PodnadpisChar"/>
    <w:uiPriority w:val="11"/>
    <w:qFormat/>
    <w:rsid w:val="00BB5A5F"/>
    <w:pPr>
      <w:numPr>
        <w:ilvl w:val="1"/>
      </w:numPr>
    </w:pPr>
    <w:rPr>
      <w:rFonts w:eastAsiaTheme="majorEastAsia" w:cstheme="majorBidi"/>
      <w:color w:val="595959" w:themeColor="text1" w:themeTint="A6"/>
      <w:spacing w:val="15"/>
      <w:sz w:val="28"/>
      <w:szCs w:val="28"/>
    </w:rPr>
  </w:style>
  <w:style w:type="character" w:customStyle="1" w:styleId="PodnadpisChar">
    <w:name w:val="Podnadpis Char"/>
    <w:basedOn w:val="Standardnpsmoodstavce"/>
    <w:link w:val="Podnadpis"/>
    <w:uiPriority w:val="11"/>
    <w:rsid w:val="00BB5A5F"/>
    <w:rPr>
      <w:rFonts w:eastAsiaTheme="majorEastAsia" w:cstheme="majorBidi"/>
      <w:color w:val="595959" w:themeColor="text1" w:themeTint="A6"/>
      <w:spacing w:val="15"/>
      <w:sz w:val="28"/>
      <w:szCs w:val="28"/>
    </w:rPr>
  </w:style>
  <w:style w:type="paragraph" w:styleId="Citt">
    <w:name w:val="Quote"/>
    <w:basedOn w:val="Normln"/>
    <w:next w:val="Normln"/>
    <w:link w:val="CittChar"/>
    <w:uiPriority w:val="29"/>
    <w:qFormat/>
    <w:rsid w:val="00BB5A5F"/>
    <w:pPr>
      <w:spacing w:before="160"/>
      <w:jc w:val="center"/>
    </w:pPr>
    <w:rPr>
      <w:i/>
      <w:iCs/>
      <w:color w:val="404040" w:themeColor="text1" w:themeTint="BF"/>
    </w:rPr>
  </w:style>
  <w:style w:type="character" w:customStyle="1" w:styleId="CittChar">
    <w:name w:val="Citát Char"/>
    <w:basedOn w:val="Standardnpsmoodstavce"/>
    <w:link w:val="Citt"/>
    <w:uiPriority w:val="29"/>
    <w:rsid w:val="00BB5A5F"/>
    <w:rPr>
      <w:i/>
      <w:iCs/>
      <w:color w:val="404040" w:themeColor="text1" w:themeTint="BF"/>
    </w:rPr>
  </w:style>
  <w:style w:type="paragraph" w:styleId="Odstavecseseznamem">
    <w:name w:val="List Paragraph"/>
    <w:basedOn w:val="Normln"/>
    <w:uiPriority w:val="34"/>
    <w:qFormat/>
    <w:rsid w:val="00BB5A5F"/>
    <w:pPr>
      <w:ind w:left="720"/>
      <w:contextualSpacing/>
    </w:pPr>
  </w:style>
  <w:style w:type="character" w:styleId="Zdraznnintenzivn">
    <w:name w:val="Intense Emphasis"/>
    <w:basedOn w:val="Standardnpsmoodstavce"/>
    <w:uiPriority w:val="21"/>
    <w:qFormat/>
    <w:rsid w:val="00BB5A5F"/>
    <w:rPr>
      <w:i/>
      <w:iCs/>
      <w:color w:val="0F4761" w:themeColor="accent1" w:themeShade="BF"/>
    </w:rPr>
  </w:style>
  <w:style w:type="paragraph" w:styleId="Vrazncitt">
    <w:name w:val="Intense Quote"/>
    <w:basedOn w:val="Normln"/>
    <w:next w:val="Normln"/>
    <w:link w:val="VrazncittChar"/>
    <w:uiPriority w:val="30"/>
    <w:qFormat/>
    <w:rsid w:val="00BB5A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VrazncittChar">
    <w:name w:val="Výrazný citát Char"/>
    <w:basedOn w:val="Standardnpsmoodstavce"/>
    <w:link w:val="Vrazncitt"/>
    <w:uiPriority w:val="30"/>
    <w:rsid w:val="00BB5A5F"/>
    <w:rPr>
      <w:i/>
      <w:iCs/>
      <w:color w:val="0F4761" w:themeColor="accent1" w:themeShade="BF"/>
    </w:rPr>
  </w:style>
  <w:style w:type="character" w:styleId="Odkazintenzivn">
    <w:name w:val="Intense Reference"/>
    <w:basedOn w:val="Standardnpsmoodstavce"/>
    <w:uiPriority w:val="32"/>
    <w:qFormat/>
    <w:rsid w:val="00BB5A5F"/>
    <w:rPr>
      <w:b/>
      <w:bCs/>
      <w:smallCaps/>
      <w:color w:val="0F4761" w:themeColor="accent1" w:themeShade="BF"/>
      <w:spacing w:val="5"/>
    </w:rPr>
  </w:style>
  <w:style w:type="paragraph" w:styleId="Normlnweb">
    <w:name w:val="Normal (Web)"/>
    <w:basedOn w:val="Normln"/>
    <w:uiPriority w:val="99"/>
    <w:semiHidden/>
    <w:unhideWhenUsed/>
    <w:rsid w:val="00BB5A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517989">
      <w:bodyDiv w:val="1"/>
      <w:marLeft w:val="0"/>
      <w:marRight w:val="0"/>
      <w:marTop w:val="0"/>
      <w:marBottom w:val="0"/>
      <w:divBdr>
        <w:top w:val="none" w:sz="0" w:space="0" w:color="auto"/>
        <w:left w:val="none" w:sz="0" w:space="0" w:color="auto"/>
        <w:bottom w:val="none" w:sz="0" w:space="0" w:color="auto"/>
        <w:right w:val="none" w:sz="0" w:space="0" w:color="auto"/>
      </w:divBdr>
    </w:div>
    <w:div w:id="1629162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2439</Words>
  <Characters>14392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Pavlina Balazova</cp:lastModifiedBy>
  <cp:revision>2</cp:revision>
  <dcterms:created xsi:type="dcterms:W3CDTF">2025-07-29T22:38:00Z</dcterms:created>
  <dcterms:modified xsi:type="dcterms:W3CDTF">2025-07-29T22:38:00Z</dcterms:modified>
</cp:coreProperties>
</file>